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57E2ED">
      <w:pPr>
        <w:spacing w:before="152" w:line="223" w:lineRule="auto"/>
        <w:ind w:right="73"/>
        <w:jc w:val="center"/>
        <w:rPr>
          <w:rFonts w:hint="eastAsia" w:ascii="宋体" w:hAnsi="宋体" w:eastAsia="宋体" w:cs="宋体"/>
          <w:sz w:val="44"/>
          <w:szCs w:val="44"/>
          <w:lang w:eastAsia="zh-CN"/>
        </w:rPr>
      </w:pPr>
      <w:bookmarkStart w:id="0" w:name="OLE_LINK1"/>
      <w:r>
        <w:rPr>
          <w:rFonts w:hint="eastAsia" w:ascii="宋体" w:hAnsi="宋体" w:eastAsia="宋体" w:cs="宋体"/>
          <w:spacing w:val="9"/>
          <w:sz w:val="44"/>
          <w:szCs w:val="44"/>
          <w:lang w:eastAsia="zh-CN"/>
          <w14:textOutline w14:w="8717" w14:cap="sq" w14:cmpd="sng">
            <w14:solidFill>
              <w14:srgbClr w14:val="000000"/>
            </w14:solidFill>
            <w14:prstDash w14:val="solid"/>
            <w14:bevel/>
          </w14:textOutline>
        </w:rPr>
        <w:t>拜城县人民医院2025年中药饮片购置项目</w:t>
      </w:r>
    </w:p>
    <w:bookmarkEnd w:id="0"/>
    <w:p w14:paraId="3FA90322">
      <w:pPr>
        <w:pStyle w:val="4"/>
        <w:spacing w:line="265" w:lineRule="auto"/>
      </w:pPr>
    </w:p>
    <w:p w14:paraId="61B1AEE7">
      <w:pPr>
        <w:pStyle w:val="4"/>
        <w:spacing w:line="265" w:lineRule="auto"/>
      </w:pPr>
    </w:p>
    <w:p w14:paraId="5D9E7672">
      <w:pPr>
        <w:pStyle w:val="4"/>
        <w:spacing w:line="265" w:lineRule="auto"/>
      </w:pPr>
    </w:p>
    <w:p w14:paraId="511A19FB">
      <w:pPr>
        <w:pStyle w:val="4"/>
        <w:spacing w:line="265" w:lineRule="auto"/>
      </w:pPr>
    </w:p>
    <w:p w14:paraId="6BBB8255">
      <w:pPr>
        <w:pStyle w:val="4"/>
        <w:spacing w:line="265" w:lineRule="auto"/>
      </w:pPr>
    </w:p>
    <w:p w14:paraId="3C101398">
      <w:pPr>
        <w:pStyle w:val="4"/>
        <w:spacing w:line="265" w:lineRule="auto"/>
      </w:pPr>
    </w:p>
    <w:p w14:paraId="6DF51E8D">
      <w:pPr>
        <w:pStyle w:val="4"/>
        <w:spacing w:line="265" w:lineRule="auto"/>
      </w:pPr>
    </w:p>
    <w:p w14:paraId="326322D0">
      <w:pPr>
        <w:pStyle w:val="4"/>
        <w:spacing w:line="265" w:lineRule="auto"/>
      </w:pPr>
    </w:p>
    <w:p w14:paraId="7DE3109F">
      <w:pPr>
        <w:pStyle w:val="4"/>
        <w:spacing w:line="265" w:lineRule="auto"/>
      </w:pPr>
    </w:p>
    <w:p w14:paraId="75696930">
      <w:pPr>
        <w:spacing w:before="179" w:line="222" w:lineRule="auto"/>
        <w:ind w:left="2601"/>
        <w:outlineLvl w:val="0"/>
        <w:rPr>
          <w:rFonts w:ascii="宋体" w:hAnsi="宋体" w:eastAsia="宋体" w:cs="宋体"/>
          <w:sz w:val="55"/>
          <w:szCs w:val="55"/>
        </w:rPr>
      </w:pPr>
      <w:bookmarkStart w:id="1" w:name="OLE_LINK3"/>
      <w:r>
        <w:rPr>
          <w:rFonts w:ascii="宋体" w:hAnsi="宋体" w:eastAsia="宋体" w:cs="宋体"/>
          <w:spacing w:val="7"/>
          <w:sz w:val="55"/>
          <w:szCs w:val="55"/>
          <w14:textOutline w14:w="10151" w14:cap="sq" w14:cmpd="sng">
            <w14:solidFill>
              <w14:srgbClr w14:val="000000"/>
            </w14:solidFill>
            <w14:prstDash w14:val="solid"/>
            <w14:bevel/>
          </w14:textOutline>
        </w:rPr>
        <w:t>竞争性磋商</w:t>
      </w:r>
      <w:bookmarkEnd w:id="1"/>
      <w:r>
        <w:rPr>
          <w:rFonts w:ascii="宋体" w:hAnsi="宋体" w:eastAsia="宋体" w:cs="宋体"/>
          <w:spacing w:val="7"/>
          <w:sz w:val="55"/>
          <w:szCs w:val="55"/>
          <w14:textOutline w14:w="10151" w14:cap="sq" w14:cmpd="sng">
            <w14:solidFill>
              <w14:srgbClr w14:val="000000"/>
            </w14:solidFill>
            <w14:prstDash w14:val="solid"/>
            <w14:bevel/>
          </w14:textOutline>
        </w:rPr>
        <w:t>文件</w:t>
      </w:r>
    </w:p>
    <w:p w14:paraId="6C3DE7BD">
      <w:pPr>
        <w:pStyle w:val="4"/>
        <w:spacing w:line="266" w:lineRule="auto"/>
      </w:pPr>
    </w:p>
    <w:p w14:paraId="65B3D340">
      <w:pPr>
        <w:pStyle w:val="4"/>
        <w:spacing w:line="267" w:lineRule="auto"/>
      </w:pPr>
    </w:p>
    <w:p w14:paraId="3F6211D5">
      <w:pPr>
        <w:pStyle w:val="4"/>
        <w:spacing w:line="267" w:lineRule="auto"/>
      </w:pPr>
    </w:p>
    <w:p w14:paraId="1BFDA386">
      <w:pPr>
        <w:pStyle w:val="4"/>
        <w:spacing w:line="267" w:lineRule="auto"/>
      </w:pPr>
    </w:p>
    <w:p w14:paraId="2CC57593">
      <w:pPr>
        <w:pStyle w:val="4"/>
        <w:spacing w:line="267" w:lineRule="auto"/>
      </w:pPr>
    </w:p>
    <w:p w14:paraId="4453615F">
      <w:pPr>
        <w:spacing w:line="2592" w:lineRule="exact"/>
        <w:ind w:firstLine="2642"/>
      </w:pPr>
    </w:p>
    <w:p w14:paraId="737BB8D4">
      <w:pPr>
        <w:pStyle w:val="4"/>
        <w:spacing w:line="261" w:lineRule="auto"/>
      </w:pPr>
    </w:p>
    <w:p w14:paraId="7A19C9B8">
      <w:pPr>
        <w:pStyle w:val="4"/>
        <w:spacing w:line="261" w:lineRule="auto"/>
      </w:pPr>
    </w:p>
    <w:p w14:paraId="1A799511">
      <w:pPr>
        <w:pStyle w:val="4"/>
        <w:spacing w:line="261" w:lineRule="auto"/>
      </w:pPr>
    </w:p>
    <w:p w14:paraId="7CBDD5AA">
      <w:pPr>
        <w:pStyle w:val="4"/>
        <w:spacing w:line="262" w:lineRule="auto"/>
      </w:pPr>
    </w:p>
    <w:p w14:paraId="72C90D76">
      <w:pPr>
        <w:spacing w:before="114" w:line="226" w:lineRule="auto"/>
        <w:ind w:left="1482"/>
        <w:rPr>
          <w:rFonts w:hint="eastAsia" w:ascii="黑体" w:hAnsi="黑体" w:eastAsia="黑体" w:cs="黑体"/>
          <w:sz w:val="35"/>
          <w:szCs w:val="35"/>
          <w:lang w:eastAsia="zh-CN"/>
        </w:rPr>
      </w:pPr>
      <w:r>
        <w:rPr>
          <w:rFonts w:ascii="黑体" w:hAnsi="黑体" w:eastAsia="黑体" w:cs="黑体"/>
          <w:spacing w:val="5"/>
          <w:sz w:val="35"/>
          <w:szCs w:val="35"/>
        </w:rPr>
        <w:t>项目编号：</w:t>
      </w:r>
      <w:r>
        <w:rPr>
          <w:rFonts w:hint="eastAsia" w:ascii="黑体" w:hAnsi="黑体" w:eastAsia="黑体" w:cs="黑体"/>
          <w:spacing w:val="5"/>
          <w:sz w:val="35"/>
          <w:szCs w:val="35"/>
        </w:rPr>
        <w:t>BCX-Jzxcs-2025-009</w:t>
      </w:r>
    </w:p>
    <w:p w14:paraId="036838A5">
      <w:pPr>
        <w:pStyle w:val="4"/>
        <w:spacing w:line="390" w:lineRule="auto"/>
      </w:pPr>
    </w:p>
    <w:p w14:paraId="385C9721">
      <w:pPr>
        <w:spacing w:before="115" w:line="227" w:lineRule="auto"/>
        <w:ind w:left="1479"/>
        <w:rPr>
          <w:rFonts w:hint="eastAsia" w:ascii="黑体" w:hAnsi="黑体" w:eastAsia="黑体" w:cs="黑体"/>
          <w:sz w:val="35"/>
          <w:szCs w:val="35"/>
          <w:lang w:eastAsia="zh-CN"/>
        </w:rPr>
      </w:pPr>
      <w:r>
        <w:rPr>
          <w:rFonts w:ascii="黑体" w:hAnsi="黑体" w:eastAsia="黑体" w:cs="黑体"/>
          <w:spacing w:val="8"/>
          <w:sz w:val="35"/>
          <w:szCs w:val="35"/>
        </w:rPr>
        <w:t>采 购 人：</w:t>
      </w:r>
      <w:r>
        <w:rPr>
          <w:rFonts w:hint="eastAsia" w:ascii="黑体" w:hAnsi="黑体" w:eastAsia="黑体" w:cs="黑体"/>
          <w:spacing w:val="8"/>
          <w:sz w:val="35"/>
          <w:szCs w:val="35"/>
          <w:lang w:eastAsia="zh-CN"/>
        </w:rPr>
        <w:t>拜城县人民医院</w:t>
      </w:r>
    </w:p>
    <w:p w14:paraId="0F707F41">
      <w:pPr>
        <w:pStyle w:val="4"/>
        <w:spacing w:line="390" w:lineRule="auto"/>
      </w:pPr>
    </w:p>
    <w:p w14:paraId="17F5798A">
      <w:pPr>
        <w:spacing w:before="114" w:line="226" w:lineRule="auto"/>
        <w:ind w:left="1481"/>
        <w:rPr>
          <w:rFonts w:hint="eastAsia" w:ascii="黑体" w:hAnsi="黑体" w:eastAsia="黑体" w:cs="黑体"/>
          <w:sz w:val="35"/>
          <w:szCs w:val="35"/>
          <w:lang w:eastAsia="zh-CN"/>
        </w:rPr>
      </w:pPr>
      <w:r>
        <w:rPr>
          <w:rFonts w:ascii="黑体" w:hAnsi="黑体" w:eastAsia="黑体" w:cs="黑体"/>
          <w:spacing w:val="9"/>
          <w:sz w:val="35"/>
          <w:szCs w:val="35"/>
        </w:rPr>
        <w:t>代理机构：</w:t>
      </w:r>
      <w:r>
        <w:rPr>
          <w:rFonts w:hint="eastAsia" w:ascii="黑体" w:hAnsi="黑体" w:eastAsia="黑体" w:cs="黑体"/>
          <w:spacing w:val="9"/>
          <w:sz w:val="35"/>
          <w:szCs w:val="35"/>
          <w:lang w:eastAsia="zh-CN"/>
        </w:rPr>
        <w:t>阿克苏疆山项目管理有限公司</w:t>
      </w:r>
    </w:p>
    <w:p w14:paraId="66CD5DC3">
      <w:pPr>
        <w:pStyle w:val="4"/>
        <w:spacing w:line="391" w:lineRule="auto"/>
      </w:pPr>
    </w:p>
    <w:p w14:paraId="3C5F0898">
      <w:pPr>
        <w:spacing w:before="114" w:line="228" w:lineRule="auto"/>
        <w:ind w:left="1538"/>
        <w:rPr>
          <w:rFonts w:ascii="黑体" w:hAnsi="黑体" w:eastAsia="黑体" w:cs="黑体"/>
          <w:sz w:val="35"/>
          <w:szCs w:val="35"/>
        </w:rPr>
      </w:pPr>
      <w:r>
        <w:rPr>
          <w:rFonts w:ascii="黑体" w:hAnsi="黑体" w:eastAsia="黑体" w:cs="黑体"/>
          <w:spacing w:val="-5"/>
          <w:sz w:val="35"/>
          <w:szCs w:val="35"/>
        </w:rPr>
        <w:t>日</w:t>
      </w:r>
      <w:r>
        <w:rPr>
          <w:rFonts w:ascii="黑体" w:hAnsi="黑体" w:eastAsia="黑体" w:cs="黑体"/>
          <w:spacing w:val="8"/>
          <w:sz w:val="35"/>
          <w:szCs w:val="35"/>
        </w:rPr>
        <w:t xml:space="preserve">    </w:t>
      </w:r>
      <w:r>
        <w:rPr>
          <w:rFonts w:ascii="黑体" w:hAnsi="黑体" w:eastAsia="黑体" w:cs="黑体"/>
          <w:spacing w:val="-5"/>
          <w:sz w:val="35"/>
          <w:szCs w:val="35"/>
        </w:rPr>
        <w:t>期：202</w:t>
      </w:r>
      <w:r>
        <w:rPr>
          <w:rFonts w:hint="eastAsia" w:ascii="黑体" w:hAnsi="黑体" w:eastAsia="黑体" w:cs="黑体"/>
          <w:spacing w:val="-5"/>
          <w:sz w:val="35"/>
          <w:szCs w:val="35"/>
          <w:lang w:val="en-US" w:eastAsia="zh-CN"/>
        </w:rPr>
        <w:t>5</w:t>
      </w:r>
      <w:r>
        <w:rPr>
          <w:rFonts w:ascii="黑体" w:hAnsi="黑体" w:eastAsia="黑体" w:cs="黑体"/>
          <w:spacing w:val="-69"/>
          <w:sz w:val="35"/>
          <w:szCs w:val="35"/>
        </w:rPr>
        <w:t xml:space="preserve"> </w:t>
      </w:r>
      <w:r>
        <w:rPr>
          <w:rFonts w:ascii="黑体" w:hAnsi="黑体" w:eastAsia="黑体" w:cs="黑体"/>
          <w:spacing w:val="-5"/>
          <w:sz w:val="35"/>
          <w:szCs w:val="35"/>
        </w:rPr>
        <w:t>年</w:t>
      </w:r>
      <w:r>
        <w:rPr>
          <w:rFonts w:ascii="黑体" w:hAnsi="黑体" w:eastAsia="黑体" w:cs="黑体"/>
          <w:spacing w:val="-70"/>
          <w:sz w:val="35"/>
          <w:szCs w:val="35"/>
        </w:rPr>
        <w:t xml:space="preserve"> </w:t>
      </w:r>
      <w:r>
        <w:rPr>
          <w:rFonts w:hint="eastAsia" w:ascii="黑体" w:hAnsi="黑体" w:eastAsia="黑体" w:cs="黑体"/>
          <w:spacing w:val="-70"/>
          <w:sz w:val="35"/>
          <w:szCs w:val="35"/>
          <w:lang w:val="en-US" w:eastAsia="zh-CN"/>
        </w:rPr>
        <w:t xml:space="preserve">2 </w:t>
      </w:r>
      <w:r>
        <w:rPr>
          <w:rFonts w:ascii="黑体" w:hAnsi="黑体" w:eastAsia="黑体" w:cs="黑体"/>
          <w:spacing w:val="-5"/>
          <w:sz w:val="35"/>
          <w:szCs w:val="35"/>
        </w:rPr>
        <w:t>月</w:t>
      </w:r>
    </w:p>
    <w:p w14:paraId="530B82A5">
      <w:pPr>
        <w:spacing w:line="228" w:lineRule="auto"/>
        <w:rPr>
          <w:rFonts w:ascii="黑体" w:hAnsi="黑体" w:eastAsia="黑体" w:cs="黑体"/>
          <w:sz w:val="35"/>
          <w:szCs w:val="35"/>
        </w:rPr>
        <w:sectPr>
          <w:headerReference r:id="rId5" w:type="default"/>
          <w:pgSz w:w="11905" w:h="16838"/>
          <w:pgMar w:top="1276" w:right="1814" w:bottom="1276" w:left="1814" w:header="567" w:footer="567" w:gutter="0"/>
          <w:cols w:space="0" w:num="1"/>
          <w:rtlGutter w:val="0"/>
          <w:docGrid w:linePitch="0" w:charSpace="0"/>
        </w:sectPr>
      </w:pPr>
    </w:p>
    <w:p w14:paraId="36964B36">
      <w:pPr>
        <w:spacing w:before="171" w:line="1253" w:lineRule="exact"/>
        <w:ind w:left="209"/>
        <w:rPr>
          <w:rFonts w:ascii="宋体" w:hAnsi="宋体" w:eastAsia="宋体" w:cs="宋体"/>
          <w:sz w:val="30"/>
          <w:szCs w:val="30"/>
        </w:rPr>
      </w:pPr>
      <w:r>
        <w:rPr>
          <w:rFonts w:ascii="宋体" w:hAnsi="宋体" w:eastAsia="宋体" w:cs="宋体"/>
          <w:spacing w:val="2"/>
          <w:position w:val="-18"/>
          <w:sz w:val="30"/>
          <w:szCs w:val="30"/>
        </w:rPr>
        <w:t xml:space="preserve">                 </w:t>
      </w:r>
      <w:r>
        <w:rPr>
          <w:rFonts w:ascii="宋体" w:hAnsi="宋体" w:eastAsia="宋体" w:cs="宋体"/>
          <w:spacing w:val="-35"/>
          <w:position w:val="-18"/>
          <w:sz w:val="30"/>
          <w:szCs w:val="30"/>
        </w:rPr>
        <w:t>目</w:t>
      </w:r>
      <w:r>
        <w:rPr>
          <w:rFonts w:ascii="宋体" w:hAnsi="宋体" w:eastAsia="宋体" w:cs="宋体"/>
          <w:spacing w:val="26"/>
          <w:position w:val="-18"/>
          <w:sz w:val="30"/>
          <w:szCs w:val="30"/>
        </w:rPr>
        <w:t xml:space="preserve"> </w:t>
      </w:r>
      <w:r>
        <w:rPr>
          <w:rFonts w:ascii="宋体" w:hAnsi="宋体" w:eastAsia="宋体" w:cs="宋体"/>
          <w:spacing w:val="-35"/>
          <w:position w:val="-18"/>
          <w:sz w:val="30"/>
          <w:szCs w:val="30"/>
        </w:rPr>
        <w:t>录</w:t>
      </w:r>
    </w:p>
    <w:p w14:paraId="245BBB85">
      <w:pPr>
        <w:pStyle w:val="4"/>
        <w:spacing w:line="291" w:lineRule="auto"/>
      </w:pPr>
    </w:p>
    <w:sdt>
      <w:sdtPr>
        <w:rPr>
          <w:rFonts w:ascii="黑体" w:hAnsi="黑体" w:eastAsia="黑体" w:cs="黑体"/>
          <w:sz w:val="24"/>
          <w:szCs w:val="24"/>
        </w:rPr>
        <w:id w:val="1"/>
        <w:docPartObj>
          <w:docPartGallery w:val="Table of Contents"/>
          <w:docPartUnique/>
        </w:docPartObj>
      </w:sdtPr>
      <w:sdtEndPr>
        <w:rPr>
          <w:rFonts w:ascii="黑体" w:hAnsi="黑体" w:eastAsia="黑体" w:cs="黑体"/>
          <w:sz w:val="24"/>
          <w:szCs w:val="24"/>
        </w:rPr>
      </w:sdtEndPr>
      <w:sdtContent>
        <w:p w14:paraId="496ABBF3">
          <w:pPr>
            <w:tabs>
              <w:tab w:val="right" w:leader="dot" w:pos="9512"/>
            </w:tabs>
            <w:spacing w:before="78" w:line="187" w:lineRule="auto"/>
            <w:rPr>
              <w:rFonts w:ascii="黑体" w:hAnsi="黑体" w:eastAsia="黑体" w:cs="黑体"/>
              <w:sz w:val="24"/>
              <w:szCs w:val="24"/>
            </w:rPr>
          </w:pPr>
          <w:r>
            <w:fldChar w:fldCharType="begin"/>
          </w:r>
          <w:r>
            <w:instrText xml:space="preserve"> HYPERLINK \l "bookmark1" </w:instrText>
          </w:r>
          <w:r>
            <w:fldChar w:fldCharType="separate"/>
          </w:r>
          <w:r>
            <w:rPr>
              <w:rFonts w:ascii="黑体" w:hAnsi="黑体" w:eastAsia="黑体" w:cs="黑体"/>
              <w:spacing w:val="-1"/>
              <w:sz w:val="24"/>
              <w:szCs w:val="24"/>
            </w:rPr>
            <w:t>第一章  竞争性磋商公告</w:t>
          </w:r>
          <w:r>
            <w:rPr>
              <w:rFonts w:ascii="黑体" w:hAnsi="黑体" w:eastAsia="黑体" w:cs="黑体"/>
              <w:spacing w:val="-40"/>
              <w:sz w:val="24"/>
              <w:szCs w:val="24"/>
            </w:rPr>
            <w:t xml:space="preserve"> </w:t>
          </w:r>
          <w:r>
            <w:rPr>
              <w:rFonts w:ascii="黑体" w:hAnsi="黑体" w:eastAsia="黑体" w:cs="黑体"/>
              <w:spacing w:val="24"/>
              <w:sz w:val="24"/>
              <w:szCs w:val="24"/>
            </w:rPr>
            <w:fldChar w:fldCharType="end"/>
          </w:r>
        </w:p>
        <w:p w14:paraId="2E0AD3A3">
          <w:pPr>
            <w:tabs>
              <w:tab w:val="right" w:leader="dot" w:pos="9512"/>
            </w:tabs>
            <w:spacing w:before="258" w:line="187" w:lineRule="auto"/>
            <w:rPr>
              <w:rFonts w:ascii="黑体" w:hAnsi="黑体" w:eastAsia="黑体" w:cs="黑体"/>
              <w:sz w:val="24"/>
              <w:szCs w:val="24"/>
            </w:rPr>
          </w:pPr>
          <w:r>
            <w:fldChar w:fldCharType="begin"/>
          </w:r>
          <w:r>
            <w:instrText xml:space="preserve"> HYPERLINK \l "bookmark2" </w:instrText>
          </w:r>
          <w:r>
            <w:fldChar w:fldCharType="separate"/>
          </w:r>
          <w:r>
            <w:rPr>
              <w:rFonts w:ascii="黑体" w:hAnsi="黑体" w:eastAsia="黑体" w:cs="黑体"/>
              <w:spacing w:val="-1"/>
              <w:sz w:val="24"/>
              <w:szCs w:val="24"/>
            </w:rPr>
            <w:t>第二章  供应商须知及前附表</w:t>
          </w:r>
          <w:r>
            <w:rPr>
              <w:rFonts w:ascii="黑体" w:hAnsi="黑体" w:eastAsia="黑体" w:cs="黑体"/>
              <w:spacing w:val="-38"/>
              <w:sz w:val="24"/>
              <w:szCs w:val="24"/>
            </w:rPr>
            <w:t xml:space="preserve"> </w:t>
          </w:r>
          <w:r>
            <w:rPr>
              <w:rFonts w:ascii="黑体" w:hAnsi="黑体" w:eastAsia="黑体" w:cs="黑体"/>
              <w:spacing w:val="8"/>
              <w:w w:val="120"/>
              <w:sz w:val="24"/>
              <w:szCs w:val="24"/>
            </w:rPr>
            <w:fldChar w:fldCharType="end"/>
          </w:r>
        </w:p>
        <w:p w14:paraId="5BAD2E19">
          <w:pPr>
            <w:tabs>
              <w:tab w:val="right" w:leader="dot" w:pos="9512"/>
            </w:tabs>
            <w:spacing w:before="256" w:line="187" w:lineRule="auto"/>
            <w:rPr>
              <w:rFonts w:ascii="黑体" w:hAnsi="黑体" w:eastAsia="黑体" w:cs="黑体"/>
              <w:sz w:val="24"/>
              <w:szCs w:val="24"/>
            </w:rPr>
          </w:pPr>
          <w:r>
            <w:fldChar w:fldCharType="begin"/>
          </w:r>
          <w:r>
            <w:instrText xml:space="preserve"> HYPERLINK \l "bookmark3" </w:instrText>
          </w:r>
          <w:r>
            <w:fldChar w:fldCharType="separate"/>
          </w:r>
          <w:r>
            <w:rPr>
              <w:rFonts w:ascii="黑体" w:hAnsi="黑体" w:eastAsia="黑体" w:cs="黑体"/>
              <w:spacing w:val="-2"/>
              <w:sz w:val="24"/>
              <w:szCs w:val="24"/>
            </w:rPr>
            <w:t>第三章  评标办法</w:t>
          </w:r>
          <w:r>
            <w:rPr>
              <w:rFonts w:ascii="黑体" w:hAnsi="黑体" w:eastAsia="黑体" w:cs="黑体"/>
              <w:spacing w:val="-34"/>
              <w:sz w:val="24"/>
              <w:szCs w:val="24"/>
            </w:rPr>
            <w:t xml:space="preserve"> </w:t>
          </w:r>
          <w:r>
            <w:rPr>
              <w:rFonts w:ascii="黑体" w:hAnsi="黑体" w:eastAsia="黑体" w:cs="黑体"/>
              <w:spacing w:val="22"/>
              <w:sz w:val="24"/>
              <w:szCs w:val="24"/>
            </w:rPr>
            <w:fldChar w:fldCharType="end"/>
          </w:r>
        </w:p>
        <w:p w14:paraId="2B2D81DA">
          <w:pPr>
            <w:tabs>
              <w:tab w:val="right" w:leader="dot" w:pos="9512"/>
            </w:tabs>
            <w:spacing w:before="256" w:line="187" w:lineRule="auto"/>
            <w:rPr>
              <w:rFonts w:ascii="黑体" w:hAnsi="黑体" w:eastAsia="黑体" w:cs="黑体"/>
              <w:sz w:val="24"/>
              <w:szCs w:val="24"/>
            </w:rPr>
          </w:pPr>
          <w:r>
            <w:fldChar w:fldCharType="begin"/>
          </w:r>
          <w:r>
            <w:instrText xml:space="preserve"> HYPERLINK \l "bookmark4" </w:instrText>
          </w:r>
          <w:r>
            <w:fldChar w:fldCharType="separate"/>
          </w:r>
          <w:r>
            <w:rPr>
              <w:rFonts w:ascii="黑体" w:hAnsi="黑体" w:eastAsia="黑体" w:cs="黑体"/>
              <w:spacing w:val="-1"/>
              <w:sz w:val="24"/>
              <w:szCs w:val="24"/>
            </w:rPr>
            <w:t>第四章  招标内容及需求</w:t>
          </w:r>
          <w:r>
            <w:rPr>
              <w:rFonts w:ascii="黑体" w:hAnsi="黑体" w:eastAsia="黑体" w:cs="黑体"/>
              <w:spacing w:val="-40"/>
              <w:sz w:val="24"/>
              <w:szCs w:val="24"/>
            </w:rPr>
            <w:t xml:space="preserve"> </w:t>
          </w:r>
          <w:r>
            <w:rPr>
              <w:rFonts w:ascii="黑体" w:hAnsi="黑体" w:eastAsia="黑体" w:cs="黑体"/>
              <w:spacing w:val="22"/>
              <w:sz w:val="24"/>
              <w:szCs w:val="24"/>
            </w:rPr>
            <w:fldChar w:fldCharType="end"/>
          </w:r>
        </w:p>
        <w:p w14:paraId="597D1668">
          <w:pPr>
            <w:tabs>
              <w:tab w:val="right" w:leader="dot" w:pos="9512"/>
            </w:tabs>
            <w:spacing w:before="258" w:line="187" w:lineRule="auto"/>
            <w:rPr>
              <w:rFonts w:ascii="黑体" w:hAnsi="黑体" w:eastAsia="黑体" w:cs="黑体"/>
              <w:sz w:val="24"/>
              <w:szCs w:val="24"/>
            </w:rPr>
          </w:pPr>
          <w:r>
            <w:fldChar w:fldCharType="begin"/>
          </w:r>
          <w:r>
            <w:instrText xml:space="preserve"> HYPERLINK \l "bookmark5" </w:instrText>
          </w:r>
          <w:r>
            <w:fldChar w:fldCharType="separate"/>
          </w:r>
          <w:r>
            <w:rPr>
              <w:rFonts w:ascii="黑体" w:hAnsi="黑体" w:eastAsia="黑体" w:cs="黑体"/>
              <w:spacing w:val="-1"/>
              <w:sz w:val="24"/>
              <w:szCs w:val="24"/>
            </w:rPr>
            <w:t>第五章 磋商响应文件格式</w:t>
          </w:r>
          <w:r>
            <w:rPr>
              <w:rFonts w:ascii="黑体" w:hAnsi="黑体" w:eastAsia="黑体" w:cs="黑体"/>
              <w:spacing w:val="-40"/>
              <w:sz w:val="24"/>
              <w:szCs w:val="24"/>
            </w:rPr>
            <w:t xml:space="preserve"> </w:t>
          </w:r>
          <w:r>
            <w:rPr>
              <w:rFonts w:ascii="黑体" w:hAnsi="黑体" w:eastAsia="黑体" w:cs="黑体"/>
              <w:spacing w:val="22"/>
              <w:sz w:val="24"/>
              <w:szCs w:val="24"/>
            </w:rPr>
            <w:fldChar w:fldCharType="end"/>
          </w:r>
        </w:p>
        <w:p w14:paraId="3CB9CD91">
          <w:pPr>
            <w:tabs>
              <w:tab w:val="right" w:leader="dot" w:pos="9512"/>
            </w:tabs>
            <w:spacing w:before="255" w:line="222" w:lineRule="auto"/>
            <w:rPr>
              <w:rFonts w:ascii="黑体" w:hAnsi="黑体" w:eastAsia="黑体" w:cs="黑体"/>
              <w:sz w:val="24"/>
              <w:szCs w:val="24"/>
            </w:rPr>
          </w:pPr>
          <w:r>
            <w:fldChar w:fldCharType="begin"/>
          </w:r>
          <w:r>
            <w:instrText xml:space="preserve"> HYPERLINK \l "bookmark6" </w:instrText>
          </w:r>
          <w:r>
            <w:fldChar w:fldCharType="separate"/>
          </w:r>
          <w:r>
            <w:rPr>
              <w:rFonts w:ascii="黑体" w:hAnsi="黑体" w:eastAsia="黑体" w:cs="黑体"/>
              <w:spacing w:val="-2"/>
              <w:sz w:val="24"/>
              <w:szCs w:val="24"/>
            </w:rPr>
            <w:t>第六章  合同条款</w:t>
          </w:r>
          <w:r>
            <w:rPr>
              <w:rFonts w:ascii="黑体" w:hAnsi="黑体" w:eastAsia="黑体" w:cs="黑体"/>
              <w:spacing w:val="-34"/>
              <w:sz w:val="24"/>
              <w:szCs w:val="24"/>
            </w:rPr>
            <w:t xml:space="preserve"> </w:t>
          </w:r>
          <w:r>
            <w:rPr>
              <w:rFonts w:ascii="黑体" w:hAnsi="黑体" w:eastAsia="黑体" w:cs="黑体"/>
              <w:spacing w:val="23"/>
              <w:sz w:val="24"/>
              <w:szCs w:val="24"/>
            </w:rPr>
            <w:fldChar w:fldCharType="end"/>
          </w:r>
        </w:p>
      </w:sdtContent>
    </w:sdt>
    <w:p w14:paraId="3CFCC391">
      <w:pPr>
        <w:spacing w:line="222" w:lineRule="auto"/>
        <w:rPr>
          <w:rFonts w:ascii="黑体" w:hAnsi="黑体" w:eastAsia="黑体" w:cs="黑体"/>
          <w:sz w:val="24"/>
          <w:szCs w:val="24"/>
        </w:rPr>
      </w:pPr>
    </w:p>
    <w:p w14:paraId="1E260A42">
      <w:pPr>
        <w:bidi w:val="0"/>
        <w:rPr>
          <w:rFonts w:ascii="Arial" w:hAnsi="Arial" w:eastAsia="Arial" w:cs="Arial"/>
          <w:snapToGrid w:val="0"/>
          <w:color w:val="000000"/>
          <w:kern w:val="0"/>
          <w:sz w:val="21"/>
          <w:szCs w:val="21"/>
          <w:lang w:val="en-US" w:eastAsia="en-US" w:bidi="ar-SA"/>
        </w:rPr>
      </w:pPr>
    </w:p>
    <w:p w14:paraId="1D6D1334">
      <w:pPr>
        <w:bidi w:val="0"/>
        <w:rPr>
          <w:lang w:val="en-US" w:eastAsia="en-US"/>
        </w:rPr>
      </w:pPr>
    </w:p>
    <w:p w14:paraId="286329D5">
      <w:pPr>
        <w:bidi w:val="0"/>
        <w:rPr>
          <w:lang w:val="en-US" w:eastAsia="en-US"/>
        </w:rPr>
      </w:pPr>
    </w:p>
    <w:p w14:paraId="0D494DEF">
      <w:pPr>
        <w:bidi w:val="0"/>
        <w:rPr>
          <w:lang w:val="en-US" w:eastAsia="en-US"/>
        </w:rPr>
      </w:pPr>
    </w:p>
    <w:p w14:paraId="07BE150B">
      <w:pPr>
        <w:bidi w:val="0"/>
        <w:rPr>
          <w:lang w:val="en-US" w:eastAsia="en-US"/>
        </w:rPr>
      </w:pPr>
    </w:p>
    <w:p w14:paraId="7B071965">
      <w:pPr>
        <w:bidi w:val="0"/>
        <w:rPr>
          <w:lang w:val="en-US" w:eastAsia="en-US"/>
        </w:rPr>
      </w:pPr>
    </w:p>
    <w:p w14:paraId="56F8D988">
      <w:pPr>
        <w:bidi w:val="0"/>
        <w:rPr>
          <w:lang w:val="en-US" w:eastAsia="en-US"/>
        </w:rPr>
      </w:pPr>
    </w:p>
    <w:p w14:paraId="2A9FC0EE">
      <w:pPr>
        <w:bidi w:val="0"/>
        <w:rPr>
          <w:lang w:val="en-US" w:eastAsia="en-US"/>
        </w:rPr>
      </w:pPr>
    </w:p>
    <w:p w14:paraId="69AD3B9F">
      <w:pPr>
        <w:bidi w:val="0"/>
        <w:rPr>
          <w:lang w:val="en-US" w:eastAsia="en-US"/>
        </w:rPr>
      </w:pPr>
    </w:p>
    <w:p w14:paraId="40EDC8F2">
      <w:pPr>
        <w:bidi w:val="0"/>
        <w:rPr>
          <w:lang w:val="en-US" w:eastAsia="en-US"/>
        </w:rPr>
      </w:pPr>
    </w:p>
    <w:p w14:paraId="380444EC">
      <w:pPr>
        <w:bidi w:val="0"/>
        <w:rPr>
          <w:lang w:val="en-US" w:eastAsia="en-US"/>
        </w:rPr>
      </w:pPr>
    </w:p>
    <w:p w14:paraId="689F8C15">
      <w:pPr>
        <w:bidi w:val="0"/>
        <w:rPr>
          <w:lang w:val="en-US" w:eastAsia="en-US"/>
        </w:rPr>
      </w:pPr>
    </w:p>
    <w:p w14:paraId="09C98E5A">
      <w:pPr>
        <w:bidi w:val="0"/>
        <w:rPr>
          <w:lang w:val="en-US" w:eastAsia="en-US"/>
        </w:rPr>
      </w:pPr>
    </w:p>
    <w:p w14:paraId="13176496">
      <w:pPr>
        <w:bidi w:val="0"/>
        <w:rPr>
          <w:lang w:val="en-US" w:eastAsia="en-US"/>
        </w:rPr>
      </w:pPr>
    </w:p>
    <w:p w14:paraId="563DD156">
      <w:pPr>
        <w:bidi w:val="0"/>
        <w:rPr>
          <w:lang w:val="en-US" w:eastAsia="en-US"/>
        </w:rPr>
      </w:pPr>
    </w:p>
    <w:p w14:paraId="6EC26C55">
      <w:pPr>
        <w:bidi w:val="0"/>
        <w:rPr>
          <w:lang w:val="en-US" w:eastAsia="en-US"/>
        </w:rPr>
      </w:pPr>
    </w:p>
    <w:p w14:paraId="0939E547">
      <w:pPr>
        <w:bidi w:val="0"/>
        <w:rPr>
          <w:lang w:val="en-US" w:eastAsia="en-US"/>
        </w:rPr>
      </w:pPr>
    </w:p>
    <w:p w14:paraId="21EA4F37">
      <w:pPr>
        <w:bidi w:val="0"/>
        <w:rPr>
          <w:lang w:val="en-US" w:eastAsia="en-US"/>
        </w:rPr>
      </w:pPr>
    </w:p>
    <w:p w14:paraId="75965393">
      <w:pPr>
        <w:bidi w:val="0"/>
        <w:rPr>
          <w:lang w:val="en-US" w:eastAsia="en-US"/>
        </w:rPr>
      </w:pPr>
    </w:p>
    <w:p w14:paraId="0853E069">
      <w:pPr>
        <w:bidi w:val="0"/>
        <w:rPr>
          <w:lang w:val="en-US" w:eastAsia="en-US"/>
        </w:rPr>
      </w:pPr>
    </w:p>
    <w:p w14:paraId="4D4CCF2B">
      <w:pPr>
        <w:bidi w:val="0"/>
        <w:rPr>
          <w:lang w:val="en-US" w:eastAsia="en-US"/>
        </w:rPr>
      </w:pPr>
    </w:p>
    <w:p w14:paraId="6B7EC689">
      <w:pPr>
        <w:bidi w:val="0"/>
        <w:rPr>
          <w:lang w:val="en-US" w:eastAsia="en-US"/>
        </w:rPr>
      </w:pPr>
    </w:p>
    <w:p w14:paraId="337C318C">
      <w:pPr>
        <w:bidi w:val="0"/>
        <w:rPr>
          <w:lang w:val="en-US" w:eastAsia="en-US"/>
        </w:rPr>
      </w:pPr>
    </w:p>
    <w:p w14:paraId="01CE4BEB">
      <w:pPr>
        <w:bidi w:val="0"/>
        <w:rPr>
          <w:lang w:val="en-US" w:eastAsia="en-US"/>
        </w:rPr>
      </w:pPr>
    </w:p>
    <w:p w14:paraId="5A2604E1">
      <w:pPr>
        <w:bidi w:val="0"/>
        <w:rPr>
          <w:lang w:val="en-US" w:eastAsia="en-US"/>
        </w:rPr>
      </w:pPr>
    </w:p>
    <w:p w14:paraId="7F6BB7DE">
      <w:pPr>
        <w:bidi w:val="0"/>
        <w:rPr>
          <w:lang w:val="en-US" w:eastAsia="en-US"/>
        </w:rPr>
      </w:pPr>
    </w:p>
    <w:p w14:paraId="7BF24145">
      <w:pPr>
        <w:bidi w:val="0"/>
        <w:rPr>
          <w:lang w:val="en-US" w:eastAsia="en-US"/>
        </w:rPr>
      </w:pPr>
    </w:p>
    <w:p w14:paraId="01BA4920">
      <w:pPr>
        <w:bidi w:val="0"/>
        <w:rPr>
          <w:lang w:val="en-US" w:eastAsia="en-US"/>
        </w:rPr>
      </w:pPr>
    </w:p>
    <w:p w14:paraId="632F8453">
      <w:pPr>
        <w:bidi w:val="0"/>
        <w:rPr>
          <w:lang w:val="en-US" w:eastAsia="en-US"/>
        </w:rPr>
      </w:pPr>
    </w:p>
    <w:p w14:paraId="1DB6E215">
      <w:pPr>
        <w:bidi w:val="0"/>
        <w:rPr>
          <w:lang w:val="en-US" w:eastAsia="en-US"/>
        </w:rPr>
      </w:pPr>
    </w:p>
    <w:p w14:paraId="49A0EF67">
      <w:pPr>
        <w:bidi w:val="0"/>
        <w:rPr>
          <w:lang w:val="en-US" w:eastAsia="en-US"/>
        </w:rPr>
      </w:pPr>
    </w:p>
    <w:p w14:paraId="25E21AAB">
      <w:pPr>
        <w:bidi w:val="0"/>
        <w:rPr>
          <w:lang w:val="en-US" w:eastAsia="en-US"/>
        </w:rPr>
      </w:pPr>
    </w:p>
    <w:p w14:paraId="405970D2">
      <w:pPr>
        <w:bidi w:val="0"/>
        <w:rPr>
          <w:lang w:val="en-US" w:eastAsia="en-US"/>
        </w:rPr>
      </w:pPr>
    </w:p>
    <w:p w14:paraId="4A6755C1">
      <w:pPr>
        <w:bidi w:val="0"/>
        <w:rPr>
          <w:lang w:val="en-US" w:eastAsia="en-US"/>
        </w:rPr>
      </w:pPr>
    </w:p>
    <w:p w14:paraId="76476F7C">
      <w:pPr>
        <w:bidi w:val="0"/>
        <w:rPr>
          <w:lang w:val="en-US" w:eastAsia="en-US"/>
        </w:rPr>
      </w:pPr>
    </w:p>
    <w:p w14:paraId="18DA8AF7">
      <w:pPr>
        <w:bidi w:val="0"/>
        <w:rPr>
          <w:lang w:val="en-US" w:eastAsia="en-US"/>
        </w:rPr>
      </w:pPr>
    </w:p>
    <w:p w14:paraId="2DC5421A">
      <w:pPr>
        <w:bidi w:val="0"/>
        <w:rPr>
          <w:lang w:val="en-US" w:eastAsia="en-US"/>
        </w:rPr>
      </w:pPr>
    </w:p>
    <w:p w14:paraId="41B41978">
      <w:pPr>
        <w:bidi w:val="0"/>
        <w:rPr>
          <w:lang w:val="en-US" w:eastAsia="en-US"/>
        </w:rPr>
      </w:pPr>
    </w:p>
    <w:p w14:paraId="250DD3A1">
      <w:pPr>
        <w:bidi w:val="0"/>
        <w:rPr>
          <w:lang w:val="en-US" w:eastAsia="en-US"/>
        </w:rPr>
      </w:pPr>
    </w:p>
    <w:p w14:paraId="64CF14BF">
      <w:pPr>
        <w:spacing w:before="1" w:line="203" w:lineRule="auto"/>
        <w:ind w:left="2799"/>
        <w:outlineLvl w:val="0"/>
        <w:rPr>
          <w:rFonts w:ascii="黑体" w:hAnsi="黑体" w:eastAsia="黑体" w:cs="黑体"/>
          <w:sz w:val="35"/>
          <w:szCs w:val="35"/>
        </w:rPr>
      </w:pPr>
      <w:bookmarkStart w:id="2" w:name="bookmark1"/>
      <w:bookmarkEnd w:id="2"/>
      <w:r>
        <w:rPr>
          <w:rFonts w:ascii="黑体" w:hAnsi="黑体" w:eastAsia="黑体" w:cs="黑体"/>
          <w:spacing w:val="9"/>
          <w:sz w:val="35"/>
          <w:szCs w:val="35"/>
          <w14:textOutline w14:w="6537" w14:cap="sq" w14:cmpd="sng">
            <w14:solidFill>
              <w14:srgbClr w14:val="000000"/>
            </w14:solidFill>
            <w14:prstDash w14:val="solid"/>
            <w14:bevel/>
          </w14:textOutline>
        </w:rPr>
        <w:t>第一章</w:t>
      </w:r>
      <w:r>
        <w:rPr>
          <w:rFonts w:ascii="黑体" w:hAnsi="黑体" w:eastAsia="黑体" w:cs="黑体"/>
          <w:spacing w:val="9"/>
          <w:sz w:val="35"/>
          <w:szCs w:val="35"/>
        </w:rPr>
        <w:t xml:space="preserve">  </w:t>
      </w:r>
      <w:r>
        <w:rPr>
          <w:rFonts w:ascii="黑体" w:hAnsi="黑体" w:eastAsia="黑体" w:cs="黑体"/>
          <w:spacing w:val="9"/>
          <w:sz w:val="35"/>
          <w:szCs w:val="35"/>
          <w14:textOutline w14:w="6537" w14:cap="sq" w14:cmpd="sng">
            <w14:solidFill>
              <w14:srgbClr w14:val="000000"/>
            </w14:solidFill>
            <w14:prstDash w14:val="solid"/>
            <w14:bevel/>
          </w14:textOutline>
        </w:rPr>
        <w:t>竞争性磋商公告</w:t>
      </w:r>
    </w:p>
    <w:tbl>
      <w:tblPr>
        <w:tblStyle w:val="14"/>
        <w:tblW w:w="8479"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8479"/>
      </w:tblGrid>
      <w:tr w14:paraId="4C91BFA1">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509" w:hRule="atLeast"/>
        </w:trPr>
        <w:tc>
          <w:tcPr>
            <w:tcW w:w="8479" w:type="dxa"/>
            <w:vAlign w:val="top"/>
          </w:tcPr>
          <w:p w14:paraId="7A87AFD1">
            <w:pPr>
              <w:pStyle w:val="15"/>
              <w:spacing w:before="200" w:line="222" w:lineRule="auto"/>
              <w:ind w:left="202"/>
            </w:pPr>
            <w:r>
              <w:rPr>
                <w:spacing w:val="-5"/>
              </w:rPr>
              <w:t>项目概况</w:t>
            </w:r>
          </w:p>
          <w:p w14:paraId="1B90E6F5">
            <w:pPr>
              <w:pStyle w:val="15"/>
              <w:spacing w:before="210" w:line="501" w:lineRule="exact"/>
              <w:ind w:right="4"/>
              <w:jc w:val="left"/>
            </w:pPr>
            <w:r>
              <w:rPr>
                <w:rFonts w:hint="eastAsia"/>
                <w:spacing w:val="-3"/>
                <w:position w:val="19"/>
                <w:lang w:val="en-US" w:eastAsia="zh-CN"/>
              </w:rPr>
              <w:t xml:space="preserve">  拜城县人民医院2025年中药饮片购置项目采购项目</w:t>
            </w:r>
            <w:r>
              <w:rPr>
                <w:rFonts w:hint="eastAsia"/>
                <w:spacing w:val="-3"/>
                <w:position w:val="19"/>
                <w:lang w:eastAsia="zh-CN"/>
              </w:rPr>
              <w:t>的潜在供应商应在政采云平台线上获取采购文件，并于202</w:t>
            </w:r>
            <w:r>
              <w:rPr>
                <w:rFonts w:hint="eastAsia"/>
                <w:spacing w:val="-3"/>
                <w:position w:val="19"/>
                <w:lang w:val="en-US" w:eastAsia="zh-CN"/>
              </w:rPr>
              <w:t>5</w:t>
            </w:r>
            <w:r>
              <w:rPr>
                <w:rFonts w:hint="eastAsia"/>
                <w:spacing w:val="-3"/>
                <w:position w:val="19"/>
                <w:lang w:eastAsia="zh-CN"/>
              </w:rPr>
              <w:t>年</w:t>
            </w:r>
            <w:r>
              <w:rPr>
                <w:rFonts w:hint="eastAsia"/>
                <w:spacing w:val="-3"/>
                <w:position w:val="19"/>
                <w:lang w:val="en-US" w:eastAsia="zh-CN"/>
              </w:rPr>
              <w:t>03</w:t>
            </w:r>
            <w:r>
              <w:rPr>
                <w:rFonts w:hint="eastAsia"/>
                <w:spacing w:val="-3"/>
                <w:position w:val="19"/>
                <w:lang w:eastAsia="zh-CN"/>
              </w:rPr>
              <w:t>月</w:t>
            </w:r>
            <w:r>
              <w:rPr>
                <w:rFonts w:hint="eastAsia"/>
                <w:spacing w:val="-3"/>
                <w:position w:val="19"/>
                <w:lang w:val="en-US" w:eastAsia="zh-CN"/>
              </w:rPr>
              <w:t>10</w:t>
            </w:r>
            <w:r>
              <w:rPr>
                <w:rFonts w:hint="eastAsia"/>
                <w:spacing w:val="-3"/>
                <w:position w:val="19"/>
                <w:lang w:eastAsia="zh-CN"/>
              </w:rPr>
              <w:t>日1</w:t>
            </w:r>
            <w:r>
              <w:rPr>
                <w:rFonts w:hint="eastAsia"/>
                <w:spacing w:val="-3"/>
                <w:position w:val="19"/>
                <w:lang w:val="en-US" w:eastAsia="zh-CN"/>
              </w:rPr>
              <w:t>1</w:t>
            </w:r>
            <w:r>
              <w:rPr>
                <w:rFonts w:hint="eastAsia"/>
                <w:spacing w:val="-3"/>
                <w:position w:val="19"/>
                <w:lang w:eastAsia="zh-CN"/>
              </w:rPr>
              <w:t>时</w:t>
            </w:r>
            <w:r>
              <w:rPr>
                <w:rFonts w:hint="eastAsia"/>
                <w:spacing w:val="-3"/>
                <w:position w:val="19"/>
                <w:lang w:val="en-US" w:eastAsia="zh-CN"/>
              </w:rPr>
              <w:t>3</w:t>
            </w:r>
            <w:r>
              <w:rPr>
                <w:rFonts w:hint="eastAsia"/>
                <w:spacing w:val="-3"/>
                <w:position w:val="19"/>
                <w:lang w:eastAsia="zh-CN"/>
              </w:rPr>
              <w:t>0分（北京时间）前提交响应文件。</w:t>
            </w:r>
          </w:p>
        </w:tc>
      </w:tr>
    </w:tbl>
    <w:p w14:paraId="2D2B3A81">
      <w:pPr>
        <w:spacing w:before="195" w:line="222" w:lineRule="auto"/>
        <w:ind w:left="30"/>
        <w:outlineLvl w:val="1"/>
        <w:rPr>
          <w:rFonts w:hint="eastAsia" w:ascii="仿宋" w:hAnsi="仿宋" w:eastAsia="仿宋" w:cs="仿宋"/>
          <w:b/>
          <w:bCs/>
          <w:spacing w:val="-3"/>
          <w:sz w:val="24"/>
          <w:szCs w:val="24"/>
        </w:rPr>
      </w:pPr>
      <w:r>
        <w:rPr>
          <w:rFonts w:hint="eastAsia" w:ascii="仿宋" w:hAnsi="仿宋" w:eastAsia="仿宋" w:cs="仿宋"/>
          <w:b/>
          <w:bCs/>
          <w:spacing w:val="-3"/>
          <w:sz w:val="24"/>
          <w:szCs w:val="24"/>
        </w:rPr>
        <w:t>一、项目基本情况</w:t>
      </w:r>
    </w:p>
    <w:p w14:paraId="579112DE">
      <w:pPr>
        <w:spacing w:before="195" w:line="222" w:lineRule="auto"/>
        <w:ind w:left="30"/>
        <w:outlineLvl w:val="1"/>
        <w:rPr>
          <w:rFonts w:hint="eastAsia" w:ascii="仿宋" w:hAnsi="仿宋" w:eastAsia="仿宋" w:cs="仿宋"/>
          <w:b w:val="0"/>
          <w:bCs w:val="0"/>
          <w:spacing w:val="-3"/>
          <w:sz w:val="24"/>
          <w:szCs w:val="24"/>
        </w:rPr>
      </w:pPr>
      <w:r>
        <w:rPr>
          <w:rFonts w:hint="eastAsia" w:ascii="仿宋" w:hAnsi="仿宋" w:eastAsia="仿宋" w:cs="仿宋"/>
          <w:b w:val="0"/>
          <w:bCs w:val="0"/>
          <w:spacing w:val="-3"/>
          <w:sz w:val="24"/>
          <w:szCs w:val="24"/>
        </w:rPr>
        <w:t>    项目编号：BCX-Jzxcs-2025-009</w:t>
      </w:r>
    </w:p>
    <w:p w14:paraId="4614EC9A">
      <w:pPr>
        <w:spacing w:before="195" w:line="222" w:lineRule="auto"/>
        <w:ind w:left="30"/>
        <w:outlineLvl w:val="1"/>
        <w:rPr>
          <w:rFonts w:hint="eastAsia" w:ascii="仿宋" w:hAnsi="仿宋" w:eastAsia="仿宋" w:cs="仿宋"/>
          <w:b w:val="0"/>
          <w:bCs w:val="0"/>
          <w:spacing w:val="-3"/>
          <w:sz w:val="24"/>
          <w:szCs w:val="24"/>
        </w:rPr>
      </w:pPr>
      <w:r>
        <w:rPr>
          <w:rFonts w:hint="eastAsia" w:ascii="仿宋" w:hAnsi="仿宋" w:eastAsia="仿宋" w:cs="仿宋"/>
          <w:b w:val="0"/>
          <w:bCs w:val="0"/>
          <w:spacing w:val="-3"/>
          <w:sz w:val="24"/>
          <w:szCs w:val="24"/>
        </w:rPr>
        <w:t>    项目名称：</w:t>
      </w:r>
      <w:r>
        <w:rPr>
          <w:rFonts w:hint="eastAsia" w:ascii="仿宋" w:hAnsi="仿宋" w:eastAsia="仿宋" w:cs="仿宋"/>
          <w:b w:val="0"/>
          <w:bCs w:val="0"/>
          <w:spacing w:val="-3"/>
          <w:sz w:val="24"/>
          <w:szCs w:val="24"/>
          <w:lang w:val="en-US" w:eastAsia="zh-CN"/>
        </w:rPr>
        <w:t>拜城县人民医院2025年中药饮片购置项目</w:t>
      </w:r>
    </w:p>
    <w:p w14:paraId="688CF59A">
      <w:pPr>
        <w:spacing w:before="195" w:line="222" w:lineRule="auto"/>
        <w:ind w:left="30"/>
        <w:outlineLvl w:val="1"/>
        <w:rPr>
          <w:rFonts w:hint="eastAsia" w:ascii="仿宋" w:hAnsi="仿宋" w:eastAsia="仿宋" w:cs="仿宋"/>
          <w:b w:val="0"/>
          <w:bCs w:val="0"/>
          <w:spacing w:val="-3"/>
          <w:sz w:val="24"/>
          <w:szCs w:val="24"/>
        </w:rPr>
      </w:pPr>
      <w:r>
        <w:rPr>
          <w:rFonts w:hint="eastAsia" w:ascii="仿宋" w:hAnsi="仿宋" w:eastAsia="仿宋" w:cs="仿宋"/>
          <w:b w:val="0"/>
          <w:bCs w:val="0"/>
          <w:spacing w:val="-3"/>
          <w:sz w:val="24"/>
          <w:szCs w:val="24"/>
        </w:rPr>
        <w:t>    采购方式：竞争性磋商 </w:t>
      </w:r>
    </w:p>
    <w:p w14:paraId="026C87FC">
      <w:pPr>
        <w:spacing w:before="195" w:line="222" w:lineRule="auto"/>
        <w:ind w:left="30"/>
        <w:outlineLvl w:val="1"/>
        <w:rPr>
          <w:rFonts w:hint="default" w:ascii="仿宋" w:hAnsi="仿宋" w:eastAsia="仿宋" w:cs="仿宋"/>
          <w:b w:val="0"/>
          <w:bCs w:val="0"/>
          <w:spacing w:val="-3"/>
          <w:sz w:val="24"/>
          <w:szCs w:val="24"/>
          <w:lang w:val="en-US" w:eastAsia="zh-CN"/>
        </w:rPr>
      </w:pPr>
      <w:r>
        <w:rPr>
          <w:rFonts w:hint="eastAsia" w:ascii="仿宋" w:hAnsi="仿宋" w:eastAsia="仿宋" w:cs="仿宋"/>
          <w:b w:val="0"/>
          <w:bCs w:val="0"/>
          <w:spacing w:val="-3"/>
          <w:sz w:val="24"/>
          <w:szCs w:val="24"/>
        </w:rPr>
        <w:t>    预算金额（元）：</w:t>
      </w:r>
      <w:r>
        <w:rPr>
          <w:rFonts w:hint="eastAsia" w:ascii="仿宋" w:hAnsi="仿宋" w:eastAsia="仿宋" w:cs="仿宋"/>
          <w:b w:val="0"/>
          <w:bCs w:val="0"/>
          <w:spacing w:val="-3"/>
          <w:sz w:val="24"/>
          <w:szCs w:val="24"/>
          <w:lang w:val="en-US" w:eastAsia="zh-CN"/>
        </w:rPr>
        <w:t>1850000</w:t>
      </w:r>
    </w:p>
    <w:p w14:paraId="16BCBC18">
      <w:pPr>
        <w:spacing w:before="195" w:line="222" w:lineRule="auto"/>
        <w:ind w:left="30"/>
        <w:outlineLvl w:val="1"/>
        <w:rPr>
          <w:rFonts w:hint="eastAsia" w:ascii="仿宋" w:hAnsi="仿宋" w:eastAsia="仿宋" w:cs="仿宋"/>
          <w:b w:val="0"/>
          <w:bCs w:val="0"/>
          <w:spacing w:val="-3"/>
          <w:sz w:val="24"/>
          <w:szCs w:val="24"/>
        </w:rPr>
      </w:pPr>
      <w:r>
        <w:rPr>
          <w:rFonts w:hint="eastAsia" w:ascii="仿宋" w:hAnsi="仿宋" w:eastAsia="仿宋" w:cs="仿宋"/>
          <w:b w:val="0"/>
          <w:bCs w:val="0"/>
          <w:spacing w:val="-3"/>
          <w:sz w:val="24"/>
          <w:szCs w:val="24"/>
        </w:rPr>
        <w:t>    最高限价（元）：</w:t>
      </w:r>
      <w:r>
        <w:rPr>
          <w:rFonts w:hint="eastAsia" w:ascii="仿宋" w:hAnsi="仿宋" w:eastAsia="仿宋" w:cs="仿宋"/>
          <w:b w:val="0"/>
          <w:bCs w:val="0"/>
          <w:spacing w:val="-3"/>
          <w:sz w:val="24"/>
          <w:szCs w:val="24"/>
          <w:lang w:val="en-US" w:eastAsia="zh-CN"/>
        </w:rPr>
        <w:t>/</w:t>
      </w:r>
    </w:p>
    <w:p w14:paraId="66D0F369">
      <w:pPr>
        <w:spacing w:before="195" w:line="222" w:lineRule="auto"/>
        <w:ind w:left="30"/>
        <w:outlineLvl w:val="1"/>
        <w:rPr>
          <w:rFonts w:hint="eastAsia" w:ascii="仿宋" w:hAnsi="仿宋" w:eastAsia="仿宋" w:cs="仿宋"/>
          <w:b w:val="0"/>
          <w:bCs w:val="0"/>
          <w:spacing w:val="-3"/>
          <w:sz w:val="24"/>
          <w:szCs w:val="24"/>
        </w:rPr>
      </w:pPr>
      <w:r>
        <w:rPr>
          <w:rFonts w:hint="eastAsia" w:ascii="仿宋" w:hAnsi="仿宋" w:eastAsia="仿宋" w:cs="仿宋"/>
          <w:b w:val="0"/>
          <w:bCs w:val="0"/>
          <w:spacing w:val="-3"/>
          <w:sz w:val="24"/>
          <w:szCs w:val="24"/>
        </w:rPr>
        <w:t>    采购需求：</w:t>
      </w:r>
    </w:p>
    <w:p w14:paraId="14016EB5">
      <w:pPr>
        <w:spacing w:before="195" w:line="222" w:lineRule="auto"/>
        <w:ind w:left="30"/>
        <w:outlineLvl w:val="1"/>
        <w:rPr>
          <w:rFonts w:hint="eastAsia" w:ascii="仿宋" w:hAnsi="仿宋" w:eastAsia="仿宋" w:cs="仿宋"/>
          <w:b w:val="0"/>
          <w:bCs w:val="0"/>
          <w:spacing w:val="-3"/>
          <w:sz w:val="24"/>
          <w:szCs w:val="24"/>
          <w:lang w:val="en-US" w:eastAsia="zh-CN"/>
        </w:rPr>
      </w:pPr>
      <w:r>
        <w:rPr>
          <w:rFonts w:hint="eastAsia" w:ascii="仿宋" w:hAnsi="仿宋" w:eastAsia="仿宋" w:cs="仿宋"/>
          <w:b w:val="0"/>
          <w:bCs w:val="0"/>
          <w:spacing w:val="-3"/>
          <w:sz w:val="24"/>
          <w:szCs w:val="24"/>
          <w:lang w:val="en-US" w:eastAsia="zh-CN"/>
        </w:rPr>
        <w:t>  标项一</w:t>
      </w:r>
    </w:p>
    <w:p w14:paraId="73B29C16">
      <w:pPr>
        <w:spacing w:before="195" w:line="222" w:lineRule="auto"/>
        <w:ind w:left="30"/>
        <w:outlineLvl w:val="1"/>
        <w:rPr>
          <w:rFonts w:hint="eastAsia" w:ascii="仿宋" w:hAnsi="仿宋" w:eastAsia="仿宋" w:cs="仿宋"/>
          <w:b w:val="0"/>
          <w:bCs w:val="0"/>
          <w:spacing w:val="-3"/>
          <w:sz w:val="24"/>
          <w:szCs w:val="24"/>
          <w:lang w:val="en-US" w:eastAsia="zh-CN"/>
        </w:rPr>
      </w:pPr>
      <w:r>
        <w:rPr>
          <w:rFonts w:hint="eastAsia" w:ascii="仿宋" w:hAnsi="仿宋" w:eastAsia="仿宋" w:cs="仿宋"/>
          <w:b w:val="0"/>
          <w:bCs w:val="0"/>
          <w:spacing w:val="-3"/>
          <w:sz w:val="24"/>
          <w:szCs w:val="24"/>
          <w:lang w:val="en-US" w:eastAsia="zh-CN"/>
        </w:rPr>
        <w:t>   标项名称:拜城县人民医院2025年中药饮片购置项目（一标段）</w:t>
      </w:r>
    </w:p>
    <w:p w14:paraId="1A2CCBD9">
      <w:pPr>
        <w:spacing w:before="195" w:line="222" w:lineRule="auto"/>
        <w:ind w:left="30"/>
        <w:outlineLvl w:val="1"/>
        <w:rPr>
          <w:rFonts w:hint="eastAsia" w:ascii="仿宋" w:hAnsi="仿宋" w:eastAsia="仿宋" w:cs="仿宋"/>
          <w:b w:val="0"/>
          <w:bCs w:val="0"/>
          <w:spacing w:val="-3"/>
          <w:sz w:val="24"/>
          <w:szCs w:val="24"/>
          <w:lang w:val="en-US" w:eastAsia="zh-CN"/>
        </w:rPr>
      </w:pPr>
      <w:r>
        <w:rPr>
          <w:rFonts w:hint="eastAsia" w:ascii="仿宋" w:hAnsi="仿宋" w:eastAsia="仿宋" w:cs="仿宋"/>
          <w:b w:val="0"/>
          <w:bCs w:val="0"/>
          <w:spacing w:val="-3"/>
          <w:sz w:val="24"/>
          <w:szCs w:val="24"/>
          <w:lang w:val="en-US" w:eastAsia="zh-CN"/>
        </w:rPr>
        <w:t>   数量:1</w:t>
      </w:r>
    </w:p>
    <w:p w14:paraId="3BBC25AE">
      <w:pPr>
        <w:spacing w:before="195" w:line="222" w:lineRule="auto"/>
        <w:ind w:left="30"/>
        <w:outlineLvl w:val="1"/>
        <w:rPr>
          <w:rFonts w:hint="default" w:ascii="仿宋" w:hAnsi="仿宋" w:eastAsia="仿宋" w:cs="仿宋"/>
          <w:b w:val="0"/>
          <w:bCs w:val="0"/>
          <w:spacing w:val="-3"/>
          <w:sz w:val="24"/>
          <w:szCs w:val="24"/>
          <w:lang w:val="en-US" w:eastAsia="zh-CN"/>
        </w:rPr>
      </w:pPr>
      <w:r>
        <w:rPr>
          <w:rFonts w:hint="eastAsia" w:ascii="仿宋" w:hAnsi="仿宋" w:eastAsia="仿宋" w:cs="仿宋"/>
          <w:b w:val="0"/>
          <w:bCs w:val="0"/>
          <w:spacing w:val="-3"/>
          <w:sz w:val="24"/>
          <w:szCs w:val="24"/>
          <w:lang w:val="en-US" w:eastAsia="zh-CN"/>
        </w:rPr>
        <w:t>   预算金额（元）:462500</w:t>
      </w:r>
    </w:p>
    <w:p w14:paraId="76B561E1">
      <w:pPr>
        <w:spacing w:before="195" w:line="222" w:lineRule="auto"/>
        <w:ind w:left="30"/>
        <w:outlineLvl w:val="1"/>
        <w:rPr>
          <w:rFonts w:hint="eastAsia" w:ascii="仿宋" w:hAnsi="仿宋" w:eastAsia="仿宋" w:cs="仿宋"/>
          <w:b w:val="0"/>
          <w:bCs w:val="0"/>
          <w:spacing w:val="-3"/>
          <w:sz w:val="24"/>
          <w:szCs w:val="24"/>
          <w:lang w:val="en-US" w:eastAsia="zh-CN"/>
        </w:rPr>
      </w:pPr>
      <w:r>
        <w:rPr>
          <w:rFonts w:hint="eastAsia" w:ascii="仿宋" w:hAnsi="仿宋" w:eastAsia="仿宋" w:cs="仿宋"/>
          <w:b w:val="0"/>
          <w:bCs w:val="0"/>
          <w:spacing w:val="-3"/>
          <w:sz w:val="24"/>
          <w:szCs w:val="24"/>
          <w:lang w:val="en-US" w:eastAsia="zh-CN"/>
        </w:rPr>
        <w:t>单位：批</w:t>
      </w:r>
    </w:p>
    <w:p w14:paraId="4D322EDB">
      <w:pPr>
        <w:spacing w:before="195" w:line="222" w:lineRule="auto"/>
        <w:ind w:left="30"/>
        <w:outlineLvl w:val="1"/>
        <w:rPr>
          <w:rFonts w:hint="eastAsia" w:ascii="仿宋" w:hAnsi="仿宋" w:eastAsia="仿宋" w:cs="仿宋"/>
          <w:b w:val="0"/>
          <w:bCs w:val="0"/>
          <w:spacing w:val="-3"/>
          <w:sz w:val="24"/>
          <w:szCs w:val="24"/>
          <w:lang w:val="en-US" w:eastAsia="zh-CN"/>
        </w:rPr>
      </w:pPr>
      <w:r>
        <w:rPr>
          <w:rFonts w:hint="eastAsia" w:ascii="仿宋" w:hAnsi="仿宋" w:eastAsia="仿宋" w:cs="仿宋"/>
          <w:b w:val="0"/>
          <w:bCs w:val="0"/>
          <w:spacing w:val="-3"/>
          <w:sz w:val="24"/>
          <w:szCs w:val="24"/>
          <w:lang w:val="en-US" w:eastAsia="zh-CN"/>
        </w:rPr>
        <w:t>   简要规格描述：拜城县人民医院采购中药饮片（详见采购文件）</w:t>
      </w:r>
    </w:p>
    <w:p w14:paraId="7D6939B1">
      <w:pPr>
        <w:spacing w:before="195" w:line="222" w:lineRule="auto"/>
        <w:ind w:left="30"/>
        <w:outlineLvl w:val="1"/>
        <w:rPr>
          <w:rFonts w:hint="eastAsia" w:ascii="仿宋" w:hAnsi="仿宋" w:eastAsia="仿宋" w:cs="仿宋"/>
          <w:b w:val="0"/>
          <w:bCs w:val="0"/>
          <w:spacing w:val="-3"/>
          <w:sz w:val="24"/>
          <w:szCs w:val="24"/>
          <w:lang w:val="en-US" w:eastAsia="zh-CN"/>
        </w:rPr>
      </w:pPr>
      <w:r>
        <w:rPr>
          <w:rFonts w:hint="eastAsia" w:ascii="仿宋" w:hAnsi="仿宋" w:eastAsia="仿宋" w:cs="仿宋"/>
          <w:b w:val="0"/>
          <w:bCs w:val="0"/>
          <w:spacing w:val="-3"/>
          <w:sz w:val="24"/>
          <w:szCs w:val="24"/>
          <w:lang w:val="en-US" w:eastAsia="zh-CN"/>
        </w:rPr>
        <w:t>   标项二</w:t>
      </w:r>
    </w:p>
    <w:p w14:paraId="46836536">
      <w:pPr>
        <w:spacing w:before="195" w:line="222" w:lineRule="auto"/>
        <w:ind w:left="30"/>
        <w:outlineLvl w:val="1"/>
        <w:rPr>
          <w:rFonts w:hint="eastAsia" w:ascii="仿宋" w:hAnsi="仿宋" w:eastAsia="仿宋" w:cs="仿宋"/>
          <w:b w:val="0"/>
          <w:bCs w:val="0"/>
          <w:spacing w:val="-3"/>
          <w:sz w:val="24"/>
          <w:szCs w:val="24"/>
          <w:lang w:val="en-US" w:eastAsia="zh-CN"/>
        </w:rPr>
      </w:pPr>
      <w:r>
        <w:rPr>
          <w:rFonts w:hint="eastAsia" w:ascii="仿宋" w:hAnsi="仿宋" w:eastAsia="仿宋" w:cs="仿宋"/>
          <w:b w:val="0"/>
          <w:bCs w:val="0"/>
          <w:spacing w:val="-3"/>
          <w:sz w:val="24"/>
          <w:szCs w:val="24"/>
          <w:lang w:val="en-US" w:eastAsia="zh-CN"/>
        </w:rPr>
        <w:t>标项名称:拜城县人民医院2025年中药饮片购置项目（二标段）</w:t>
      </w:r>
    </w:p>
    <w:p w14:paraId="6E9FE80E">
      <w:pPr>
        <w:spacing w:before="195" w:line="222" w:lineRule="auto"/>
        <w:ind w:left="30"/>
        <w:outlineLvl w:val="1"/>
        <w:rPr>
          <w:rFonts w:hint="eastAsia" w:ascii="仿宋" w:hAnsi="仿宋" w:eastAsia="仿宋" w:cs="仿宋"/>
          <w:b w:val="0"/>
          <w:bCs w:val="0"/>
          <w:spacing w:val="-3"/>
          <w:sz w:val="24"/>
          <w:szCs w:val="24"/>
          <w:lang w:val="en-US" w:eastAsia="zh-CN"/>
        </w:rPr>
      </w:pPr>
      <w:r>
        <w:rPr>
          <w:rFonts w:hint="eastAsia" w:ascii="仿宋" w:hAnsi="仿宋" w:eastAsia="仿宋" w:cs="仿宋"/>
          <w:b w:val="0"/>
          <w:bCs w:val="0"/>
          <w:spacing w:val="-3"/>
          <w:sz w:val="24"/>
          <w:szCs w:val="24"/>
          <w:lang w:val="en-US" w:eastAsia="zh-CN"/>
        </w:rPr>
        <w:t> 数量:1</w:t>
      </w:r>
    </w:p>
    <w:p w14:paraId="62896679">
      <w:pPr>
        <w:spacing w:before="195" w:line="222" w:lineRule="auto"/>
        <w:ind w:left="30"/>
        <w:outlineLvl w:val="1"/>
        <w:rPr>
          <w:rFonts w:hint="eastAsia" w:ascii="仿宋" w:hAnsi="仿宋" w:eastAsia="仿宋" w:cs="仿宋"/>
          <w:b w:val="0"/>
          <w:bCs w:val="0"/>
          <w:spacing w:val="-3"/>
          <w:sz w:val="24"/>
          <w:szCs w:val="24"/>
          <w:lang w:val="en-US" w:eastAsia="zh-CN"/>
        </w:rPr>
      </w:pPr>
      <w:r>
        <w:rPr>
          <w:rFonts w:hint="eastAsia" w:ascii="仿宋" w:hAnsi="仿宋" w:eastAsia="仿宋" w:cs="仿宋"/>
          <w:b w:val="0"/>
          <w:bCs w:val="0"/>
          <w:spacing w:val="-3"/>
          <w:sz w:val="24"/>
          <w:szCs w:val="24"/>
          <w:lang w:val="en-US" w:eastAsia="zh-CN"/>
        </w:rPr>
        <w:t>   预算金额（元）:462500</w:t>
      </w:r>
    </w:p>
    <w:p w14:paraId="266E69B0">
      <w:pPr>
        <w:spacing w:before="195" w:line="222" w:lineRule="auto"/>
        <w:ind w:left="30"/>
        <w:outlineLvl w:val="1"/>
        <w:rPr>
          <w:rFonts w:hint="eastAsia" w:ascii="仿宋" w:hAnsi="仿宋" w:eastAsia="仿宋" w:cs="仿宋"/>
          <w:b w:val="0"/>
          <w:bCs w:val="0"/>
          <w:spacing w:val="-3"/>
          <w:sz w:val="24"/>
          <w:szCs w:val="24"/>
          <w:lang w:val="en-US" w:eastAsia="zh-CN"/>
        </w:rPr>
      </w:pPr>
      <w:r>
        <w:rPr>
          <w:rFonts w:hint="eastAsia" w:ascii="仿宋" w:hAnsi="仿宋" w:eastAsia="仿宋" w:cs="仿宋"/>
          <w:b w:val="0"/>
          <w:bCs w:val="0"/>
          <w:spacing w:val="-3"/>
          <w:sz w:val="24"/>
          <w:szCs w:val="24"/>
          <w:lang w:val="en-US" w:eastAsia="zh-CN"/>
        </w:rPr>
        <w:t>单位：批</w:t>
      </w:r>
    </w:p>
    <w:p w14:paraId="59265B15">
      <w:pPr>
        <w:spacing w:before="195" w:line="222" w:lineRule="auto"/>
        <w:ind w:left="30"/>
        <w:outlineLvl w:val="1"/>
        <w:rPr>
          <w:rFonts w:hint="eastAsia" w:ascii="仿宋" w:hAnsi="仿宋" w:eastAsia="仿宋" w:cs="仿宋"/>
          <w:b w:val="0"/>
          <w:bCs w:val="0"/>
          <w:spacing w:val="-3"/>
          <w:sz w:val="24"/>
          <w:szCs w:val="24"/>
          <w:lang w:val="en-US" w:eastAsia="zh-CN"/>
        </w:rPr>
      </w:pPr>
      <w:r>
        <w:rPr>
          <w:rFonts w:hint="eastAsia" w:ascii="仿宋" w:hAnsi="仿宋" w:eastAsia="仿宋" w:cs="仿宋"/>
          <w:b w:val="0"/>
          <w:bCs w:val="0"/>
          <w:spacing w:val="-3"/>
          <w:sz w:val="24"/>
          <w:szCs w:val="24"/>
          <w:lang w:val="en-US" w:eastAsia="zh-CN"/>
        </w:rPr>
        <w:t>   简要规格描述：拜城县人民医院采购中药饮片（详见采购文件）</w:t>
      </w:r>
    </w:p>
    <w:p w14:paraId="3D98A0FA">
      <w:pPr>
        <w:spacing w:before="195" w:line="222" w:lineRule="auto"/>
        <w:ind w:left="30"/>
        <w:outlineLvl w:val="1"/>
        <w:rPr>
          <w:rFonts w:hint="eastAsia" w:ascii="仿宋" w:hAnsi="仿宋" w:eastAsia="仿宋" w:cs="仿宋"/>
          <w:b w:val="0"/>
          <w:bCs w:val="0"/>
          <w:spacing w:val="-3"/>
          <w:sz w:val="24"/>
          <w:szCs w:val="24"/>
          <w:lang w:val="en-US" w:eastAsia="zh-CN"/>
        </w:rPr>
      </w:pPr>
      <w:r>
        <w:rPr>
          <w:rFonts w:hint="eastAsia" w:ascii="仿宋" w:hAnsi="仿宋" w:eastAsia="仿宋" w:cs="仿宋"/>
          <w:b w:val="0"/>
          <w:bCs w:val="0"/>
          <w:spacing w:val="-3"/>
          <w:sz w:val="24"/>
          <w:szCs w:val="24"/>
          <w:lang w:val="en-US" w:eastAsia="zh-CN"/>
        </w:rPr>
        <w:t>标项三</w:t>
      </w:r>
    </w:p>
    <w:p w14:paraId="5680DF53">
      <w:pPr>
        <w:spacing w:before="195" w:line="222" w:lineRule="auto"/>
        <w:ind w:left="30"/>
        <w:outlineLvl w:val="1"/>
        <w:rPr>
          <w:rFonts w:hint="eastAsia" w:ascii="仿宋" w:hAnsi="仿宋" w:eastAsia="仿宋" w:cs="仿宋"/>
          <w:b w:val="0"/>
          <w:bCs w:val="0"/>
          <w:spacing w:val="-3"/>
          <w:sz w:val="24"/>
          <w:szCs w:val="24"/>
          <w:lang w:val="en-US" w:eastAsia="zh-CN"/>
        </w:rPr>
      </w:pPr>
      <w:r>
        <w:rPr>
          <w:rFonts w:hint="eastAsia" w:ascii="仿宋" w:hAnsi="仿宋" w:eastAsia="仿宋" w:cs="仿宋"/>
          <w:b w:val="0"/>
          <w:bCs w:val="0"/>
          <w:spacing w:val="-3"/>
          <w:sz w:val="24"/>
          <w:szCs w:val="24"/>
          <w:lang w:val="en-US" w:eastAsia="zh-CN"/>
        </w:rPr>
        <w:t>标项名称:拜城县人民医院2025年中药饮片购置项目（三标段）</w:t>
      </w:r>
    </w:p>
    <w:p w14:paraId="45F7E0D5">
      <w:pPr>
        <w:spacing w:before="195" w:line="222" w:lineRule="auto"/>
        <w:ind w:left="30"/>
        <w:outlineLvl w:val="1"/>
        <w:rPr>
          <w:rFonts w:hint="eastAsia" w:ascii="仿宋" w:hAnsi="仿宋" w:eastAsia="仿宋" w:cs="仿宋"/>
          <w:b w:val="0"/>
          <w:bCs w:val="0"/>
          <w:spacing w:val="-3"/>
          <w:sz w:val="24"/>
          <w:szCs w:val="24"/>
          <w:lang w:val="en-US" w:eastAsia="zh-CN"/>
        </w:rPr>
      </w:pPr>
      <w:r>
        <w:rPr>
          <w:rFonts w:hint="eastAsia" w:ascii="仿宋" w:hAnsi="仿宋" w:eastAsia="仿宋" w:cs="仿宋"/>
          <w:b w:val="0"/>
          <w:bCs w:val="0"/>
          <w:spacing w:val="-3"/>
          <w:sz w:val="24"/>
          <w:szCs w:val="24"/>
          <w:lang w:val="en-US" w:eastAsia="zh-CN"/>
        </w:rPr>
        <w:t> 数量:1</w:t>
      </w:r>
    </w:p>
    <w:p w14:paraId="07E80572">
      <w:pPr>
        <w:spacing w:before="195" w:line="222" w:lineRule="auto"/>
        <w:ind w:left="30"/>
        <w:outlineLvl w:val="1"/>
        <w:rPr>
          <w:rFonts w:hint="eastAsia" w:ascii="仿宋" w:hAnsi="仿宋" w:eastAsia="仿宋" w:cs="仿宋"/>
          <w:b w:val="0"/>
          <w:bCs w:val="0"/>
          <w:spacing w:val="-3"/>
          <w:sz w:val="24"/>
          <w:szCs w:val="24"/>
          <w:lang w:val="en-US" w:eastAsia="zh-CN"/>
        </w:rPr>
      </w:pPr>
      <w:r>
        <w:rPr>
          <w:rFonts w:hint="eastAsia" w:ascii="仿宋" w:hAnsi="仿宋" w:eastAsia="仿宋" w:cs="仿宋"/>
          <w:b w:val="0"/>
          <w:bCs w:val="0"/>
          <w:spacing w:val="-3"/>
          <w:sz w:val="24"/>
          <w:szCs w:val="24"/>
          <w:lang w:val="en-US" w:eastAsia="zh-CN"/>
        </w:rPr>
        <w:t>   预算金额（元）:462500</w:t>
      </w:r>
    </w:p>
    <w:p w14:paraId="5DC4526A">
      <w:pPr>
        <w:spacing w:before="195" w:line="222" w:lineRule="auto"/>
        <w:ind w:left="30"/>
        <w:outlineLvl w:val="1"/>
        <w:rPr>
          <w:rFonts w:hint="eastAsia" w:ascii="仿宋" w:hAnsi="仿宋" w:eastAsia="仿宋" w:cs="仿宋"/>
          <w:b w:val="0"/>
          <w:bCs w:val="0"/>
          <w:spacing w:val="-3"/>
          <w:sz w:val="24"/>
          <w:szCs w:val="24"/>
          <w:lang w:val="en-US" w:eastAsia="zh-CN"/>
        </w:rPr>
      </w:pPr>
      <w:r>
        <w:rPr>
          <w:rFonts w:hint="eastAsia" w:ascii="仿宋" w:hAnsi="仿宋" w:eastAsia="仿宋" w:cs="仿宋"/>
          <w:b w:val="0"/>
          <w:bCs w:val="0"/>
          <w:spacing w:val="-3"/>
          <w:sz w:val="24"/>
          <w:szCs w:val="24"/>
          <w:lang w:val="en-US" w:eastAsia="zh-CN"/>
        </w:rPr>
        <w:t>单位：批</w:t>
      </w:r>
    </w:p>
    <w:p w14:paraId="3C26FA93">
      <w:pPr>
        <w:spacing w:before="195" w:line="222" w:lineRule="auto"/>
        <w:ind w:left="30"/>
        <w:outlineLvl w:val="1"/>
        <w:rPr>
          <w:rFonts w:hint="eastAsia" w:ascii="仿宋" w:hAnsi="仿宋" w:eastAsia="仿宋" w:cs="仿宋"/>
          <w:b w:val="0"/>
          <w:bCs w:val="0"/>
          <w:spacing w:val="-3"/>
          <w:sz w:val="24"/>
          <w:szCs w:val="24"/>
          <w:lang w:val="en-US" w:eastAsia="zh-CN"/>
        </w:rPr>
      </w:pPr>
      <w:r>
        <w:rPr>
          <w:rFonts w:hint="eastAsia" w:ascii="仿宋" w:hAnsi="仿宋" w:eastAsia="仿宋" w:cs="仿宋"/>
          <w:b w:val="0"/>
          <w:bCs w:val="0"/>
          <w:spacing w:val="-3"/>
          <w:sz w:val="24"/>
          <w:szCs w:val="24"/>
          <w:lang w:val="en-US" w:eastAsia="zh-CN"/>
        </w:rPr>
        <w:t>   简要规格描述：拜城县人民医院采购中药饮片（详见采购文件）</w:t>
      </w:r>
    </w:p>
    <w:p w14:paraId="2C27887F">
      <w:pPr>
        <w:spacing w:before="195" w:line="222" w:lineRule="auto"/>
        <w:ind w:left="30"/>
        <w:outlineLvl w:val="1"/>
        <w:rPr>
          <w:rFonts w:hint="eastAsia" w:ascii="仿宋" w:hAnsi="仿宋" w:eastAsia="仿宋" w:cs="仿宋"/>
          <w:b w:val="0"/>
          <w:bCs w:val="0"/>
          <w:spacing w:val="-3"/>
          <w:sz w:val="24"/>
          <w:szCs w:val="24"/>
          <w:lang w:val="en-US" w:eastAsia="zh-CN"/>
        </w:rPr>
      </w:pPr>
      <w:r>
        <w:rPr>
          <w:rFonts w:hint="eastAsia" w:ascii="仿宋" w:hAnsi="仿宋" w:eastAsia="仿宋" w:cs="仿宋"/>
          <w:b w:val="0"/>
          <w:bCs w:val="0"/>
          <w:spacing w:val="-3"/>
          <w:sz w:val="24"/>
          <w:szCs w:val="24"/>
          <w:lang w:val="en-US" w:eastAsia="zh-CN"/>
        </w:rPr>
        <w:t>标项四</w:t>
      </w:r>
    </w:p>
    <w:p w14:paraId="66CAD954">
      <w:pPr>
        <w:spacing w:before="195" w:line="222" w:lineRule="auto"/>
        <w:ind w:left="30"/>
        <w:outlineLvl w:val="1"/>
        <w:rPr>
          <w:rFonts w:hint="eastAsia" w:ascii="仿宋" w:hAnsi="仿宋" w:eastAsia="仿宋" w:cs="仿宋"/>
          <w:b w:val="0"/>
          <w:bCs w:val="0"/>
          <w:spacing w:val="-3"/>
          <w:sz w:val="24"/>
          <w:szCs w:val="24"/>
          <w:lang w:val="en-US" w:eastAsia="zh-CN"/>
        </w:rPr>
      </w:pPr>
      <w:r>
        <w:rPr>
          <w:rFonts w:hint="eastAsia" w:ascii="仿宋" w:hAnsi="仿宋" w:eastAsia="仿宋" w:cs="仿宋"/>
          <w:b w:val="0"/>
          <w:bCs w:val="0"/>
          <w:spacing w:val="-3"/>
          <w:sz w:val="24"/>
          <w:szCs w:val="24"/>
          <w:lang w:val="en-US" w:eastAsia="zh-CN"/>
        </w:rPr>
        <w:t>标项名称:拜城县人民医院2025年中药饮片购置项目（四标段）</w:t>
      </w:r>
    </w:p>
    <w:p w14:paraId="44D6ED84">
      <w:pPr>
        <w:spacing w:before="195" w:line="222" w:lineRule="auto"/>
        <w:ind w:left="30"/>
        <w:outlineLvl w:val="1"/>
        <w:rPr>
          <w:rFonts w:hint="eastAsia" w:ascii="仿宋" w:hAnsi="仿宋" w:eastAsia="仿宋" w:cs="仿宋"/>
          <w:b w:val="0"/>
          <w:bCs w:val="0"/>
          <w:spacing w:val="-3"/>
          <w:sz w:val="24"/>
          <w:szCs w:val="24"/>
          <w:lang w:val="en-US" w:eastAsia="zh-CN"/>
        </w:rPr>
      </w:pPr>
      <w:r>
        <w:rPr>
          <w:rFonts w:hint="eastAsia" w:ascii="仿宋" w:hAnsi="仿宋" w:eastAsia="仿宋" w:cs="仿宋"/>
          <w:b w:val="0"/>
          <w:bCs w:val="0"/>
          <w:spacing w:val="-3"/>
          <w:sz w:val="24"/>
          <w:szCs w:val="24"/>
          <w:lang w:val="en-US" w:eastAsia="zh-CN"/>
        </w:rPr>
        <w:t> 数量:1</w:t>
      </w:r>
    </w:p>
    <w:p w14:paraId="55BDC445">
      <w:pPr>
        <w:spacing w:before="195" w:line="222" w:lineRule="auto"/>
        <w:ind w:left="30"/>
        <w:outlineLvl w:val="1"/>
        <w:rPr>
          <w:rFonts w:hint="eastAsia" w:ascii="仿宋" w:hAnsi="仿宋" w:eastAsia="仿宋" w:cs="仿宋"/>
          <w:b w:val="0"/>
          <w:bCs w:val="0"/>
          <w:spacing w:val="-3"/>
          <w:sz w:val="24"/>
          <w:szCs w:val="24"/>
          <w:lang w:val="en-US" w:eastAsia="zh-CN"/>
        </w:rPr>
      </w:pPr>
      <w:r>
        <w:rPr>
          <w:rFonts w:hint="eastAsia" w:ascii="仿宋" w:hAnsi="仿宋" w:eastAsia="仿宋" w:cs="仿宋"/>
          <w:b w:val="0"/>
          <w:bCs w:val="0"/>
          <w:spacing w:val="-3"/>
          <w:sz w:val="24"/>
          <w:szCs w:val="24"/>
          <w:lang w:val="en-US" w:eastAsia="zh-CN"/>
        </w:rPr>
        <w:t>   预算金额（元）:462500</w:t>
      </w:r>
    </w:p>
    <w:p w14:paraId="26FF3098">
      <w:pPr>
        <w:spacing w:before="195" w:line="222" w:lineRule="auto"/>
        <w:ind w:left="30"/>
        <w:outlineLvl w:val="1"/>
        <w:rPr>
          <w:rFonts w:hint="eastAsia" w:ascii="仿宋" w:hAnsi="仿宋" w:eastAsia="仿宋" w:cs="仿宋"/>
          <w:b w:val="0"/>
          <w:bCs w:val="0"/>
          <w:spacing w:val="-3"/>
          <w:sz w:val="24"/>
          <w:szCs w:val="24"/>
          <w:lang w:val="en-US" w:eastAsia="zh-CN"/>
        </w:rPr>
      </w:pPr>
      <w:r>
        <w:rPr>
          <w:rFonts w:hint="eastAsia" w:ascii="仿宋" w:hAnsi="仿宋" w:eastAsia="仿宋" w:cs="仿宋"/>
          <w:b w:val="0"/>
          <w:bCs w:val="0"/>
          <w:spacing w:val="-3"/>
          <w:sz w:val="24"/>
          <w:szCs w:val="24"/>
          <w:lang w:val="en-US" w:eastAsia="zh-CN"/>
        </w:rPr>
        <w:t>单位：批</w:t>
      </w:r>
    </w:p>
    <w:p w14:paraId="02DA01CD">
      <w:pPr>
        <w:spacing w:before="195" w:line="222" w:lineRule="auto"/>
        <w:ind w:left="30"/>
        <w:outlineLvl w:val="1"/>
        <w:rPr>
          <w:rFonts w:hint="eastAsia" w:ascii="仿宋" w:hAnsi="仿宋" w:eastAsia="仿宋" w:cs="仿宋"/>
          <w:b w:val="0"/>
          <w:bCs w:val="0"/>
          <w:spacing w:val="-3"/>
          <w:sz w:val="24"/>
          <w:szCs w:val="24"/>
          <w:lang w:eastAsia="zh-CN"/>
        </w:rPr>
      </w:pPr>
      <w:r>
        <w:rPr>
          <w:rFonts w:hint="eastAsia" w:ascii="仿宋" w:hAnsi="仿宋" w:eastAsia="仿宋" w:cs="仿宋"/>
          <w:b w:val="0"/>
          <w:bCs w:val="0"/>
          <w:spacing w:val="-3"/>
          <w:sz w:val="24"/>
          <w:szCs w:val="24"/>
        </w:rPr>
        <w:t> 简要规格描述：</w:t>
      </w:r>
      <w:r>
        <w:rPr>
          <w:rFonts w:hint="eastAsia" w:ascii="仿宋" w:hAnsi="仿宋" w:eastAsia="仿宋" w:cs="仿宋"/>
          <w:b w:val="0"/>
          <w:bCs w:val="0"/>
          <w:spacing w:val="-3"/>
          <w:sz w:val="24"/>
          <w:szCs w:val="24"/>
          <w:lang w:val="en-US" w:eastAsia="zh-CN"/>
        </w:rPr>
        <w:t>拜城县人民医院采购中药饮片（详见采购文件）</w:t>
      </w:r>
    </w:p>
    <w:p w14:paraId="2967FD1D">
      <w:pPr>
        <w:spacing w:before="195" w:line="222" w:lineRule="auto"/>
        <w:ind w:left="30"/>
        <w:outlineLvl w:val="1"/>
        <w:rPr>
          <w:rFonts w:hint="eastAsia" w:ascii="仿宋" w:hAnsi="仿宋" w:eastAsia="仿宋" w:cs="仿宋"/>
          <w:b w:val="0"/>
          <w:bCs w:val="0"/>
          <w:spacing w:val="-3"/>
          <w:sz w:val="24"/>
          <w:szCs w:val="24"/>
          <w:lang w:val="en-US" w:eastAsia="zh-CN"/>
        </w:rPr>
      </w:pPr>
      <w:r>
        <w:rPr>
          <w:rFonts w:hint="eastAsia" w:ascii="仿宋" w:hAnsi="仿宋" w:eastAsia="仿宋" w:cs="仿宋"/>
          <w:b w:val="0"/>
          <w:bCs w:val="0"/>
          <w:spacing w:val="-3"/>
          <w:sz w:val="24"/>
          <w:szCs w:val="24"/>
        </w:rPr>
        <w:t>   备注：</w:t>
      </w:r>
      <w:r>
        <w:rPr>
          <w:rFonts w:hint="eastAsia" w:ascii="仿宋" w:hAnsi="仿宋" w:eastAsia="仿宋" w:cs="仿宋"/>
          <w:b w:val="0"/>
          <w:bCs w:val="0"/>
          <w:spacing w:val="-3"/>
          <w:sz w:val="24"/>
          <w:szCs w:val="24"/>
          <w:lang w:val="en-US" w:eastAsia="zh-CN"/>
        </w:rPr>
        <w:t>/</w:t>
      </w:r>
    </w:p>
    <w:p w14:paraId="3E38B927">
      <w:pPr>
        <w:spacing w:before="195" w:line="222" w:lineRule="auto"/>
        <w:ind w:left="30"/>
        <w:outlineLvl w:val="1"/>
        <w:rPr>
          <w:rFonts w:hint="eastAsia" w:ascii="仿宋" w:hAnsi="仿宋" w:eastAsia="仿宋" w:cs="仿宋"/>
          <w:b w:val="0"/>
          <w:bCs w:val="0"/>
          <w:spacing w:val="-3"/>
          <w:sz w:val="24"/>
          <w:szCs w:val="24"/>
        </w:rPr>
      </w:pPr>
      <w:r>
        <w:rPr>
          <w:rFonts w:hint="eastAsia" w:ascii="仿宋" w:hAnsi="仿宋" w:eastAsia="仿宋" w:cs="仿宋"/>
          <w:b w:val="0"/>
          <w:bCs w:val="0"/>
          <w:spacing w:val="-3"/>
          <w:sz w:val="24"/>
          <w:szCs w:val="24"/>
        </w:rPr>
        <w:t>    合同履约期限：标项 1</w:t>
      </w:r>
      <w:r>
        <w:rPr>
          <w:rFonts w:hint="eastAsia" w:ascii="仿宋" w:hAnsi="仿宋" w:eastAsia="仿宋" w:cs="仿宋"/>
          <w:b w:val="0"/>
          <w:bCs w:val="0"/>
          <w:spacing w:val="-3"/>
          <w:sz w:val="24"/>
          <w:szCs w:val="24"/>
          <w:lang w:eastAsia="zh-CN"/>
        </w:rPr>
        <w:t>、</w:t>
      </w:r>
      <w:r>
        <w:rPr>
          <w:rFonts w:hint="eastAsia" w:ascii="仿宋" w:hAnsi="仿宋" w:eastAsia="仿宋" w:cs="仿宋"/>
          <w:b w:val="0"/>
          <w:bCs w:val="0"/>
          <w:spacing w:val="-3"/>
          <w:sz w:val="24"/>
          <w:szCs w:val="24"/>
          <w:lang w:val="en-US" w:eastAsia="zh-CN"/>
        </w:rPr>
        <w:t>2、3、4，自合同签订之日起一年</w:t>
      </w:r>
      <w:r>
        <w:rPr>
          <w:rFonts w:hint="eastAsia" w:ascii="仿宋" w:hAnsi="仿宋" w:eastAsia="仿宋" w:cs="仿宋"/>
          <w:b w:val="0"/>
          <w:bCs w:val="0"/>
          <w:spacing w:val="-3"/>
          <w:sz w:val="24"/>
          <w:szCs w:val="24"/>
          <w:lang w:eastAsia="zh-CN"/>
        </w:rPr>
        <w:t>。</w:t>
      </w:r>
    </w:p>
    <w:p w14:paraId="72482126">
      <w:pPr>
        <w:spacing w:before="195" w:line="222" w:lineRule="auto"/>
        <w:ind w:left="30"/>
        <w:outlineLvl w:val="1"/>
        <w:rPr>
          <w:rFonts w:hint="eastAsia" w:ascii="仿宋" w:hAnsi="仿宋" w:eastAsia="仿宋" w:cs="仿宋"/>
          <w:b w:val="0"/>
          <w:bCs w:val="0"/>
          <w:spacing w:val="-3"/>
          <w:sz w:val="24"/>
          <w:szCs w:val="24"/>
        </w:rPr>
      </w:pPr>
      <w:r>
        <w:rPr>
          <w:rFonts w:hint="eastAsia" w:ascii="仿宋" w:hAnsi="仿宋" w:eastAsia="仿宋" w:cs="仿宋"/>
          <w:b w:val="0"/>
          <w:bCs w:val="0"/>
          <w:spacing w:val="-3"/>
          <w:sz w:val="24"/>
          <w:szCs w:val="24"/>
        </w:rPr>
        <w:t>    本项目（否）接受联合体投标。  </w:t>
      </w:r>
    </w:p>
    <w:p w14:paraId="1FE16221">
      <w:pPr>
        <w:spacing w:before="195" w:line="222" w:lineRule="auto"/>
        <w:ind w:left="30"/>
        <w:outlineLvl w:val="1"/>
        <w:rPr>
          <w:rFonts w:hint="eastAsia" w:ascii="仿宋" w:hAnsi="仿宋" w:eastAsia="仿宋" w:cs="仿宋"/>
          <w:b/>
          <w:bCs/>
          <w:spacing w:val="-3"/>
          <w:sz w:val="24"/>
          <w:szCs w:val="24"/>
        </w:rPr>
      </w:pPr>
      <w:r>
        <w:rPr>
          <w:rFonts w:hint="eastAsia" w:ascii="仿宋" w:hAnsi="仿宋" w:eastAsia="仿宋" w:cs="仿宋"/>
          <w:b/>
          <w:bCs/>
          <w:spacing w:val="-3"/>
          <w:sz w:val="24"/>
          <w:szCs w:val="24"/>
        </w:rPr>
        <w:t>二、申请人的资格要求：</w:t>
      </w:r>
    </w:p>
    <w:p w14:paraId="1B9E3497">
      <w:pPr>
        <w:spacing w:before="195" w:line="222" w:lineRule="auto"/>
        <w:ind w:left="30"/>
        <w:outlineLvl w:val="1"/>
        <w:rPr>
          <w:rFonts w:hint="eastAsia" w:ascii="仿宋" w:hAnsi="仿宋" w:eastAsia="仿宋" w:cs="仿宋"/>
          <w:b w:val="0"/>
          <w:bCs w:val="0"/>
          <w:spacing w:val="-3"/>
          <w:sz w:val="24"/>
          <w:szCs w:val="24"/>
        </w:rPr>
      </w:pPr>
      <w:r>
        <w:rPr>
          <w:rFonts w:hint="eastAsia" w:ascii="仿宋" w:hAnsi="仿宋" w:eastAsia="仿宋" w:cs="仿宋"/>
          <w:b w:val="0"/>
          <w:bCs w:val="0"/>
          <w:spacing w:val="-3"/>
          <w:sz w:val="24"/>
          <w:szCs w:val="24"/>
        </w:rPr>
        <w:t>    1.满足《中华人民共和国政府采购法》第二十二条规定；</w:t>
      </w:r>
    </w:p>
    <w:p w14:paraId="0A9DEBE0">
      <w:pPr>
        <w:spacing w:before="195" w:line="222" w:lineRule="auto"/>
        <w:ind w:left="30"/>
        <w:outlineLvl w:val="1"/>
        <w:rPr>
          <w:rFonts w:hint="eastAsia" w:ascii="仿宋" w:hAnsi="仿宋" w:eastAsia="仿宋" w:cs="仿宋"/>
          <w:b w:val="0"/>
          <w:bCs w:val="0"/>
          <w:spacing w:val="-3"/>
          <w:sz w:val="24"/>
          <w:szCs w:val="24"/>
          <w:lang w:val="en-US" w:eastAsia="zh-CN"/>
        </w:rPr>
      </w:pPr>
      <w:r>
        <w:rPr>
          <w:rFonts w:hint="eastAsia" w:ascii="仿宋" w:hAnsi="仿宋" w:eastAsia="仿宋" w:cs="仿宋"/>
          <w:b w:val="0"/>
          <w:bCs w:val="0"/>
          <w:spacing w:val="-3"/>
          <w:sz w:val="24"/>
          <w:szCs w:val="24"/>
        </w:rPr>
        <w:t>    2.落实政府采购政策需满足的资格要求：标项1</w:t>
      </w:r>
      <w:r>
        <w:rPr>
          <w:rFonts w:hint="eastAsia" w:ascii="仿宋" w:hAnsi="仿宋" w:eastAsia="仿宋" w:cs="仿宋"/>
          <w:b w:val="0"/>
          <w:bCs w:val="0"/>
          <w:spacing w:val="-3"/>
          <w:sz w:val="24"/>
          <w:szCs w:val="24"/>
          <w:lang w:eastAsia="zh-CN"/>
        </w:rPr>
        <w:t>、</w:t>
      </w:r>
      <w:r>
        <w:rPr>
          <w:rFonts w:hint="eastAsia" w:ascii="仿宋" w:hAnsi="仿宋" w:eastAsia="仿宋" w:cs="仿宋"/>
          <w:b w:val="0"/>
          <w:bCs w:val="0"/>
          <w:spacing w:val="-3"/>
          <w:sz w:val="24"/>
          <w:szCs w:val="24"/>
          <w:lang w:val="en-US" w:eastAsia="zh-CN"/>
        </w:rPr>
        <w:t xml:space="preserve">2、3、4：（1）《新疆维吾尔自治区政府采购促进中小企业发展管理实施办法》（新财规〔2021〕6号）； </w:t>
      </w:r>
    </w:p>
    <w:p w14:paraId="0431C0CA">
      <w:pPr>
        <w:spacing w:before="195" w:line="222" w:lineRule="auto"/>
        <w:ind w:left="30"/>
        <w:outlineLvl w:val="1"/>
        <w:rPr>
          <w:rFonts w:hint="eastAsia" w:ascii="仿宋" w:hAnsi="仿宋" w:eastAsia="仿宋" w:cs="仿宋"/>
          <w:b w:val="0"/>
          <w:bCs w:val="0"/>
          <w:spacing w:val="-3"/>
          <w:sz w:val="24"/>
          <w:szCs w:val="24"/>
          <w:lang w:val="en-US" w:eastAsia="zh-CN"/>
        </w:rPr>
      </w:pPr>
      <w:r>
        <w:rPr>
          <w:rFonts w:hint="eastAsia" w:ascii="仿宋" w:hAnsi="仿宋" w:eastAsia="仿宋" w:cs="仿宋"/>
          <w:b w:val="0"/>
          <w:bCs w:val="0"/>
          <w:spacing w:val="-3"/>
          <w:sz w:val="24"/>
          <w:szCs w:val="24"/>
          <w:lang w:val="en-US" w:eastAsia="zh-CN"/>
        </w:rPr>
        <w:t xml:space="preserve">（2）财政部生态环境部关于印发环境标志产品政府采购品目清单的通知（财库〔2019〕18号）； </w:t>
      </w:r>
    </w:p>
    <w:p w14:paraId="0DDEC317">
      <w:pPr>
        <w:spacing w:before="195" w:line="222" w:lineRule="auto"/>
        <w:ind w:left="30"/>
        <w:outlineLvl w:val="1"/>
        <w:rPr>
          <w:rFonts w:hint="eastAsia" w:ascii="仿宋" w:hAnsi="仿宋" w:eastAsia="仿宋" w:cs="仿宋"/>
          <w:b w:val="0"/>
          <w:bCs w:val="0"/>
          <w:spacing w:val="-3"/>
          <w:sz w:val="24"/>
          <w:szCs w:val="24"/>
          <w:lang w:val="en-US" w:eastAsia="zh-CN"/>
        </w:rPr>
      </w:pPr>
      <w:r>
        <w:rPr>
          <w:rFonts w:hint="eastAsia" w:ascii="仿宋" w:hAnsi="仿宋" w:eastAsia="仿宋" w:cs="仿宋"/>
          <w:b w:val="0"/>
          <w:bCs w:val="0"/>
          <w:spacing w:val="-3"/>
          <w:sz w:val="24"/>
          <w:szCs w:val="24"/>
          <w:lang w:val="en-US" w:eastAsia="zh-CN"/>
        </w:rPr>
        <w:t>（3）《财政部民政部中国残疾人联合会关于促进残疾人就业政府采购政策的通知》财库〔2017〕141号。</w:t>
      </w:r>
    </w:p>
    <w:p w14:paraId="6C7A4475">
      <w:pPr>
        <w:spacing w:before="195" w:line="222" w:lineRule="auto"/>
        <w:ind w:left="30"/>
        <w:outlineLvl w:val="1"/>
        <w:rPr>
          <w:rFonts w:hint="eastAsia" w:ascii="仿宋" w:hAnsi="仿宋" w:eastAsia="仿宋" w:cs="仿宋"/>
          <w:b w:val="0"/>
          <w:bCs w:val="0"/>
          <w:spacing w:val="-3"/>
          <w:sz w:val="24"/>
          <w:szCs w:val="24"/>
        </w:rPr>
      </w:pPr>
      <w:r>
        <w:rPr>
          <w:rFonts w:hint="eastAsia" w:ascii="仿宋" w:hAnsi="仿宋" w:eastAsia="仿宋" w:cs="仿宋"/>
          <w:b w:val="0"/>
          <w:bCs w:val="0"/>
          <w:spacing w:val="-3"/>
          <w:sz w:val="24"/>
          <w:szCs w:val="24"/>
          <w:lang w:val="en-US" w:eastAsia="zh-CN"/>
        </w:rPr>
        <w:t>（4）《财政部发展改革委 生态环境部 市场监管总局关于调整优化节能产品环境标志产品政府采购执行机制的通知》（财库〔2019〕9号），投标产品遵照《关于印发节能产品政府采购品目清单的通知》（财库〔2019〕19号）相关规定执行。</w:t>
      </w:r>
    </w:p>
    <w:p w14:paraId="55464495">
      <w:pPr>
        <w:spacing w:before="195" w:line="222" w:lineRule="auto"/>
        <w:ind w:left="30"/>
        <w:outlineLvl w:val="1"/>
        <w:rPr>
          <w:rFonts w:hint="eastAsia" w:ascii="仿宋" w:hAnsi="仿宋" w:eastAsia="仿宋" w:cs="仿宋"/>
          <w:b w:val="0"/>
          <w:bCs w:val="0"/>
          <w:spacing w:val="-3"/>
          <w:sz w:val="24"/>
          <w:szCs w:val="24"/>
          <w:lang w:val="en-US" w:eastAsia="zh-CN"/>
        </w:rPr>
      </w:pPr>
      <w:r>
        <w:rPr>
          <w:rFonts w:hint="eastAsia" w:ascii="仿宋" w:hAnsi="仿宋" w:eastAsia="仿宋" w:cs="仿宋"/>
          <w:b w:val="0"/>
          <w:bCs w:val="0"/>
          <w:spacing w:val="-3"/>
          <w:sz w:val="24"/>
          <w:szCs w:val="24"/>
          <w:lang w:val="en-US" w:eastAsia="zh-CN"/>
        </w:rPr>
        <w:t>（5）本项目专门面向中小企业。</w:t>
      </w:r>
    </w:p>
    <w:p w14:paraId="6246DDF9">
      <w:pPr>
        <w:spacing w:before="195" w:line="222" w:lineRule="auto"/>
        <w:ind w:left="30"/>
        <w:outlineLvl w:val="1"/>
        <w:rPr>
          <w:rFonts w:hint="eastAsia" w:ascii="仿宋" w:hAnsi="仿宋" w:eastAsia="仿宋" w:cs="仿宋"/>
          <w:b w:val="0"/>
          <w:bCs w:val="0"/>
          <w:spacing w:val="-3"/>
          <w:sz w:val="24"/>
          <w:szCs w:val="24"/>
        </w:rPr>
      </w:pPr>
      <w:r>
        <w:rPr>
          <w:rFonts w:hint="eastAsia" w:ascii="仿宋" w:hAnsi="仿宋" w:eastAsia="仿宋" w:cs="仿宋"/>
          <w:b w:val="0"/>
          <w:bCs w:val="0"/>
          <w:spacing w:val="-3"/>
          <w:sz w:val="24"/>
          <w:szCs w:val="24"/>
        </w:rPr>
        <w:t>    3.本项目的特定资格要求：</w:t>
      </w:r>
      <w:r>
        <w:rPr>
          <w:rFonts w:hint="eastAsia" w:ascii="仿宋" w:hAnsi="仿宋" w:eastAsia="仿宋" w:cs="仿宋"/>
          <w:b w:val="0"/>
          <w:bCs w:val="0"/>
          <w:spacing w:val="-3"/>
          <w:sz w:val="24"/>
          <w:szCs w:val="24"/>
        </w:rPr>
        <w:br w:type="textWrapping"/>
      </w:r>
      <w:r>
        <w:rPr>
          <w:rFonts w:hint="eastAsia" w:ascii="仿宋" w:hAnsi="仿宋" w:eastAsia="仿宋" w:cs="仿宋"/>
          <w:b w:val="0"/>
          <w:bCs w:val="0"/>
          <w:spacing w:val="-3"/>
          <w:sz w:val="24"/>
          <w:szCs w:val="24"/>
          <w:lang w:val="en-US" w:eastAsia="zh-CN"/>
        </w:rPr>
        <w:t>【标项1、2、3、4】</w:t>
      </w:r>
      <w:r>
        <w:rPr>
          <w:rFonts w:hint="eastAsia" w:ascii="仿宋" w:hAnsi="仿宋" w:eastAsia="仿宋" w:cs="仿宋"/>
          <w:b w:val="0"/>
          <w:bCs w:val="0"/>
          <w:spacing w:val="-3"/>
          <w:sz w:val="24"/>
          <w:szCs w:val="24"/>
        </w:rPr>
        <w:br w:type="textWrapping"/>
      </w:r>
      <w:r>
        <w:rPr>
          <w:rFonts w:hint="eastAsia" w:ascii="仿宋" w:hAnsi="仿宋" w:eastAsia="仿宋" w:cs="仿宋"/>
          <w:b w:val="0"/>
          <w:bCs w:val="0"/>
          <w:spacing w:val="-3"/>
          <w:sz w:val="24"/>
          <w:szCs w:val="24"/>
          <w:lang w:val="en-US" w:eastAsia="zh-CN"/>
        </w:rPr>
        <w:t>供应商为生产企业的需具备有效期内的《药品生产许可证》及《药品GMP 认证证书》，供应商为药品经营企业或代理商的需具备有效期内的《药品经营许可证》(注:根据国家药监局关于贯彻实施《中华人民共和国药品管理法》有关事项的公告(2019年103号)，如 GMP证书为2019年12月1日及以后到期的，须提供到期前的GMP证书，如2019年12月1 日以后新成立的生产企业或经营企业则无须提供GMP证书。）</w:t>
      </w:r>
    </w:p>
    <w:p w14:paraId="0FFC8677">
      <w:pPr>
        <w:spacing w:before="195" w:line="222" w:lineRule="auto"/>
        <w:ind w:left="30"/>
        <w:outlineLvl w:val="1"/>
        <w:rPr>
          <w:rFonts w:hint="eastAsia" w:ascii="仿宋" w:hAnsi="仿宋" w:eastAsia="仿宋" w:cs="仿宋"/>
          <w:b/>
          <w:bCs/>
          <w:spacing w:val="-3"/>
          <w:sz w:val="24"/>
          <w:szCs w:val="24"/>
        </w:rPr>
      </w:pPr>
      <w:r>
        <w:rPr>
          <w:rFonts w:hint="eastAsia" w:ascii="仿宋" w:hAnsi="仿宋" w:eastAsia="仿宋" w:cs="仿宋"/>
          <w:b/>
          <w:bCs/>
          <w:spacing w:val="-3"/>
          <w:sz w:val="24"/>
          <w:szCs w:val="24"/>
        </w:rPr>
        <w:t>三、获取采购文件</w:t>
      </w:r>
    </w:p>
    <w:p w14:paraId="7804472B">
      <w:pPr>
        <w:spacing w:before="195" w:line="222" w:lineRule="auto"/>
        <w:ind w:left="30"/>
        <w:outlineLvl w:val="1"/>
        <w:rPr>
          <w:rFonts w:hint="eastAsia" w:ascii="仿宋" w:hAnsi="仿宋" w:eastAsia="仿宋" w:cs="仿宋"/>
          <w:b w:val="0"/>
          <w:bCs w:val="0"/>
          <w:spacing w:val="-3"/>
          <w:sz w:val="24"/>
          <w:szCs w:val="24"/>
        </w:rPr>
      </w:pPr>
      <w:r>
        <w:rPr>
          <w:rFonts w:hint="eastAsia" w:ascii="仿宋" w:hAnsi="仿宋" w:eastAsia="仿宋" w:cs="仿宋"/>
          <w:b w:val="0"/>
          <w:bCs w:val="0"/>
          <w:spacing w:val="-3"/>
          <w:sz w:val="24"/>
          <w:szCs w:val="24"/>
        </w:rPr>
        <w:t>    时间：202</w:t>
      </w:r>
      <w:r>
        <w:rPr>
          <w:rFonts w:hint="eastAsia" w:ascii="仿宋" w:hAnsi="仿宋" w:eastAsia="仿宋" w:cs="仿宋"/>
          <w:b w:val="0"/>
          <w:bCs w:val="0"/>
          <w:spacing w:val="-3"/>
          <w:sz w:val="24"/>
          <w:szCs w:val="24"/>
          <w:lang w:val="en-US" w:eastAsia="zh-CN"/>
        </w:rPr>
        <w:t>5</w:t>
      </w:r>
      <w:r>
        <w:rPr>
          <w:rFonts w:hint="eastAsia" w:ascii="仿宋" w:hAnsi="仿宋" w:eastAsia="仿宋" w:cs="仿宋"/>
          <w:b w:val="0"/>
          <w:bCs w:val="0"/>
          <w:spacing w:val="-3"/>
          <w:sz w:val="24"/>
          <w:szCs w:val="24"/>
        </w:rPr>
        <w:t>年0</w:t>
      </w:r>
      <w:r>
        <w:rPr>
          <w:rFonts w:hint="eastAsia" w:ascii="仿宋" w:hAnsi="仿宋" w:eastAsia="仿宋" w:cs="仿宋"/>
          <w:b w:val="0"/>
          <w:bCs w:val="0"/>
          <w:spacing w:val="-3"/>
          <w:sz w:val="24"/>
          <w:szCs w:val="24"/>
          <w:lang w:val="en-US" w:eastAsia="zh-CN"/>
        </w:rPr>
        <w:t>2</w:t>
      </w:r>
      <w:r>
        <w:rPr>
          <w:rFonts w:hint="eastAsia" w:ascii="仿宋" w:hAnsi="仿宋" w:eastAsia="仿宋" w:cs="仿宋"/>
          <w:b w:val="0"/>
          <w:bCs w:val="0"/>
          <w:spacing w:val="-3"/>
          <w:sz w:val="24"/>
          <w:szCs w:val="24"/>
        </w:rPr>
        <w:t>月</w:t>
      </w:r>
      <w:r>
        <w:rPr>
          <w:rFonts w:hint="eastAsia" w:ascii="仿宋" w:hAnsi="仿宋" w:eastAsia="仿宋" w:cs="仿宋"/>
          <w:b w:val="0"/>
          <w:bCs w:val="0"/>
          <w:spacing w:val="-3"/>
          <w:sz w:val="24"/>
          <w:szCs w:val="24"/>
          <w:lang w:val="en-US" w:eastAsia="zh-CN"/>
        </w:rPr>
        <w:t>28</w:t>
      </w:r>
      <w:r>
        <w:rPr>
          <w:rFonts w:hint="eastAsia" w:ascii="仿宋" w:hAnsi="仿宋" w:eastAsia="仿宋" w:cs="仿宋"/>
          <w:b w:val="0"/>
          <w:bCs w:val="0"/>
          <w:spacing w:val="-3"/>
          <w:sz w:val="24"/>
          <w:szCs w:val="24"/>
        </w:rPr>
        <w:t>日至202</w:t>
      </w:r>
      <w:r>
        <w:rPr>
          <w:rFonts w:hint="eastAsia" w:ascii="仿宋" w:hAnsi="仿宋" w:eastAsia="仿宋" w:cs="仿宋"/>
          <w:b w:val="0"/>
          <w:bCs w:val="0"/>
          <w:spacing w:val="-3"/>
          <w:sz w:val="24"/>
          <w:szCs w:val="24"/>
          <w:lang w:val="en-US" w:eastAsia="zh-CN"/>
        </w:rPr>
        <w:t>5</w:t>
      </w:r>
      <w:r>
        <w:rPr>
          <w:rFonts w:hint="eastAsia" w:ascii="仿宋" w:hAnsi="仿宋" w:eastAsia="仿宋" w:cs="仿宋"/>
          <w:b w:val="0"/>
          <w:bCs w:val="0"/>
          <w:spacing w:val="-3"/>
          <w:sz w:val="24"/>
          <w:szCs w:val="24"/>
        </w:rPr>
        <w:t>年0</w:t>
      </w:r>
      <w:r>
        <w:rPr>
          <w:rFonts w:hint="eastAsia" w:ascii="仿宋" w:hAnsi="仿宋" w:eastAsia="仿宋" w:cs="仿宋"/>
          <w:b w:val="0"/>
          <w:bCs w:val="0"/>
          <w:spacing w:val="-3"/>
          <w:sz w:val="24"/>
          <w:szCs w:val="24"/>
          <w:lang w:val="en-US" w:eastAsia="zh-CN"/>
        </w:rPr>
        <w:t>3</w:t>
      </w:r>
      <w:r>
        <w:rPr>
          <w:rFonts w:hint="eastAsia" w:ascii="仿宋" w:hAnsi="仿宋" w:eastAsia="仿宋" w:cs="仿宋"/>
          <w:b w:val="0"/>
          <w:bCs w:val="0"/>
          <w:spacing w:val="-3"/>
          <w:sz w:val="24"/>
          <w:szCs w:val="24"/>
        </w:rPr>
        <w:t>月</w:t>
      </w:r>
      <w:r>
        <w:rPr>
          <w:rFonts w:hint="eastAsia" w:ascii="仿宋" w:hAnsi="仿宋" w:eastAsia="仿宋" w:cs="仿宋"/>
          <w:b w:val="0"/>
          <w:bCs w:val="0"/>
          <w:spacing w:val="-3"/>
          <w:sz w:val="24"/>
          <w:szCs w:val="24"/>
          <w:lang w:val="en-US" w:eastAsia="zh-CN"/>
        </w:rPr>
        <w:t>07</w:t>
      </w:r>
      <w:r>
        <w:rPr>
          <w:rFonts w:hint="eastAsia" w:ascii="仿宋" w:hAnsi="仿宋" w:eastAsia="仿宋" w:cs="仿宋"/>
          <w:b w:val="0"/>
          <w:bCs w:val="0"/>
          <w:spacing w:val="-3"/>
          <w:sz w:val="24"/>
          <w:szCs w:val="24"/>
        </w:rPr>
        <w:t>日，每天上午</w:t>
      </w:r>
      <w:r>
        <w:rPr>
          <w:rFonts w:hint="eastAsia" w:ascii="仿宋" w:hAnsi="仿宋" w:eastAsia="仿宋" w:cs="仿宋"/>
          <w:b w:val="0"/>
          <w:bCs w:val="0"/>
          <w:spacing w:val="-3"/>
          <w:sz w:val="24"/>
          <w:szCs w:val="24"/>
          <w:lang w:val="en-US" w:eastAsia="zh-CN"/>
        </w:rPr>
        <w:t>10</w:t>
      </w:r>
      <w:r>
        <w:rPr>
          <w:rFonts w:hint="eastAsia" w:ascii="仿宋" w:hAnsi="仿宋" w:eastAsia="仿宋" w:cs="仿宋"/>
          <w:b w:val="0"/>
          <w:bCs w:val="0"/>
          <w:spacing w:val="-3"/>
          <w:sz w:val="24"/>
          <w:szCs w:val="24"/>
        </w:rPr>
        <w:t>:</w:t>
      </w:r>
      <w:r>
        <w:rPr>
          <w:rFonts w:hint="eastAsia" w:ascii="仿宋" w:hAnsi="仿宋" w:eastAsia="仿宋" w:cs="仿宋"/>
          <w:b w:val="0"/>
          <w:bCs w:val="0"/>
          <w:spacing w:val="-3"/>
          <w:sz w:val="24"/>
          <w:szCs w:val="24"/>
          <w:lang w:val="en-US" w:eastAsia="zh-CN"/>
        </w:rPr>
        <w:t>0</w:t>
      </w:r>
      <w:r>
        <w:rPr>
          <w:rFonts w:hint="eastAsia" w:ascii="仿宋" w:hAnsi="仿宋" w:eastAsia="仿宋" w:cs="仿宋"/>
          <w:b w:val="0"/>
          <w:bCs w:val="0"/>
          <w:spacing w:val="-3"/>
          <w:sz w:val="24"/>
          <w:szCs w:val="24"/>
        </w:rPr>
        <w:t>0至1</w:t>
      </w:r>
      <w:r>
        <w:rPr>
          <w:rFonts w:hint="eastAsia" w:ascii="仿宋" w:hAnsi="仿宋" w:eastAsia="仿宋" w:cs="仿宋"/>
          <w:b w:val="0"/>
          <w:bCs w:val="0"/>
          <w:spacing w:val="-3"/>
          <w:sz w:val="24"/>
          <w:szCs w:val="24"/>
          <w:lang w:val="en-US" w:eastAsia="zh-CN"/>
        </w:rPr>
        <w:t>4</w:t>
      </w:r>
      <w:r>
        <w:rPr>
          <w:rFonts w:hint="eastAsia" w:ascii="仿宋" w:hAnsi="仿宋" w:eastAsia="仿宋" w:cs="仿宋"/>
          <w:b w:val="0"/>
          <w:bCs w:val="0"/>
          <w:spacing w:val="-3"/>
          <w:sz w:val="24"/>
          <w:szCs w:val="24"/>
        </w:rPr>
        <w:t>:</w:t>
      </w:r>
      <w:r>
        <w:rPr>
          <w:rFonts w:hint="eastAsia" w:ascii="仿宋" w:hAnsi="仿宋" w:eastAsia="仿宋" w:cs="仿宋"/>
          <w:b w:val="0"/>
          <w:bCs w:val="0"/>
          <w:spacing w:val="-3"/>
          <w:sz w:val="24"/>
          <w:szCs w:val="24"/>
          <w:lang w:val="en-US" w:eastAsia="zh-CN"/>
        </w:rPr>
        <w:t>0</w:t>
      </w:r>
      <w:r>
        <w:rPr>
          <w:rFonts w:hint="eastAsia" w:ascii="仿宋" w:hAnsi="仿宋" w:eastAsia="仿宋" w:cs="仿宋"/>
          <w:b w:val="0"/>
          <w:bCs w:val="0"/>
          <w:spacing w:val="-3"/>
          <w:sz w:val="24"/>
          <w:szCs w:val="24"/>
        </w:rPr>
        <w:t>0，下午1</w:t>
      </w:r>
      <w:r>
        <w:rPr>
          <w:rFonts w:hint="eastAsia" w:ascii="仿宋" w:hAnsi="仿宋" w:eastAsia="仿宋" w:cs="仿宋"/>
          <w:b w:val="0"/>
          <w:bCs w:val="0"/>
          <w:spacing w:val="-3"/>
          <w:sz w:val="24"/>
          <w:szCs w:val="24"/>
          <w:lang w:val="en-US" w:eastAsia="zh-CN"/>
        </w:rPr>
        <w:t>5</w:t>
      </w:r>
      <w:r>
        <w:rPr>
          <w:rFonts w:hint="eastAsia" w:ascii="仿宋" w:hAnsi="仿宋" w:eastAsia="仿宋" w:cs="仿宋"/>
          <w:b w:val="0"/>
          <w:bCs w:val="0"/>
          <w:spacing w:val="-3"/>
          <w:sz w:val="24"/>
          <w:szCs w:val="24"/>
        </w:rPr>
        <w:t>:</w:t>
      </w:r>
      <w:r>
        <w:rPr>
          <w:rFonts w:hint="eastAsia" w:ascii="仿宋" w:hAnsi="仿宋" w:eastAsia="仿宋" w:cs="仿宋"/>
          <w:b w:val="0"/>
          <w:bCs w:val="0"/>
          <w:spacing w:val="-3"/>
          <w:sz w:val="24"/>
          <w:szCs w:val="24"/>
          <w:lang w:val="en-US" w:eastAsia="zh-CN"/>
        </w:rPr>
        <w:t>3</w:t>
      </w:r>
      <w:r>
        <w:rPr>
          <w:rFonts w:hint="eastAsia" w:ascii="仿宋" w:hAnsi="仿宋" w:eastAsia="仿宋" w:cs="仿宋"/>
          <w:b w:val="0"/>
          <w:bCs w:val="0"/>
          <w:spacing w:val="-3"/>
          <w:sz w:val="24"/>
          <w:szCs w:val="24"/>
        </w:rPr>
        <w:t>0至</w:t>
      </w:r>
      <w:r>
        <w:rPr>
          <w:rFonts w:hint="eastAsia" w:ascii="仿宋" w:hAnsi="仿宋" w:eastAsia="仿宋" w:cs="仿宋"/>
          <w:b w:val="0"/>
          <w:bCs w:val="0"/>
          <w:spacing w:val="-3"/>
          <w:sz w:val="24"/>
          <w:szCs w:val="24"/>
          <w:lang w:val="en-US" w:eastAsia="zh-CN"/>
        </w:rPr>
        <w:t>19</w:t>
      </w:r>
      <w:r>
        <w:rPr>
          <w:rFonts w:hint="eastAsia" w:ascii="仿宋" w:hAnsi="仿宋" w:eastAsia="仿宋" w:cs="仿宋"/>
          <w:b w:val="0"/>
          <w:bCs w:val="0"/>
          <w:spacing w:val="-3"/>
          <w:sz w:val="24"/>
          <w:szCs w:val="24"/>
        </w:rPr>
        <w:t>:</w:t>
      </w:r>
      <w:r>
        <w:rPr>
          <w:rFonts w:hint="eastAsia" w:ascii="仿宋" w:hAnsi="仿宋" w:eastAsia="仿宋" w:cs="仿宋"/>
          <w:b w:val="0"/>
          <w:bCs w:val="0"/>
          <w:spacing w:val="-3"/>
          <w:sz w:val="24"/>
          <w:szCs w:val="24"/>
          <w:lang w:val="en-US" w:eastAsia="zh-CN"/>
        </w:rPr>
        <w:t>3</w:t>
      </w:r>
      <w:r>
        <w:rPr>
          <w:rFonts w:hint="eastAsia" w:ascii="仿宋" w:hAnsi="仿宋" w:eastAsia="仿宋" w:cs="仿宋"/>
          <w:b w:val="0"/>
          <w:bCs w:val="0"/>
          <w:spacing w:val="-3"/>
          <w:sz w:val="24"/>
          <w:szCs w:val="24"/>
        </w:rPr>
        <w:t>0（北京时间，法定节假日除外）</w:t>
      </w:r>
    </w:p>
    <w:p w14:paraId="62764932">
      <w:pPr>
        <w:spacing w:before="195" w:line="222" w:lineRule="auto"/>
        <w:ind w:left="30"/>
        <w:outlineLvl w:val="1"/>
        <w:rPr>
          <w:rFonts w:hint="eastAsia" w:ascii="仿宋" w:hAnsi="仿宋" w:eastAsia="仿宋" w:cs="仿宋"/>
          <w:b w:val="0"/>
          <w:bCs w:val="0"/>
          <w:spacing w:val="-3"/>
          <w:sz w:val="24"/>
          <w:szCs w:val="24"/>
        </w:rPr>
      </w:pPr>
      <w:r>
        <w:rPr>
          <w:rFonts w:hint="eastAsia" w:ascii="仿宋" w:hAnsi="仿宋" w:eastAsia="仿宋" w:cs="仿宋"/>
          <w:b w:val="0"/>
          <w:bCs w:val="0"/>
          <w:spacing w:val="-3"/>
          <w:sz w:val="24"/>
          <w:szCs w:val="24"/>
        </w:rPr>
        <w:t>    地点：政采云平台线上 </w:t>
      </w:r>
    </w:p>
    <w:p w14:paraId="745ECA5E">
      <w:pPr>
        <w:spacing w:before="195" w:line="222" w:lineRule="auto"/>
        <w:ind w:left="30"/>
        <w:outlineLvl w:val="1"/>
        <w:rPr>
          <w:rFonts w:hint="eastAsia" w:ascii="仿宋" w:hAnsi="仿宋" w:eastAsia="仿宋" w:cs="仿宋"/>
          <w:b w:val="0"/>
          <w:bCs w:val="0"/>
          <w:spacing w:val="-3"/>
          <w:sz w:val="24"/>
          <w:szCs w:val="24"/>
        </w:rPr>
      </w:pPr>
      <w:r>
        <w:rPr>
          <w:rFonts w:hint="eastAsia" w:ascii="仿宋" w:hAnsi="仿宋" w:eastAsia="仿宋" w:cs="仿宋"/>
          <w:b w:val="0"/>
          <w:bCs w:val="0"/>
          <w:spacing w:val="-3"/>
          <w:sz w:val="24"/>
          <w:szCs w:val="24"/>
        </w:rPr>
        <w:t>    方式：供应商登录政采云平台https://www.zcygov.cn/在线申请获取采购文件（进入“项目采购”应用，在获取采购文件菜单中选择项目，申请获取采购文件），或者点击采购公告底部潜在供应商“获取采购文件”，页面跳转后登陆，直接获取采购文件。 </w:t>
      </w:r>
    </w:p>
    <w:p w14:paraId="040EC065">
      <w:pPr>
        <w:spacing w:before="195" w:line="222" w:lineRule="auto"/>
        <w:ind w:left="30"/>
        <w:outlineLvl w:val="1"/>
        <w:rPr>
          <w:rFonts w:hint="eastAsia" w:ascii="仿宋" w:hAnsi="仿宋" w:eastAsia="仿宋" w:cs="仿宋"/>
          <w:b w:val="0"/>
          <w:bCs w:val="0"/>
          <w:spacing w:val="-3"/>
          <w:sz w:val="24"/>
          <w:szCs w:val="24"/>
        </w:rPr>
      </w:pPr>
      <w:r>
        <w:rPr>
          <w:rFonts w:hint="eastAsia" w:ascii="仿宋" w:hAnsi="仿宋" w:eastAsia="仿宋" w:cs="仿宋"/>
          <w:b w:val="0"/>
          <w:bCs w:val="0"/>
          <w:spacing w:val="-3"/>
          <w:sz w:val="24"/>
          <w:szCs w:val="24"/>
        </w:rPr>
        <w:t>    售价（元）： 0 </w:t>
      </w:r>
    </w:p>
    <w:p w14:paraId="06027E8A">
      <w:pPr>
        <w:spacing w:before="195" w:line="222" w:lineRule="auto"/>
        <w:ind w:left="30"/>
        <w:outlineLvl w:val="1"/>
        <w:rPr>
          <w:rFonts w:hint="eastAsia" w:ascii="仿宋" w:hAnsi="仿宋" w:eastAsia="仿宋" w:cs="仿宋"/>
          <w:b/>
          <w:bCs/>
          <w:spacing w:val="-3"/>
          <w:sz w:val="24"/>
          <w:szCs w:val="24"/>
        </w:rPr>
      </w:pPr>
      <w:r>
        <w:rPr>
          <w:rFonts w:hint="eastAsia" w:ascii="仿宋" w:hAnsi="仿宋" w:eastAsia="仿宋" w:cs="仿宋"/>
          <w:b/>
          <w:bCs/>
          <w:spacing w:val="-3"/>
          <w:sz w:val="24"/>
          <w:szCs w:val="24"/>
        </w:rPr>
        <w:t>四、响应文件提交 </w:t>
      </w:r>
    </w:p>
    <w:p w14:paraId="41D87D31">
      <w:pPr>
        <w:spacing w:before="195" w:line="222" w:lineRule="auto"/>
        <w:ind w:left="30"/>
        <w:outlineLvl w:val="1"/>
        <w:rPr>
          <w:rFonts w:hint="eastAsia" w:ascii="仿宋" w:hAnsi="仿宋" w:eastAsia="仿宋" w:cs="仿宋"/>
          <w:b w:val="0"/>
          <w:bCs w:val="0"/>
          <w:spacing w:val="-3"/>
          <w:sz w:val="24"/>
          <w:szCs w:val="24"/>
        </w:rPr>
      </w:pPr>
      <w:r>
        <w:rPr>
          <w:rFonts w:hint="eastAsia" w:ascii="仿宋" w:hAnsi="仿宋" w:eastAsia="仿宋" w:cs="仿宋"/>
          <w:b w:val="0"/>
          <w:bCs w:val="0"/>
          <w:spacing w:val="-3"/>
          <w:sz w:val="24"/>
          <w:szCs w:val="24"/>
        </w:rPr>
        <w:t>    截止时间：202</w:t>
      </w:r>
      <w:r>
        <w:rPr>
          <w:rFonts w:hint="eastAsia" w:ascii="仿宋" w:hAnsi="仿宋" w:eastAsia="仿宋" w:cs="仿宋"/>
          <w:b w:val="0"/>
          <w:bCs w:val="0"/>
          <w:spacing w:val="-3"/>
          <w:sz w:val="24"/>
          <w:szCs w:val="24"/>
          <w:lang w:val="en-US" w:eastAsia="zh-CN"/>
        </w:rPr>
        <w:t>5</w:t>
      </w:r>
      <w:r>
        <w:rPr>
          <w:rFonts w:hint="eastAsia" w:ascii="仿宋" w:hAnsi="仿宋" w:eastAsia="仿宋" w:cs="仿宋"/>
          <w:b w:val="0"/>
          <w:bCs w:val="0"/>
          <w:spacing w:val="-3"/>
          <w:sz w:val="24"/>
          <w:szCs w:val="24"/>
        </w:rPr>
        <w:t>年0</w:t>
      </w:r>
      <w:r>
        <w:rPr>
          <w:rFonts w:hint="eastAsia" w:ascii="仿宋" w:hAnsi="仿宋" w:eastAsia="仿宋" w:cs="仿宋"/>
          <w:b w:val="0"/>
          <w:bCs w:val="0"/>
          <w:spacing w:val="-3"/>
          <w:sz w:val="24"/>
          <w:szCs w:val="24"/>
          <w:lang w:val="en-US" w:eastAsia="zh-CN"/>
        </w:rPr>
        <w:t>3</w:t>
      </w:r>
      <w:r>
        <w:rPr>
          <w:rFonts w:hint="eastAsia" w:ascii="仿宋" w:hAnsi="仿宋" w:eastAsia="仿宋" w:cs="仿宋"/>
          <w:b w:val="0"/>
          <w:bCs w:val="0"/>
          <w:spacing w:val="-3"/>
          <w:sz w:val="24"/>
          <w:szCs w:val="24"/>
        </w:rPr>
        <w:t>月</w:t>
      </w:r>
      <w:r>
        <w:rPr>
          <w:rFonts w:hint="eastAsia" w:ascii="仿宋" w:hAnsi="仿宋" w:eastAsia="仿宋" w:cs="仿宋"/>
          <w:b w:val="0"/>
          <w:bCs w:val="0"/>
          <w:spacing w:val="-3"/>
          <w:sz w:val="24"/>
          <w:szCs w:val="24"/>
          <w:lang w:val="en-US" w:eastAsia="zh-CN"/>
        </w:rPr>
        <w:t>10</w:t>
      </w:r>
      <w:r>
        <w:rPr>
          <w:rFonts w:hint="eastAsia" w:ascii="仿宋" w:hAnsi="仿宋" w:eastAsia="仿宋" w:cs="仿宋"/>
          <w:b w:val="0"/>
          <w:bCs w:val="0"/>
          <w:spacing w:val="-3"/>
          <w:sz w:val="24"/>
          <w:szCs w:val="24"/>
        </w:rPr>
        <w:t>日 11:</w:t>
      </w:r>
      <w:r>
        <w:rPr>
          <w:rFonts w:hint="eastAsia" w:ascii="仿宋" w:hAnsi="仿宋" w:eastAsia="仿宋" w:cs="仿宋"/>
          <w:b w:val="0"/>
          <w:bCs w:val="0"/>
          <w:spacing w:val="-3"/>
          <w:sz w:val="24"/>
          <w:szCs w:val="24"/>
          <w:lang w:val="en-US" w:eastAsia="zh-CN"/>
        </w:rPr>
        <w:t>3</w:t>
      </w:r>
      <w:r>
        <w:rPr>
          <w:rFonts w:hint="eastAsia" w:ascii="仿宋" w:hAnsi="仿宋" w:eastAsia="仿宋" w:cs="仿宋"/>
          <w:b w:val="0"/>
          <w:bCs w:val="0"/>
          <w:spacing w:val="-3"/>
          <w:sz w:val="24"/>
          <w:szCs w:val="24"/>
        </w:rPr>
        <w:t>0（北京时间）</w:t>
      </w:r>
    </w:p>
    <w:p w14:paraId="583201AA">
      <w:pPr>
        <w:spacing w:before="195" w:line="222" w:lineRule="auto"/>
        <w:ind w:left="30"/>
        <w:outlineLvl w:val="1"/>
        <w:rPr>
          <w:rFonts w:hint="eastAsia" w:ascii="仿宋" w:hAnsi="仿宋" w:eastAsia="仿宋" w:cs="仿宋"/>
          <w:b w:val="0"/>
          <w:bCs w:val="0"/>
          <w:spacing w:val="-3"/>
          <w:sz w:val="24"/>
          <w:szCs w:val="24"/>
        </w:rPr>
      </w:pPr>
      <w:r>
        <w:rPr>
          <w:rFonts w:hint="eastAsia" w:ascii="仿宋" w:hAnsi="仿宋" w:eastAsia="仿宋" w:cs="仿宋"/>
          <w:b w:val="0"/>
          <w:bCs w:val="0"/>
          <w:spacing w:val="-3"/>
          <w:sz w:val="24"/>
          <w:szCs w:val="24"/>
        </w:rPr>
        <w:t>    地点：请登录政采云投标客户端投标 </w:t>
      </w:r>
    </w:p>
    <w:p w14:paraId="03CDB364">
      <w:pPr>
        <w:spacing w:before="195" w:line="222" w:lineRule="auto"/>
        <w:ind w:left="30"/>
        <w:outlineLvl w:val="1"/>
        <w:rPr>
          <w:rFonts w:hint="eastAsia" w:ascii="仿宋" w:hAnsi="仿宋" w:eastAsia="仿宋" w:cs="仿宋"/>
          <w:b/>
          <w:bCs/>
          <w:spacing w:val="-3"/>
          <w:sz w:val="24"/>
          <w:szCs w:val="24"/>
        </w:rPr>
      </w:pPr>
      <w:r>
        <w:rPr>
          <w:rFonts w:hint="eastAsia" w:ascii="仿宋" w:hAnsi="仿宋" w:eastAsia="仿宋" w:cs="仿宋"/>
          <w:b/>
          <w:bCs/>
          <w:spacing w:val="-3"/>
          <w:sz w:val="24"/>
          <w:szCs w:val="24"/>
        </w:rPr>
        <w:t>五、响应文件开启 </w:t>
      </w:r>
    </w:p>
    <w:p w14:paraId="228ADD03">
      <w:pPr>
        <w:spacing w:before="195" w:line="222" w:lineRule="auto"/>
        <w:ind w:left="30"/>
        <w:outlineLvl w:val="1"/>
        <w:rPr>
          <w:rFonts w:hint="eastAsia" w:ascii="仿宋" w:hAnsi="仿宋" w:eastAsia="仿宋" w:cs="仿宋"/>
          <w:b w:val="0"/>
          <w:bCs w:val="0"/>
          <w:spacing w:val="-3"/>
          <w:sz w:val="24"/>
          <w:szCs w:val="24"/>
        </w:rPr>
      </w:pPr>
      <w:r>
        <w:rPr>
          <w:rFonts w:hint="eastAsia" w:ascii="仿宋" w:hAnsi="仿宋" w:eastAsia="仿宋" w:cs="仿宋"/>
          <w:b w:val="0"/>
          <w:bCs w:val="0"/>
          <w:spacing w:val="-3"/>
          <w:sz w:val="24"/>
          <w:szCs w:val="24"/>
        </w:rPr>
        <w:t>    开启时间：202</w:t>
      </w:r>
      <w:r>
        <w:rPr>
          <w:rFonts w:hint="eastAsia" w:ascii="仿宋" w:hAnsi="仿宋" w:eastAsia="仿宋" w:cs="仿宋"/>
          <w:b w:val="0"/>
          <w:bCs w:val="0"/>
          <w:spacing w:val="-3"/>
          <w:sz w:val="24"/>
          <w:szCs w:val="24"/>
          <w:lang w:val="en-US" w:eastAsia="zh-CN"/>
        </w:rPr>
        <w:t>5</w:t>
      </w:r>
      <w:r>
        <w:rPr>
          <w:rFonts w:hint="eastAsia" w:ascii="仿宋" w:hAnsi="仿宋" w:eastAsia="仿宋" w:cs="仿宋"/>
          <w:b w:val="0"/>
          <w:bCs w:val="0"/>
          <w:spacing w:val="-3"/>
          <w:sz w:val="24"/>
          <w:szCs w:val="24"/>
        </w:rPr>
        <w:t>年0</w:t>
      </w:r>
      <w:r>
        <w:rPr>
          <w:rFonts w:hint="eastAsia" w:ascii="仿宋" w:hAnsi="仿宋" w:eastAsia="仿宋" w:cs="仿宋"/>
          <w:b w:val="0"/>
          <w:bCs w:val="0"/>
          <w:spacing w:val="-3"/>
          <w:sz w:val="24"/>
          <w:szCs w:val="24"/>
          <w:lang w:val="en-US" w:eastAsia="zh-CN"/>
        </w:rPr>
        <w:t>3</w:t>
      </w:r>
      <w:r>
        <w:rPr>
          <w:rFonts w:hint="eastAsia" w:ascii="仿宋" w:hAnsi="仿宋" w:eastAsia="仿宋" w:cs="仿宋"/>
          <w:b w:val="0"/>
          <w:bCs w:val="0"/>
          <w:spacing w:val="-3"/>
          <w:sz w:val="24"/>
          <w:szCs w:val="24"/>
        </w:rPr>
        <w:t>月</w:t>
      </w:r>
      <w:r>
        <w:rPr>
          <w:rFonts w:hint="eastAsia" w:ascii="仿宋" w:hAnsi="仿宋" w:eastAsia="仿宋" w:cs="仿宋"/>
          <w:b w:val="0"/>
          <w:bCs w:val="0"/>
          <w:spacing w:val="-3"/>
          <w:sz w:val="24"/>
          <w:szCs w:val="24"/>
          <w:lang w:val="en-US" w:eastAsia="zh-CN"/>
        </w:rPr>
        <w:t>10</w:t>
      </w:r>
      <w:r>
        <w:rPr>
          <w:rFonts w:hint="eastAsia" w:ascii="仿宋" w:hAnsi="仿宋" w:eastAsia="仿宋" w:cs="仿宋"/>
          <w:b w:val="0"/>
          <w:bCs w:val="0"/>
          <w:spacing w:val="-3"/>
          <w:sz w:val="24"/>
          <w:szCs w:val="24"/>
        </w:rPr>
        <w:t>日 11:</w:t>
      </w:r>
      <w:r>
        <w:rPr>
          <w:rFonts w:hint="eastAsia" w:ascii="仿宋" w:hAnsi="仿宋" w:eastAsia="仿宋" w:cs="仿宋"/>
          <w:b w:val="0"/>
          <w:bCs w:val="0"/>
          <w:spacing w:val="-3"/>
          <w:sz w:val="24"/>
          <w:szCs w:val="24"/>
          <w:lang w:val="en-US" w:eastAsia="zh-CN"/>
        </w:rPr>
        <w:t>3</w:t>
      </w:r>
      <w:r>
        <w:rPr>
          <w:rFonts w:hint="eastAsia" w:ascii="仿宋" w:hAnsi="仿宋" w:eastAsia="仿宋" w:cs="仿宋"/>
          <w:b w:val="0"/>
          <w:bCs w:val="0"/>
          <w:spacing w:val="-3"/>
          <w:sz w:val="24"/>
          <w:szCs w:val="24"/>
        </w:rPr>
        <w:t>0 （北京时间）</w:t>
      </w:r>
    </w:p>
    <w:p w14:paraId="196B3F6A">
      <w:pPr>
        <w:spacing w:before="195" w:line="222" w:lineRule="auto"/>
        <w:ind w:left="30"/>
        <w:outlineLvl w:val="1"/>
        <w:rPr>
          <w:rFonts w:hint="eastAsia" w:ascii="仿宋" w:hAnsi="仿宋" w:eastAsia="仿宋" w:cs="仿宋"/>
          <w:b w:val="0"/>
          <w:bCs w:val="0"/>
          <w:spacing w:val="-3"/>
          <w:sz w:val="24"/>
          <w:szCs w:val="24"/>
        </w:rPr>
      </w:pPr>
      <w:r>
        <w:rPr>
          <w:rFonts w:hint="eastAsia" w:ascii="仿宋" w:hAnsi="仿宋" w:eastAsia="仿宋" w:cs="仿宋"/>
          <w:b w:val="0"/>
          <w:bCs w:val="0"/>
          <w:spacing w:val="-3"/>
          <w:sz w:val="24"/>
          <w:szCs w:val="24"/>
        </w:rPr>
        <w:t>    地点：投标人登录政采云平台https://www.zcygov.cn/，进入“项目采购-开标评标-右边选择对应项目点击“进入项目”进入开标大厅。</w:t>
      </w:r>
    </w:p>
    <w:p w14:paraId="17EC2417">
      <w:pPr>
        <w:spacing w:before="195" w:line="222" w:lineRule="auto"/>
        <w:ind w:left="30"/>
        <w:outlineLvl w:val="1"/>
        <w:rPr>
          <w:rFonts w:hint="eastAsia" w:ascii="仿宋" w:hAnsi="仿宋" w:eastAsia="仿宋" w:cs="仿宋"/>
          <w:b/>
          <w:bCs/>
          <w:spacing w:val="-3"/>
          <w:sz w:val="24"/>
          <w:szCs w:val="24"/>
        </w:rPr>
      </w:pPr>
      <w:r>
        <w:rPr>
          <w:rFonts w:hint="eastAsia" w:ascii="仿宋" w:hAnsi="仿宋" w:eastAsia="仿宋" w:cs="仿宋"/>
          <w:b/>
          <w:bCs/>
          <w:spacing w:val="-3"/>
          <w:sz w:val="24"/>
          <w:szCs w:val="24"/>
        </w:rPr>
        <w:t>六、公告期限</w:t>
      </w:r>
    </w:p>
    <w:p w14:paraId="5FB26BEF">
      <w:pPr>
        <w:spacing w:before="195" w:line="222" w:lineRule="auto"/>
        <w:ind w:left="30"/>
        <w:outlineLvl w:val="1"/>
        <w:rPr>
          <w:rFonts w:hint="eastAsia" w:ascii="仿宋" w:hAnsi="仿宋" w:eastAsia="仿宋" w:cs="仿宋"/>
          <w:b w:val="0"/>
          <w:bCs w:val="0"/>
          <w:spacing w:val="-3"/>
          <w:sz w:val="24"/>
          <w:szCs w:val="24"/>
        </w:rPr>
      </w:pPr>
      <w:r>
        <w:rPr>
          <w:rFonts w:hint="eastAsia" w:ascii="仿宋" w:hAnsi="仿宋" w:eastAsia="仿宋" w:cs="仿宋"/>
          <w:b w:val="0"/>
          <w:bCs w:val="0"/>
          <w:spacing w:val="-3"/>
          <w:sz w:val="24"/>
          <w:szCs w:val="24"/>
        </w:rPr>
        <w:t>    自本公告发布之日起3个工作日。</w:t>
      </w:r>
    </w:p>
    <w:p w14:paraId="34FF2755">
      <w:pPr>
        <w:spacing w:before="195" w:line="222" w:lineRule="auto"/>
        <w:ind w:left="30"/>
        <w:outlineLvl w:val="1"/>
        <w:rPr>
          <w:rFonts w:hint="eastAsia" w:ascii="仿宋" w:hAnsi="仿宋" w:eastAsia="仿宋" w:cs="仿宋"/>
          <w:b/>
          <w:bCs/>
          <w:spacing w:val="-3"/>
          <w:sz w:val="24"/>
          <w:szCs w:val="24"/>
        </w:rPr>
      </w:pPr>
      <w:r>
        <w:rPr>
          <w:rFonts w:hint="eastAsia" w:ascii="仿宋" w:hAnsi="仿宋" w:eastAsia="仿宋" w:cs="仿宋"/>
          <w:b/>
          <w:bCs/>
          <w:spacing w:val="-3"/>
          <w:sz w:val="24"/>
          <w:szCs w:val="24"/>
        </w:rPr>
        <w:t>七、其他补充事宜 </w:t>
      </w:r>
    </w:p>
    <w:p w14:paraId="341A91A0">
      <w:pPr>
        <w:spacing w:before="195" w:line="222" w:lineRule="auto"/>
        <w:ind w:left="30"/>
        <w:outlineLvl w:val="1"/>
        <w:rPr>
          <w:rFonts w:hint="eastAsia" w:ascii="仿宋" w:hAnsi="仿宋" w:eastAsia="仿宋" w:cs="仿宋"/>
          <w:b w:val="0"/>
          <w:bCs w:val="0"/>
          <w:spacing w:val="-3"/>
          <w:sz w:val="24"/>
          <w:szCs w:val="24"/>
        </w:rPr>
      </w:pPr>
      <w:r>
        <w:rPr>
          <w:rFonts w:hint="eastAsia" w:ascii="仿宋" w:hAnsi="仿宋" w:eastAsia="仿宋" w:cs="仿宋"/>
          <w:b w:val="0"/>
          <w:bCs w:val="0"/>
          <w:spacing w:val="-3"/>
          <w:sz w:val="24"/>
          <w:szCs w:val="24"/>
        </w:rPr>
        <w:t>    </w:t>
      </w:r>
      <w:r>
        <w:rPr>
          <w:rFonts w:hint="eastAsia" w:ascii="仿宋" w:hAnsi="仿宋" w:eastAsia="仿宋" w:cs="仿宋"/>
          <w:b w:val="0"/>
          <w:bCs w:val="0"/>
          <w:spacing w:val="-3"/>
          <w:sz w:val="24"/>
          <w:szCs w:val="24"/>
          <w:lang w:val="en-US" w:eastAsia="zh-CN"/>
        </w:rPr>
        <w:t>1、</w:t>
      </w:r>
      <w:r>
        <w:rPr>
          <w:rFonts w:hint="eastAsia" w:ascii="仿宋" w:hAnsi="仿宋" w:eastAsia="仿宋" w:cs="仿宋"/>
          <w:b w:val="0"/>
          <w:bCs w:val="0"/>
          <w:spacing w:val="-3"/>
          <w:sz w:val="24"/>
          <w:szCs w:val="24"/>
        </w:rPr>
        <w:t>本项目实行网上投标，采用电子投标文件； 2、各供应商应在开标前应确保成为新疆政府采购网正式注册入库供应商，并完成CA数字证书（符合国密标准）申领。因未注册入库、未办理CA数字证书等原因造成无法投标或投标失败等后果由供应商自行承担。有意向参与新疆区域电子开评标的供应商，可访问新疆数字证书认证中心官方网站（https://www.xjca.com.cn/）或下载“新疆政务通”APP自行进行申领； 3、供应商将政采云电子交易客户端下载、安装完成后，可通过账号密码或CA登录客户端进行投标文件的制作。在使用政采云投标客户端时，建议使用WIN7及以上操作系统。客户端请至新疆政府采购网（http://www.ccgp-xinjiang.gov.cn/）下载专区查看，如有问题可拨打政采云客户服务热线95763进行咨询。如因供应商自身原因导致在规定时间内无法正常解密的（如：浏览器故障、未安装相关驱动、网络故障、加密CA与解密CA不一致等），采购中心/代理机构不予异常处理，视为供应商自动弃标</w:t>
      </w:r>
      <w:r>
        <w:rPr>
          <w:rFonts w:hint="eastAsia" w:ascii="仿宋" w:hAnsi="仿宋" w:eastAsia="仿宋" w:cs="仿宋"/>
          <w:b w:val="0"/>
          <w:bCs w:val="0"/>
          <w:spacing w:val="-3"/>
          <w:sz w:val="24"/>
          <w:szCs w:val="24"/>
          <w:lang w:eastAsia="zh-CN"/>
        </w:rPr>
        <w:t>；</w:t>
      </w:r>
      <w:r>
        <w:rPr>
          <w:rFonts w:hint="eastAsia" w:ascii="仿宋" w:hAnsi="仿宋" w:eastAsia="仿宋" w:cs="仿宋"/>
          <w:b w:val="0"/>
          <w:bCs w:val="0"/>
          <w:spacing w:val="-3"/>
          <w:sz w:val="24"/>
          <w:szCs w:val="24"/>
        </w:rPr>
        <w:t xml:space="preserve"> 4、供应商操作指南详见新疆政府采购网（http://www.ccgp-xinjiang.gov.cn/）—办事指南—操作指南。  </w:t>
      </w:r>
    </w:p>
    <w:p w14:paraId="49613B25">
      <w:pPr>
        <w:spacing w:before="195" w:line="222" w:lineRule="auto"/>
        <w:ind w:left="30"/>
        <w:outlineLvl w:val="1"/>
        <w:rPr>
          <w:rFonts w:hint="eastAsia" w:ascii="仿宋" w:hAnsi="仿宋" w:eastAsia="仿宋" w:cs="仿宋"/>
          <w:b w:val="0"/>
          <w:bCs w:val="0"/>
          <w:spacing w:val="-3"/>
          <w:sz w:val="24"/>
          <w:szCs w:val="24"/>
        </w:rPr>
      </w:pPr>
      <w:r>
        <w:rPr>
          <w:rFonts w:hint="eastAsia" w:ascii="仿宋" w:hAnsi="仿宋" w:eastAsia="仿宋" w:cs="仿宋"/>
          <w:b w:val="0"/>
          <w:bCs w:val="0"/>
          <w:spacing w:val="-3"/>
          <w:sz w:val="24"/>
          <w:szCs w:val="24"/>
        </w:rPr>
        <w:t>特别提示：</w:t>
      </w:r>
    </w:p>
    <w:p w14:paraId="7F2D8D06">
      <w:pPr>
        <w:spacing w:before="195" w:line="222" w:lineRule="auto"/>
        <w:ind w:left="30"/>
        <w:outlineLvl w:val="1"/>
        <w:rPr>
          <w:rFonts w:hint="eastAsia" w:ascii="仿宋" w:hAnsi="仿宋" w:eastAsia="仿宋" w:cs="仿宋"/>
          <w:b w:val="0"/>
          <w:bCs w:val="0"/>
          <w:spacing w:val="-3"/>
          <w:sz w:val="24"/>
          <w:szCs w:val="24"/>
        </w:rPr>
      </w:pPr>
      <w:r>
        <w:rPr>
          <w:rFonts w:hint="eastAsia" w:ascii="仿宋" w:hAnsi="仿宋" w:eastAsia="仿宋" w:cs="仿宋"/>
          <w:b w:val="0"/>
          <w:bCs w:val="0"/>
          <w:spacing w:val="-3"/>
          <w:sz w:val="24"/>
          <w:szCs w:val="24"/>
        </w:rPr>
        <w:t>1、采购限额标准以上，200万元以下的货物和服务采购项目、400万元以下的工程采购项目，适宜由中小企业提供的，采购人应当专门面向中小企业采购。</w:t>
      </w:r>
    </w:p>
    <w:p w14:paraId="56632C26">
      <w:pPr>
        <w:spacing w:before="195" w:line="222" w:lineRule="auto"/>
        <w:ind w:left="30"/>
        <w:outlineLvl w:val="1"/>
        <w:rPr>
          <w:rFonts w:hint="eastAsia" w:ascii="仿宋" w:hAnsi="仿宋" w:eastAsia="仿宋" w:cs="仿宋"/>
          <w:b w:val="0"/>
          <w:bCs w:val="0"/>
          <w:spacing w:val="-3"/>
          <w:sz w:val="24"/>
          <w:szCs w:val="24"/>
        </w:rPr>
      </w:pPr>
      <w:r>
        <w:rPr>
          <w:rFonts w:hint="eastAsia" w:ascii="仿宋" w:hAnsi="仿宋" w:eastAsia="仿宋" w:cs="仿宋"/>
          <w:b w:val="0"/>
          <w:bCs w:val="0"/>
          <w:spacing w:val="-3"/>
          <w:sz w:val="24"/>
          <w:szCs w:val="24"/>
        </w:rPr>
        <w:t>2、超过200万元的货物和服务采购项目，预留该部分采购项目预算总额的30%以上专门面向中小企业采购，其中预留给小微企业的比例不低于60%。</w:t>
      </w:r>
    </w:p>
    <w:p w14:paraId="4E591321">
      <w:pPr>
        <w:spacing w:before="195" w:line="222" w:lineRule="auto"/>
        <w:ind w:left="30"/>
        <w:outlineLvl w:val="1"/>
        <w:rPr>
          <w:rFonts w:hint="eastAsia" w:ascii="仿宋" w:hAnsi="仿宋" w:eastAsia="仿宋" w:cs="仿宋"/>
          <w:b w:val="0"/>
          <w:bCs w:val="0"/>
          <w:spacing w:val="-3"/>
          <w:sz w:val="24"/>
          <w:szCs w:val="24"/>
        </w:rPr>
      </w:pPr>
      <w:r>
        <w:rPr>
          <w:rFonts w:hint="eastAsia" w:ascii="仿宋" w:hAnsi="仿宋" w:eastAsia="仿宋" w:cs="仿宋"/>
          <w:b w:val="0"/>
          <w:bCs w:val="0"/>
          <w:spacing w:val="-3"/>
          <w:sz w:val="24"/>
          <w:szCs w:val="24"/>
        </w:rPr>
        <w:t>3、超过400万元的工程采购项目中适宜由中小企业提供的，预留该部分采购项目预算总额的40%以上专门面向中小企业采购，其中预留给小微企业的比例不低于60%。</w:t>
      </w:r>
    </w:p>
    <w:p w14:paraId="71B43DEA">
      <w:pPr>
        <w:spacing w:before="195" w:line="222" w:lineRule="auto"/>
        <w:ind w:left="30"/>
        <w:outlineLvl w:val="1"/>
        <w:rPr>
          <w:rFonts w:hint="eastAsia" w:ascii="仿宋" w:hAnsi="仿宋" w:eastAsia="仿宋" w:cs="仿宋"/>
          <w:b w:val="0"/>
          <w:bCs w:val="0"/>
          <w:spacing w:val="-3"/>
          <w:sz w:val="24"/>
          <w:szCs w:val="24"/>
        </w:rPr>
      </w:pPr>
      <w:r>
        <w:rPr>
          <w:rFonts w:hint="eastAsia" w:ascii="仿宋" w:hAnsi="仿宋" w:eastAsia="仿宋" w:cs="仿宋"/>
          <w:b w:val="0"/>
          <w:bCs w:val="0"/>
          <w:spacing w:val="-3"/>
          <w:sz w:val="24"/>
          <w:szCs w:val="24"/>
        </w:rPr>
        <w:t>4、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79460584">
      <w:pPr>
        <w:spacing w:before="195" w:line="222" w:lineRule="auto"/>
        <w:ind w:left="30"/>
        <w:outlineLvl w:val="1"/>
        <w:rPr>
          <w:rFonts w:hint="eastAsia" w:ascii="仿宋" w:hAnsi="仿宋" w:eastAsia="仿宋" w:cs="仿宋"/>
          <w:b w:val="0"/>
          <w:bCs w:val="0"/>
          <w:spacing w:val="-3"/>
          <w:sz w:val="24"/>
          <w:szCs w:val="24"/>
        </w:rPr>
      </w:pPr>
      <w:r>
        <w:rPr>
          <w:rFonts w:hint="eastAsia" w:ascii="仿宋" w:hAnsi="仿宋" w:eastAsia="仿宋" w:cs="仿宋"/>
          <w:b w:val="0"/>
          <w:bCs w:val="0"/>
          <w:spacing w:val="-3"/>
          <w:sz w:val="24"/>
          <w:szCs w:val="24"/>
        </w:rPr>
        <w:t>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14:paraId="023A031B">
      <w:pPr>
        <w:spacing w:before="195" w:line="222" w:lineRule="auto"/>
        <w:ind w:left="30"/>
        <w:outlineLvl w:val="1"/>
        <w:rPr>
          <w:rFonts w:hint="eastAsia" w:ascii="仿宋" w:hAnsi="仿宋" w:eastAsia="仿宋" w:cs="仿宋"/>
          <w:b/>
          <w:bCs/>
          <w:spacing w:val="-3"/>
          <w:sz w:val="24"/>
          <w:szCs w:val="24"/>
        </w:rPr>
      </w:pPr>
      <w:r>
        <w:rPr>
          <w:rFonts w:hint="eastAsia" w:ascii="仿宋" w:hAnsi="仿宋" w:eastAsia="仿宋" w:cs="仿宋"/>
          <w:b/>
          <w:bCs/>
          <w:spacing w:val="-3"/>
          <w:sz w:val="24"/>
          <w:szCs w:val="24"/>
        </w:rPr>
        <w:t>八、凡对本次采购提出询问，请按以下方式联系。</w:t>
      </w:r>
    </w:p>
    <w:p w14:paraId="236FC075">
      <w:pPr>
        <w:spacing w:line="223"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1.采购人信息</w:t>
      </w:r>
    </w:p>
    <w:p w14:paraId="1A62A2A2">
      <w:pPr>
        <w:spacing w:line="223"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名 称：</w:t>
      </w:r>
      <w:r>
        <w:rPr>
          <w:rFonts w:hint="eastAsia" w:ascii="仿宋" w:hAnsi="仿宋" w:eastAsia="仿宋" w:cs="仿宋"/>
          <w:sz w:val="24"/>
          <w:szCs w:val="24"/>
          <w:lang w:val="en-US" w:eastAsia="zh-CN"/>
        </w:rPr>
        <w:t>拜城县人民医院</w:t>
      </w:r>
    </w:p>
    <w:p w14:paraId="7544DBEA">
      <w:pPr>
        <w:spacing w:line="223"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地 址：</w:t>
      </w:r>
      <w:r>
        <w:rPr>
          <w:rFonts w:hint="eastAsia" w:ascii="仿宋" w:hAnsi="仿宋" w:eastAsia="仿宋" w:cs="仿宋"/>
          <w:sz w:val="24"/>
          <w:szCs w:val="24"/>
          <w:lang w:val="en-US" w:eastAsia="zh-CN"/>
        </w:rPr>
        <w:t>拜城县胜利路15号</w:t>
      </w:r>
    </w:p>
    <w:p w14:paraId="38D99E76">
      <w:pPr>
        <w:spacing w:line="223" w:lineRule="auto"/>
        <w:ind w:firstLine="480" w:firstLineChars="200"/>
        <w:rPr>
          <w:rFonts w:hint="eastAsia" w:ascii="仿宋" w:hAnsi="仿宋" w:eastAsia="仿宋" w:cs="仿宋"/>
          <w:sz w:val="24"/>
          <w:szCs w:val="24"/>
        </w:rPr>
      </w:pPr>
      <w:r>
        <w:rPr>
          <w:rFonts w:hint="eastAsia" w:ascii="仿宋" w:hAnsi="仿宋" w:eastAsia="仿宋" w:cs="仿宋"/>
          <w:sz w:val="24"/>
          <w:szCs w:val="24"/>
        </w:rPr>
        <w:t>联系方式：</w:t>
      </w:r>
      <w:r>
        <w:rPr>
          <w:rFonts w:hint="eastAsia" w:ascii="仿宋" w:hAnsi="仿宋" w:eastAsia="仿宋" w:cs="仿宋"/>
          <w:sz w:val="24"/>
          <w:szCs w:val="24"/>
          <w:lang w:val="en-US" w:eastAsia="zh-CN"/>
        </w:rPr>
        <w:t>15026271955</w:t>
      </w:r>
    </w:p>
    <w:p w14:paraId="6AD5E159">
      <w:pPr>
        <w:spacing w:line="223"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2.采购代理机构信息</w:t>
      </w:r>
    </w:p>
    <w:p w14:paraId="0A8A2F07">
      <w:pPr>
        <w:spacing w:line="223"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名 称：</w:t>
      </w:r>
      <w:r>
        <w:rPr>
          <w:rFonts w:hint="eastAsia" w:ascii="仿宋" w:hAnsi="仿宋" w:eastAsia="仿宋" w:cs="仿宋"/>
          <w:sz w:val="24"/>
          <w:szCs w:val="24"/>
          <w:lang w:val="en-US" w:eastAsia="zh-CN"/>
        </w:rPr>
        <w:t>阿克苏疆山项目管理有限公司</w:t>
      </w:r>
    </w:p>
    <w:p w14:paraId="6AF7DF6C">
      <w:pPr>
        <w:spacing w:line="223"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地 址：</w:t>
      </w:r>
      <w:r>
        <w:rPr>
          <w:rFonts w:hint="eastAsia" w:ascii="仿宋" w:hAnsi="仿宋" w:eastAsia="仿宋" w:cs="仿宋"/>
          <w:sz w:val="24"/>
          <w:szCs w:val="24"/>
          <w:lang w:val="en-US" w:eastAsia="zh-CN"/>
        </w:rPr>
        <w:t>阿克苏市采荷路1号云山悦府12号楼2单元202室</w:t>
      </w:r>
    </w:p>
    <w:p w14:paraId="01175F73">
      <w:pPr>
        <w:spacing w:line="223" w:lineRule="auto"/>
        <w:ind w:firstLine="480" w:firstLineChars="200"/>
        <w:rPr>
          <w:rFonts w:hint="eastAsia" w:ascii="仿宋" w:hAnsi="仿宋" w:eastAsia="仿宋" w:cs="仿宋"/>
          <w:sz w:val="24"/>
          <w:szCs w:val="24"/>
        </w:rPr>
      </w:pPr>
      <w:r>
        <w:rPr>
          <w:rFonts w:hint="eastAsia" w:ascii="仿宋" w:hAnsi="仿宋" w:eastAsia="仿宋" w:cs="仿宋"/>
          <w:sz w:val="24"/>
          <w:szCs w:val="24"/>
        </w:rPr>
        <w:t>联系方式：</w:t>
      </w:r>
      <w:r>
        <w:rPr>
          <w:rFonts w:hint="eastAsia" w:ascii="仿宋" w:hAnsi="仿宋" w:eastAsia="仿宋" w:cs="仿宋"/>
          <w:sz w:val="24"/>
          <w:szCs w:val="24"/>
          <w:lang w:val="en-US" w:eastAsia="zh-CN"/>
        </w:rPr>
        <w:t>18399561515</w:t>
      </w:r>
    </w:p>
    <w:p w14:paraId="0641BE3C">
      <w:pPr>
        <w:spacing w:line="223"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3.项目联系方式</w:t>
      </w:r>
    </w:p>
    <w:p w14:paraId="36F452A4">
      <w:pPr>
        <w:spacing w:line="223"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rPr>
        <w:t>项目联系人：刘</w:t>
      </w:r>
      <w:r>
        <w:rPr>
          <w:rFonts w:hint="eastAsia" w:ascii="仿宋" w:hAnsi="仿宋" w:eastAsia="仿宋" w:cs="仿宋"/>
          <w:sz w:val="24"/>
          <w:szCs w:val="24"/>
          <w:lang w:eastAsia="zh-CN"/>
        </w:rPr>
        <w:t>辉</w:t>
      </w:r>
    </w:p>
    <w:p w14:paraId="49E2FD62">
      <w:pPr>
        <w:spacing w:line="223" w:lineRule="auto"/>
        <w:ind w:firstLine="480" w:firstLineChars="200"/>
        <w:rPr>
          <w:rFonts w:ascii="仿宋" w:hAnsi="仿宋" w:eastAsia="仿宋" w:cs="仿宋"/>
          <w:sz w:val="24"/>
          <w:szCs w:val="24"/>
        </w:rPr>
        <w:sectPr>
          <w:headerReference r:id="rId6" w:type="default"/>
          <w:footerReference r:id="rId7" w:type="default"/>
          <w:pgSz w:w="11905" w:h="16838"/>
          <w:pgMar w:top="1276" w:right="1814" w:bottom="1276" w:left="1814" w:header="567" w:footer="567" w:gutter="0"/>
          <w:pgNumType w:fmt="decimal" w:start="1"/>
          <w:cols w:space="0" w:num="1"/>
          <w:rtlGutter w:val="0"/>
          <w:docGrid w:linePitch="0" w:charSpace="0"/>
        </w:sectPr>
      </w:pPr>
      <w:r>
        <w:rPr>
          <w:rFonts w:hint="eastAsia" w:ascii="仿宋" w:hAnsi="仿宋" w:eastAsia="仿宋" w:cs="仿宋"/>
          <w:sz w:val="24"/>
          <w:szCs w:val="24"/>
        </w:rPr>
        <w:t>电 话：</w:t>
      </w:r>
      <w:r>
        <w:rPr>
          <w:rFonts w:hint="eastAsia" w:ascii="仿宋" w:hAnsi="仿宋" w:eastAsia="仿宋" w:cs="仿宋"/>
          <w:sz w:val="24"/>
          <w:szCs w:val="24"/>
          <w:lang w:val="en-US" w:eastAsia="zh-CN"/>
        </w:rPr>
        <w:t>18399561515</w:t>
      </w:r>
    </w:p>
    <w:p w14:paraId="41C24139">
      <w:pPr>
        <w:spacing w:before="1" w:line="213" w:lineRule="auto"/>
        <w:ind w:left="2437"/>
        <w:outlineLvl w:val="0"/>
        <w:rPr>
          <w:rFonts w:ascii="黑体" w:hAnsi="黑体" w:eastAsia="黑体" w:cs="黑体"/>
          <w:sz w:val="35"/>
          <w:szCs w:val="35"/>
        </w:rPr>
      </w:pPr>
      <w:bookmarkStart w:id="3" w:name="bookmark2"/>
      <w:bookmarkEnd w:id="3"/>
      <w:r>
        <w:rPr>
          <w:rFonts w:ascii="黑体" w:hAnsi="黑体" w:eastAsia="黑体" w:cs="黑体"/>
          <w:spacing w:val="9"/>
          <w:sz w:val="35"/>
          <w:szCs w:val="35"/>
          <w14:textOutline w14:w="6537" w14:cap="sq" w14:cmpd="sng">
            <w14:solidFill>
              <w14:srgbClr w14:val="000000"/>
            </w14:solidFill>
            <w14:prstDash w14:val="solid"/>
            <w14:bevel/>
          </w14:textOutline>
        </w:rPr>
        <w:t>第二章</w:t>
      </w:r>
      <w:r>
        <w:rPr>
          <w:rFonts w:ascii="黑体" w:hAnsi="黑体" w:eastAsia="黑体" w:cs="黑体"/>
          <w:spacing w:val="9"/>
          <w:sz w:val="35"/>
          <w:szCs w:val="35"/>
        </w:rPr>
        <w:t xml:space="preserve">  </w:t>
      </w:r>
      <w:r>
        <w:rPr>
          <w:rFonts w:ascii="黑体" w:hAnsi="黑体" w:eastAsia="黑体" w:cs="黑体"/>
          <w:spacing w:val="9"/>
          <w:sz w:val="35"/>
          <w:szCs w:val="35"/>
          <w14:textOutline w14:w="6537" w14:cap="sq" w14:cmpd="sng">
            <w14:solidFill>
              <w14:srgbClr w14:val="000000"/>
            </w14:solidFill>
            <w14:prstDash w14:val="solid"/>
            <w14:bevel/>
          </w14:textOutline>
        </w:rPr>
        <w:t>供应商须知及前附表</w:t>
      </w:r>
    </w:p>
    <w:p w14:paraId="47978B4B">
      <w:pPr>
        <w:spacing w:before="23" w:line="219" w:lineRule="auto"/>
        <w:ind w:left="3246"/>
        <w:outlineLvl w:val="1"/>
        <w:rPr>
          <w:rFonts w:ascii="宋体" w:hAnsi="宋体" w:eastAsia="宋体" w:cs="宋体"/>
          <w:sz w:val="28"/>
          <w:szCs w:val="28"/>
        </w:rPr>
      </w:pPr>
      <w:r>
        <w:rPr>
          <w:rFonts w:ascii="宋体" w:hAnsi="宋体" w:eastAsia="宋体" w:cs="宋体"/>
          <w:spacing w:val="-1"/>
          <w:sz w:val="28"/>
          <w:szCs w:val="28"/>
          <w14:textOutline w14:w="5103" w14:cap="sq" w14:cmpd="sng">
            <w14:solidFill>
              <w14:srgbClr w14:val="000000"/>
            </w14:solidFill>
            <w14:prstDash w14:val="solid"/>
            <w14:bevel/>
          </w14:textOutline>
        </w:rPr>
        <w:t>（一）供应商须知前附表</w:t>
      </w:r>
    </w:p>
    <w:p w14:paraId="63251467">
      <w:pPr>
        <w:spacing w:line="170" w:lineRule="exact"/>
      </w:pPr>
    </w:p>
    <w:tbl>
      <w:tblPr>
        <w:tblStyle w:val="14"/>
        <w:tblW w:w="9715" w:type="dxa"/>
        <w:tblInd w:w="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2"/>
        <w:gridCol w:w="1870"/>
        <w:gridCol w:w="7103"/>
      </w:tblGrid>
      <w:tr w14:paraId="1E1B5E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trPr>
        <w:tc>
          <w:tcPr>
            <w:tcW w:w="742" w:type="dxa"/>
            <w:tcBorders>
              <w:top w:val="single" w:color="000000" w:sz="4" w:space="0"/>
              <w:left w:val="single" w:color="000000" w:sz="4" w:space="0"/>
            </w:tcBorders>
            <w:vAlign w:val="center"/>
          </w:tcPr>
          <w:p w14:paraId="2906A13D">
            <w:pPr>
              <w:spacing w:line="325" w:lineRule="auto"/>
              <w:jc w:val="center"/>
              <w:rPr>
                <w:rFonts w:ascii="Arial"/>
                <w:color w:val="auto"/>
                <w:sz w:val="21"/>
              </w:rPr>
            </w:pPr>
          </w:p>
          <w:p w14:paraId="55DC657A">
            <w:pPr>
              <w:spacing w:before="78" w:line="221" w:lineRule="auto"/>
              <w:ind w:left="139"/>
              <w:jc w:val="center"/>
              <w:rPr>
                <w:rFonts w:ascii="宋体" w:hAnsi="宋体" w:eastAsia="宋体" w:cs="宋体"/>
                <w:color w:val="auto"/>
                <w:sz w:val="24"/>
                <w:szCs w:val="24"/>
              </w:rPr>
            </w:pPr>
            <w:r>
              <w:rPr>
                <w:rFonts w:ascii="宋体" w:hAnsi="宋体" w:eastAsia="宋体" w:cs="宋体"/>
                <w:color w:val="auto"/>
                <w:spacing w:val="-5"/>
                <w:sz w:val="24"/>
                <w:szCs w:val="24"/>
                <w14:textOutline w14:w="4358" w14:cap="sq" w14:cmpd="sng">
                  <w14:solidFill>
                    <w14:srgbClr w14:val="000000"/>
                  </w14:solidFill>
                  <w14:prstDash w14:val="solid"/>
                  <w14:bevel/>
                </w14:textOutline>
              </w:rPr>
              <w:t>序号</w:t>
            </w:r>
          </w:p>
        </w:tc>
        <w:tc>
          <w:tcPr>
            <w:tcW w:w="1870" w:type="dxa"/>
            <w:tcBorders>
              <w:top w:val="single" w:color="000000" w:sz="4" w:space="0"/>
            </w:tcBorders>
            <w:vAlign w:val="center"/>
          </w:tcPr>
          <w:p w14:paraId="142ECF3D">
            <w:pPr>
              <w:spacing w:line="326" w:lineRule="auto"/>
              <w:jc w:val="center"/>
              <w:rPr>
                <w:rFonts w:ascii="Arial"/>
                <w:color w:val="auto"/>
                <w:sz w:val="21"/>
              </w:rPr>
            </w:pPr>
          </w:p>
          <w:p w14:paraId="0F53864D">
            <w:pPr>
              <w:spacing w:before="78" w:line="219" w:lineRule="auto"/>
              <w:ind w:left="557"/>
              <w:jc w:val="center"/>
              <w:rPr>
                <w:rFonts w:ascii="宋体" w:hAnsi="宋体" w:eastAsia="宋体" w:cs="宋体"/>
                <w:color w:val="auto"/>
                <w:sz w:val="24"/>
                <w:szCs w:val="24"/>
              </w:rPr>
            </w:pPr>
            <w:r>
              <w:rPr>
                <w:rFonts w:ascii="宋体" w:hAnsi="宋体" w:eastAsia="宋体" w:cs="宋体"/>
                <w:color w:val="auto"/>
                <w:spacing w:val="-3"/>
                <w:sz w:val="24"/>
                <w:szCs w:val="24"/>
                <w14:textOutline w14:w="4358" w14:cap="sq" w14:cmpd="sng">
                  <w14:solidFill>
                    <w14:srgbClr w14:val="000000"/>
                  </w14:solidFill>
                  <w14:prstDash w14:val="solid"/>
                  <w14:bevel/>
                </w14:textOutline>
              </w:rPr>
              <w:t>条款名称</w:t>
            </w:r>
          </w:p>
        </w:tc>
        <w:tc>
          <w:tcPr>
            <w:tcW w:w="7103" w:type="dxa"/>
            <w:tcBorders>
              <w:top w:val="single" w:color="000000" w:sz="4" w:space="0"/>
              <w:right w:val="single" w:color="000000" w:sz="4" w:space="0"/>
            </w:tcBorders>
            <w:vAlign w:val="center"/>
          </w:tcPr>
          <w:p w14:paraId="60887945">
            <w:pPr>
              <w:spacing w:line="326" w:lineRule="auto"/>
              <w:jc w:val="center"/>
              <w:rPr>
                <w:rFonts w:ascii="Arial"/>
                <w:color w:val="auto"/>
                <w:sz w:val="21"/>
              </w:rPr>
            </w:pPr>
          </w:p>
          <w:p w14:paraId="37B20E26">
            <w:pPr>
              <w:spacing w:before="78" w:line="219" w:lineRule="auto"/>
              <w:ind w:left="2604"/>
              <w:jc w:val="both"/>
              <w:rPr>
                <w:rFonts w:ascii="宋体" w:hAnsi="宋体" w:eastAsia="宋体" w:cs="宋体"/>
                <w:color w:val="auto"/>
                <w:sz w:val="24"/>
                <w:szCs w:val="24"/>
              </w:rPr>
            </w:pPr>
            <w:r>
              <w:rPr>
                <w:rFonts w:ascii="宋体" w:hAnsi="宋体" w:eastAsia="宋体" w:cs="宋体"/>
                <w:color w:val="auto"/>
                <w:spacing w:val="-16"/>
                <w:sz w:val="24"/>
                <w:szCs w:val="24"/>
                <w14:textOutline w14:w="4358" w14:cap="sq" w14:cmpd="sng">
                  <w14:solidFill>
                    <w14:srgbClr w14:val="000000"/>
                  </w14:solidFill>
                  <w14:prstDash w14:val="solid"/>
                  <w14:bevel/>
                </w14:textOutline>
              </w:rPr>
              <w:t>内</w:t>
            </w:r>
            <w:r>
              <w:rPr>
                <w:rFonts w:ascii="宋体" w:hAnsi="宋体" w:eastAsia="宋体" w:cs="宋体"/>
                <w:color w:val="auto"/>
                <w:spacing w:val="5"/>
                <w:sz w:val="24"/>
                <w:szCs w:val="24"/>
              </w:rPr>
              <w:t xml:space="preserve">   </w:t>
            </w:r>
            <w:r>
              <w:rPr>
                <w:rFonts w:ascii="宋体" w:hAnsi="宋体" w:eastAsia="宋体" w:cs="宋体"/>
                <w:color w:val="auto"/>
                <w:spacing w:val="-16"/>
                <w:sz w:val="24"/>
                <w:szCs w:val="24"/>
                <w14:textOutline w14:w="4358" w14:cap="sq" w14:cmpd="sng">
                  <w14:solidFill>
                    <w14:srgbClr w14:val="000000"/>
                  </w14:solidFill>
                  <w14:prstDash w14:val="solid"/>
                  <w14:bevel/>
                </w14:textOutline>
              </w:rPr>
              <w:t>容</w:t>
            </w:r>
            <w:r>
              <w:rPr>
                <w:rFonts w:ascii="宋体" w:hAnsi="宋体" w:eastAsia="宋体" w:cs="宋体"/>
                <w:color w:val="auto"/>
                <w:spacing w:val="4"/>
                <w:sz w:val="24"/>
                <w:szCs w:val="24"/>
              </w:rPr>
              <w:t xml:space="preserve">   </w:t>
            </w:r>
            <w:r>
              <w:rPr>
                <w:rFonts w:ascii="宋体" w:hAnsi="宋体" w:eastAsia="宋体" w:cs="宋体"/>
                <w:color w:val="auto"/>
                <w:spacing w:val="-16"/>
                <w:sz w:val="24"/>
                <w:szCs w:val="24"/>
                <w14:textOutline w14:w="4358" w14:cap="sq" w14:cmpd="sng">
                  <w14:solidFill>
                    <w14:srgbClr w14:val="000000"/>
                  </w14:solidFill>
                  <w14:prstDash w14:val="solid"/>
                  <w14:bevel/>
                </w14:textOutline>
              </w:rPr>
              <w:t>规</w:t>
            </w:r>
            <w:r>
              <w:rPr>
                <w:rFonts w:ascii="宋体" w:hAnsi="宋体" w:eastAsia="宋体" w:cs="宋体"/>
                <w:color w:val="auto"/>
                <w:spacing w:val="6"/>
                <w:sz w:val="24"/>
                <w:szCs w:val="24"/>
              </w:rPr>
              <w:t xml:space="preserve">   </w:t>
            </w:r>
            <w:r>
              <w:rPr>
                <w:rFonts w:ascii="宋体" w:hAnsi="宋体" w:eastAsia="宋体" w:cs="宋体"/>
                <w:color w:val="auto"/>
                <w:spacing w:val="-16"/>
                <w:sz w:val="24"/>
                <w:szCs w:val="24"/>
                <w14:textOutline w14:w="4358" w14:cap="sq" w14:cmpd="sng">
                  <w14:solidFill>
                    <w14:srgbClr w14:val="000000"/>
                  </w14:solidFill>
                  <w14:prstDash w14:val="solid"/>
                  <w14:bevel/>
                </w14:textOutline>
              </w:rPr>
              <w:t>定</w:t>
            </w:r>
          </w:p>
        </w:tc>
      </w:tr>
      <w:tr w14:paraId="25C214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3" w:hRule="atLeast"/>
        </w:trPr>
        <w:tc>
          <w:tcPr>
            <w:tcW w:w="742" w:type="dxa"/>
            <w:tcBorders>
              <w:left w:val="single" w:color="000000" w:sz="4" w:space="0"/>
            </w:tcBorders>
            <w:vAlign w:val="top"/>
          </w:tcPr>
          <w:p w14:paraId="22416B30">
            <w:pPr>
              <w:spacing w:before="207" w:line="184" w:lineRule="auto"/>
              <w:ind w:left="338"/>
              <w:rPr>
                <w:rFonts w:ascii="宋体" w:hAnsi="宋体" w:eastAsia="宋体" w:cs="宋体"/>
                <w:color w:val="auto"/>
                <w:sz w:val="24"/>
                <w:szCs w:val="24"/>
              </w:rPr>
            </w:pPr>
            <w:r>
              <w:rPr>
                <w:rFonts w:ascii="宋体" w:hAnsi="宋体" w:eastAsia="宋体" w:cs="宋体"/>
                <w:color w:val="auto"/>
                <w:sz w:val="24"/>
                <w:szCs w:val="24"/>
              </w:rPr>
              <w:t>1</w:t>
            </w:r>
          </w:p>
        </w:tc>
        <w:tc>
          <w:tcPr>
            <w:tcW w:w="1870" w:type="dxa"/>
            <w:vAlign w:val="top"/>
          </w:tcPr>
          <w:p w14:paraId="130D910E">
            <w:pPr>
              <w:spacing w:before="170" w:line="220" w:lineRule="auto"/>
              <w:ind w:left="559"/>
              <w:rPr>
                <w:rFonts w:ascii="宋体" w:hAnsi="宋体" w:eastAsia="宋体" w:cs="宋体"/>
                <w:color w:val="auto"/>
                <w:sz w:val="24"/>
                <w:szCs w:val="24"/>
              </w:rPr>
            </w:pPr>
            <w:r>
              <w:rPr>
                <w:rFonts w:ascii="宋体" w:hAnsi="宋体" w:eastAsia="宋体" w:cs="宋体"/>
                <w:color w:val="auto"/>
                <w:spacing w:val="-3"/>
                <w:sz w:val="24"/>
                <w:szCs w:val="24"/>
                <w14:textOutline w14:w="4358" w14:cap="sq" w14:cmpd="sng">
                  <w14:solidFill>
                    <w14:srgbClr w14:val="000000"/>
                  </w14:solidFill>
                  <w14:prstDash w14:val="solid"/>
                  <w14:bevel/>
                </w14:textOutline>
              </w:rPr>
              <w:t>项目名称</w:t>
            </w:r>
          </w:p>
        </w:tc>
        <w:tc>
          <w:tcPr>
            <w:tcW w:w="7103" w:type="dxa"/>
            <w:tcBorders>
              <w:right w:val="single" w:color="000000" w:sz="4" w:space="0"/>
            </w:tcBorders>
            <w:vAlign w:val="top"/>
          </w:tcPr>
          <w:p w14:paraId="00B852A0">
            <w:pPr>
              <w:spacing w:before="171" w:line="219" w:lineRule="auto"/>
              <w:ind w:left="122"/>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项目名称：拜城县人民医院2025年中药饮片购置项目</w:t>
            </w:r>
          </w:p>
          <w:p w14:paraId="29917CC5">
            <w:pPr>
              <w:spacing w:before="171" w:line="219" w:lineRule="auto"/>
              <w:ind w:left="122"/>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标项名称：标项一：拜城县人民医院2025年中药饮片购置项目（一标段）</w:t>
            </w:r>
          </w:p>
          <w:p w14:paraId="659B86DB">
            <w:pPr>
              <w:spacing w:before="171" w:line="219" w:lineRule="auto"/>
              <w:ind w:left="122"/>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标项二：拜城县人民医院2025年中药饮片购置项目（二标段）</w:t>
            </w:r>
          </w:p>
          <w:p w14:paraId="115C2125">
            <w:pPr>
              <w:spacing w:before="171" w:line="219" w:lineRule="auto"/>
              <w:ind w:left="122"/>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标项三：拜城县人民医院2025年中药饮片购置项目（三标段）</w:t>
            </w:r>
          </w:p>
          <w:p w14:paraId="2CAA214C">
            <w:pPr>
              <w:spacing w:before="171" w:line="219" w:lineRule="auto"/>
              <w:ind w:left="122"/>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标项四：拜城县人民医院2025年中药饮片购置项目（四标段）</w:t>
            </w:r>
          </w:p>
        </w:tc>
      </w:tr>
      <w:tr w14:paraId="722F36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8" w:hRule="atLeast"/>
        </w:trPr>
        <w:tc>
          <w:tcPr>
            <w:tcW w:w="742" w:type="dxa"/>
            <w:tcBorders>
              <w:left w:val="single" w:color="000000" w:sz="4" w:space="0"/>
            </w:tcBorders>
            <w:vAlign w:val="top"/>
          </w:tcPr>
          <w:p w14:paraId="2EB9BB53">
            <w:pPr>
              <w:spacing w:before="242" w:line="183" w:lineRule="auto"/>
              <w:ind w:left="323"/>
              <w:rPr>
                <w:rFonts w:ascii="宋体" w:hAnsi="宋体" w:eastAsia="宋体" w:cs="宋体"/>
                <w:color w:val="auto"/>
                <w:sz w:val="24"/>
                <w:szCs w:val="24"/>
              </w:rPr>
            </w:pPr>
            <w:r>
              <w:rPr>
                <w:rFonts w:ascii="宋体" w:hAnsi="宋体" w:eastAsia="宋体" w:cs="宋体"/>
                <w:color w:val="auto"/>
                <w:sz w:val="24"/>
                <w:szCs w:val="24"/>
              </w:rPr>
              <w:t>2</w:t>
            </w:r>
          </w:p>
        </w:tc>
        <w:tc>
          <w:tcPr>
            <w:tcW w:w="1870" w:type="dxa"/>
            <w:vAlign w:val="top"/>
          </w:tcPr>
          <w:p w14:paraId="6E8033FF">
            <w:pPr>
              <w:spacing w:before="205" w:line="219" w:lineRule="auto"/>
              <w:ind w:left="559"/>
              <w:rPr>
                <w:rFonts w:ascii="宋体" w:hAnsi="宋体" w:eastAsia="宋体" w:cs="宋体"/>
                <w:color w:val="auto"/>
                <w:sz w:val="24"/>
                <w:szCs w:val="24"/>
              </w:rPr>
            </w:pPr>
            <w:r>
              <w:rPr>
                <w:rFonts w:ascii="宋体" w:hAnsi="宋体" w:eastAsia="宋体" w:cs="宋体"/>
                <w:color w:val="auto"/>
                <w:spacing w:val="-3"/>
                <w:sz w:val="24"/>
                <w:szCs w:val="24"/>
                <w14:textOutline w14:w="4358" w14:cap="sq" w14:cmpd="sng">
                  <w14:solidFill>
                    <w14:srgbClr w14:val="000000"/>
                  </w14:solidFill>
                  <w14:prstDash w14:val="solid"/>
                  <w14:bevel/>
                </w14:textOutline>
              </w:rPr>
              <w:t>项目编号</w:t>
            </w:r>
          </w:p>
        </w:tc>
        <w:tc>
          <w:tcPr>
            <w:tcW w:w="7103" w:type="dxa"/>
            <w:tcBorders>
              <w:right w:val="single" w:color="000000" w:sz="4" w:space="0"/>
            </w:tcBorders>
            <w:vAlign w:val="top"/>
          </w:tcPr>
          <w:p w14:paraId="3A601A26">
            <w:pPr>
              <w:spacing w:before="226" w:line="220" w:lineRule="auto"/>
              <w:ind w:left="115"/>
              <w:rPr>
                <w:rFonts w:hint="eastAsia" w:ascii="宋体" w:hAnsi="宋体" w:eastAsia="宋体" w:cs="宋体"/>
                <w:color w:val="auto"/>
                <w:sz w:val="24"/>
                <w:szCs w:val="24"/>
                <w:lang w:eastAsia="zh-CN"/>
              </w:rPr>
            </w:pPr>
          </w:p>
        </w:tc>
      </w:tr>
      <w:tr w14:paraId="31B6AA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65" w:hRule="atLeast"/>
        </w:trPr>
        <w:tc>
          <w:tcPr>
            <w:tcW w:w="742" w:type="dxa"/>
            <w:tcBorders>
              <w:left w:val="single" w:color="000000" w:sz="4" w:space="0"/>
            </w:tcBorders>
            <w:vAlign w:val="top"/>
          </w:tcPr>
          <w:p w14:paraId="4E9EDD1F">
            <w:pPr>
              <w:spacing w:line="303" w:lineRule="auto"/>
              <w:rPr>
                <w:rFonts w:ascii="Arial"/>
                <w:color w:val="auto"/>
                <w:sz w:val="21"/>
              </w:rPr>
            </w:pPr>
          </w:p>
          <w:p w14:paraId="06C53579">
            <w:pPr>
              <w:spacing w:line="304" w:lineRule="auto"/>
              <w:rPr>
                <w:rFonts w:ascii="Arial"/>
                <w:color w:val="auto"/>
                <w:sz w:val="21"/>
              </w:rPr>
            </w:pPr>
          </w:p>
          <w:p w14:paraId="384BDBF9">
            <w:pPr>
              <w:spacing w:before="78" w:line="183" w:lineRule="auto"/>
              <w:ind w:left="325"/>
              <w:rPr>
                <w:rFonts w:ascii="宋体" w:hAnsi="宋体" w:eastAsia="宋体" w:cs="宋体"/>
                <w:color w:val="auto"/>
                <w:sz w:val="24"/>
                <w:szCs w:val="24"/>
              </w:rPr>
            </w:pPr>
            <w:r>
              <w:rPr>
                <w:rFonts w:ascii="宋体" w:hAnsi="宋体" w:eastAsia="宋体" w:cs="宋体"/>
                <w:color w:val="auto"/>
                <w:sz w:val="24"/>
                <w:szCs w:val="24"/>
              </w:rPr>
              <w:t>3</w:t>
            </w:r>
          </w:p>
        </w:tc>
        <w:tc>
          <w:tcPr>
            <w:tcW w:w="1870" w:type="dxa"/>
            <w:vAlign w:val="top"/>
          </w:tcPr>
          <w:p w14:paraId="1BBE57FF">
            <w:pPr>
              <w:spacing w:line="284" w:lineRule="auto"/>
              <w:rPr>
                <w:rFonts w:ascii="Arial"/>
                <w:color w:val="auto"/>
                <w:sz w:val="21"/>
              </w:rPr>
            </w:pPr>
          </w:p>
          <w:p w14:paraId="1283BA9F">
            <w:pPr>
              <w:spacing w:line="285" w:lineRule="auto"/>
              <w:rPr>
                <w:rFonts w:ascii="Arial"/>
                <w:color w:val="auto"/>
                <w:sz w:val="21"/>
              </w:rPr>
            </w:pPr>
          </w:p>
          <w:p w14:paraId="2AEF2D2E">
            <w:pPr>
              <w:spacing w:before="78" w:line="219" w:lineRule="auto"/>
              <w:ind w:left="674"/>
              <w:rPr>
                <w:rFonts w:ascii="宋体" w:hAnsi="宋体" w:eastAsia="宋体" w:cs="宋体"/>
                <w:color w:val="auto"/>
                <w:sz w:val="24"/>
                <w:szCs w:val="24"/>
              </w:rPr>
            </w:pPr>
            <w:r>
              <w:rPr>
                <w:rFonts w:ascii="宋体" w:hAnsi="宋体" w:eastAsia="宋体" w:cs="宋体"/>
                <w:color w:val="auto"/>
                <w:spacing w:val="-3"/>
                <w:sz w:val="24"/>
                <w:szCs w:val="24"/>
                <w14:textOutline w14:w="4358" w14:cap="sq" w14:cmpd="sng">
                  <w14:solidFill>
                    <w14:srgbClr w14:val="000000"/>
                  </w14:solidFill>
                  <w14:prstDash w14:val="solid"/>
                  <w14:bevel/>
                </w14:textOutline>
              </w:rPr>
              <w:t>采购人</w:t>
            </w:r>
          </w:p>
        </w:tc>
        <w:tc>
          <w:tcPr>
            <w:tcW w:w="7103" w:type="dxa"/>
            <w:tcBorders>
              <w:right w:val="single" w:color="000000" w:sz="4" w:space="0"/>
            </w:tcBorders>
            <w:vAlign w:val="top"/>
          </w:tcPr>
          <w:p w14:paraId="4DCE6910">
            <w:pPr>
              <w:spacing w:before="70" w:line="221" w:lineRule="auto"/>
              <w:ind w:left="14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名 称：拜城县人民医院</w:t>
            </w:r>
          </w:p>
          <w:p w14:paraId="3476468A">
            <w:pPr>
              <w:spacing w:before="70" w:line="221" w:lineRule="auto"/>
              <w:ind w:left="14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地 址：拜城县胜利路15号</w:t>
            </w:r>
          </w:p>
          <w:p w14:paraId="4BF85FAF">
            <w:pPr>
              <w:spacing w:before="70" w:line="221" w:lineRule="auto"/>
              <w:ind w:left="14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联系人：丁兆平</w:t>
            </w:r>
          </w:p>
          <w:p w14:paraId="25CAD64F">
            <w:pPr>
              <w:spacing w:before="70" w:line="221" w:lineRule="auto"/>
              <w:ind w:left="14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电 话：</w:t>
            </w:r>
            <w:r>
              <w:rPr>
                <w:rFonts w:hint="eastAsia" w:ascii="宋体" w:hAnsi="宋体" w:eastAsia="宋体" w:cs="宋体"/>
                <w:color w:val="auto"/>
                <w:sz w:val="24"/>
                <w:szCs w:val="24"/>
                <w:lang w:val="en-US" w:eastAsia="zh-CN"/>
              </w:rPr>
              <w:t>15026271955</w:t>
            </w:r>
          </w:p>
          <w:p w14:paraId="4B259EE1">
            <w:pPr>
              <w:spacing w:before="70" w:line="221" w:lineRule="auto"/>
              <w:ind w:left="140"/>
              <w:rPr>
                <w:rFonts w:hint="eastAsia"/>
                <w:lang w:eastAsia="zh-CN"/>
              </w:rPr>
            </w:pPr>
            <w:r>
              <w:rPr>
                <w:rFonts w:hint="eastAsia" w:ascii="宋体" w:hAnsi="宋体" w:eastAsia="宋体" w:cs="宋体"/>
                <w:color w:val="auto"/>
                <w:sz w:val="24"/>
                <w:szCs w:val="24"/>
                <w:lang w:eastAsia="zh-CN"/>
              </w:rPr>
              <w:t>邮箱：342920840@qq.com</w:t>
            </w:r>
          </w:p>
        </w:tc>
      </w:tr>
      <w:tr w14:paraId="24B36B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742" w:type="dxa"/>
            <w:tcBorders>
              <w:left w:val="single" w:color="000000" w:sz="4" w:space="0"/>
            </w:tcBorders>
            <w:vAlign w:val="top"/>
          </w:tcPr>
          <w:p w14:paraId="4EE17152">
            <w:pPr>
              <w:spacing w:line="354" w:lineRule="auto"/>
              <w:rPr>
                <w:rFonts w:ascii="Arial"/>
                <w:color w:val="auto"/>
                <w:sz w:val="21"/>
              </w:rPr>
            </w:pPr>
          </w:p>
          <w:p w14:paraId="2E5D79F9">
            <w:pPr>
              <w:spacing w:line="354" w:lineRule="auto"/>
              <w:rPr>
                <w:rFonts w:ascii="Arial"/>
                <w:color w:val="auto"/>
                <w:sz w:val="21"/>
              </w:rPr>
            </w:pPr>
          </w:p>
          <w:p w14:paraId="63E13316">
            <w:pPr>
              <w:spacing w:before="78" w:line="183" w:lineRule="auto"/>
              <w:ind w:left="319"/>
              <w:rPr>
                <w:rFonts w:ascii="宋体" w:hAnsi="宋体" w:eastAsia="宋体" w:cs="宋体"/>
                <w:color w:val="auto"/>
                <w:sz w:val="24"/>
                <w:szCs w:val="24"/>
              </w:rPr>
            </w:pPr>
            <w:r>
              <w:rPr>
                <w:rFonts w:ascii="宋体" w:hAnsi="宋体" w:eastAsia="宋体" w:cs="宋体"/>
                <w:color w:val="auto"/>
                <w:sz w:val="24"/>
                <w:szCs w:val="24"/>
              </w:rPr>
              <w:t>4</w:t>
            </w:r>
          </w:p>
        </w:tc>
        <w:tc>
          <w:tcPr>
            <w:tcW w:w="1870" w:type="dxa"/>
            <w:vAlign w:val="top"/>
          </w:tcPr>
          <w:p w14:paraId="520A9382">
            <w:pPr>
              <w:spacing w:line="335" w:lineRule="auto"/>
              <w:rPr>
                <w:rFonts w:ascii="Arial"/>
                <w:color w:val="auto"/>
                <w:sz w:val="21"/>
              </w:rPr>
            </w:pPr>
          </w:p>
          <w:p w14:paraId="02B8DA51">
            <w:pPr>
              <w:spacing w:line="335" w:lineRule="auto"/>
              <w:rPr>
                <w:rFonts w:ascii="Arial"/>
                <w:color w:val="auto"/>
                <w:sz w:val="21"/>
              </w:rPr>
            </w:pPr>
          </w:p>
          <w:p w14:paraId="18463099">
            <w:pPr>
              <w:spacing w:before="78" w:line="219" w:lineRule="auto"/>
              <w:ind w:left="554"/>
              <w:rPr>
                <w:rFonts w:ascii="宋体" w:hAnsi="宋体" w:eastAsia="宋体" w:cs="宋体"/>
                <w:color w:val="auto"/>
                <w:sz w:val="24"/>
                <w:szCs w:val="24"/>
              </w:rPr>
            </w:pPr>
            <w:r>
              <w:rPr>
                <w:rFonts w:ascii="宋体" w:hAnsi="宋体" w:eastAsia="宋体" w:cs="宋体"/>
                <w:color w:val="auto"/>
                <w:spacing w:val="-2"/>
                <w:sz w:val="24"/>
                <w:szCs w:val="24"/>
                <w14:textOutline w14:w="4358" w14:cap="sq" w14:cmpd="sng">
                  <w14:solidFill>
                    <w14:srgbClr w14:val="000000"/>
                  </w14:solidFill>
                  <w14:prstDash w14:val="solid"/>
                  <w14:bevel/>
                </w14:textOutline>
              </w:rPr>
              <w:t>代理机构</w:t>
            </w:r>
          </w:p>
        </w:tc>
        <w:tc>
          <w:tcPr>
            <w:tcW w:w="7103" w:type="dxa"/>
            <w:tcBorders>
              <w:right w:val="single" w:color="000000" w:sz="4" w:space="0"/>
            </w:tcBorders>
            <w:vAlign w:val="top"/>
          </w:tcPr>
          <w:p w14:paraId="3CF3F86C">
            <w:pPr>
              <w:spacing w:before="38" w:line="219" w:lineRule="auto"/>
              <w:ind w:left="115"/>
              <w:rPr>
                <w:rFonts w:hint="eastAsia" w:ascii="宋体" w:hAnsi="宋体" w:eastAsia="宋体" w:cs="宋体"/>
                <w:color w:val="auto"/>
                <w:sz w:val="24"/>
                <w:szCs w:val="24"/>
                <w:lang w:eastAsia="zh-CN"/>
              </w:rPr>
            </w:pPr>
            <w:r>
              <w:rPr>
                <w:rFonts w:ascii="宋体" w:hAnsi="宋体" w:eastAsia="宋体" w:cs="宋体"/>
                <w:color w:val="auto"/>
                <w:spacing w:val="-1"/>
                <w:sz w:val="24"/>
                <w:szCs w:val="24"/>
              </w:rPr>
              <w:t>名 称：</w:t>
            </w:r>
            <w:r>
              <w:rPr>
                <w:rFonts w:hint="eastAsia" w:ascii="宋体" w:hAnsi="宋体" w:eastAsia="宋体" w:cs="宋体"/>
                <w:color w:val="auto"/>
                <w:spacing w:val="-1"/>
                <w:sz w:val="24"/>
                <w:szCs w:val="24"/>
                <w:lang w:eastAsia="zh-CN"/>
              </w:rPr>
              <w:t>阿克苏疆山项目管理有限公司</w:t>
            </w:r>
          </w:p>
          <w:p w14:paraId="160B7879">
            <w:pPr>
              <w:spacing w:before="72" w:line="219" w:lineRule="auto"/>
              <w:ind w:left="112"/>
              <w:rPr>
                <w:rFonts w:hint="eastAsia" w:ascii="宋体" w:hAnsi="宋体" w:eastAsia="宋体" w:cs="宋体"/>
                <w:color w:val="auto"/>
                <w:sz w:val="24"/>
                <w:szCs w:val="24"/>
                <w:lang w:eastAsia="zh-CN"/>
              </w:rPr>
            </w:pPr>
            <w:r>
              <w:rPr>
                <w:rFonts w:ascii="宋体" w:hAnsi="宋体" w:eastAsia="宋体" w:cs="宋体"/>
                <w:color w:val="auto"/>
                <w:spacing w:val="-3"/>
                <w:sz w:val="24"/>
                <w:szCs w:val="24"/>
              </w:rPr>
              <w:t>地 址：</w:t>
            </w:r>
            <w:r>
              <w:rPr>
                <w:rFonts w:hint="eastAsia" w:ascii="宋体" w:hAnsi="宋体" w:eastAsia="宋体" w:cs="宋体"/>
                <w:color w:val="auto"/>
                <w:spacing w:val="-3"/>
                <w:sz w:val="24"/>
                <w:szCs w:val="24"/>
                <w:lang w:eastAsia="zh-CN"/>
              </w:rPr>
              <w:t>阿克苏市采荷路1号云山悦府12号楼2单元202室</w:t>
            </w:r>
          </w:p>
          <w:p w14:paraId="7A926F50">
            <w:pPr>
              <w:spacing w:before="72" w:line="219" w:lineRule="auto"/>
              <w:ind w:left="113"/>
              <w:rPr>
                <w:rFonts w:hint="eastAsia" w:ascii="宋体" w:hAnsi="宋体" w:eastAsia="宋体" w:cs="宋体"/>
                <w:color w:val="auto"/>
                <w:sz w:val="24"/>
                <w:szCs w:val="24"/>
                <w:lang w:eastAsia="zh-CN"/>
              </w:rPr>
            </w:pPr>
            <w:r>
              <w:rPr>
                <w:rFonts w:ascii="宋体" w:hAnsi="宋体" w:eastAsia="宋体" w:cs="宋体"/>
                <w:color w:val="auto"/>
                <w:spacing w:val="-2"/>
                <w:sz w:val="24"/>
                <w:szCs w:val="24"/>
              </w:rPr>
              <w:t>联系人：</w:t>
            </w:r>
            <w:r>
              <w:rPr>
                <w:rFonts w:hint="eastAsia" w:ascii="宋体" w:hAnsi="宋体" w:eastAsia="宋体" w:cs="宋体"/>
                <w:color w:val="auto"/>
                <w:spacing w:val="-2"/>
                <w:sz w:val="24"/>
                <w:szCs w:val="24"/>
                <w:lang w:eastAsia="zh-CN"/>
              </w:rPr>
              <w:t>刘辉</w:t>
            </w:r>
          </w:p>
          <w:p w14:paraId="66E39BFD">
            <w:pPr>
              <w:spacing w:before="73" w:line="221" w:lineRule="auto"/>
              <w:ind w:left="113"/>
              <w:rPr>
                <w:rFonts w:hint="eastAsia" w:ascii="宋体" w:hAnsi="宋体" w:eastAsia="宋体" w:cs="宋体"/>
                <w:color w:val="auto"/>
                <w:sz w:val="24"/>
                <w:szCs w:val="24"/>
                <w:lang w:eastAsia="zh-CN"/>
              </w:rPr>
            </w:pPr>
            <w:r>
              <w:rPr>
                <w:rFonts w:ascii="宋体" w:hAnsi="宋体" w:eastAsia="宋体" w:cs="宋体"/>
                <w:color w:val="auto"/>
                <w:spacing w:val="-1"/>
                <w:sz w:val="24"/>
                <w:szCs w:val="24"/>
              </w:rPr>
              <w:t>联系电话：</w:t>
            </w:r>
            <w:r>
              <w:rPr>
                <w:rFonts w:hint="eastAsia" w:ascii="宋体" w:hAnsi="宋体" w:eastAsia="宋体" w:cs="宋体"/>
                <w:color w:val="auto"/>
                <w:spacing w:val="-1"/>
                <w:sz w:val="24"/>
                <w:szCs w:val="24"/>
                <w:lang w:eastAsia="zh-CN"/>
              </w:rPr>
              <w:t>18399561515</w:t>
            </w:r>
          </w:p>
          <w:p w14:paraId="04ACA01F">
            <w:pPr>
              <w:spacing w:before="70" w:line="214" w:lineRule="auto"/>
              <w:ind w:left="130"/>
              <w:rPr>
                <w:rFonts w:hint="eastAsia" w:ascii="宋体" w:hAnsi="宋体" w:eastAsia="宋体" w:cs="宋体"/>
                <w:color w:val="auto"/>
                <w:sz w:val="24"/>
                <w:szCs w:val="24"/>
                <w:lang w:eastAsia="zh-CN"/>
              </w:rPr>
            </w:pPr>
            <w:r>
              <w:rPr>
                <w:rFonts w:ascii="宋体" w:hAnsi="宋体" w:eastAsia="宋体" w:cs="宋体"/>
                <w:color w:val="auto"/>
                <w:spacing w:val="-2"/>
                <w:sz w:val="24"/>
                <w:szCs w:val="24"/>
              </w:rPr>
              <w:t>邮箱：</w:t>
            </w:r>
            <w:r>
              <w:rPr>
                <w:rFonts w:hint="eastAsia" w:ascii="宋体" w:hAnsi="宋体" w:eastAsia="宋体" w:cs="宋体"/>
                <w:color w:val="auto"/>
                <w:spacing w:val="-2"/>
                <w:sz w:val="24"/>
                <w:szCs w:val="24"/>
                <w:lang w:eastAsia="zh-CN"/>
              </w:rPr>
              <w:t>474729554@qq.com</w:t>
            </w:r>
          </w:p>
        </w:tc>
      </w:tr>
      <w:tr w14:paraId="299331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6" w:hRule="atLeast"/>
        </w:trPr>
        <w:tc>
          <w:tcPr>
            <w:tcW w:w="742" w:type="dxa"/>
            <w:tcBorders>
              <w:left w:val="single" w:color="000000" w:sz="4" w:space="0"/>
            </w:tcBorders>
            <w:vAlign w:val="top"/>
          </w:tcPr>
          <w:p w14:paraId="78512AB1">
            <w:pPr>
              <w:spacing w:before="283" w:line="182" w:lineRule="auto"/>
              <w:ind w:left="325"/>
              <w:rPr>
                <w:rFonts w:ascii="宋体" w:hAnsi="宋体" w:eastAsia="宋体" w:cs="宋体"/>
                <w:color w:val="auto"/>
                <w:sz w:val="24"/>
                <w:szCs w:val="24"/>
              </w:rPr>
            </w:pPr>
            <w:r>
              <w:rPr>
                <w:rFonts w:ascii="宋体" w:hAnsi="宋体" w:eastAsia="宋体" w:cs="宋体"/>
                <w:color w:val="auto"/>
                <w:sz w:val="24"/>
                <w:szCs w:val="24"/>
              </w:rPr>
              <w:t>5</w:t>
            </w:r>
          </w:p>
        </w:tc>
        <w:tc>
          <w:tcPr>
            <w:tcW w:w="1870" w:type="dxa"/>
            <w:vAlign w:val="top"/>
          </w:tcPr>
          <w:p w14:paraId="0548EEC8">
            <w:pPr>
              <w:spacing w:before="243" w:line="219" w:lineRule="auto"/>
              <w:ind w:left="554"/>
              <w:rPr>
                <w:rFonts w:ascii="宋体" w:hAnsi="宋体" w:eastAsia="宋体" w:cs="宋体"/>
                <w:color w:val="auto"/>
                <w:sz w:val="24"/>
                <w:szCs w:val="24"/>
              </w:rPr>
            </w:pPr>
            <w:r>
              <w:rPr>
                <w:rFonts w:ascii="宋体" w:hAnsi="宋体" w:eastAsia="宋体" w:cs="宋体"/>
                <w:color w:val="auto"/>
                <w:spacing w:val="-2"/>
                <w:sz w:val="24"/>
                <w:szCs w:val="24"/>
                <w14:textOutline w14:w="4358" w14:cap="sq" w14:cmpd="sng">
                  <w14:solidFill>
                    <w14:srgbClr w14:val="000000"/>
                  </w14:solidFill>
                  <w14:prstDash w14:val="solid"/>
                  <w14:bevel/>
                </w14:textOutline>
              </w:rPr>
              <w:t>采购内容</w:t>
            </w:r>
          </w:p>
        </w:tc>
        <w:tc>
          <w:tcPr>
            <w:tcW w:w="7103" w:type="dxa"/>
            <w:tcBorders>
              <w:right w:val="single" w:color="000000" w:sz="4" w:space="0"/>
            </w:tcBorders>
            <w:vAlign w:val="top"/>
          </w:tcPr>
          <w:p w14:paraId="2F76108C">
            <w:pPr>
              <w:spacing w:before="243" w:line="219" w:lineRule="auto"/>
              <w:ind w:left="115"/>
              <w:rPr>
                <w:rFonts w:ascii="宋体" w:hAnsi="宋体" w:eastAsia="宋体" w:cs="宋体"/>
                <w:color w:val="auto"/>
                <w:sz w:val="24"/>
                <w:szCs w:val="24"/>
              </w:rPr>
            </w:pPr>
            <w:r>
              <w:rPr>
                <w:rFonts w:hint="eastAsia" w:ascii="宋体" w:hAnsi="宋体" w:eastAsia="宋体" w:cs="宋体"/>
                <w:color w:val="auto"/>
                <w:sz w:val="24"/>
                <w:szCs w:val="24"/>
                <w:lang w:eastAsia="zh-CN"/>
              </w:rPr>
              <w:t>拜城县人民医院2025年中药饮片购置</w:t>
            </w:r>
            <w:r>
              <w:rPr>
                <w:rFonts w:hint="eastAsia" w:ascii="宋体" w:hAnsi="宋体" w:eastAsia="宋体" w:cs="宋体"/>
                <w:color w:val="auto"/>
                <w:sz w:val="24"/>
                <w:szCs w:val="24"/>
                <w:lang w:val="en-US" w:eastAsia="zh-CN"/>
              </w:rPr>
              <w:t>。（详见采购需求）</w:t>
            </w:r>
          </w:p>
        </w:tc>
      </w:tr>
      <w:tr w14:paraId="2F2863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742" w:type="dxa"/>
            <w:tcBorders>
              <w:left w:val="single" w:color="000000" w:sz="4" w:space="0"/>
            </w:tcBorders>
            <w:vAlign w:val="top"/>
          </w:tcPr>
          <w:p w14:paraId="7BCF4CD2">
            <w:pPr>
              <w:spacing w:before="251" w:line="183" w:lineRule="auto"/>
              <w:ind w:left="322"/>
              <w:rPr>
                <w:rFonts w:ascii="宋体" w:hAnsi="宋体" w:eastAsia="宋体" w:cs="宋体"/>
                <w:color w:val="auto"/>
                <w:sz w:val="24"/>
                <w:szCs w:val="24"/>
              </w:rPr>
            </w:pPr>
            <w:r>
              <w:rPr>
                <w:rFonts w:ascii="宋体" w:hAnsi="宋体" w:eastAsia="宋体" w:cs="宋体"/>
                <w:color w:val="auto"/>
                <w:sz w:val="24"/>
                <w:szCs w:val="24"/>
              </w:rPr>
              <w:t>6</w:t>
            </w:r>
          </w:p>
        </w:tc>
        <w:tc>
          <w:tcPr>
            <w:tcW w:w="1870" w:type="dxa"/>
            <w:vAlign w:val="top"/>
          </w:tcPr>
          <w:p w14:paraId="7CC45A9B">
            <w:pPr>
              <w:spacing w:before="213" w:line="219" w:lineRule="auto"/>
              <w:jc w:val="center"/>
              <w:rPr>
                <w:rFonts w:ascii="宋体" w:hAnsi="宋体" w:eastAsia="宋体" w:cs="宋体"/>
                <w:color w:val="auto"/>
                <w:sz w:val="24"/>
                <w:szCs w:val="24"/>
              </w:rPr>
            </w:pPr>
            <w:r>
              <w:rPr>
                <w:rFonts w:hint="eastAsia" w:ascii="宋体" w:hAnsi="宋体" w:eastAsia="宋体" w:cs="宋体"/>
                <w:color w:val="auto"/>
                <w:spacing w:val="-2"/>
                <w:sz w:val="24"/>
                <w:szCs w:val="24"/>
                <w:lang w:eastAsia="zh-CN"/>
                <w14:textOutline w14:w="4358" w14:cap="sq" w14:cmpd="sng">
                  <w14:solidFill>
                    <w14:srgbClr w14:val="000000"/>
                  </w14:solidFill>
                  <w14:prstDash w14:val="solid"/>
                  <w14:bevel/>
                </w14:textOutline>
              </w:rPr>
              <w:t>服务</w:t>
            </w:r>
            <w:r>
              <w:rPr>
                <w:rFonts w:ascii="宋体" w:hAnsi="宋体" w:eastAsia="宋体" w:cs="宋体"/>
                <w:color w:val="auto"/>
                <w:spacing w:val="-2"/>
                <w:sz w:val="24"/>
                <w:szCs w:val="24"/>
                <w14:textOutline w14:w="4358" w14:cap="sq" w14:cmpd="sng">
                  <w14:solidFill>
                    <w14:srgbClr w14:val="000000"/>
                  </w14:solidFill>
                  <w14:prstDash w14:val="solid"/>
                  <w14:bevel/>
                </w14:textOutline>
              </w:rPr>
              <w:t>期限</w:t>
            </w:r>
          </w:p>
        </w:tc>
        <w:tc>
          <w:tcPr>
            <w:tcW w:w="7103" w:type="dxa"/>
            <w:tcBorders>
              <w:right w:val="single" w:color="000000" w:sz="4" w:space="0"/>
            </w:tcBorders>
            <w:vAlign w:val="top"/>
          </w:tcPr>
          <w:p w14:paraId="0BAB1FC9">
            <w:pPr>
              <w:spacing w:before="245" w:line="219" w:lineRule="auto"/>
              <w:ind w:left="112"/>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合同签订之日起一年。</w:t>
            </w:r>
          </w:p>
        </w:tc>
      </w:tr>
      <w:tr w14:paraId="548542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742" w:type="dxa"/>
            <w:tcBorders>
              <w:left w:val="single" w:color="000000" w:sz="4" w:space="0"/>
            </w:tcBorders>
            <w:vAlign w:val="top"/>
          </w:tcPr>
          <w:p w14:paraId="0FB17F25">
            <w:pPr>
              <w:spacing w:line="258" w:lineRule="auto"/>
              <w:rPr>
                <w:rFonts w:ascii="Arial"/>
                <w:color w:val="auto"/>
                <w:sz w:val="21"/>
              </w:rPr>
            </w:pPr>
          </w:p>
          <w:p w14:paraId="1B09F2D7">
            <w:pPr>
              <w:spacing w:before="78" w:line="182" w:lineRule="auto"/>
              <w:ind w:left="326"/>
              <w:rPr>
                <w:rFonts w:ascii="宋体" w:hAnsi="宋体" w:eastAsia="宋体" w:cs="宋体"/>
                <w:color w:val="auto"/>
                <w:sz w:val="24"/>
                <w:szCs w:val="24"/>
              </w:rPr>
            </w:pPr>
            <w:r>
              <w:rPr>
                <w:rFonts w:ascii="宋体" w:hAnsi="宋体" w:eastAsia="宋体" w:cs="宋体"/>
                <w:color w:val="auto"/>
                <w:sz w:val="24"/>
                <w:szCs w:val="24"/>
              </w:rPr>
              <w:t>7</w:t>
            </w:r>
          </w:p>
        </w:tc>
        <w:tc>
          <w:tcPr>
            <w:tcW w:w="1870" w:type="dxa"/>
            <w:vAlign w:val="top"/>
          </w:tcPr>
          <w:p w14:paraId="791D0824">
            <w:pPr>
              <w:spacing w:before="298" w:line="218" w:lineRule="auto"/>
              <w:ind w:left="558"/>
              <w:rPr>
                <w:rFonts w:ascii="宋体" w:hAnsi="宋体" w:eastAsia="宋体" w:cs="宋体"/>
                <w:color w:val="auto"/>
                <w:sz w:val="24"/>
                <w:szCs w:val="24"/>
              </w:rPr>
            </w:pPr>
            <w:r>
              <w:rPr>
                <w:rFonts w:ascii="宋体" w:hAnsi="宋体" w:eastAsia="宋体" w:cs="宋体"/>
                <w:color w:val="auto"/>
                <w:spacing w:val="-3"/>
                <w:sz w:val="24"/>
                <w:szCs w:val="24"/>
                <w14:textOutline w14:w="4358" w14:cap="sq" w14:cmpd="sng">
                  <w14:solidFill>
                    <w14:srgbClr w14:val="000000"/>
                  </w14:solidFill>
                  <w14:prstDash w14:val="solid"/>
                  <w14:bevel/>
                </w14:textOutline>
              </w:rPr>
              <w:t>最高限价</w:t>
            </w:r>
          </w:p>
        </w:tc>
        <w:tc>
          <w:tcPr>
            <w:tcW w:w="7103" w:type="dxa"/>
            <w:tcBorders>
              <w:right w:val="single" w:color="000000" w:sz="4" w:space="0"/>
            </w:tcBorders>
            <w:vAlign w:val="top"/>
          </w:tcPr>
          <w:p w14:paraId="78E04ECC">
            <w:pPr>
              <w:spacing w:before="119" w:line="246" w:lineRule="auto"/>
              <w:ind w:left="115" w:right="121" w:firstLine="14"/>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最高限价详见采购需求（采购清单）。</w:t>
            </w:r>
          </w:p>
          <w:p w14:paraId="5FB6CE3A">
            <w:pPr>
              <w:spacing w:before="119" w:line="246" w:lineRule="auto"/>
              <w:ind w:left="115" w:right="121" w:firstLine="14"/>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本项目以单价下浮率报价。（供应商需结合最高限价进行单价下浮率报价，供应商只允许有一个报价，不得有选择性报价和附有条件的报价）</w:t>
            </w:r>
          </w:p>
          <w:p w14:paraId="62AB2814">
            <w:pPr>
              <w:spacing w:before="119" w:line="246" w:lineRule="auto"/>
              <w:ind w:left="115" w:right="121" w:firstLine="14"/>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例：供应商报价下浮率为</w:t>
            </w:r>
            <w:r>
              <w:rPr>
                <w:rFonts w:hint="eastAsia" w:ascii="宋体" w:hAnsi="宋体" w:eastAsia="宋体" w:cs="宋体"/>
                <w:color w:val="auto"/>
                <w:sz w:val="24"/>
                <w:szCs w:val="24"/>
                <w:lang w:val="en-US" w:eastAsia="zh-CN"/>
              </w:rPr>
              <w:t>10%，则清单控制价药品单价*（1-10%）=供货价</w:t>
            </w:r>
          </w:p>
        </w:tc>
      </w:tr>
      <w:tr w14:paraId="4EADFB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9" w:hRule="atLeast"/>
        </w:trPr>
        <w:tc>
          <w:tcPr>
            <w:tcW w:w="742" w:type="dxa"/>
            <w:tcBorders>
              <w:left w:val="single" w:color="000000" w:sz="4" w:space="0"/>
            </w:tcBorders>
            <w:vAlign w:val="top"/>
          </w:tcPr>
          <w:p w14:paraId="6865DA24">
            <w:pPr>
              <w:spacing w:line="267" w:lineRule="auto"/>
              <w:rPr>
                <w:rFonts w:ascii="Arial"/>
                <w:color w:val="auto"/>
                <w:sz w:val="21"/>
              </w:rPr>
            </w:pPr>
          </w:p>
          <w:p w14:paraId="57780B65">
            <w:pPr>
              <w:spacing w:line="267" w:lineRule="auto"/>
              <w:rPr>
                <w:rFonts w:ascii="Arial"/>
                <w:color w:val="auto"/>
                <w:sz w:val="21"/>
              </w:rPr>
            </w:pPr>
          </w:p>
          <w:p w14:paraId="30D6E6A7">
            <w:pPr>
              <w:spacing w:line="267" w:lineRule="auto"/>
              <w:rPr>
                <w:rFonts w:ascii="Arial"/>
                <w:color w:val="auto"/>
                <w:sz w:val="21"/>
              </w:rPr>
            </w:pPr>
          </w:p>
          <w:p w14:paraId="117AA2DE">
            <w:pPr>
              <w:spacing w:line="267" w:lineRule="auto"/>
              <w:rPr>
                <w:rFonts w:ascii="Arial"/>
                <w:color w:val="auto"/>
                <w:sz w:val="21"/>
              </w:rPr>
            </w:pPr>
          </w:p>
          <w:p w14:paraId="31D5A9F4">
            <w:pPr>
              <w:spacing w:line="267" w:lineRule="auto"/>
              <w:rPr>
                <w:rFonts w:ascii="Arial"/>
                <w:color w:val="auto"/>
                <w:sz w:val="21"/>
              </w:rPr>
            </w:pPr>
          </w:p>
          <w:p w14:paraId="50E8BF29">
            <w:pPr>
              <w:spacing w:line="267" w:lineRule="auto"/>
              <w:rPr>
                <w:rFonts w:ascii="Arial"/>
                <w:color w:val="auto"/>
                <w:sz w:val="21"/>
              </w:rPr>
            </w:pPr>
          </w:p>
          <w:p w14:paraId="0F3C68ED">
            <w:pPr>
              <w:spacing w:line="267" w:lineRule="auto"/>
              <w:rPr>
                <w:rFonts w:ascii="Arial"/>
                <w:color w:val="auto"/>
                <w:sz w:val="21"/>
              </w:rPr>
            </w:pPr>
          </w:p>
          <w:p w14:paraId="3FEC8094">
            <w:pPr>
              <w:spacing w:line="267" w:lineRule="auto"/>
              <w:rPr>
                <w:rFonts w:ascii="Arial"/>
                <w:color w:val="auto"/>
                <w:sz w:val="21"/>
              </w:rPr>
            </w:pPr>
          </w:p>
          <w:p w14:paraId="4988CF36">
            <w:pPr>
              <w:spacing w:before="78" w:line="183" w:lineRule="auto"/>
              <w:ind w:left="321" w:leftChars="0"/>
              <w:rPr>
                <w:rFonts w:ascii="宋体" w:hAnsi="宋体" w:eastAsia="宋体" w:cs="宋体"/>
                <w:color w:val="auto"/>
                <w:sz w:val="24"/>
                <w:szCs w:val="24"/>
              </w:rPr>
            </w:pPr>
            <w:r>
              <w:rPr>
                <w:rFonts w:ascii="宋体" w:hAnsi="宋体" w:eastAsia="宋体" w:cs="宋体"/>
                <w:color w:val="auto"/>
                <w:sz w:val="24"/>
                <w:szCs w:val="24"/>
              </w:rPr>
              <w:t>8</w:t>
            </w:r>
          </w:p>
        </w:tc>
        <w:tc>
          <w:tcPr>
            <w:tcW w:w="1870" w:type="dxa"/>
            <w:vAlign w:val="top"/>
          </w:tcPr>
          <w:p w14:paraId="68E6E768">
            <w:pPr>
              <w:spacing w:line="260" w:lineRule="auto"/>
              <w:rPr>
                <w:rFonts w:ascii="Arial"/>
                <w:color w:val="auto"/>
                <w:sz w:val="21"/>
              </w:rPr>
            </w:pPr>
          </w:p>
          <w:p w14:paraId="254F437B">
            <w:pPr>
              <w:spacing w:line="260" w:lineRule="auto"/>
              <w:rPr>
                <w:rFonts w:ascii="Arial"/>
                <w:color w:val="auto"/>
                <w:sz w:val="21"/>
              </w:rPr>
            </w:pPr>
          </w:p>
          <w:p w14:paraId="4321E202">
            <w:pPr>
              <w:spacing w:line="260" w:lineRule="auto"/>
              <w:rPr>
                <w:rFonts w:ascii="Arial"/>
                <w:color w:val="auto"/>
                <w:sz w:val="21"/>
              </w:rPr>
            </w:pPr>
          </w:p>
          <w:p w14:paraId="5D3E12D7">
            <w:pPr>
              <w:spacing w:line="261" w:lineRule="auto"/>
              <w:rPr>
                <w:rFonts w:ascii="Arial"/>
                <w:color w:val="auto"/>
                <w:sz w:val="21"/>
              </w:rPr>
            </w:pPr>
          </w:p>
          <w:p w14:paraId="3ED03A1A">
            <w:pPr>
              <w:spacing w:line="261" w:lineRule="auto"/>
              <w:rPr>
                <w:rFonts w:ascii="Arial"/>
                <w:color w:val="auto"/>
                <w:sz w:val="21"/>
              </w:rPr>
            </w:pPr>
          </w:p>
          <w:p w14:paraId="0E5ED501">
            <w:pPr>
              <w:spacing w:line="261" w:lineRule="auto"/>
              <w:rPr>
                <w:rFonts w:ascii="Arial"/>
                <w:color w:val="auto"/>
                <w:sz w:val="21"/>
              </w:rPr>
            </w:pPr>
          </w:p>
          <w:p w14:paraId="238DB65C">
            <w:pPr>
              <w:spacing w:before="78" w:line="219" w:lineRule="auto"/>
              <w:rPr>
                <w:rFonts w:ascii="宋体" w:hAnsi="宋体" w:eastAsia="宋体" w:cs="宋体"/>
                <w:color w:val="auto"/>
                <w:sz w:val="24"/>
                <w:szCs w:val="24"/>
              </w:rPr>
            </w:pPr>
            <w:r>
              <w:rPr>
                <w:rFonts w:ascii="宋体" w:hAnsi="宋体" w:eastAsia="宋体" w:cs="宋体"/>
                <w:color w:val="auto"/>
                <w:spacing w:val="1"/>
                <w:sz w:val="24"/>
                <w:szCs w:val="24"/>
                <w14:textOutline w14:w="4358" w14:cap="sq" w14:cmpd="sng">
                  <w14:solidFill>
                    <w14:srgbClr w14:val="000000"/>
                  </w14:solidFill>
                  <w14:prstDash w14:val="solid"/>
                  <w14:bevel/>
                </w14:textOutline>
              </w:rPr>
              <w:t>供应商资格、能</w:t>
            </w:r>
          </w:p>
          <w:p w14:paraId="3C3747EB">
            <w:pPr>
              <w:spacing w:before="72" w:line="219" w:lineRule="auto"/>
              <w:ind w:left="115"/>
              <w:rPr>
                <w:rFonts w:ascii="宋体" w:hAnsi="宋体" w:eastAsia="宋体" w:cs="宋体"/>
                <w:color w:val="auto"/>
                <w:spacing w:val="-3"/>
                <w:sz w:val="24"/>
                <w:szCs w:val="24"/>
                <w14:textOutline w14:w="4358" w14:cap="sq" w14:cmpd="sng">
                  <w14:solidFill>
                    <w14:srgbClr w14:val="000000"/>
                  </w14:solidFill>
                  <w14:prstDash w14:val="solid"/>
                  <w14:bevel/>
                </w14:textOutline>
              </w:rPr>
            </w:pPr>
            <w:r>
              <w:rPr>
                <w:rFonts w:ascii="宋体" w:hAnsi="宋体" w:eastAsia="宋体" w:cs="宋体"/>
                <w:color w:val="auto"/>
                <w:spacing w:val="-11"/>
                <w:sz w:val="24"/>
                <w:szCs w:val="24"/>
                <w14:textOutline w14:w="4358" w14:cap="sq" w14:cmpd="sng">
                  <w14:solidFill>
                    <w14:srgbClr w14:val="000000"/>
                  </w14:solidFill>
                  <w14:prstDash w14:val="solid"/>
                  <w14:bevel/>
                </w14:textOutline>
              </w:rPr>
              <w:t>力、信誉</w:t>
            </w:r>
            <w:r>
              <w:rPr>
                <w:rFonts w:hint="eastAsia" w:ascii="宋体" w:hAnsi="宋体" w:eastAsia="宋体" w:cs="宋体"/>
                <w:color w:val="auto"/>
                <w:spacing w:val="-11"/>
                <w:sz w:val="24"/>
                <w:szCs w:val="24"/>
                <w:lang w:eastAsia="zh-CN"/>
                <w14:textOutline w14:w="4358" w14:cap="sq" w14:cmpd="sng">
                  <w14:solidFill>
                    <w14:srgbClr w14:val="000000"/>
                  </w14:solidFill>
                  <w14:prstDash w14:val="solid"/>
                  <w14:bevel/>
                </w14:textOutline>
              </w:rPr>
              <w:t>及其他</w:t>
            </w:r>
            <w:r>
              <w:rPr>
                <w:rFonts w:ascii="宋体" w:hAnsi="宋体" w:eastAsia="宋体" w:cs="宋体"/>
                <w:color w:val="auto"/>
                <w:spacing w:val="-11"/>
                <w:sz w:val="24"/>
                <w:szCs w:val="24"/>
                <w14:textOutline w14:w="4358" w14:cap="sq" w14:cmpd="sng">
                  <w14:solidFill>
                    <w14:srgbClr w14:val="000000"/>
                  </w14:solidFill>
                  <w14:prstDash w14:val="solid"/>
                  <w14:bevel/>
                </w14:textOutline>
              </w:rPr>
              <w:t>要</w:t>
            </w:r>
            <w:r>
              <w:rPr>
                <w:rFonts w:ascii="宋体" w:hAnsi="宋体" w:eastAsia="宋体" w:cs="宋体"/>
                <w:color w:val="auto"/>
                <w:sz w:val="24"/>
                <w:szCs w:val="24"/>
                <w14:textOutline w14:w="4358" w14:cap="sq" w14:cmpd="sng">
                  <w14:solidFill>
                    <w14:srgbClr w14:val="000000"/>
                  </w14:solidFill>
                  <w14:prstDash w14:val="solid"/>
                  <w14:bevel/>
                </w14:textOutline>
              </w:rPr>
              <w:t>求</w:t>
            </w:r>
          </w:p>
        </w:tc>
        <w:tc>
          <w:tcPr>
            <w:tcW w:w="7103" w:type="dxa"/>
            <w:tcBorders>
              <w:right w:val="single" w:color="000000" w:sz="4" w:space="0"/>
            </w:tcBorders>
            <w:vAlign w:val="top"/>
          </w:tcPr>
          <w:p w14:paraId="7DCFE8F4">
            <w:pPr>
              <w:spacing w:before="43" w:line="219" w:lineRule="auto"/>
              <w:ind w:left="130"/>
              <w:rPr>
                <w:rFonts w:ascii="宋体" w:hAnsi="宋体" w:eastAsia="宋体" w:cs="宋体"/>
                <w:b/>
                <w:bCs/>
                <w:color w:val="auto"/>
                <w:sz w:val="24"/>
                <w:szCs w:val="24"/>
              </w:rPr>
            </w:pPr>
            <w:r>
              <w:rPr>
                <w:rFonts w:ascii="宋体" w:hAnsi="宋体" w:eastAsia="宋体" w:cs="宋体"/>
                <w:b/>
                <w:bCs/>
                <w:color w:val="auto"/>
                <w:spacing w:val="-1"/>
                <w:sz w:val="24"/>
                <w:szCs w:val="24"/>
              </w:rPr>
              <w:t>1.满足《中华人民共和国政府采购法》第二十二条</w:t>
            </w:r>
            <w:r>
              <w:rPr>
                <w:rFonts w:ascii="宋体" w:hAnsi="宋体" w:eastAsia="宋体" w:cs="宋体"/>
                <w:b/>
                <w:bCs/>
                <w:color w:val="auto"/>
                <w:spacing w:val="-2"/>
                <w:sz w:val="24"/>
                <w:szCs w:val="24"/>
              </w:rPr>
              <w:t>规定；</w:t>
            </w:r>
          </w:p>
          <w:p w14:paraId="2C89C4D5">
            <w:pPr>
              <w:spacing w:before="70" w:line="266" w:lineRule="auto"/>
              <w:ind w:left="112" w:right="118" w:firstLine="11"/>
              <w:rPr>
                <w:rFonts w:hint="eastAsia" w:ascii="宋体" w:hAnsi="宋体" w:eastAsia="宋体" w:cs="宋体"/>
                <w:color w:val="auto"/>
                <w:spacing w:val="-5"/>
                <w:sz w:val="24"/>
                <w:szCs w:val="24"/>
                <w:lang w:val="en-US" w:eastAsia="zh-CN"/>
              </w:rPr>
            </w:pPr>
            <w:r>
              <w:rPr>
                <w:rFonts w:ascii="宋体" w:hAnsi="宋体" w:eastAsia="宋体" w:cs="宋体"/>
                <w:color w:val="auto"/>
                <w:spacing w:val="-5"/>
                <w:sz w:val="24"/>
                <w:szCs w:val="24"/>
              </w:rPr>
              <w:t>（1）</w:t>
            </w:r>
            <w:r>
              <w:rPr>
                <w:rFonts w:hint="eastAsia" w:ascii="宋体" w:hAnsi="宋体" w:eastAsia="宋体" w:cs="宋体"/>
                <w:color w:val="auto"/>
                <w:spacing w:val="-5"/>
                <w:sz w:val="24"/>
                <w:szCs w:val="24"/>
                <w:lang w:val="en-US" w:eastAsia="zh-CN"/>
              </w:rPr>
              <w:t>具有独立承担民事责任的能力：提供有效的营业执照，供应商基本情况说明（供应商需提供主要股东或出资人信息格式自拟）；</w:t>
            </w:r>
          </w:p>
          <w:p w14:paraId="70F996A1">
            <w:pPr>
              <w:spacing w:before="70" w:line="266" w:lineRule="auto"/>
              <w:ind w:left="112" w:right="118" w:firstLine="11"/>
              <w:rPr>
                <w:rFonts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具有良好的商业信誉和健全的财务会计制度：供应商没有处于被责令停业、财产被接管、冻结、破产状态；供应商提供2023年的财务审计报告（成立时间至提交磋商响应文件截止时间不足一年的可提供成立后任意时段的资产负债表），或其开标前三个月内基本存款账户开户银行出具的资信证明及基本存款账户开户许可证</w:t>
            </w:r>
            <w:r>
              <w:rPr>
                <w:rFonts w:ascii="宋体" w:hAnsi="宋体" w:eastAsia="宋体" w:cs="宋体"/>
                <w:color w:val="auto"/>
                <w:spacing w:val="3"/>
                <w:sz w:val="24"/>
                <w:szCs w:val="24"/>
              </w:rPr>
              <w:t>；</w:t>
            </w:r>
          </w:p>
          <w:p w14:paraId="7169A125">
            <w:pPr>
              <w:spacing w:before="71" w:line="219" w:lineRule="auto"/>
              <w:ind w:left="124"/>
              <w:rPr>
                <w:rFonts w:ascii="宋体" w:hAnsi="宋体" w:eastAsia="宋体" w:cs="宋体"/>
                <w:color w:val="auto"/>
                <w:sz w:val="24"/>
                <w:szCs w:val="24"/>
              </w:rPr>
            </w:pPr>
            <w:r>
              <w:rPr>
                <w:rFonts w:ascii="宋体" w:hAnsi="宋体" w:eastAsia="宋体" w:cs="宋体"/>
                <w:color w:val="auto"/>
                <w:sz w:val="24"/>
                <w:szCs w:val="24"/>
              </w:rPr>
              <w:t>（</w:t>
            </w:r>
            <w:r>
              <w:rPr>
                <w:rFonts w:hint="eastAsia" w:ascii="宋体" w:hAnsi="宋体" w:eastAsia="宋体" w:cs="宋体"/>
                <w:color w:val="auto"/>
                <w:sz w:val="24"/>
                <w:szCs w:val="24"/>
                <w:lang w:val="en-US" w:eastAsia="zh-CN"/>
              </w:rPr>
              <w:t>3</w:t>
            </w:r>
            <w:r>
              <w:rPr>
                <w:rFonts w:ascii="宋体" w:hAnsi="宋体" w:eastAsia="宋体" w:cs="宋体"/>
                <w:color w:val="auto"/>
                <w:sz w:val="24"/>
                <w:szCs w:val="24"/>
              </w:rPr>
              <w:t>）</w:t>
            </w:r>
            <w:r>
              <w:rPr>
                <w:rFonts w:hint="eastAsia" w:ascii="宋体" w:hAnsi="宋体" w:eastAsia="宋体" w:cs="宋体"/>
                <w:color w:val="auto"/>
                <w:sz w:val="24"/>
                <w:szCs w:val="24"/>
                <w:lang w:val="en-US" w:eastAsia="zh-CN"/>
              </w:rPr>
              <w:t>具有履行合同所必需的保障药品质量安全的仓储条件、设备和专业技术能力（供应商必须在《承诺函》中说明）</w:t>
            </w:r>
            <w:r>
              <w:rPr>
                <w:rFonts w:hint="eastAsia" w:ascii="宋体" w:hAnsi="宋体" w:eastAsia="宋体" w:cs="宋体"/>
                <w:color w:val="auto"/>
                <w:spacing w:val="-5"/>
                <w:sz w:val="24"/>
                <w:szCs w:val="24"/>
                <w:lang w:eastAsia="zh-CN"/>
              </w:rPr>
              <w:t>；</w:t>
            </w:r>
          </w:p>
          <w:p w14:paraId="56906E6C">
            <w:pPr>
              <w:spacing w:before="72" w:line="247" w:lineRule="auto"/>
              <w:ind w:left="134" w:right="133" w:hanging="20"/>
              <w:rPr>
                <w:rFonts w:ascii="宋体" w:hAnsi="宋体" w:eastAsia="宋体" w:cs="宋体"/>
                <w:color w:val="auto"/>
                <w:sz w:val="24"/>
                <w:szCs w:val="24"/>
              </w:rPr>
            </w:pPr>
            <w:r>
              <w:rPr>
                <w:rFonts w:ascii="宋体" w:hAnsi="宋体" w:eastAsia="宋体" w:cs="宋体"/>
                <w:color w:val="auto"/>
                <w:spacing w:val="-7"/>
                <w:sz w:val="24"/>
                <w:szCs w:val="24"/>
              </w:rPr>
              <w:t>（</w:t>
            </w:r>
            <w:r>
              <w:rPr>
                <w:rFonts w:hint="eastAsia" w:ascii="宋体" w:hAnsi="宋体" w:eastAsia="宋体" w:cs="宋体"/>
                <w:color w:val="auto"/>
                <w:spacing w:val="-7"/>
                <w:sz w:val="24"/>
                <w:szCs w:val="24"/>
                <w:lang w:val="en-US" w:eastAsia="zh-CN"/>
              </w:rPr>
              <w:t>4</w:t>
            </w:r>
            <w:r>
              <w:rPr>
                <w:rFonts w:ascii="宋体" w:hAnsi="宋体" w:eastAsia="宋体" w:cs="宋体"/>
                <w:color w:val="auto"/>
                <w:spacing w:val="-7"/>
                <w:sz w:val="24"/>
                <w:szCs w:val="24"/>
              </w:rPr>
              <w:t>）</w:t>
            </w:r>
            <w:r>
              <w:rPr>
                <w:rFonts w:hint="eastAsia" w:ascii="宋体" w:hAnsi="宋体" w:eastAsia="宋体" w:cs="宋体"/>
                <w:color w:val="auto"/>
                <w:spacing w:val="-7"/>
                <w:sz w:val="24"/>
                <w:szCs w:val="24"/>
                <w:lang w:val="en-US" w:eastAsia="zh-CN"/>
              </w:rPr>
              <w:t>有依法缴纳税收和社会保障资金的良好记录：供应商须提供 2024年7月至今任意一个月的纳税及社保缴纳的证明材料（如依法免税的，应提供相应文件证明其依法免税；如依法不需要缴纳社会保险费的，应提供相应文件证明其不需要缴纳社会保险费）；(①法人参加本项目的需提供法人个人与单位的社保证明材料，授权委托人参加的需提供授权委托人个人与单位的社保证明；②证明材料需提供：社会保障资金缴存单据或社保机构开具的社会保险参保缴费情况证明，依法不需要缴纳社会保障资金的供应商应提供相关文件证明）</w:t>
            </w:r>
            <w:r>
              <w:rPr>
                <w:rFonts w:hint="eastAsia" w:ascii="宋体" w:hAnsi="宋体" w:eastAsia="宋体" w:cs="宋体"/>
                <w:color w:val="auto"/>
                <w:spacing w:val="-7"/>
                <w:sz w:val="24"/>
                <w:szCs w:val="24"/>
                <w:lang w:eastAsia="zh-CN"/>
              </w:rPr>
              <w:t>；</w:t>
            </w:r>
          </w:p>
          <w:p w14:paraId="46A28EAC">
            <w:pPr>
              <w:spacing w:before="73" w:line="247" w:lineRule="auto"/>
              <w:ind w:left="115" w:right="118" w:firstLine="8"/>
              <w:rPr>
                <w:rFonts w:ascii="宋体" w:hAnsi="宋体" w:eastAsia="宋体" w:cs="宋体"/>
                <w:color w:val="auto"/>
                <w:sz w:val="24"/>
                <w:szCs w:val="24"/>
              </w:rPr>
            </w:pPr>
            <w:r>
              <w:rPr>
                <w:rFonts w:ascii="宋体" w:hAnsi="宋体" w:eastAsia="宋体" w:cs="宋体"/>
                <w:color w:val="auto"/>
                <w:spacing w:val="-5"/>
                <w:sz w:val="24"/>
                <w:szCs w:val="24"/>
              </w:rPr>
              <w:t>（</w:t>
            </w:r>
            <w:r>
              <w:rPr>
                <w:rFonts w:hint="eastAsia" w:ascii="宋体" w:hAnsi="宋体" w:eastAsia="宋体" w:cs="宋体"/>
                <w:color w:val="auto"/>
                <w:spacing w:val="-5"/>
                <w:sz w:val="24"/>
                <w:szCs w:val="24"/>
                <w:lang w:val="en-US" w:eastAsia="zh-CN"/>
              </w:rPr>
              <w:t>5</w:t>
            </w:r>
            <w:r>
              <w:rPr>
                <w:rFonts w:ascii="宋体" w:hAnsi="宋体" w:eastAsia="宋体" w:cs="宋体"/>
                <w:color w:val="auto"/>
                <w:spacing w:val="-5"/>
                <w:sz w:val="24"/>
                <w:szCs w:val="24"/>
              </w:rPr>
              <w:t>）</w:t>
            </w:r>
            <w:r>
              <w:rPr>
                <w:rFonts w:hint="eastAsia" w:ascii="宋体" w:hAnsi="宋体" w:eastAsia="宋体" w:cs="宋体"/>
                <w:color w:val="auto"/>
                <w:spacing w:val="-5"/>
                <w:sz w:val="24"/>
                <w:szCs w:val="24"/>
                <w:lang w:eastAsia="zh-CN"/>
              </w:rPr>
              <w:t>法定代表人参加应上传法定代表人身份证明和本人身份证；</w:t>
            </w:r>
            <w:r>
              <w:rPr>
                <w:rFonts w:hint="eastAsia" w:ascii="宋体" w:hAnsi="宋体" w:eastAsia="宋体" w:cs="宋体"/>
                <w:color w:val="auto"/>
                <w:spacing w:val="-5"/>
                <w:sz w:val="24"/>
                <w:szCs w:val="24"/>
                <w:lang w:val="en-US" w:eastAsia="zh-CN"/>
              </w:rPr>
              <w:t>委托代理人参加应上传法定代表人身份证明、授权委托书、本人身份证；</w:t>
            </w:r>
          </w:p>
          <w:p w14:paraId="6DCE386D">
            <w:pPr>
              <w:spacing w:before="72" w:line="257" w:lineRule="auto"/>
              <w:ind w:left="114" w:right="133"/>
              <w:rPr>
                <w:rFonts w:hint="eastAsia" w:ascii="宋体" w:hAnsi="宋体" w:eastAsia="宋体" w:cs="宋体"/>
                <w:color w:val="auto"/>
                <w:spacing w:val="-5"/>
                <w:sz w:val="24"/>
                <w:szCs w:val="24"/>
                <w:lang w:val="en-US" w:eastAsia="zh-CN"/>
              </w:rPr>
            </w:pPr>
            <w:r>
              <w:rPr>
                <w:rFonts w:ascii="宋体" w:hAnsi="宋体" w:eastAsia="宋体" w:cs="宋体"/>
                <w:color w:val="auto"/>
                <w:spacing w:val="-5"/>
                <w:sz w:val="24"/>
                <w:szCs w:val="24"/>
              </w:rPr>
              <w:t>（</w:t>
            </w:r>
            <w:r>
              <w:rPr>
                <w:rFonts w:hint="eastAsia" w:ascii="宋体" w:hAnsi="宋体" w:eastAsia="宋体" w:cs="宋体"/>
                <w:color w:val="auto"/>
                <w:spacing w:val="-5"/>
                <w:sz w:val="24"/>
                <w:szCs w:val="24"/>
                <w:lang w:val="en-US" w:eastAsia="zh-CN"/>
              </w:rPr>
              <w:t>6</w:t>
            </w:r>
            <w:r>
              <w:rPr>
                <w:rFonts w:ascii="宋体" w:hAnsi="宋体" w:eastAsia="宋体" w:cs="宋体"/>
                <w:color w:val="auto"/>
                <w:spacing w:val="-5"/>
                <w:sz w:val="24"/>
                <w:szCs w:val="24"/>
              </w:rPr>
              <w:t>）</w:t>
            </w:r>
            <w:r>
              <w:rPr>
                <w:rFonts w:hint="eastAsia" w:ascii="宋体" w:hAnsi="宋体" w:eastAsia="宋体" w:cs="宋体"/>
                <w:color w:val="auto"/>
                <w:spacing w:val="-5"/>
                <w:sz w:val="24"/>
                <w:szCs w:val="24"/>
                <w:lang w:val="en-US" w:eastAsia="zh-CN"/>
              </w:rPr>
              <w:t>供应商如在“信用中国”网站、中国政府采购网被列入严重违法失信行为记录名单的（尚在处罚期内的），将拒绝其参加本次政府采购活动。（代理公司现场查询）</w:t>
            </w:r>
          </w:p>
          <w:p w14:paraId="0A5F7ADA">
            <w:pPr>
              <w:pStyle w:val="4"/>
              <w:rPr>
                <w:rFonts w:hint="eastAsia" w:ascii="宋体" w:hAnsi="宋体" w:eastAsia="宋体" w:cs="宋体"/>
                <w:snapToGrid w:val="0"/>
                <w:color w:val="auto"/>
                <w:spacing w:val="-5"/>
                <w:kern w:val="0"/>
                <w:sz w:val="24"/>
                <w:szCs w:val="24"/>
                <w:lang w:val="en-US" w:eastAsia="zh-CN" w:bidi="ar-SA"/>
              </w:rPr>
            </w:pPr>
            <w:r>
              <w:rPr>
                <w:rFonts w:hint="eastAsia"/>
                <w:color w:val="auto"/>
                <w:lang w:val="en-US" w:eastAsia="zh-CN"/>
              </w:rPr>
              <w:t>（</w:t>
            </w:r>
            <w:r>
              <w:rPr>
                <w:rFonts w:hint="eastAsia" w:ascii="宋体" w:hAnsi="宋体" w:eastAsia="宋体" w:cs="宋体"/>
                <w:snapToGrid w:val="0"/>
                <w:color w:val="auto"/>
                <w:spacing w:val="-5"/>
                <w:kern w:val="0"/>
                <w:sz w:val="24"/>
                <w:szCs w:val="24"/>
                <w:lang w:val="en-US" w:eastAsia="zh-CN" w:bidi="ar-SA"/>
              </w:rPr>
              <w:t>7）本项目专门面向中小企业，按磋商文件格式提供《中小企业声明函》；</w:t>
            </w:r>
          </w:p>
          <w:p w14:paraId="521B23A7">
            <w:pPr>
              <w:pStyle w:val="4"/>
              <w:rPr>
                <w:rFonts w:hint="eastAsia" w:ascii="宋体" w:hAnsi="宋体" w:eastAsia="宋体" w:cs="宋体"/>
                <w:snapToGrid w:val="0"/>
                <w:color w:val="auto"/>
                <w:spacing w:val="-5"/>
                <w:kern w:val="0"/>
                <w:sz w:val="24"/>
                <w:szCs w:val="24"/>
                <w:lang w:val="en-US" w:eastAsia="zh-CN" w:bidi="ar-SA"/>
              </w:rPr>
            </w:pPr>
            <w:r>
              <w:rPr>
                <w:rFonts w:hint="eastAsia" w:ascii="宋体" w:hAnsi="宋体" w:eastAsia="宋体" w:cs="宋体"/>
                <w:snapToGrid w:val="0"/>
                <w:color w:val="auto"/>
                <w:spacing w:val="-5"/>
                <w:kern w:val="0"/>
                <w:sz w:val="24"/>
                <w:szCs w:val="24"/>
                <w:lang w:val="en-US" w:eastAsia="zh-CN" w:bidi="ar-SA"/>
              </w:rPr>
              <w:t>（8）参加政府采购活动前三年内，在经营活动中没有重大违法记录：提供无重大违法记录声明函。(受行政主管部门的处罚不能参加本项目)。</w:t>
            </w:r>
          </w:p>
          <w:p w14:paraId="127F5FA7">
            <w:pPr>
              <w:spacing w:before="72" w:line="257" w:lineRule="auto"/>
              <w:ind w:left="114" w:right="133"/>
              <w:rPr>
                <w:rFonts w:ascii="宋体" w:hAnsi="宋体" w:eastAsia="宋体" w:cs="宋体"/>
                <w:b/>
                <w:bCs/>
                <w:color w:val="auto"/>
                <w:sz w:val="24"/>
                <w:szCs w:val="24"/>
              </w:rPr>
            </w:pPr>
            <w:r>
              <w:rPr>
                <w:rFonts w:ascii="宋体" w:hAnsi="宋体" w:eastAsia="宋体" w:cs="宋体"/>
                <w:b/>
                <w:bCs/>
                <w:color w:val="auto"/>
                <w:spacing w:val="-1"/>
                <w:sz w:val="24"/>
                <w:szCs w:val="24"/>
              </w:rPr>
              <w:t>2.落实政府采购政策需满足的资格要求：</w:t>
            </w:r>
          </w:p>
          <w:p w14:paraId="068159CF">
            <w:pPr>
              <w:spacing w:before="74" w:line="248" w:lineRule="auto"/>
              <w:ind w:left="114" w:right="133" w:firstLine="2"/>
              <w:rPr>
                <w:rFonts w:hint="eastAsia" w:ascii="宋体" w:hAnsi="宋体" w:eastAsia="宋体" w:cs="宋体"/>
                <w:color w:val="auto"/>
                <w:spacing w:val="-1"/>
                <w:sz w:val="24"/>
                <w:szCs w:val="24"/>
                <w:lang w:val="en-US" w:eastAsia="zh-CN"/>
              </w:rPr>
            </w:pPr>
            <w:r>
              <w:rPr>
                <w:rFonts w:hint="eastAsia" w:ascii="宋体" w:hAnsi="宋体" w:eastAsia="宋体" w:cs="宋体"/>
                <w:color w:val="auto"/>
                <w:spacing w:val="-1"/>
                <w:sz w:val="24"/>
                <w:szCs w:val="24"/>
                <w:lang w:val="en-US" w:eastAsia="zh-CN"/>
              </w:rPr>
              <w:t xml:space="preserve">（1）《新疆维吾尔自治区政府采购促进中小企业发展管理实施办法》（新财规〔2021〕6号）； </w:t>
            </w:r>
          </w:p>
          <w:p w14:paraId="7A093CB4">
            <w:pPr>
              <w:spacing w:before="74" w:line="248" w:lineRule="auto"/>
              <w:ind w:left="114" w:right="133" w:firstLine="2"/>
              <w:rPr>
                <w:rFonts w:hint="eastAsia" w:ascii="宋体" w:hAnsi="宋体" w:eastAsia="宋体" w:cs="宋体"/>
                <w:color w:val="auto"/>
                <w:spacing w:val="-1"/>
                <w:sz w:val="24"/>
                <w:szCs w:val="24"/>
                <w:lang w:val="en-US" w:eastAsia="zh-CN"/>
              </w:rPr>
            </w:pPr>
            <w:r>
              <w:rPr>
                <w:rFonts w:hint="eastAsia" w:ascii="宋体" w:hAnsi="宋体" w:eastAsia="宋体" w:cs="宋体"/>
                <w:color w:val="auto"/>
                <w:spacing w:val="-1"/>
                <w:sz w:val="24"/>
                <w:szCs w:val="24"/>
                <w:lang w:val="en-US" w:eastAsia="zh-CN"/>
              </w:rPr>
              <w:t xml:space="preserve">（2）财政部生态环境部关于印发环境标志产品政府采购品目清单的通知（财库〔2019〕18号）； </w:t>
            </w:r>
          </w:p>
          <w:p w14:paraId="34F67936">
            <w:pPr>
              <w:spacing w:before="74" w:line="248" w:lineRule="auto"/>
              <w:ind w:left="114" w:right="133" w:firstLine="2"/>
              <w:rPr>
                <w:rFonts w:hint="eastAsia" w:ascii="宋体" w:hAnsi="宋体" w:eastAsia="宋体" w:cs="宋体"/>
                <w:color w:val="auto"/>
                <w:spacing w:val="-1"/>
                <w:sz w:val="24"/>
                <w:szCs w:val="24"/>
                <w:lang w:val="en-US" w:eastAsia="zh-CN"/>
              </w:rPr>
            </w:pPr>
            <w:r>
              <w:rPr>
                <w:rFonts w:hint="eastAsia" w:ascii="宋体" w:hAnsi="宋体" w:eastAsia="宋体" w:cs="宋体"/>
                <w:color w:val="auto"/>
                <w:spacing w:val="-1"/>
                <w:sz w:val="24"/>
                <w:szCs w:val="24"/>
                <w:lang w:val="en-US" w:eastAsia="zh-CN"/>
              </w:rPr>
              <w:t>（3）《财政部民政部中国残疾人联合会关于促进残疾人就业政府采购政策的通知》财库〔2017〕141号。</w:t>
            </w:r>
          </w:p>
          <w:p w14:paraId="74066C47">
            <w:pPr>
              <w:spacing w:before="74" w:line="248" w:lineRule="auto"/>
              <w:ind w:left="114" w:right="133" w:firstLine="2"/>
              <w:rPr>
                <w:rFonts w:hint="eastAsia" w:ascii="宋体" w:hAnsi="宋体" w:eastAsia="宋体" w:cs="宋体"/>
                <w:color w:val="auto"/>
                <w:spacing w:val="-1"/>
                <w:sz w:val="24"/>
                <w:szCs w:val="24"/>
              </w:rPr>
            </w:pPr>
            <w:r>
              <w:rPr>
                <w:rFonts w:hint="eastAsia" w:ascii="宋体" w:hAnsi="宋体" w:eastAsia="宋体" w:cs="宋体"/>
                <w:color w:val="auto"/>
                <w:spacing w:val="-1"/>
                <w:sz w:val="24"/>
                <w:szCs w:val="24"/>
                <w:lang w:val="en-US" w:eastAsia="zh-CN"/>
              </w:rPr>
              <w:t>（4）《财政部发展改革委 生态环境部 市场监管总局关于调整优化节能产品环境标志产品政府采购执行机制的通知》（财库〔2019〕9号），投标产品遵照《关于印发节能产品政府采购品目清单的通知》（财库〔2019〕19号）相关规定执行。</w:t>
            </w:r>
          </w:p>
          <w:p w14:paraId="55C9F1EF">
            <w:pPr>
              <w:spacing w:before="74" w:line="248" w:lineRule="auto"/>
              <w:ind w:left="114" w:right="133" w:firstLine="2"/>
              <w:rPr>
                <w:rFonts w:hint="eastAsia" w:ascii="宋体" w:hAnsi="宋体" w:eastAsia="宋体" w:cs="宋体"/>
                <w:color w:val="auto"/>
                <w:spacing w:val="-1"/>
                <w:sz w:val="24"/>
                <w:szCs w:val="24"/>
              </w:rPr>
            </w:pPr>
            <w:r>
              <w:rPr>
                <w:rFonts w:hint="eastAsia" w:ascii="宋体" w:hAnsi="宋体" w:eastAsia="宋体" w:cs="宋体"/>
                <w:color w:val="auto"/>
                <w:spacing w:val="-1"/>
                <w:sz w:val="24"/>
                <w:szCs w:val="24"/>
                <w:lang w:val="en-US" w:eastAsia="zh-CN"/>
              </w:rPr>
              <w:t>（5）本项目专门面向中小企业。</w:t>
            </w:r>
          </w:p>
          <w:p w14:paraId="048BAA4E">
            <w:pPr>
              <w:spacing w:before="74" w:line="248" w:lineRule="auto"/>
              <w:ind w:left="114" w:right="133" w:firstLine="2"/>
              <w:rPr>
                <w:rFonts w:ascii="宋体" w:hAnsi="宋体" w:eastAsia="宋体" w:cs="宋体"/>
                <w:b/>
                <w:bCs/>
                <w:color w:val="auto"/>
                <w:spacing w:val="-1"/>
                <w:sz w:val="24"/>
                <w:szCs w:val="24"/>
              </w:rPr>
            </w:pPr>
            <w:r>
              <w:rPr>
                <w:rFonts w:ascii="宋体" w:hAnsi="宋体" w:eastAsia="宋体" w:cs="宋体"/>
                <w:b/>
                <w:bCs/>
                <w:color w:val="auto"/>
                <w:spacing w:val="-1"/>
                <w:sz w:val="24"/>
                <w:szCs w:val="24"/>
              </w:rPr>
              <w:t>3.本项目的特定资格要求：</w:t>
            </w:r>
          </w:p>
          <w:p w14:paraId="4D19FB4C">
            <w:pPr>
              <w:spacing w:before="69" w:line="219" w:lineRule="auto"/>
              <w:ind w:left="111"/>
              <w:rPr>
                <w:rFonts w:hint="eastAsia" w:ascii="宋体" w:hAnsi="宋体" w:eastAsia="宋体" w:cs="宋体"/>
                <w:b w:val="0"/>
                <w:bCs w:val="0"/>
                <w:color w:val="auto"/>
                <w:spacing w:val="-1"/>
                <w:sz w:val="24"/>
                <w:szCs w:val="24"/>
                <w:lang w:val="en-US" w:eastAsia="zh-CN"/>
              </w:rPr>
            </w:pPr>
            <w:r>
              <w:rPr>
                <w:rFonts w:hint="eastAsia" w:ascii="宋体" w:hAnsi="宋体" w:eastAsia="宋体" w:cs="宋体"/>
                <w:b w:val="0"/>
                <w:bCs w:val="0"/>
                <w:color w:val="auto"/>
                <w:spacing w:val="-1"/>
                <w:sz w:val="24"/>
                <w:szCs w:val="24"/>
                <w:lang w:val="en-US" w:eastAsia="zh-CN"/>
              </w:rPr>
              <w:t>供应商为生产企业的需具备有效期内的《药品生产许可证》及《药品GMP 认证证书》，供应商为药品经营企业或代理商的需具备有效期内的《药品经营许可证》(注:根据国家药监局关于贯彻实施《中华人民共和国药品管理法》有关事项的公告(2019年103号)，如 GMP证书为2019年12月1日及以后到期的，须提供到期前的GMP证书，如2019年12月1日以后新成立的生产企业或经营企业则无须提供GMP证书。）投标产品中含麻黄的，另需提供生产企业《麻黄收购许可证》。</w:t>
            </w:r>
          </w:p>
          <w:p w14:paraId="42BFB15E">
            <w:pPr>
              <w:spacing w:before="69" w:line="219" w:lineRule="auto"/>
              <w:ind w:left="111"/>
              <w:rPr>
                <w:rFonts w:ascii="宋体" w:hAnsi="宋体" w:eastAsia="宋体" w:cs="宋体"/>
                <w:b/>
                <w:bCs/>
                <w:color w:val="auto"/>
                <w:sz w:val="24"/>
                <w:szCs w:val="24"/>
              </w:rPr>
            </w:pPr>
            <w:r>
              <w:rPr>
                <w:rFonts w:ascii="宋体" w:hAnsi="宋体" w:eastAsia="宋体" w:cs="宋体"/>
                <w:b/>
                <w:bCs/>
                <w:color w:val="auto"/>
                <w:spacing w:val="-1"/>
                <w:sz w:val="24"/>
                <w:szCs w:val="24"/>
              </w:rPr>
              <w:t>4.本项目不接受联合体参加。</w:t>
            </w:r>
          </w:p>
          <w:p w14:paraId="4C33B376">
            <w:pPr>
              <w:spacing w:before="73" w:line="219" w:lineRule="auto"/>
              <w:jc w:val="left"/>
              <w:rPr>
                <w:rFonts w:hint="eastAsia" w:ascii="宋体" w:hAnsi="宋体" w:eastAsia="宋体" w:cs="宋体"/>
                <w:color w:val="auto"/>
                <w:spacing w:val="-2"/>
                <w:sz w:val="24"/>
                <w:szCs w:val="24"/>
                <w:lang w:eastAsia="zh-CN"/>
                <w14:textOutline w14:w="4358" w14:cap="sq" w14:cmpd="sng">
                  <w14:solidFill>
                    <w14:srgbClr w14:val="000000"/>
                  </w14:solidFill>
                  <w14:prstDash w14:val="solid"/>
                  <w14:bevel/>
                </w14:textOutline>
              </w:rPr>
            </w:pPr>
            <w:r>
              <w:rPr>
                <w:rFonts w:ascii="宋体" w:hAnsi="宋体" w:eastAsia="宋体" w:cs="宋体"/>
                <w:b/>
                <w:bCs/>
                <w:color w:val="auto"/>
                <w:spacing w:val="-6"/>
                <w:sz w:val="24"/>
                <w:szCs w:val="24"/>
              </w:rPr>
              <w:t>注：供应商提交的所有证明文件及材料必须清晰、准确、真实</w:t>
            </w:r>
            <w:r>
              <w:rPr>
                <w:rFonts w:ascii="宋体" w:hAnsi="宋体" w:eastAsia="宋体" w:cs="宋体"/>
                <w:color w:val="auto"/>
                <w:spacing w:val="-6"/>
                <w:sz w:val="24"/>
                <w:szCs w:val="24"/>
              </w:rPr>
              <w:t>。</w:t>
            </w:r>
          </w:p>
        </w:tc>
      </w:tr>
      <w:tr w14:paraId="4E3148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3" w:hRule="atLeast"/>
        </w:trPr>
        <w:tc>
          <w:tcPr>
            <w:tcW w:w="742" w:type="dxa"/>
            <w:tcBorders>
              <w:top w:val="single" w:color="000000" w:sz="4" w:space="0"/>
              <w:left w:val="single" w:color="000000" w:sz="4" w:space="0"/>
            </w:tcBorders>
            <w:vAlign w:val="top"/>
          </w:tcPr>
          <w:p w14:paraId="2DC8FD43">
            <w:pPr>
              <w:spacing w:before="202" w:line="183" w:lineRule="auto"/>
              <w:ind w:left="321"/>
              <w:rPr>
                <w:rFonts w:ascii="宋体" w:hAnsi="宋体" w:eastAsia="宋体" w:cs="宋体"/>
                <w:color w:val="auto"/>
                <w:sz w:val="24"/>
                <w:szCs w:val="24"/>
              </w:rPr>
            </w:pPr>
            <w:r>
              <w:rPr>
                <w:rFonts w:ascii="宋体" w:hAnsi="宋体" w:eastAsia="宋体" w:cs="宋体"/>
                <w:color w:val="auto"/>
                <w:sz w:val="24"/>
                <w:szCs w:val="24"/>
              </w:rPr>
              <w:t>9</w:t>
            </w:r>
          </w:p>
        </w:tc>
        <w:tc>
          <w:tcPr>
            <w:tcW w:w="1870" w:type="dxa"/>
            <w:tcBorders>
              <w:top w:val="single" w:color="000000" w:sz="4" w:space="0"/>
            </w:tcBorders>
            <w:vAlign w:val="top"/>
          </w:tcPr>
          <w:p w14:paraId="7F66BC15">
            <w:pPr>
              <w:spacing w:before="164" w:line="219" w:lineRule="auto"/>
              <w:ind w:left="325"/>
              <w:rPr>
                <w:rFonts w:ascii="宋体" w:hAnsi="宋体" w:eastAsia="宋体" w:cs="宋体"/>
                <w:color w:val="auto"/>
                <w:sz w:val="24"/>
                <w:szCs w:val="24"/>
              </w:rPr>
            </w:pPr>
            <w:r>
              <w:rPr>
                <w:rFonts w:ascii="宋体" w:hAnsi="宋体" w:eastAsia="宋体" w:cs="宋体"/>
                <w:color w:val="auto"/>
                <w:spacing w:val="-3"/>
                <w:sz w:val="24"/>
                <w:szCs w:val="24"/>
                <w14:textOutline w14:w="4358" w14:cap="sq" w14:cmpd="sng">
                  <w14:solidFill>
                    <w14:srgbClr w14:val="000000"/>
                  </w14:solidFill>
                  <w14:prstDash w14:val="solid"/>
                  <w14:bevel/>
                </w14:textOutline>
              </w:rPr>
              <w:t>资格审查方式</w:t>
            </w:r>
          </w:p>
        </w:tc>
        <w:tc>
          <w:tcPr>
            <w:tcW w:w="7103" w:type="dxa"/>
            <w:tcBorders>
              <w:top w:val="single" w:color="000000" w:sz="4" w:space="0"/>
              <w:right w:val="single" w:color="000000" w:sz="4" w:space="0"/>
            </w:tcBorders>
            <w:vAlign w:val="top"/>
          </w:tcPr>
          <w:p w14:paraId="705756C6">
            <w:pPr>
              <w:spacing w:before="164" w:line="219" w:lineRule="auto"/>
              <w:ind w:left="122"/>
              <w:rPr>
                <w:rFonts w:ascii="宋体" w:hAnsi="宋体" w:eastAsia="宋体" w:cs="宋体"/>
                <w:color w:val="auto"/>
                <w:sz w:val="24"/>
                <w:szCs w:val="24"/>
              </w:rPr>
            </w:pPr>
            <w:r>
              <w:rPr>
                <w:rFonts w:ascii="宋体" w:hAnsi="宋体" w:eastAsia="宋体" w:cs="宋体"/>
                <w:color w:val="auto"/>
                <w:spacing w:val="-5"/>
                <w:sz w:val="24"/>
                <w:szCs w:val="24"/>
              </w:rPr>
              <w:t>资格后审</w:t>
            </w:r>
          </w:p>
        </w:tc>
      </w:tr>
      <w:tr w14:paraId="720261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742" w:type="dxa"/>
            <w:tcBorders>
              <w:left w:val="single" w:color="000000" w:sz="4" w:space="0"/>
            </w:tcBorders>
            <w:vAlign w:val="top"/>
          </w:tcPr>
          <w:p w14:paraId="39834073">
            <w:pPr>
              <w:spacing w:before="155" w:line="184" w:lineRule="auto"/>
              <w:ind w:left="278"/>
              <w:rPr>
                <w:rFonts w:ascii="宋体" w:hAnsi="宋体" w:eastAsia="宋体" w:cs="宋体"/>
                <w:color w:val="auto"/>
                <w:sz w:val="24"/>
                <w:szCs w:val="24"/>
              </w:rPr>
            </w:pPr>
            <w:r>
              <w:rPr>
                <w:rFonts w:ascii="宋体" w:hAnsi="宋体" w:eastAsia="宋体" w:cs="宋体"/>
                <w:color w:val="auto"/>
                <w:spacing w:val="-14"/>
                <w:sz w:val="24"/>
                <w:szCs w:val="24"/>
              </w:rPr>
              <w:t>10</w:t>
            </w:r>
          </w:p>
        </w:tc>
        <w:tc>
          <w:tcPr>
            <w:tcW w:w="1870" w:type="dxa"/>
            <w:vAlign w:val="top"/>
          </w:tcPr>
          <w:p w14:paraId="03565C65">
            <w:pPr>
              <w:spacing w:before="118" w:line="220" w:lineRule="auto"/>
              <w:ind w:left="558"/>
              <w:rPr>
                <w:rFonts w:ascii="宋体" w:hAnsi="宋体" w:eastAsia="宋体" w:cs="宋体"/>
                <w:color w:val="auto"/>
                <w:sz w:val="24"/>
                <w:szCs w:val="24"/>
              </w:rPr>
            </w:pPr>
            <w:r>
              <w:rPr>
                <w:rFonts w:ascii="宋体" w:hAnsi="宋体" w:eastAsia="宋体" w:cs="宋体"/>
                <w:color w:val="auto"/>
                <w:spacing w:val="-3"/>
                <w:sz w:val="24"/>
                <w:szCs w:val="24"/>
                <w14:textOutline w14:w="4358" w14:cap="sq" w14:cmpd="sng">
                  <w14:solidFill>
                    <w14:srgbClr w14:val="000000"/>
                  </w14:solidFill>
                  <w14:prstDash w14:val="solid"/>
                  <w14:bevel/>
                </w14:textOutline>
              </w:rPr>
              <w:t>投标语言</w:t>
            </w:r>
          </w:p>
        </w:tc>
        <w:tc>
          <w:tcPr>
            <w:tcW w:w="7103" w:type="dxa"/>
            <w:tcBorders>
              <w:right w:val="single" w:color="000000" w:sz="4" w:space="0"/>
            </w:tcBorders>
            <w:vAlign w:val="top"/>
          </w:tcPr>
          <w:p w14:paraId="2693DD4C">
            <w:pPr>
              <w:spacing w:before="118" w:line="220" w:lineRule="auto"/>
              <w:ind w:left="135"/>
              <w:rPr>
                <w:rFonts w:ascii="宋体" w:hAnsi="宋体" w:eastAsia="宋体" w:cs="宋体"/>
                <w:color w:val="auto"/>
                <w:sz w:val="24"/>
                <w:szCs w:val="24"/>
              </w:rPr>
            </w:pPr>
            <w:r>
              <w:rPr>
                <w:rFonts w:ascii="宋体" w:hAnsi="宋体" w:eastAsia="宋体" w:cs="宋体"/>
                <w:color w:val="auto"/>
                <w:spacing w:val="-16"/>
                <w:sz w:val="24"/>
                <w:szCs w:val="24"/>
              </w:rPr>
              <w:t>中文</w:t>
            </w:r>
          </w:p>
        </w:tc>
      </w:tr>
      <w:tr w14:paraId="469CE0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742" w:type="dxa"/>
            <w:tcBorders>
              <w:left w:val="single" w:color="000000" w:sz="4" w:space="0"/>
            </w:tcBorders>
            <w:vAlign w:val="top"/>
          </w:tcPr>
          <w:p w14:paraId="16F3F519">
            <w:pPr>
              <w:spacing w:before="272" w:line="184" w:lineRule="auto"/>
              <w:ind w:left="278"/>
              <w:rPr>
                <w:rFonts w:ascii="宋体" w:hAnsi="宋体" w:eastAsia="宋体" w:cs="宋体"/>
                <w:color w:val="auto"/>
                <w:sz w:val="24"/>
                <w:szCs w:val="24"/>
              </w:rPr>
            </w:pPr>
            <w:r>
              <w:rPr>
                <w:rFonts w:ascii="宋体" w:hAnsi="宋体" w:eastAsia="宋体" w:cs="宋体"/>
                <w:color w:val="auto"/>
                <w:spacing w:val="-14"/>
                <w:sz w:val="24"/>
                <w:szCs w:val="24"/>
              </w:rPr>
              <w:t>11</w:t>
            </w:r>
          </w:p>
        </w:tc>
        <w:tc>
          <w:tcPr>
            <w:tcW w:w="1870" w:type="dxa"/>
            <w:vAlign w:val="top"/>
          </w:tcPr>
          <w:p w14:paraId="0A9B5FDE">
            <w:pPr>
              <w:spacing w:before="235" w:line="220" w:lineRule="auto"/>
              <w:ind w:left="438"/>
              <w:rPr>
                <w:rFonts w:ascii="宋体" w:hAnsi="宋体" w:eastAsia="宋体" w:cs="宋体"/>
                <w:color w:val="auto"/>
                <w:sz w:val="24"/>
                <w:szCs w:val="24"/>
              </w:rPr>
            </w:pPr>
            <w:r>
              <w:rPr>
                <w:rFonts w:hint="eastAsia" w:ascii="宋体" w:hAnsi="宋体" w:eastAsia="宋体" w:cs="宋体"/>
                <w:color w:val="auto"/>
                <w:spacing w:val="-2"/>
                <w:sz w:val="24"/>
                <w:szCs w:val="24"/>
                <w:lang w:eastAsia="zh-CN"/>
                <w14:textOutline w14:w="4358" w14:cap="sq" w14:cmpd="sng">
                  <w14:solidFill>
                    <w14:srgbClr w14:val="000000"/>
                  </w14:solidFill>
                  <w14:prstDash w14:val="solid"/>
                  <w14:bevel/>
                </w14:textOutline>
              </w:rPr>
              <w:t>投标</w:t>
            </w:r>
            <w:r>
              <w:rPr>
                <w:rFonts w:ascii="宋体" w:hAnsi="宋体" w:eastAsia="宋体" w:cs="宋体"/>
                <w:color w:val="auto"/>
                <w:spacing w:val="-2"/>
                <w:sz w:val="24"/>
                <w:szCs w:val="24"/>
                <w14:textOutline w14:w="4358" w14:cap="sq" w14:cmpd="sng">
                  <w14:solidFill>
                    <w14:srgbClr w14:val="000000"/>
                  </w14:solidFill>
                  <w14:prstDash w14:val="solid"/>
                  <w14:bevel/>
                </w14:textOutline>
              </w:rPr>
              <w:t>有效期</w:t>
            </w:r>
          </w:p>
        </w:tc>
        <w:tc>
          <w:tcPr>
            <w:tcW w:w="7103" w:type="dxa"/>
            <w:tcBorders>
              <w:right w:val="single" w:color="000000" w:sz="4" w:space="0"/>
            </w:tcBorders>
            <w:vAlign w:val="top"/>
          </w:tcPr>
          <w:p w14:paraId="0C5230D9">
            <w:pPr>
              <w:spacing w:before="236" w:line="219" w:lineRule="auto"/>
              <w:ind w:left="113"/>
              <w:rPr>
                <w:rFonts w:ascii="宋体" w:hAnsi="宋体" w:eastAsia="宋体" w:cs="宋体"/>
                <w:color w:val="auto"/>
                <w:sz w:val="24"/>
                <w:szCs w:val="24"/>
              </w:rPr>
            </w:pPr>
            <w:r>
              <w:rPr>
                <w:rFonts w:hint="eastAsia" w:ascii="宋体" w:hAnsi="宋体" w:eastAsia="宋体" w:cs="宋体"/>
                <w:color w:val="auto"/>
                <w:spacing w:val="-3"/>
                <w:sz w:val="24"/>
                <w:szCs w:val="24"/>
                <w:lang w:val="en-US" w:eastAsia="zh-CN"/>
              </w:rPr>
              <w:t>60</w:t>
            </w:r>
            <w:r>
              <w:rPr>
                <w:rFonts w:ascii="宋体" w:hAnsi="宋体" w:eastAsia="宋体" w:cs="宋体"/>
                <w:color w:val="auto"/>
                <w:spacing w:val="-3"/>
                <w:sz w:val="24"/>
                <w:szCs w:val="24"/>
              </w:rPr>
              <w:t>日历天</w:t>
            </w:r>
            <w:r>
              <w:rPr>
                <w:rFonts w:ascii="宋体" w:hAnsi="宋体" w:eastAsia="宋体" w:cs="宋体"/>
                <w:color w:val="auto"/>
                <w:spacing w:val="-12"/>
                <w:sz w:val="24"/>
                <w:szCs w:val="24"/>
              </w:rPr>
              <w:t>；（</w:t>
            </w:r>
            <w:r>
              <w:rPr>
                <w:rFonts w:ascii="宋体" w:hAnsi="宋体" w:eastAsia="宋体" w:cs="宋体"/>
                <w:color w:val="auto"/>
                <w:spacing w:val="-3"/>
                <w:sz w:val="24"/>
                <w:szCs w:val="24"/>
              </w:rPr>
              <w:t>从</w:t>
            </w:r>
            <w:r>
              <w:rPr>
                <w:rFonts w:hint="eastAsia" w:ascii="宋体" w:hAnsi="宋体" w:eastAsia="宋体" w:cs="宋体"/>
                <w:color w:val="auto"/>
                <w:spacing w:val="-3"/>
                <w:sz w:val="24"/>
                <w:szCs w:val="24"/>
                <w:lang w:eastAsia="zh-CN"/>
              </w:rPr>
              <w:t>响应</w:t>
            </w:r>
            <w:r>
              <w:rPr>
                <w:rFonts w:ascii="宋体" w:hAnsi="宋体" w:eastAsia="宋体" w:cs="宋体"/>
                <w:color w:val="auto"/>
                <w:spacing w:val="-3"/>
                <w:sz w:val="24"/>
                <w:szCs w:val="24"/>
              </w:rPr>
              <w:t>截止之日算起）</w:t>
            </w:r>
          </w:p>
        </w:tc>
      </w:tr>
      <w:tr w14:paraId="7CA6A0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742" w:type="dxa"/>
            <w:tcBorders>
              <w:left w:val="single" w:color="000000" w:sz="4" w:space="0"/>
            </w:tcBorders>
            <w:vAlign w:val="top"/>
          </w:tcPr>
          <w:p w14:paraId="79C8100E">
            <w:pPr>
              <w:spacing w:before="214" w:line="184" w:lineRule="auto"/>
              <w:ind w:left="278"/>
              <w:rPr>
                <w:rFonts w:ascii="宋体" w:hAnsi="宋体" w:eastAsia="宋体" w:cs="宋体"/>
                <w:color w:val="auto"/>
                <w:sz w:val="24"/>
                <w:szCs w:val="24"/>
              </w:rPr>
            </w:pPr>
            <w:r>
              <w:rPr>
                <w:rFonts w:ascii="宋体" w:hAnsi="宋体" w:eastAsia="宋体" w:cs="宋体"/>
                <w:color w:val="auto"/>
                <w:spacing w:val="-14"/>
                <w:sz w:val="24"/>
                <w:szCs w:val="24"/>
              </w:rPr>
              <w:t>12</w:t>
            </w:r>
          </w:p>
        </w:tc>
        <w:tc>
          <w:tcPr>
            <w:tcW w:w="1870" w:type="dxa"/>
            <w:vAlign w:val="top"/>
          </w:tcPr>
          <w:p w14:paraId="094CA715">
            <w:pPr>
              <w:spacing w:before="177" w:line="219" w:lineRule="auto"/>
              <w:ind w:left="554"/>
              <w:rPr>
                <w:rFonts w:ascii="宋体" w:hAnsi="宋体" w:eastAsia="宋体" w:cs="宋体"/>
                <w:color w:val="auto"/>
                <w:sz w:val="24"/>
                <w:szCs w:val="24"/>
              </w:rPr>
            </w:pPr>
            <w:r>
              <w:rPr>
                <w:rFonts w:ascii="宋体" w:hAnsi="宋体" w:eastAsia="宋体" w:cs="宋体"/>
                <w:color w:val="auto"/>
                <w:spacing w:val="-2"/>
                <w:sz w:val="24"/>
                <w:szCs w:val="24"/>
                <w14:textOutline w14:w="4358" w14:cap="sq" w14:cmpd="sng">
                  <w14:solidFill>
                    <w14:srgbClr w14:val="000000"/>
                  </w14:solidFill>
                  <w14:prstDash w14:val="solid"/>
                  <w14:bevel/>
                </w14:textOutline>
              </w:rPr>
              <w:t>采购方式</w:t>
            </w:r>
          </w:p>
        </w:tc>
        <w:tc>
          <w:tcPr>
            <w:tcW w:w="7103" w:type="dxa"/>
            <w:tcBorders>
              <w:right w:val="single" w:color="000000" w:sz="4" w:space="0"/>
            </w:tcBorders>
            <w:vAlign w:val="top"/>
          </w:tcPr>
          <w:p w14:paraId="18CF008C">
            <w:pPr>
              <w:spacing w:before="178" w:line="219" w:lineRule="auto"/>
              <w:ind w:left="115"/>
              <w:rPr>
                <w:rFonts w:ascii="宋体" w:hAnsi="宋体" w:eastAsia="宋体" w:cs="宋体"/>
                <w:color w:val="auto"/>
                <w:sz w:val="24"/>
                <w:szCs w:val="24"/>
              </w:rPr>
            </w:pPr>
            <w:r>
              <w:rPr>
                <w:rFonts w:ascii="宋体" w:hAnsi="宋体" w:eastAsia="宋体" w:cs="宋体"/>
                <w:color w:val="auto"/>
                <w:spacing w:val="-3"/>
                <w:sz w:val="24"/>
                <w:szCs w:val="24"/>
              </w:rPr>
              <w:t>竞争性磋商</w:t>
            </w:r>
          </w:p>
        </w:tc>
      </w:tr>
      <w:tr w14:paraId="44314A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742" w:type="dxa"/>
            <w:tcBorders>
              <w:left w:val="single" w:color="000000" w:sz="4" w:space="0"/>
            </w:tcBorders>
            <w:vAlign w:val="top"/>
          </w:tcPr>
          <w:p w14:paraId="5ED80A56">
            <w:pPr>
              <w:spacing w:before="259" w:line="184" w:lineRule="auto"/>
              <w:ind w:left="278"/>
              <w:rPr>
                <w:rFonts w:ascii="宋体" w:hAnsi="宋体" w:eastAsia="宋体" w:cs="宋体"/>
                <w:color w:val="auto"/>
                <w:sz w:val="24"/>
                <w:szCs w:val="24"/>
              </w:rPr>
            </w:pPr>
            <w:r>
              <w:rPr>
                <w:rFonts w:ascii="宋体" w:hAnsi="宋体" w:eastAsia="宋体" w:cs="宋体"/>
                <w:color w:val="auto"/>
                <w:spacing w:val="-14"/>
                <w:sz w:val="24"/>
                <w:szCs w:val="24"/>
              </w:rPr>
              <w:t>13</w:t>
            </w:r>
          </w:p>
        </w:tc>
        <w:tc>
          <w:tcPr>
            <w:tcW w:w="1870" w:type="dxa"/>
            <w:vAlign w:val="top"/>
          </w:tcPr>
          <w:p w14:paraId="4B080C13">
            <w:pPr>
              <w:spacing w:before="223" w:line="219" w:lineRule="auto"/>
              <w:ind w:left="554"/>
              <w:rPr>
                <w:rFonts w:ascii="宋体" w:hAnsi="宋体" w:eastAsia="宋体" w:cs="宋体"/>
                <w:color w:val="auto"/>
                <w:sz w:val="24"/>
                <w:szCs w:val="24"/>
              </w:rPr>
            </w:pPr>
            <w:r>
              <w:rPr>
                <w:rFonts w:ascii="宋体" w:hAnsi="宋体" w:eastAsia="宋体" w:cs="宋体"/>
                <w:color w:val="auto"/>
                <w:spacing w:val="-2"/>
                <w:sz w:val="24"/>
                <w:szCs w:val="24"/>
                <w14:textOutline w14:w="4358" w14:cap="sq" w14:cmpd="sng">
                  <w14:solidFill>
                    <w14:srgbClr w14:val="000000"/>
                  </w14:solidFill>
                  <w14:prstDash w14:val="solid"/>
                  <w14:bevel/>
                </w14:textOutline>
              </w:rPr>
              <w:t>评标办法</w:t>
            </w:r>
          </w:p>
        </w:tc>
        <w:tc>
          <w:tcPr>
            <w:tcW w:w="7103" w:type="dxa"/>
            <w:tcBorders>
              <w:right w:val="single" w:color="000000" w:sz="4" w:space="0"/>
            </w:tcBorders>
            <w:vAlign w:val="top"/>
          </w:tcPr>
          <w:p w14:paraId="1E48E9D5">
            <w:pPr>
              <w:spacing w:before="222" w:line="220" w:lineRule="auto"/>
              <w:ind w:left="115"/>
              <w:rPr>
                <w:rFonts w:ascii="宋体" w:hAnsi="宋体" w:eastAsia="宋体" w:cs="宋体"/>
                <w:color w:val="auto"/>
                <w:sz w:val="24"/>
                <w:szCs w:val="24"/>
              </w:rPr>
            </w:pPr>
            <w:r>
              <w:rPr>
                <w:rFonts w:ascii="宋体" w:hAnsi="宋体" w:eastAsia="宋体" w:cs="宋体"/>
                <w:color w:val="auto"/>
                <w:spacing w:val="-3"/>
                <w:sz w:val="24"/>
                <w:szCs w:val="24"/>
              </w:rPr>
              <w:t>综合评分法</w:t>
            </w:r>
          </w:p>
        </w:tc>
      </w:tr>
      <w:tr w14:paraId="22713C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742" w:type="dxa"/>
            <w:tcBorders>
              <w:left w:val="single" w:color="000000" w:sz="4" w:space="0"/>
            </w:tcBorders>
            <w:vAlign w:val="top"/>
          </w:tcPr>
          <w:p w14:paraId="1A5ABCDB">
            <w:pPr>
              <w:spacing w:before="260" w:line="184" w:lineRule="auto"/>
              <w:ind w:left="278"/>
              <w:rPr>
                <w:rFonts w:ascii="宋体" w:hAnsi="宋体" w:eastAsia="宋体" w:cs="宋体"/>
                <w:color w:val="auto"/>
                <w:sz w:val="24"/>
                <w:szCs w:val="24"/>
              </w:rPr>
            </w:pPr>
            <w:r>
              <w:rPr>
                <w:rFonts w:ascii="宋体" w:hAnsi="宋体" w:eastAsia="宋体" w:cs="宋体"/>
                <w:color w:val="auto"/>
                <w:spacing w:val="-14"/>
                <w:sz w:val="24"/>
                <w:szCs w:val="24"/>
              </w:rPr>
              <w:t>14</w:t>
            </w:r>
          </w:p>
        </w:tc>
        <w:tc>
          <w:tcPr>
            <w:tcW w:w="1870" w:type="dxa"/>
            <w:vAlign w:val="top"/>
          </w:tcPr>
          <w:p w14:paraId="7530527E">
            <w:pPr>
              <w:spacing w:before="223" w:line="219" w:lineRule="auto"/>
              <w:ind w:left="196"/>
              <w:rPr>
                <w:rFonts w:ascii="宋体" w:hAnsi="宋体" w:eastAsia="宋体" w:cs="宋体"/>
                <w:color w:val="auto"/>
                <w:sz w:val="24"/>
                <w:szCs w:val="24"/>
              </w:rPr>
            </w:pPr>
            <w:r>
              <w:rPr>
                <w:rFonts w:ascii="宋体" w:hAnsi="宋体" w:eastAsia="宋体" w:cs="宋体"/>
                <w:color w:val="auto"/>
                <w:spacing w:val="-2"/>
                <w:sz w:val="24"/>
                <w:szCs w:val="24"/>
                <w14:textOutline w14:w="4358" w14:cap="sq" w14:cmpd="sng">
                  <w14:solidFill>
                    <w14:srgbClr w14:val="000000"/>
                  </w14:solidFill>
                  <w14:prstDash w14:val="solid"/>
                  <w14:bevel/>
                </w14:textOutline>
              </w:rPr>
              <w:t>本项目所属行业</w:t>
            </w:r>
          </w:p>
        </w:tc>
        <w:tc>
          <w:tcPr>
            <w:tcW w:w="7103" w:type="dxa"/>
            <w:tcBorders>
              <w:right w:val="single" w:color="000000" w:sz="4" w:space="0"/>
            </w:tcBorders>
            <w:vAlign w:val="top"/>
          </w:tcPr>
          <w:p w14:paraId="37CC2FC8">
            <w:pPr>
              <w:spacing w:before="224" w:line="219" w:lineRule="auto"/>
              <w:ind w:left="113"/>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批发业。</w:t>
            </w:r>
          </w:p>
        </w:tc>
      </w:tr>
      <w:tr w14:paraId="56DCAE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2" w:hRule="atLeast"/>
        </w:trPr>
        <w:tc>
          <w:tcPr>
            <w:tcW w:w="742" w:type="dxa"/>
            <w:tcBorders>
              <w:left w:val="single" w:color="000000" w:sz="4" w:space="0"/>
            </w:tcBorders>
            <w:vAlign w:val="top"/>
          </w:tcPr>
          <w:p w14:paraId="45EE1766">
            <w:pPr>
              <w:spacing w:before="261" w:line="184" w:lineRule="auto"/>
              <w:ind w:left="278"/>
              <w:rPr>
                <w:rFonts w:ascii="宋体" w:hAnsi="宋体" w:eastAsia="宋体" w:cs="宋体"/>
                <w:color w:val="auto"/>
                <w:sz w:val="24"/>
                <w:szCs w:val="24"/>
              </w:rPr>
            </w:pPr>
            <w:r>
              <w:rPr>
                <w:rFonts w:ascii="宋体" w:hAnsi="宋体" w:eastAsia="宋体" w:cs="宋体"/>
                <w:color w:val="auto"/>
                <w:spacing w:val="-14"/>
                <w:sz w:val="24"/>
                <w:szCs w:val="24"/>
              </w:rPr>
              <w:t>15</w:t>
            </w:r>
          </w:p>
        </w:tc>
        <w:tc>
          <w:tcPr>
            <w:tcW w:w="1870" w:type="dxa"/>
            <w:vAlign w:val="center"/>
          </w:tcPr>
          <w:p w14:paraId="6691ED73">
            <w:pPr>
              <w:spacing w:before="44" w:line="247" w:lineRule="auto"/>
              <w:ind w:right="194"/>
              <w:jc w:val="center"/>
              <w:rPr>
                <w:rFonts w:ascii="宋体" w:hAnsi="宋体" w:eastAsia="宋体" w:cs="宋体"/>
                <w:color w:val="auto"/>
                <w:sz w:val="24"/>
                <w:szCs w:val="24"/>
              </w:rPr>
            </w:pPr>
            <w:r>
              <w:rPr>
                <w:rFonts w:ascii="宋体" w:hAnsi="宋体" w:eastAsia="宋体" w:cs="宋体"/>
                <w:color w:val="auto"/>
                <w:spacing w:val="-2"/>
                <w:sz w:val="24"/>
                <w:szCs w:val="24"/>
                <w14:textOutline w14:w="4358" w14:cap="sq" w14:cmpd="sng">
                  <w14:solidFill>
                    <w14:srgbClr w14:val="000000"/>
                  </w14:solidFill>
                  <w14:prstDash w14:val="solid"/>
                  <w14:bevel/>
                </w14:textOutline>
              </w:rPr>
              <w:t>是否允许采购进</w:t>
            </w:r>
            <w:r>
              <w:rPr>
                <w:rFonts w:ascii="宋体" w:hAnsi="宋体" w:eastAsia="宋体" w:cs="宋体"/>
                <w:color w:val="auto"/>
                <w:spacing w:val="-15"/>
                <w:sz w:val="24"/>
                <w:szCs w:val="24"/>
                <w14:textOutline w14:w="4358" w14:cap="sq" w14:cmpd="sng">
                  <w14:solidFill>
                    <w14:srgbClr w14:val="000000"/>
                  </w14:solidFill>
                  <w14:prstDash w14:val="solid"/>
                  <w14:bevel/>
                </w14:textOutline>
              </w:rPr>
              <w:t>口产品</w:t>
            </w:r>
          </w:p>
        </w:tc>
        <w:tc>
          <w:tcPr>
            <w:tcW w:w="7103" w:type="dxa"/>
            <w:tcBorders>
              <w:right w:val="single" w:color="000000" w:sz="4" w:space="0"/>
            </w:tcBorders>
            <w:vAlign w:val="top"/>
          </w:tcPr>
          <w:p w14:paraId="7AB4CD65">
            <w:pPr>
              <w:spacing w:before="223" w:line="219" w:lineRule="auto"/>
              <w:ind w:left="113"/>
              <w:rPr>
                <w:rFonts w:ascii="宋体" w:hAnsi="宋体" w:eastAsia="宋体" w:cs="宋体"/>
                <w:color w:val="auto"/>
                <w:sz w:val="24"/>
                <w:szCs w:val="24"/>
              </w:rPr>
            </w:pPr>
            <w:r>
              <w:rPr>
                <w:rFonts w:ascii="宋体" w:hAnsi="宋体" w:eastAsia="宋体" w:cs="宋体"/>
                <w:color w:val="auto"/>
                <w:spacing w:val="-3"/>
                <w:sz w:val="24"/>
                <w:szCs w:val="24"/>
              </w:rPr>
              <w:t>本项目不允许进口产品投标。</w:t>
            </w:r>
          </w:p>
        </w:tc>
      </w:tr>
      <w:tr w14:paraId="657382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5" w:hRule="atLeast"/>
        </w:trPr>
        <w:tc>
          <w:tcPr>
            <w:tcW w:w="742" w:type="dxa"/>
            <w:tcBorders>
              <w:left w:val="single" w:color="000000" w:sz="4" w:space="0"/>
            </w:tcBorders>
            <w:vAlign w:val="top"/>
          </w:tcPr>
          <w:p w14:paraId="7211E4E3">
            <w:pPr>
              <w:spacing w:line="332" w:lineRule="auto"/>
              <w:rPr>
                <w:rFonts w:ascii="Arial"/>
                <w:color w:val="auto"/>
                <w:sz w:val="21"/>
              </w:rPr>
            </w:pPr>
          </w:p>
          <w:p w14:paraId="126E0409">
            <w:pPr>
              <w:spacing w:before="78" w:line="184" w:lineRule="auto"/>
              <w:ind w:left="278"/>
              <w:rPr>
                <w:rFonts w:ascii="宋体" w:hAnsi="宋体" w:eastAsia="宋体" w:cs="宋体"/>
                <w:color w:val="auto"/>
                <w:sz w:val="24"/>
                <w:szCs w:val="24"/>
              </w:rPr>
            </w:pPr>
            <w:r>
              <w:rPr>
                <w:rFonts w:ascii="宋体" w:hAnsi="宋体" w:eastAsia="宋体" w:cs="宋体"/>
                <w:color w:val="auto"/>
                <w:spacing w:val="-14"/>
                <w:sz w:val="24"/>
                <w:szCs w:val="24"/>
              </w:rPr>
              <w:t>16</w:t>
            </w:r>
          </w:p>
        </w:tc>
        <w:tc>
          <w:tcPr>
            <w:tcW w:w="1870" w:type="dxa"/>
            <w:vAlign w:val="center"/>
          </w:tcPr>
          <w:p w14:paraId="61D6A674">
            <w:pPr>
              <w:spacing w:line="295" w:lineRule="auto"/>
              <w:jc w:val="center"/>
              <w:rPr>
                <w:rFonts w:ascii="Arial"/>
                <w:color w:val="auto"/>
                <w:sz w:val="21"/>
              </w:rPr>
            </w:pPr>
          </w:p>
          <w:p w14:paraId="13654694">
            <w:pPr>
              <w:spacing w:before="78" w:line="220" w:lineRule="auto"/>
              <w:jc w:val="center"/>
              <w:rPr>
                <w:rFonts w:hint="eastAsia" w:ascii="宋体" w:hAnsi="宋体" w:eastAsia="宋体" w:cs="宋体"/>
                <w:color w:val="auto"/>
                <w:sz w:val="24"/>
                <w:szCs w:val="24"/>
                <w:lang w:eastAsia="zh-CN"/>
              </w:rPr>
            </w:pPr>
            <w:r>
              <w:rPr>
                <w:rFonts w:ascii="宋体" w:hAnsi="宋体" w:eastAsia="宋体" w:cs="宋体"/>
                <w:color w:val="auto"/>
                <w:spacing w:val="-1"/>
                <w:sz w:val="24"/>
                <w:szCs w:val="24"/>
                <w14:textOutline w14:w="4358" w14:cap="sq" w14:cmpd="sng">
                  <w14:solidFill>
                    <w14:srgbClr w14:val="000000"/>
                  </w14:solidFill>
                  <w14:prstDash w14:val="solid"/>
                  <w14:bevel/>
                </w14:textOutline>
              </w:rPr>
              <w:t>磋商小组的建</w:t>
            </w:r>
            <w:r>
              <w:rPr>
                <w:rFonts w:hint="eastAsia" w:ascii="宋体" w:hAnsi="宋体" w:eastAsia="宋体" w:cs="宋体"/>
                <w:color w:val="auto"/>
                <w:spacing w:val="-1"/>
                <w:sz w:val="24"/>
                <w:szCs w:val="24"/>
                <w:lang w:eastAsia="zh-CN"/>
                <w14:textOutline w14:w="4358" w14:cap="sq" w14:cmpd="sng">
                  <w14:solidFill>
                    <w14:srgbClr w14:val="000000"/>
                  </w14:solidFill>
                  <w14:prstDash w14:val="solid"/>
                  <w14:bevel/>
                </w14:textOutline>
              </w:rPr>
              <w:t>立</w:t>
            </w:r>
          </w:p>
        </w:tc>
        <w:tc>
          <w:tcPr>
            <w:tcW w:w="7103" w:type="dxa"/>
            <w:tcBorders>
              <w:right w:val="single" w:color="000000" w:sz="4" w:space="0"/>
            </w:tcBorders>
            <w:vAlign w:val="top"/>
          </w:tcPr>
          <w:p w14:paraId="17AD21BA">
            <w:pPr>
              <w:spacing w:before="198" w:line="219" w:lineRule="auto"/>
              <w:ind w:left="111"/>
              <w:rPr>
                <w:rFonts w:ascii="宋体" w:hAnsi="宋体" w:eastAsia="宋体" w:cs="宋体"/>
                <w:color w:val="auto"/>
                <w:sz w:val="24"/>
                <w:szCs w:val="24"/>
              </w:rPr>
            </w:pPr>
            <w:r>
              <w:rPr>
                <w:rFonts w:ascii="宋体" w:hAnsi="宋体" w:eastAsia="宋体" w:cs="宋体"/>
                <w:color w:val="auto"/>
                <w:spacing w:val="-2"/>
                <w:sz w:val="24"/>
                <w:szCs w:val="24"/>
              </w:rPr>
              <w:t>磋商小组构成：磋商小组</w:t>
            </w:r>
            <w:r>
              <w:rPr>
                <w:rFonts w:ascii="宋体" w:hAnsi="宋体" w:eastAsia="宋体" w:cs="宋体"/>
                <w:color w:val="auto"/>
                <w:spacing w:val="-31"/>
                <w:sz w:val="24"/>
                <w:szCs w:val="24"/>
              </w:rPr>
              <w:t xml:space="preserve"> </w:t>
            </w:r>
            <w:r>
              <w:rPr>
                <w:rFonts w:ascii="宋体" w:hAnsi="宋体" w:eastAsia="宋体" w:cs="宋体"/>
                <w:color w:val="auto"/>
                <w:spacing w:val="-2"/>
                <w:sz w:val="24"/>
                <w:szCs w:val="24"/>
              </w:rPr>
              <w:t>3</w:t>
            </w:r>
            <w:r>
              <w:rPr>
                <w:rFonts w:ascii="宋体" w:hAnsi="宋体" w:eastAsia="宋体" w:cs="宋体"/>
                <w:color w:val="auto"/>
                <w:spacing w:val="-49"/>
                <w:sz w:val="24"/>
                <w:szCs w:val="24"/>
              </w:rPr>
              <w:t xml:space="preserve"> </w:t>
            </w:r>
            <w:r>
              <w:rPr>
                <w:rFonts w:ascii="宋体" w:hAnsi="宋体" w:eastAsia="宋体" w:cs="宋体"/>
                <w:color w:val="auto"/>
                <w:spacing w:val="-2"/>
                <w:sz w:val="24"/>
                <w:szCs w:val="24"/>
              </w:rPr>
              <w:t>人及以上单数评审专家组成。</w:t>
            </w:r>
          </w:p>
          <w:p w14:paraId="28557B46">
            <w:pPr>
              <w:spacing w:before="69" w:line="219" w:lineRule="auto"/>
              <w:ind w:left="111"/>
              <w:rPr>
                <w:rFonts w:ascii="宋体" w:hAnsi="宋体" w:eastAsia="宋体" w:cs="宋体"/>
                <w:color w:val="auto"/>
                <w:sz w:val="24"/>
                <w:szCs w:val="24"/>
              </w:rPr>
            </w:pPr>
            <w:r>
              <w:rPr>
                <w:rFonts w:ascii="宋体" w:hAnsi="宋体" w:eastAsia="宋体" w:cs="宋体"/>
                <w:color w:val="auto"/>
                <w:spacing w:val="-1"/>
                <w:sz w:val="24"/>
                <w:szCs w:val="24"/>
              </w:rPr>
              <w:t>评标专家确定方式：政采云专家库中随机抽取</w:t>
            </w:r>
          </w:p>
        </w:tc>
      </w:tr>
      <w:tr w14:paraId="317FEB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8" w:hRule="atLeast"/>
        </w:trPr>
        <w:tc>
          <w:tcPr>
            <w:tcW w:w="742" w:type="dxa"/>
            <w:tcBorders>
              <w:left w:val="single" w:color="000000" w:sz="4" w:space="0"/>
            </w:tcBorders>
            <w:vAlign w:val="top"/>
          </w:tcPr>
          <w:p w14:paraId="3E55A464">
            <w:pPr>
              <w:spacing w:line="355" w:lineRule="auto"/>
              <w:rPr>
                <w:rFonts w:ascii="Arial"/>
                <w:color w:val="auto"/>
                <w:sz w:val="21"/>
              </w:rPr>
            </w:pPr>
          </w:p>
          <w:p w14:paraId="25E53CEE">
            <w:pPr>
              <w:spacing w:before="78" w:line="184" w:lineRule="auto"/>
              <w:ind w:left="278"/>
              <w:rPr>
                <w:rFonts w:ascii="宋体" w:hAnsi="宋体" w:eastAsia="宋体" w:cs="宋体"/>
                <w:color w:val="auto"/>
                <w:sz w:val="24"/>
                <w:szCs w:val="24"/>
              </w:rPr>
            </w:pPr>
            <w:r>
              <w:rPr>
                <w:rFonts w:ascii="宋体" w:hAnsi="宋体" w:eastAsia="宋体" w:cs="宋体"/>
                <w:color w:val="auto"/>
                <w:spacing w:val="-14"/>
                <w:sz w:val="24"/>
                <w:szCs w:val="24"/>
              </w:rPr>
              <w:t>17</w:t>
            </w:r>
          </w:p>
        </w:tc>
        <w:tc>
          <w:tcPr>
            <w:tcW w:w="1870" w:type="dxa"/>
            <w:vAlign w:val="center"/>
          </w:tcPr>
          <w:p w14:paraId="39090FB7">
            <w:pPr>
              <w:spacing w:before="41" w:line="219" w:lineRule="auto"/>
              <w:jc w:val="center"/>
              <w:rPr>
                <w:rFonts w:ascii="宋体" w:hAnsi="宋体" w:eastAsia="宋体" w:cs="宋体"/>
                <w:color w:val="auto"/>
                <w:sz w:val="24"/>
                <w:szCs w:val="24"/>
              </w:rPr>
            </w:pPr>
            <w:r>
              <w:rPr>
                <w:rFonts w:ascii="宋体" w:hAnsi="宋体" w:eastAsia="宋体" w:cs="宋体"/>
                <w:color w:val="auto"/>
                <w:spacing w:val="-2"/>
                <w:sz w:val="24"/>
                <w:szCs w:val="24"/>
                <w14:textOutline w14:w="4358" w14:cap="sq" w14:cmpd="sng">
                  <w14:solidFill>
                    <w14:srgbClr w14:val="000000"/>
                  </w14:solidFill>
                  <w14:prstDash w14:val="solid"/>
                  <w14:bevel/>
                </w14:textOutline>
              </w:rPr>
              <w:t>是否授权磋商小组确定成交供应</w:t>
            </w:r>
            <w:r>
              <w:rPr>
                <w:rFonts w:ascii="宋体" w:hAnsi="宋体" w:eastAsia="宋体" w:cs="宋体"/>
                <w:color w:val="auto"/>
                <w:sz w:val="24"/>
                <w:szCs w:val="24"/>
                <w14:textOutline w14:w="4358" w14:cap="sq" w14:cmpd="sng">
                  <w14:solidFill>
                    <w14:srgbClr w14:val="000000"/>
                  </w14:solidFill>
                  <w14:prstDash w14:val="solid"/>
                  <w14:bevel/>
                </w14:textOutline>
              </w:rPr>
              <w:t>商</w:t>
            </w:r>
          </w:p>
        </w:tc>
        <w:tc>
          <w:tcPr>
            <w:tcW w:w="7103" w:type="dxa"/>
            <w:tcBorders>
              <w:right w:val="single" w:color="000000" w:sz="4" w:space="0"/>
            </w:tcBorders>
            <w:vAlign w:val="top"/>
          </w:tcPr>
          <w:p w14:paraId="12EE2078">
            <w:pPr>
              <w:spacing w:before="218" w:line="223" w:lineRule="auto"/>
              <w:ind w:left="137"/>
              <w:rPr>
                <w:rFonts w:ascii="宋体" w:hAnsi="宋体" w:eastAsia="宋体" w:cs="宋体"/>
                <w:color w:val="auto"/>
                <w:sz w:val="24"/>
                <w:szCs w:val="24"/>
              </w:rPr>
            </w:pPr>
            <w:r>
              <w:rPr>
                <w:rFonts w:ascii="宋体" w:hAnsi="宋体" w:eastAsia="宋体" w:cs="宋体"/>
                <w:color w:val="auto"/>
                <w:spacing w:val="-17"/>
                <w:sz w:val="24"/>
                <w:szCs w:val="24"/>
              </w:rPr>
              <w:t>□是</w:t>
            </w:r>
          </w:p>
          <w:p w14:paraId="720702AE">
            <w:pPr>
              <w:spacing w:before="67" w:line="219" w:lineRule="auto"/>
              <w:ind w:left="122"/>
              <w:rPr>
                <w:rFonts w:ascii="宋体" w:hAnsi="宋体" w:eastAsia="宋体" w:cs="宋体"/>
                <w:color w:val="auto"/>
                <w:sz w:val="24"/>
                <w:szCs w:val="24"/>
              </w:rPr>
            </w:pPr>
            <w:r>
              <w:rPr>
                <w:rFonts w:ascii="MS Gothic" w:hAnsi="MS Gothic" w:eastAsia="MS Gothic" w:cs="MS Gothic"/>
                <w:color w:val="auto"/>
                <w:spacing w:val="-1"/>
                <w:sz w:val="24"/>
                <w:szCs w:val="24"/>
              </w:rPr>
              <w:t>☑</w:t>
            </w:r>
            <w:r>
              <w:rPr>
                <w:rFonts w:ascii="宋体" w:hAnsi="宋体" w:eastAsia="宋体" w:cs="宋体"/>
                <w:color w:val="auto"/>
                <w:spacing w:val="-1"/>
                <w:sz w:val="24"/>
                <w:szCs w:val="24"/>
              </w:rPr>
              <w:t>否，推荐的成交候选人数：3 人</w:t>
            </w:r>
          </w:p>
        </w:tc>
      </w:tr>
      <w:tr w14:paraId="4493BC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1" w:hRule="atLeast"/>
        </w:trPr>
        <w:tc>
          <w:tcPr>
            <w:tcW w:w="742" w:type="dxa"/>
            <w:tcBorders>
              <w:left w:val="single" w:color="000000" w:sz="4" w:space="0"/>
            </w:tcBorders>
            <w:vAlign w:val="top"/>
          </w:tcPr>
          <w:p w14:paraId="43D721CB">
            <w:pPr>
              <w:spacing w:before="254" w:line="184" w:lineRule="auto"/>
              <w:ind w:left="278"/>
              <w:rPr>
                <w:rFonts w:ascii="宋体" w:hAnsi="宋体" w:eastAsia="宋体" w:cs="宋体"/>
                <w:color w:val="auto"/>
                <w:sz w:val="24"/>
                <w:szCs w:val="24"/>
              </w:rPr>
            </w:pPr>
            <w:r>
              <w:rPr>
                <w:rFonts w:ascii="宋体" w:hAnsi="宋体" w:eastAsia="宋体" w:cs="宋体"/>
                <w:color w:val="auto"/>
                <w:spacing w:val="-14"/>
                <w:sz w:val="24"/>
                <w:szCs w:val="24"/>
              </w:rPr>
              <w:t>18</w:t>
            </w:r>
          </w:p>
        </w:tc>
        <w:tc>
          <w:tcPr>
            <w:tcW w:w="1870" w:type="dxa"/>
            <w:vAlign w:val="center"/>
          </w:tcPr>
          <w:p w14:paraId="46A36615">
            <w:pPr>
              <w:spacing w:before="40" w:line="247" w:lineRule="auto"/>
              <w:ind w:right="107"/>
              <w:jc w:val="center"/>
              <w:rPr>
                <w:rFonts w:ascii="宋体" w:hAnsi="宋体" w:eastAsia="宋体" w:cs="宋体"/>
                <w:color w:val="auto"/>
                <w:sz w:val="24"/>
                <w:szCs w:val="24"/>
              </w:rPr>
            </w:pPr>
            <w:r>
              <w:rPr>
                <w:rFonts w:ascii="宋体" w:hAnsi="宋体" w:eastAsia="宋体" w:cs="宋体"/>
                <w:color w:val="auto"/>
                <w:spacing w:val="-10"/>
                <w:sz w:val="24"/>
                <w:szCs w:val="24"/>
                <w14:textOutline w14:w="4358" w14:cap="sq" w14:cmpd="sng">
                  <w14:solidFill>
                    <w14:srgbClr w14:val="000000"/>
                  </w14:solidFill>
                  <w14:prstDash w14:val="solid"/>
                  <w14:bevel/>
                </w14:textOutline>
              </w:rPr>
              <w:t>考察现场、标前答</w:t>
            </w:r>
            <w:r>
              <w:rPr>
                <w:rFonts w:ascii="宋体" w:hAnsi="宋体" w:eastAsia="宋体" w:cs="宋体"/>
                <w:color w:val="auto"/>
                <w:spacing w:val="-7"/>
                <w:sz w:val="24"/>
                <w:szCs w:val="24"/>
                <w14:textOutline w14:w="4358" w14:cap="sq" w14:cmpd="sng">
                  <w14:solidFill>
                    <w14:srgbClr w14:val="000000"/>
                  </w14:solidFill>
                  <w14:prstDash w14:val="solid"/>
                  <w14:bevel/>
                </w14:textOutline>
              </w:rPr>
              <w:t>疑会</w:t>
            </w:r>
          </w:p>
        </w:tc>
        <w:tc>
          <w:tcPr>
            <w:tcW w:w="7103" w:type="dxa"/>
            <w:tcBorders>
              <w:right w:val="single" w:color="000000" w:sz="4" w:space="0"/>
            </w:tcBorders>
            <w:vAlign w:val="top"/>
          </w:tcPr>
          <w:p w14:paraId="41F99CF1">
            <w:pPr>
              <w:spacing w:before="217" w:line="219" w:lineRule="auto"/>
              <w:ind w:left="113"/>
              <w:rPr>
                <w:rFonts w:ascii="宋体" w:hAnsi="宋体" w:eastAsia="宋体" w:cs="宋体"/>
                <w:color w:val="auto"/>
                <w:sz w:val="24"/>
                <w:szCs w:val="24"/>
              </w:rPr>
            </w:pPr>
            <w:r>
              <w:rPr>
                <w:rFonts w:hint="eastAsia" w:ascii="宋体" w:hAnsi="宋体" w:eastAsia="宋体" w:cs="宋体"/>
                <w:color w:val="auto"/>
                <w:spacing w:val="-1"/>
                <w:sz w:val="24"/>
                <w:szCs w:val="24"/>
                <w:lang w:eastAsia="zh-CN"/>
              </w:rPr>
              <w:t>不组织</w:t>
            </w:r>
            <w:r>
              <w:rPr>
                <w:rFonts w:ascii="宋体" w:hAnsi="宋体" w:eastAsia="宋体" w:cs="宋体"/>
                <w:color w:val="auto"/>
                <w:spacing w:val="-1"/>
                <w:sz w:val="24"/>
                <w:szCs w:val="24"/>
              </w:rPr>
              <w:t>。</w:t>
            </w:r>
          </w:p>
        </w:tc>
      </w:tr>
      <w:tr w14:paraId="7EA70C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742" w:type="dxa"/>
            <w:tcBorders>
              <w:left w:val="single" w:color="000000" w:sz="4" w:space="0"/>
            </w:tcBorders>
            <w:vAlign w:val="top"/>
          </w:tcPr>
          <w:p w14:paraId="5D462751">
            <w:pPr>
              <w:spacing w:before="287" w:line="183" w:lineRule="auto"/>
              <w:ind w:left="263"/>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19</w:t>
            </w:r>
          </w:p>
        </w:tc>
        <w:tc>
          <w:tcPr>
            <w:tcW w:w="1870" w:type="dxa"/>
            <w:vAlign w:val="center"/>
          </w:tcPr>
          <w:p w14:paraId="7C068489">
            <w:pPr>
              <w:spacing w:before="70" w:line="247" w:lineRule="auto"/>
              <w:ind w:right="194"/>
              <w:jc w:val="center"/>
              <w:rPr>
                <w:rFonts w:ascii="宋体" w:hAnsi="宋体" w:eastAsia="宋体" w:cs="宋体"/>
                <w:color w:val="auto"/>
                <w:sz w:val="24"/>
                <w:szCs w:val="24"/>
              </w:rPr>
            </w:pPr>
            <w:r>
              <w:rPr>
                <w:rFonts w:ascii="宋体" w:hAnsi="宋体" w:eastAsia="宋体" w:cs="宋体"/>
                <w:color w:val="auto"/>
                <w:spacing w:val="-2"/>
                <w:sz w:val="24"/>
                <w:szCs w:val="24"/>
                <w14:textOutline w14:w="4358" w14:cap="sq" w14:cmpd="sng">
                  <w14:solidFill>
                    <w14:srgbClr w14:val="000000"/>
                  </w14:solidFill>
                  <w14:prstDash w14:val="solid"/>
                  <w14:bevel/>
                </w14:textOutline>
              </w:rPr>
              <w:t>构成磋商文件的其他文件</w:t>
            </w:r>
          </w:p>
        </w:tc>
        <w:tc>
          <w:tcPr>
            <w:tcW w:w="7103" w:type="dxa"/>
            <w:tcBorders>
              <w:right w:val="single" w:color="000000" w:sz="4" w:space="0"/>
            </w:tcBorders>
            <w:vAlign w:val="top"/>
          </w:tcPr>
          <w:p w14:paraId="2BE985A1">
            <w:pPr>
              <w:spacing w:before="70" w:line="247" w:lineRule="auto"/>
              <w:ind w:left="113" w:right="133" w:hanging="2"/>
              <w:rPr>
                <w:rFonts w:ascii="宋体" w:hAnsi="宋体" w:eastAsia="宋体" w:cs="宋体"/>
                <w:color w:val="auto"/>
                <w:sz w:val="24"/>
                <w:szCs w:val="24"/>
              </w:rPr>
            </w:pPr>
            <w:r>
              <w:rPr>
                <w:rFonts w:ascii="宋体" w:hAnsi="宋体" w:eastAsia="宋体" w:cs="宋体"/>
                <w:color w:val="auto"/>
                <w:spacing w:val="-1"/>
                <w:sz w:val="24"/>
                <w:szCs w:val="24"/>
              </w:rPr>
              <w:t>磋商文件的澄清、修改及有关补充通知为磋商文件的有效组</w:t>
            </w:r>
            <w:r>
              <w:rPr>
                <w:rFonts w:ascii="宋体" w:hAnsi="宋体" w:eastAsia="宋体" w:cs="宋体"/>
                <w:color w:val="auto"/>
                <w:spacing w:val="-3"/>
                <w:sz w:val="24"/>
                <w:szCs w:val="24"/>
              </w:rPr>
              <w:t>成部分。</w:t>
            </w:r>
          </w:p>
        </w:tc>
      </w:tr>
      <w:tr w14:paraId="6FCFA5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742" w:type="dxa"/>
            <w:tcBorders>
              <w:left w:val="single" w:color="000000" w:sz="4" w:space="0"/>
            </w:tcBorders>
            <w:vAlign w:val="top"/>
          </w:tcPr>
          <w:p w14:paraId="66274E8C">
            <w:pPr>
              <w:spacing w:before="169" w:line="184" w:lineRule="auto"/>
              <w:ind w:left="263"/>
              <w:rPr>
                <w:rFonts w:hint="eastAsia" w:ascii="宋体" w:hAnsi="宋体" w:eastAsia="宋体" w:cs="宋体"/>
                <w:color w:val="auto"/>
                <w:sz w:val="24"/>
                <w:szCs w:val="24"/>
                <w:lang w:val="en-US" w:eastAsia="zh-CN"/>
              </w:rPr>
            </w:pPr>
            <w:r>
              <w:rPr>
                <w:rFonts w:ascii="宋体" w:hAnsi="宋体" w:eastAsia="宋体" w:cs="宋体"/>
                <w:color w:val="auto"/>
                <w:spacing w:val="-7"/>
                <w:sz w:val="24"/>
                <w:szCs w:val="24"/>
              </w:rPr>
              <w:t>2</w:t>
            </w:r>
            <w:r>
              <w:rPr>
                <w:rFonts w:hint="eastAsia" w:ascii="宋体" w:hAnsi="宋体" w:eastAsia="宋体" w:cs="宋体"/>
                <w:color w:val="auto"/>
                <w:spacing w:val="-7"/>
                <w:sz w:val="24"/>
                <w:szCs w:val="24"/>
                <w:lang w:val="en-US" w:eastAsia="zh-CN"/>
              </w:rPr>
              <w:t>0</w:t>
            </w:r>
          </w:p>
        </w:tc>
        <w:tc>
          <w:tcPr>
            <w:tcW w:w="1870" w:type="dxa"/>
            <w:vAlign w:val="center"/>
          </w:tcPr>
          <w:p w14:paraId="0D1F7F94">
            <w:pPr>
              <w:spacing w:before="132" w:line="220" w:lineRule="auto"/>
              <w:jc w:val="center"/>
              <w:rPr>
                <w:rFonts w:ascii="宋体" w:hAnsi="宋体" w:eastAsia="宋体" w:cs="宋体"/>
                <w:color w:val="auto"/>
                <w:sz w:val="24"/>
                <w:szCs w:val="24"/>
              </w:rPr>
            </w:pPr>
            <w:r>
              <w:rPr>
                <w:rFonts w:ascii="宋体" w:hAnsi="宋体" w:eastAsia="宋体" w:cs="宋体"/>
                <w:color w:val="auto"/>
                <w:spacing w:val="-2"/>
                <w:sz w:val="24"/>
                <w:szCs w:val="24"/>
                <w14:textOutline w14:w="4358" w14:cap="sq" w14:cmpd="sng">
                  <w14:solidFill>
                    <w14:srgbClr w14:val="000000"/>
                  </w14:solidFill>
                  <w14:prstDash w14:val="solid"/>
                  <w14:bevel/>
                </w14:textOutline>
              </w:rPr>
              <w:t>分包（转让）</w:t>
            </w:r>
          </w:p>
        </w:tc>
        <w:tc>
          <w:tcPr>
            <w:tcW w:w="7103" w:type="dxa"/>
            <w:tcBorders>
              <w:right w:val="single" w:color="000000" w:sz="4" w:space="0"/>
            </w:tcBorders>
            <w:vAlign w:val="top"/>
          </w:tcPr>
          <w:p w14:paraId="5AF037C9">
            <w:pPr>
              <w:spacing w:before="133" w:line="219" w:lineRule="auto"/>
              <w:ind w:left="116"/>
              <w:rPr>
                <w:rFonts w:ascii="宋体" w:hAnsi="宋体" w:eastAsia="宋体" w:cs="宋体"/>
                <w:color w:val="auto"/>
                <w:sz w:val="24"/>
                <w:szCs w:val="24"/>
              </w:rPr>
            </w:pPr>
            <w:r>
              <w:rPr>
                <w:rFonts w:ascii="宋体" w:hAnsi="宋体" w:eastAsia="宋体" w:cs="宋体"/>
                <w:color w:val="auto"/>
                <w:spacing w:val="-4"/>
                <w:sz w:val="24"/>
                <w:szCs w:val="24"/>
              </w:rPr>
              <w:t>不允许。</w:t>
            </w:r>
          </w:p>
        </w:tc>
      </w:tr>
      <w:tr w14:paraId="578514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742" w:type="dxa"/>
            <w:tcBorders>
              <w:left w:val="single" w:color="000000" w:sz="4" w:space="0"/>
            </w:tcBorders>
            <w:vAlign w:val="top"/>
          </w:tcPr>
          <w:p w14:paraId="7F44E8F2">
            <w:pPr>
              <w:spacing w:before="186" w:line="183" w:lineRule="auto"/>
              <w:ind w:left="263"/>
              <w:rPr>
                <w:rFonts w:hint="eastAsia" w:ascii="宋体" w:hAnsi="宋体" w:eastAsia="宋体" w:cs="宋体"/>
                <w:color w:val="auto"/>
                <w:sz w:val="24"/>
                <w:szCs w:val="24"/>
                <w:lang w:val="en-US" w:eastAsia="zh-CN"/>
              </w:rPr>
            </w:pPr>
            <w:r>
              <w:rPr>
                <w:rFonts w:ascii="宋体" w:hAnsi="宋体" w:eastAsia="宋体" w:cs="宋体"/>
                <w:color w:val="auto"/>
                <w:spacing w:val="-7"/>
                <w:sz w:val="24"/>
                <w:szCs w:val="24"/>
              </w:rPr>
              <w:t>2</w:t>
            </w:r>
            <w:r>
              <w:rPr>
                <w:rFonts w:hint="eastAsia" w:ascii="宋体" w:hAnsi="宋体" w:eastAsia="宋体" w:cs="宋体"/>
                <w:color w:val="auto"/>
                <w:spacing w:val="-7"/>
                <w:sz w:val="24"/>
                <w:szCs w:val="24"/>
                <w:lang w:val="en-US" w:eastAsia="zh-CN"/>
              </w:rPr>
              <w:t>1</w:t>
            </w:r>
          </w:p>
        </w:tc>
        <w:tc>
          <w:tcPr>
            <w:tcW w:w="1870" w:type="dxa"/>
            <w:vAlign w:val="center"/>
          </w:tcPr>
          <w:p w14:paraId="09545EBD">
            <w:pPr>
              <w:spacing w:before="148" w:line="220" w:lineRule="auto"/>
              <w:jc w:val="center"/>
              <w:rPr>
                <w:rFonts w:ascii="宋体" w:hAnsi="宋体" w:eastAsia="宋体" w:cs="宋体"/>
                <w:color w:val="auto"/>
                <w:sz w:val="24"/>
                <w:szCs w:val="24"/>
              </w:rPr>
            </w:pPr>
            <w:r>
              <w:rPr>
                <w:rFonts w:ascii="宋体" w:hAnsi="宋体" w:eastAsia="宋体" w:cs="宋体"/>
                <w:color w:val="auto"/>
                <w:spacing w:val="-2"/>
                <w:sz w:val="24"/>
                <w:szCs w:val="24"/>
                <w14:textOutline w14:w="4358" w14:cap="sq" w14:cmpd="sng">
                  <w14:solidFill>
                    <w14:srgbClr w14:val="000000"/>
                  </w14:solidFill>
                  <w14:prstDash w14:val="solid"/>
                  <w14:bevel/>
                </w14:textOutline>
              </w:rPr>
              <w:t>联合投标</w:t>
            </w:r>
          </w:p>
        </w:tc>
        <w:tc>
          <w:tcPr>
            <w:tcW w:w="7103" w:type="dxa"/>
            <w:tcBorders>
              <w:right w:val="single" w:color="000000" w:sz="4" w:space="0"/>
            </w:tcBorders>
            <w:vAlign w:val="top"/>
          </w:tcPr>
          <w:p w14:paraId="192C856A">
            <w:pPr>
              <w:spacing w:before="148" w:line="219" w:lineRule="auto"/>
              <w:ind w:left="113"/>
              <w:rPr>
                <w:rFonts w:ascii="宋体" w:hAnsi="宋体" w:eastAsia="宋体" w:cs="宋体"/>
                <w:color w:val="auto"/>
                <w:sz w:val="24"/>
                <w:szCs w:val="24"/>
              </w:rPr>
            </w:pPr>
            <w:r>
              <w:rPr>
                <w:rFonts w:ascii="宋体" w:hAnsi="宋体" w:eastAsia="宋体" w:cs="宋体"/>
                <w:color w:val="auto"/>
                <w:spacing w:val="-1"/>
                <w:sz w:val="24"/>
                <w:szCs w:val="24"/>
              </w:rPr>
              <w:t>本项目不接受联合体投标。</w:t>
            </w:r>
          </w:p>
        </w:tc>
      </w:tr>
      <w:tr w14:paraId="2187B6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742" w:type="dxa"/>
            <w:tcBorders>
              <w:left w:val="single" w:color="000000" w:sz="4" w:space="0"/>
            </w:tcBorders>
            <w:vAlign w:val="top"/>
          </w:tcPr>
          <w:p w14:paraId="6CDA7428">
            <w:pPr>
              <w:spacing w:before="258" w:line="183" w:lineRule="auto"/>
              <w:ind w:left="263"/>
              <w:rPr>
                <w:rFonts w:hint="eastAsia" w:ascii="宋体" w:hAnsi="宋体" w:eastAsia="宋体" w:cs="宋体"/>
                <w:color w:val="auto"/>
                <w:sz w:val="24"/>
                <w:szCs w:val="24"/>
                <w:lang w:val="en-US" w:eastAsia="zh-CN"/>
              </w:rPr>
            </w:pPr>
            <w:r>
              <w:rPr>
                <w:rFonts w:ascii="宋体" w:hAnsi="宋体" w:eastAsia="宋体" w:cs="宋体"/>
                <w:color w:val="auto"/>
                <w:spacing w:val="-7"/>
                <w:sz w:val="24"/>
                <w:szCs w:val="24"/>
              </w:rPr>
              <w:t>2</w:t>
            </w:r>
            <w:r>
              <w:rPr>
                <w:rFonts w:hint="eastAsia" w:ascii="宋体" w:hAnsi="宋体" w:eastAsia="宋体" w:cs="宋体"/>
                <w:color w:val="auto"/>
                <w:spacing w:val="-7"/>
                <w:sz w:val="24"/>
                <w:szCs w:val="24"/>
                <w:lang w:val="en-US" w:eastAsia="zh-CN"/>
              </w:rPr>
              <w:t>2</w:t>
            </w:r>
          </w:p>
        </w:tc>
        <w:tc>
          <w:tcPr>
            <w:tcW w:w="1870" w:type="dxa"/>
            <w:vAlign w:val="center"/>
          </w:tcPr>
          <w:p w14:paraId="6059FECF">
            <w:pPr>
              <w:spacing w:before="43" w:line="247" w:lineRule="auto"/>
              <w:ind w:right="194"/>
              <w:jc w:val="center"/>
              <w:rPr>
                <w:rFonts w:ascii="宋体" w:hAnsi="宋体" w:eastAsia="宋体" w:cs="宋体"/>
                <w:color w:val="auto"/>
                <w:sz w:val="24"/>
                <w:szCs w:val="24"/>
              </w:rPr>
            </w:pPr>
            <w:r>
              <w:rPr>
                <w:rFonts w:ascii="宋体" w:hAnsi="宋体" w:eastAsia="宋体" w:cs="宋体"/>
                <w:color w:val="auto"/>
                <w:spacing w:val="-2"/>
                <w:sz w:val="24"/>
                <w:szCs w:val="24"/>
                <w14:textOutline w14:w="4358" w14:cap="sq" w14:cmpd="sng">
                  <w14:solidFill>
                    <w14:srgbClr w14:val="000000"/>
                  </w14:solidFill>
                  <w14:prstDash w14:val="solid"/>
                  <w14:bevel/>
                </w14:textOutline>
              </w:rPr>
              <w:t>是否退还磋商响</w:t>
            </w:r>
            <w:r>
              <w:rPr>
                <w:rFonts w:ascii="宋体" w:hAnsi="宋体" w:eastAsia="宋体" w:cs="宋体"/>
                <w:color w:val="auto"/>
                <w:spacing w:val="-3"/>
                <w:sz w:val="24"/>
                <w:szCs w:val="24"/>
                <w14:textOutline w14:w="4358" w14:cap="sq" w14:cmpd="sng">
                  <w14:solidFill>
                    <w14:srgbClr w14:val="000000"/>
                  </w14:solidFill>
                  <w14:prstDash w14:val="solid"/>
                  <w14:bevel/>
                </w14:textOutline>
              </w:rPr>
              <w:t>应文件</w:t>
            </w:r>
          </w:p>
        </w:tc>
        <w:tc>
          <w:tcPr>
            <w:tcW w:w="7103" w:type="dxa"/>
            <w:tcBorders>
              <w:right w:val="single" w:color="000000" w:sz="4" w:space="0"/>
            </w:tcBorders>
            <w:vAlign w:val="top"/>
          </w:tcPr>
          <w:p w14:paraId="670D03A7">
            <w:pPr>
              <w:spacing w:before="220" w:line="220" w:lineRule="auto"/>
              <w:ind w:left="120"/>
              <w:rPr>
                <w:rFonts w:ascii="宋体" w:hAnsi="宋体" w:eastAsia="宋体" w:cs="宋体"/>
                <w:color w:val="auto"/>
                <w:sz w:val="24"/>
                <w:szCs w:val="24"/>
              </w:rPr>
            </w:pPr>
            <w:r>
              <w:rPr>
                <w:rFonts w:ascii="宋体" w:hAnsi="宋体" w:eastAsia="宋体" w:cs="宋体"/>
                <w:color w:val="auto"/>
                <w:sz w:val="24"/>
                <w:szCs w:val="24"/>
              </w:rPr>
              <w:t>否</w:t>
            </w:r>
          </w:p>
        </w:tc>
      </w:tr>
      <w:tr w14:paraId="1389AB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742" w:type="dxa"/>
            <w:tcBorders>
              <w:left w:val="single" w:color="000000" w:sz="4" w:space="0"/>
            </w:tcBorders>
            <w:vAlign w:val="top"/>
          </w:tcPr>
          <w:p w14:paraId="38DC547C">
            <w:pPr>
              <w:spacing w:before="310" w:line="183" w:lineRule="auto"/>
              <w:ind w:left="263"/>
              <w:rPr>
                <w:rFonts w:hint="eastAsia" w:ascii="宋体" w:hAnsi="宋体" w:eastAsia="宋体" w:cs="宋体"/>
                <w:color w:val="auto"/>
                <w:sz w:val="24"/>
                <w:szCs w:val="24"/>
                <w:lang w:val="en-US" w:eastAsia="zh-CN"/>
              </w:rPr>
            </w:pPr>
            <w:r>
              <w:rPr>
                <w:rFonts w:ascii="宋体" w:hAnsi="宋体" w:eastAsia="宋体" w:cs="宋体"/>
                <w:color w:val="auto"/>
                <w:spacing w:val="-7"/>
                <w:sz w:val="24"/>
                <w:szCs w:val="24"/>
              </w:rPr>
              <w:t>2</w:t>
            </w:r>
            <w:r>
              <w:rPr>
                <w:rFonts w:hint="eastAsia" w:ascii="宋体" w:hAnsi="宋体" w:eastAsia="宋体" w:cs="宋体"/>
                <w:color w:val="auto"/>
                <w:spacing w:val="-7"/>
                <w:sz w:val="24"/>
                <w:szCs w:val="24"/>
                <w:lang w:val="en-US" w:eastAsia="zh-CN"/>
              </w:rPr>
              <w:t>3</w:t>
            </w:r>
          </w:p>
        </w:tc>
        <w:tc>
          <w:tcPr>
            <w:tcW w:w="1870" w:type="dxa"/>
            <w:vAlign w:val="center"/>
          </w:tcPr>
          <w:p w14:paraId="23CE4160">
            <w:pPr>
              <w:spacing w:before="273" w:line="220" w:lineRule="auto"/>
              <w:jc w:val="center"/>
              <w:rPr>
                <w:rFonts w:hint="eastAsia" w:ascii="宋体" w:hAnsi="宋体" w:eastAsia="宋体" w:cs="宋体"/>
                <w:color w:val="auto"/>
                <w:sz w:val="24"/>
                <w:szCs w:val="24"/>
                <w:lang w:eastAsia="zh-CN"/>
              </w:rPr>
            </w:pPr>
            <w:r>
              <w:rPr>
                <w:rFonts w:hint="eastAsia" w:ascii="宋体" w:hAnsi="宋体" w:eastAsia="宋体" w:cs="宋体"/>
                <w:color w:val="auto"/>
                <w:spacing w:val="-2"/>
                <w:sz w:val="24"/>
                <w:szCs w:val="24"/>
                <w:lang w:eastAsia="zh-CN"/>
                <w14:textOutline w14:w="4358" w14:cap="sq" w14:cmpd="sng">
                  <w14:solidFill>
                    <w14:srgbClr w14:val="000000"/>
                  </w14:solidFill>
                  <w14:prstDash w14:val="solid"/>
                  <w14:bevel/>
                </w14:textOutline>
              </w:rPr>
              <w:t>磋商保证金</w:t>
            </w:r>
          </w:p>
        </w:tc>
        <w:tc>
          <w:tcPr>
            <w:tcW w:w="7103" w:type="dxa"/>
            <w:tcBorders>
              <w:right w:val="single" w:color="000000" w:sz="4" w:space="0"/>
            </w:tcBorders>
            <w:vAlign w:val="top"/>
          </w:tcPr>
          <w:p w14:paraId="7451A177">
            <w:pPr>
              <w:spacing w:before="272" w:line="219" w:lineRule="auto"/>
              <w:ind w:left="113"/>
              <w:rPr>
                <w:rFonts w:ascii="宋体" w:hAnsi="宋体" w:eastAsia="宋体" w:cs="宋体"/>
                <w:color w:val="auto"/>
                <w:sz w:val="24"/>
                <w:szCs w:val="24"/>
              </w:rPr>
            </w:pPr>
            <w:r>
              <w:rPr>
                <w:rFonts w:ascii="宋体" w:hAnsi="宋体" w:eastAsia="宋体" w:cs="宋体"/>
                <w:color w:val="auto"/>
                <w:spacing w:val="-1"/>
                <w:sz w:val="24"/>
                <w:szCs w:val="24"/>
                <w14:textOutline w14:w="4358" w14:cap="sq" w14:cmpd="sng">
                  <w14:solidFill>
                    <w14:srgbClr w14:val="000000"/>
                  </w14:solidFill>
                  <w14:prstDash w14:val="solid"/>
                  <w14:bevel/>
                </w14:textOutline>
              </w:rPr>
              <w:t>本项目无须缴纳保证金</w:t>
            </w:r>
          </w:p>
        </w:tc>
      </w:tr>
      <w:tr w14:paraId="487BF6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4" w:hRule="atLeast"/>
        </w:trPr>
        <w:tc>
          <w:tcPr>
            <w:tcW w:w="742" w:type="dxa"/>
            <w:tcBorders>
              <w:left w:val="single" w:color="000000" w:sz="4" w:space="0"/>
            </w:tcBorders>
            <w:vAlign w:val="top"/>
          </w:tcPr>
          <w:p w14:paraId="017C0537">
            <w:pPr>
              <w:spacing w:before="313" w:line="183" w:lineRule="auto"/>
              <w:ind w:left="263"/>
              <w:rPr>
                <w:rFonts w:hint="eastAsia" w:ascii="宋体" w:hAnsi="宋体" w:eastAsia="宋体" w:cs="宋体"/>
                <w:color w:val="auto"/>
                <w:sz w:val="24"/>
                <w:szCs w:val="24"/>
                <w:lang w:val="en-US" w:eastAsia="zh-CN"/>
              </w:rPr>
            </w:pPr>
            <w:r>
              <w:rPr>
                <w:rFonts w:ascii="宋体" w:hAnsi="宋体" w:eastAsia="宋体" w:cs="宋体"/>
                <w:color w:val="auto"/>
                <w:spacing w:val="-7"/>
                <w:sz w:val="24"/>
                <w:szCs w:val="24"/>
              </w:rPr>
              <w:t>2</w:t>
            </w:r>
            <w:r>
              <w:rPr>
                <w:rFonts w:hint="eastAsia" w:ascii="宋体" w:hAnsi="宋体" w:eastAsia="宋体" w:cs="宋体"/>
                <w:color w:val="auto"/>
                <w:spacing w:val="-7"/>
                <w:sz w:val="24"/>
                <w:szCs w:val="24"/>
                <w:lang w:val="en-US" w:eastAsia="zh-CN"/>
              </w:rPr>
              <w:t>4</w:t>
            </w:r>
          </w:p>
        </w:tc>
        <w:tc>
          <w:tcPr>
            <w:tcW w:w="1870" w:type="dxa"/>
            <w:vAlign w:val="center"/>
          </w:tcPr>
          <w:p w14:paraId="621A3E14">
            <w:pPr>
              <w:spacing w:before="134" w:line="261" w:lineRule="auto"/>
              <w:ind w:right="110"/>
              <w:jc w:val="center"/>
              <w:rPr>
                <w:rFonts w:ascii="宋体" w:hAnsi="宋体" w:eastAsia="宋体" w:cs="宋体"/>
                <w:color w:val="auto"/>
                <w:sz w:val="24"/>
                <w:szCs w:val="24"/>
              </w:rPr>
            </w:pPr>
            <w:r>
              <w:rPr>
                <w:rFonts w:ascii="宋体" w:hAnsi="宋体" w:eastAsia="宋体" w:cs="宋体"/>
                <w:color w:val="auto"/>
                <w:spacing w:val="-11"/>
                <w:sz w:val="24"/>
                <w:szCs w:val="24"/>
                <w14:textOutline w14:w="4358" w14:cap="sq" w14:cmpd="sng">
                  <w14:solidFill>
                    <w14:srgbClr w14:val="000000"/>
                  </w14:solidFill>
                  <w14:prstDash w14:val="solid"/>
                  <w14:bevel/>
                </w14:textOutline>
              </w:rPr>
              <w:t>《响应文件》的编</w:t>
            </w:r>
            <w:r>
              <w:rPr>
                <w:rFonts w:ascii="宋体" w:hAnsi="宋体" w:eastAsia="宋体" w:cs="宋体"/>
                <w:color w:val="auto"/>
                <w:spacing w:val="-4"/>
                <w:sz w:val="24"/>
                <w:szCs w:val="24"/>
                <w14:textOutline w14:w="4358" w14:cap="sq" w14:cmpd="sng">
                  <w14:solidFill>
                    <w14:srgbClr w14:val="000000"/>
                  </w14:solidFill>
                  <w14:prstDash w14:val="solid"/>
                  <w14:bevel/>
                </w14:textOutline>
              </w:rPr>
              <w:t>制要求</w:t>
            </w:r>
          </w:p>
        </w:tc>
        <w:tc>
          <w:tcPr>
            <w:tcW w:w="7103" w:type="dxa"/>
            <w:tcBorders>
              <w:right w:val="single" w:color="000000" w:sz="4" w:space="0"/>
            </w:tcBorders>
            <w:vAlign w:val="top"/>
          </w:tcPr>
          <w:p w14:paraId="3F400978">
            <w:pPr>
              <w:spacing w:before="296" w:line="219" w:lineRule="auto"/>
              <w:rPr>
                <w:rFonts w:ascii="宋体" w:hAnsi="宋体" w:eastAsia="宋体" w:cs="宋体"/>
                <w:color w:val="auto"/>
                <w:sz w:val="24"/>
                <w:szCs w:val="24"/>
              </w:rPr>
            </w:pPr>
            <w:r>
              <w:rPr>
                <w:rFonts w:ascii="宋体" w:hAnsi="宋体" w:eastAsia="宋体" w:cs="宋体"/>
                <w:color w:val="auto"/>
                <w:sz w:val="24"/>
                <w:szCs w:val="24"/>
                <w14:textOutline w14:w="4358" w14:cap="sq" w14:cmpd="sng">
                  <w14:solidFill>
                    <w14:srgbClr w14:val="000000"/>
                  </w14:solidFill>
                  <w14:prstDash w14:val="solid"/>
                  <w14:bevel/>
                </w14:textOutline>
              </w:rPr>
              <w:t>具体详见供应商须知：四、《磋商响应文件》的编制要求</w:t>
            </w:r>
          </w:p>
        </w:tc>
      </w:tr>
      <w:tr w14:paraId="580696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5" w:hRule="atLeast"/>
        </w:trPr>
        <w:tc>
          <w:tcPr>
            <w:tcW w:w="742" w:type="dxa"/>
            <w:tcBorders>
              <w:left w:val="single" w:color="000000" w:sz="4" w:space="0"/>
            </w:tcBorders>
            <w:vAlign w:val="center"/>
          </w:tcPr>
          <w:p w14:paraId="10E5195E">
            <w:pPr>
              <w:spacing w:before="260" w:line="183" w:lineRule="auto"/>
              <w:ind w:left="263"/>
              <w:jc w:val="both"/>
              <w:rPr>
                <w:rFonts w:hint="eastAsia" w:ascii="宋体" w:hAnsi="宋体" w:eastAsia="宋体" w:cs="宋体"/>
                <w:color w:val="auto"/>
                <w:sz w:val="24"/>
                <w:szCs w:val="24"/>
                <w:lang w:val="en-US" w:eastAsia="zh-CN"/>
              </w:rPr>
            </w:pPr>
            <w:r>
              <w:rPr>
                <w:rFonts w:ascii="宋体" w:hAnsi="宋体" w:eastAsia="宋体" w:cs="宋体"/>
                <w:color w:val="auto"/>
                <w:spacing w:val="-7"/>
                <w:sz w:val="24"/>
                <w:szCs w:val="24"/>
              </w:rPr>
              <w:t>2</w:t>
            </w:r>
            <w:r>
              <w:rPr>
                <w:rFonts w:hint="eastAsia" w:ascii="宋体" w:hAnsi="宋体" w:eastAsia="宋体" w:cs="宋体"/>
                <w:color w:val="auto"/>
                <w:spacing w:val="-7"/>
                <w:sz w:val="24"/>
                <w:szCs w:val="24"/>
                <w:lang w:val="en-US" w:eastAsia="zh-CN"/>
              </w:rPr>
              <w:t>5</w:t>
            </w:r>
          </w:p>
        </w:tc>
        <w:tc>
          <w:tcPr>
            <w:tcW w:w="1870" w:type="dxa"/>
            <w:vAlign w:val="center"/>
          </w:tcPr>
          <w:p w14:paraId="7F2D6938">
            <w:pPr>
              <w:spacing w:before="45" w:line="247" w:lineRule="auto"/>
              <w:ind w:left="111" w:right="107" w:firstLine="5"/>
              <w:jc w:val="center"/>
              <w:rPr>
                <w:rFonts w:ascii="宋体" w:hAnsi="宋体" w:eastAsia="宋体" w:cs="宋体"/>
                <w:color w:val="auto"/>
                <w:sz w:val="24"/>
                <w:szCs w:val="24"/>
              </w:rPr>
            </w:pPr>
            <w:r>
              <w:rPr>
                <w:rFonts w:ascii="宋体" w:hAnsi="宋体" w:eastAsia="宋体" w:cs="宋体"/>
                <w:color w:val="auto"/>
                <w:spacing w:val="-11"/>
                <w:sz w:val="24"/>
                <w:szCs w:val="24"/>
                <w14:textOutline w14:w="4358" w14:cap="sq" w14:cmpd="sng">
                  <w14:solidFill>
                    <w14:srgbClr w14:val="000000"/>
                  </w14:solidFill>
                  <w14:prstDash w14:val="solid"/>
                  <w14:bevel/>
                </w14:textOutline>
              </w:rPr>
              <w:t>《响应文件》递交</w:t>
            </w:r>
            <w:r>
              <w:rPr>
                <w:rFonts w:ascii="宋体" w:hAnsi="宋体" w:eastAsia="宋体" w:cs="宋体"/>
                <w:color w:val="auto"/>
                <w:spacing w:val="4"/>
                <w:sz w:val="24"/>
                <w:szCs w:val="24"/>
              </w:rPr>
              <w:t xml:space="preserve"> </w:t>
            </w:r>
            <w:r>
              <w:rPr>
                <w:rFonts w:ascii="宋体" w:hAnsi="宋体" w:eastAsia="宋体" w:cs="宋体"/>
                <w:color w:val="auto"/>
                <w:spacing w:val="-10"/>
                <w:sz w:val="24"/>
                <w:szCs w:val="24"/>
                <w14:textOutline w14:w="4358" w14:cap="sq" w14:cmpd="sng">
                  <w14:solidFill>
                    <w14:srgbClr w14:val="000000"/>
                  </w14:solidFill>
                  <w14:prstDash w14:val="solid"/>
                  <w14:bevel/>
                </w14:textOutline>
              </w:rPr>
              <w:t>份数、时间及地点</w:t>
            </w:r>
          </w:p>
        </w:tc>
        <w:tc>
          <w:tcPr>
            <w:tcW w:w="7103" w:type="dxa"/>
            <w:tcBorders>
              <w:right w:val="single" w:color="000000" w:sz="4" w:space="0"/>
            </w:tcBorders>
            <w:vAlign w:val="top"/>
          </w:tcPr>
          <w:p w14:paraId="0189E521">
            <w:pPr>
              <w:spacing w:before="37" w:line="280" w:lineRule="auto"/>
              <w:ind w:left="111" w:right="118" w:firstLine="16"/>
              <w:jc w:val="both"/>
              <w:rPr>
                <w:rFonts w:ascii="宋体" w:hAnsi="宋体" w:eastAsia="宋体" w:cs="宋体"/>
                <w:color w:val="auto"/>
                <w:spacing w:val="3"/>
                <w:sz w:val="22"/>
                <w:szCs w:val="22"/>
                <w14:textOutline w14:w="4013" w14:cap="sq" w14:cmpd="sng">
                  <w14:solidFill>
                    <w14:srgbClr w14:val="000000"/>
                  </w14:solidFill>
                  <w14:prstDash w14:val="solid"/>
                  <w14:bevel/>
                </w14:textOutline>
              </w:rPr>
            </w:pPr>
            <w:r>
              <w:rPr>
                <w:rFonts w:ascii="宋体" w:hAnsi="宋体" w:eastAsia="宋体" w:cs="宋体"/>
                <w:color w:val="auto"/>
                <w:spacing w:val="3"/>
                <w:sz w:val="22"/>
                <w:szCs w:val="22"/>
                <w14:textOutline w14:w="4013" w14:cap="sq" w14:cmpd="sng">
                  <w14:solidFill>
                    <w14:srgbClr w14:val="000000"/>
                  </w14:solidFill>
                  <w14:prstDash w14:val="solid"/>
                  <w14:bevel/>
                </w14:textOutline>
              </w:rPr>
              <w:t>1.响应文件电子版要求：按照本</w:t>
            </w:r>
            <w:r>
              <w:rPr>
                <w:rFonts w:hint="eastAsia" w:ascii="宋体" w:hAnsi="宋体" w:eastAsia="宋体" w:cs="宋体"/>
                <w:color w:val="auto"/>
                <w:spacing w:val="3"/>
                <w:sz w:val="22"/>
                <w:szCs w:val="22"/>
                <w:lang w:eastAsia="zh-CN"/>
                <w14:textOutline w14:w="4013" w14:cap="sq" w14:cmpd="sng">
                  <w14:solidFill>
                    <w14:srgbClr w14:val="000000"/>
                  </w14:solidFill>
                  <w14:prstDash w14:val="solid"/>
                  <w14:bevel/>
                </w14:textOutline>
              </w:rPr>
              <w:t>磋商文件</w:t>
            </w:r>
            <w:r>
              <w:rPr>
                <w:rFonts w:ascii="宋体" w:hAnsi="宋体" w:eastAsia="宋体" w:cs="宋体"/>
                <w:color w:val="auto"/>
                <w:spacing w:val="3"/>
                <w:sz w:val="22"/>
                <w:szCs w:val="22"/>
                <w14:textOutline w14:w="4013" w14:cap="sq" w14:cmpd="sng">
                  <w14:solidFill>
                    <w14:srgbClr w14:val="000000"/>
                  </w14:solidFill>
                  <w14:prstDash w14:val="solid"/>
                  <w14:bevel/>
                </w14:textOutline>
              </w:rPr>
              <w:t>“第五章 响应文件格式 ”编写 （第五章未附格式的，由供应商自行拟定），不可涂改并在规定加盖公章处加盖电子公章，否则响应文件按无效响应处理。</w:t>
            </w:r>
          </w:p>
          <w:p w14:paraId="781E8641">
            <w:pPr>
              <w:spacing w:before="37" w:line="280" w:lineRule="auto"/>
              <w:ind w:left="111" w:right="118" w:firstLine="16"/>
              <w:jc w:val="both"/>
              <w:rPr>
                <w:rFonts w:ascii="宋体" w:hAnsi="宋体" w:eastAsia="宋体" w:cs="宋体"/>
                <w:color w:val="auto"/>
                <w:spacing w:val="3"/>
                <w:sz w:val="22"/>
                <w:szCs w:val="22"/>
                <w14:textOutline w14:w="4013" w14:cap="sq" w14:cmpd="sng">
                  <w14:solidFill>
                    <w14:srgbClr w14:val="000000"/>
                  </w14:solidFill>
                  <w14:prstDash w14:val="solid"/>
                  <w14:bevel/>
                </w14:textOutline>
              </w:rPr>
            </w:pPr>
            <w:r>
              <w:rPr>
                <w:rFonts w:ascii="宋体" w:hAnsi="宋体" w:eastAsia="宋体" w:cs="宋体"/>
                <w:color w:val="auto"/>
                <w:spacing w:val="3"/>
                <w:sz w:val="22"/>
                <w:szCs w:val="22"/>
                <w14:textOutline w14:w="4013" w14:cap="sq" w14:cmpd="sng">
                  <w14:solidFill>
                    <w14:srgbClr w14:val="000000"/>
                  </w14:solidFill>
                  <w14:prstDash w14:val="solid"/>
                  <w14:bevel/>
                </w14:textOutline>
              </w:rPr>
              <w:t>2.响应文件电子版密封方式：电子响应文件通过平台有效 CA  加密后在 “政采云 ”平台投送。（操作方式见公告要求“ 电子响应文件制作与投送教程 ”）</w:t>
            </w:r>
          </w:p>
          <w:p w14:paraId="4114183F">
            <w:pPr>
              <w:spacing w:before="37" w:line="280" w:lineRule="auto"/>
              <w:ind w:left="111" w:right="118" w:firstLine="16"/>
              <w:jc w:val="both"/>
              <w:rPr>
                <w:rFonts w:ascii="宋体" w:hAnsi="宋体" w:eastAsia="宋体" w:cs="宋体"/>
                <w:color w:val="auto"/>
                <w:spacing w:val="3"/>
                <w:sz w:val="22"/>
                <w:szCs w:val="22"/>
                <w14:textOutline w14:w="4013" w14:cap="sq" w14:cmpd="sng">
                  <w14:solidFill>
                    <w14:srgbClr w14:val="000000"/>
                  </w14:solidFill>
                  <w14:prstDash w14:val="solid"/>
                  <w14:bevel/>
                </w14:textOutline>
              </w:rPr>
            </w:pPr>
            <w:r>
              <w:rPr>
                <w:rFonts w:ascii="宋体" w:hAnsi="宋体" w:eastAsia="宋体" w:cs="宋体"/>
                <w:color w:val="auto"/>
                <w:spacing w:val="3"/>
                <w:sz w:val="22"/>
                <w:szCs w:val="22"/>
                <w14:textOutline w14:w="4013" w14:cap="sq" w14:cmpd="sng">
                  <w14:solidFill>
                    <w14:srgbClr w14:val="000000"/>
                  </w14:solidFill>
                  <w14:prstDash w14:val="solid"/>
                  <w14:bevel/>
                </w14:textOutline>
              </w:rPr>
              <w:t>3.（1）份数：本项目采用电子招投标，开标现场无需提供纸质版</w:t>
            </w:r>
            <w:r>
              <w:rPr>
                <w:rFonts w:hint="eastAsia" w:ascii="宋体" w:hAnsi="宋体" w:eastAsia="宋体" w:cs="宋体"/>
                <w:color w:val="auto"/>
                <w:spacing w:val="3"/>
                <w:sz w:val="22"/>
                <w:szCs w:val="22"/>
                <w:lang w:eastAsia="zh-CN"/>
                <w14:textOutline w14:w="4013" w14:cap="sq" w14:cmpd="sng">
                  <w14:solidFill>
                    <w14:srgbClr w14:val="000000"/>
                  </w14:solidFill>
                  <w14:prstDash w14:val="solid"/>
                  <w14:bevel/>
                </w14:textOutline>
              </w:rPr>
              <w:t>响应文件</w:t>
            </w:r>
            <w:r>
              <w:rPr>
                <w:rFonts w:ascii="宋体" w:hAnsi="宋体" w:eastAsia="宋体" w:cs="宋体"/>
                <w:color w:val="auto"/>
                <w:spacing w:val="3"/>
                <w:sz w:val="22"/>
                <w:szCs w:val="22"/>
                <w14:textOutline w14:w="4013" w14:cap="sq" w14:cmpd="sng">
                  <w14:solidFill>
                    <w14:srgbClr w14:val="000000"/>
                  </w14:solidFill>
                  <w14:prstDash w14:val="solid"/>
                  <w14:bevel/>
                </w14:textOutline>
              </w:rPr>
              <w:t>，</w:t>
            </w:r>
            <w:r>
              <w:rPr>
                <w:rFonts w:hint="eastAsia" w:ascii="宋体" w:hAnsi="宋体" w:eastAsia="宋体" w:cs="宋体"/>
                <w:color w:val="auto"/>
                <w:spacing w:val="3"/>
                <w:sz w:val="22"/>
                <w:szCs w:val="22"/>
                <w:lang w:eastAsia="zh-CN"/>
                <w14:textOutline w14:w="4013" w14:cap="sq" w14:cmpd="sng">
                  <w14:solidFill>
                    <w14:srgbClr w14:val="000000"/>
                  </w14:solidFill>
                  <w14:prstDash w14:val="solid"/>
                  <w14:bevel/>
                </w14:textOutline>
              </w:rPr>
              <w:t>供应商</w:t>
            </w:r>
            <w:r>
              <w:rPr>
                <w:rFonts w:ascii="宋体" w:hAnsi="宋体" w:eastAsia="宋体" w:cs="宋体"/>
                <w:color w:val="auto"/>
                <w:spacing w:val="3"/>
                <w:sz w:val="22"/>
                <w:szCs w:val="22"/>
                <w14:textOutline w14:w="4013" w14:cap="sq" w14:cmpd="sng">
                  <w14:solidFill>
                    <w14:srgbClr w14:val="000000"/>
                  </w14:solidFill>
                  <w14:prstDash w14:val="solid"/>
                  <w14:bevel/>
                </w14:textOutline>
              </w:rPr>
              <w:t>在中标</w:t>
            </w:r>
            <w:r>
              <w:rPr>
                <w:rFonts w:hint="eastAsia" w:ascii="宋体" w:hAnsi="宋体" w:eastAsia="宋体" w:cs="宋体"/>
                <w:color w:val="auto"/>
                <w:spacing w:val="3"/>
                <w:sz w:val="22"/>
                <w:szCs w:val="22"/>
                <w:lang w:eastAsia="zh-CN"/>
                <w14:textOutline w14:w="4013" w14:cap="sq" w14:cmpd="sng">
                  <w14:solidFill>
                    <w14:srgbClr w14:val="000000"/>
                  </w14:solidFill>
                  <w14:prstDash w14:val="solid"/>
                  <w14:bevel/>
                </w14:textOutline>
              </w:rPr>
              <w:t>（成交）结果</w:t>
            </w:r>
            <w:r>
              <w:rPr>
                <w:rFonts w:ascii="宋体" w:hAnsi="宋体" w:eastAsia="宋体" w:cs="宋体"/>
                <w:color w:val="auto"/>
                <w:spacing w:val="3"/>
                <w:sz w:val="22"/>
                <w:szCs w:val="22"/>
                <w14:textOutline w14:w="4013" w14:cap="sq" w14:cmpd="sng">
                  <w14:solidFill>
                    <w14:srgbClr w14:val="000000"/>
                  </w14:solidFill>
                  <w14:prstDash w14:val="solid"/>
                  <w14:bevel/>
                </w14:textOutline>
              </w:rPr>
              <w:t>公示期满后提交三套纸质版响应文件给代理机构存档备案。</w:t>
            </w:r>
          </w:p>
          <w:p w14:paraId="132CFCDF">
            <w:pPr>
              <w:spacing w:before="37" w:line="280" w:lineRule="auto"/>
              <w:ind w:left="111" w:right="118" w:firstLine="16"/>
              <w:jc w:val="both"/>
              <w:rPr>
                <w:rFonts w:ascii="宋体" w:hAnsi="宋体" w:eastAsia="宋体" w:cs="宋体"/>
                <w:color w:val="auto"/>
                <w:spacing w:val="3"/>
                <w:sz w:val="22"/>
                <w:szCs w:val="22"/>
                <w14:textOutline w14:w="4013" w14:cap="sq" w14:cmpd="sng">
                  <w14:solidFill>
                    <w14:srgbClr w14:val="000000"/>
                  </w14:solidFill>
                  <w14:prstDash w14:val="solid"/>
                  <w14:bevel/>
                </w14:textOutline>
              </w:rPr>
            </w:pPr>
            <w:r>
              <w:rPr>
                <w:rFonts w:ascii="宋体" w:hAnsi="宋体" w:eastAsia="宋体" w:cs="宋体"/>
                <w:color w:val="auto"/>
                <w:spacing w:val="3"/>
                <w:sz w:val="22"/>
                <w:szCs w:val="22"/>
                <w14:textOutline w14:w="4013" w14:cap="sq" w14:cmpd="sng">
                  <w14:solidFill>
                    <w14:srgbClr w14:val="000000"/>
                  </w14:solidFill>
                  <w14:prstDash w14:val="solid"/>
                  <w14:bevel/>
                </w14:textOutline>
              </w:rPr>
              <w:t>特别提示：提交的纸质版《</w:t>
            </w:r>
            <w:r>
              <w:rPr>
                <w:rFonts w:hint="eastAsia" w:ascii="宋体" w:hAnsi="宋体" w:eastAsia="宋体" w:cs="宋体"/>
                <w:color w:val="auto"/>
                <w:spacing w:val="3"/>
                <w:sz w:val="22"/>
                <w:szCs w:val="22"/>
                <w:lang w:eastAsia="zh-CN"/>
                <w14:textOutline w14:w="4013" w14:cap="sq" w14:cmpd="sng">
                  <w14:solidFill>
                    <w14:srgbClr w14:val="000000"/>
                  </w14:solidFill>
                  <w14:prstDash w14:val="solid"/>
                  <w14:bevel/>
                </w14:textOutline>
              </w:rPr>
              <w:t>响应文件</w:t>
            </w:r>
            <w:r>
              <w:rPr>
                <w:rFonts w:ascii="宋体" w:hAnsi="宋体" w:eastAsia="宋体" w:cs="宋体"/>
                <w:color w:val="auto"/>
                <w:spacing w:val="3"/>
                <w:sz w:val="22"/>
                <w:szCs w:val="22"/>
                <w14:textOutline w14:w="4013" w14:cap="sq" w14:cmpd="sng">
                  <w14:solidFill>
                    <w14:srgbClr w14:val="000000"/>
                  </w14:solidFill>
                  <w14:prstDash w14:val="solid"/>
                  <w14:bevel/>
                </w14:textOutline>
              </w:rPr>
              <w:t>》内容与开标时电子</w:t>
            </w:r>
            <w:r>
              <w:rPr>
                <w:rFonts w:hint="eastAsia" w:ascii="宋体" w:hAnsi="宋体" w:eastAsia="宋体" w:cs="宋体"/>
                <w:color w:val="auto"/>
                <w:spacing w:val="3"/>
                <w:sz w:val="22"/>
                <w:szCs w:val="22"/>
                <w:lang w:eastAsia="zh-CN"/>
                <w14:textOutline w14:w="4013" w14:cap="sq" w14:cmpd="sng">
                  <w14:solidFill>
                    <w14:srgbClr w14:val="000000"/>
                  </w14:solidFill>
                  <w14:prstDash w14:val="solid"/>
                  <w14:bevel/>
                </w14:textOutline>
              </w:rPr>
              <w:t>响应文件</w:t>
            </w:r>
            <w:r>
              <w:rPr>
                <w:rFonts w:ascii="宋体" w:hAnsi="宋体" w:eastAsia="宋体" w:cs="宋体"/>
                <w:color w:val="auto"/>
                <w:spacing w:val="3"/>
                <w:sz w:val="22"/>
                <w:szCs w:val="22"/>
                <w14:textOutline w14:w="4013" w14:cap="sq" w14:cmpd="sng">
                  <w14:solidFill>
                    <w14:srgbClr w14:val="000000"/>
                  </w14:solidFill>
                  <w14:prstDash w14:val="solid"/>
                  <w14:bevel/>
                </w14:textOutline>
              </w:rPr>
              <w:t>应完全一致。</w:t>
            </w:r>
          </w:p>
          <w:p w14:paraId="4D5CC4B5">
            <w:pPr>
              <w:spacing w:before="37" w:line="280" w:lineRule="auto"/>
              <w:ind w:left="111" w:right="118" w:firstLine="16"/>
              <w:jc w:val="both"/>
              <w:rPr>
                <w:rFonts w:ascii="宋体" w:hAnsi="宋体" w:eastAsia="宋体" w:cs="宋体"/>
                <w:color w:val="auto"/>
                <w:spacing w:val="3"/>
                <w:sz w:val="22"/>
                <w:szCs w:val="22"/>
                <w14:textOutline w14:w="4013" w14:cap="sq" w14:cmpd="sng">
                  <w14:solidFill>
                    <w14:srgbClr w14:val="000000"/>
                  </w14:solidFill>
                  <w14:prstDash w14:val="solid"/>
                  <w14:bevel/>
                </w14:textOutline>
              </w:rPr>
            </w:pPr>
            <w:r>
              <w:rPr>
                <w:rFonts w:ascii="宋体" w:hAnsi="宋体" w:eastAsia="宋体" w:cs="宋体"/>
                <w:color w:val="auto"/>
                <w:spacing w:val="3"/>
                <w:sz w:val="22"/>
                <w:szCs w:val="22"/>
                <w14:textOutline w14:w="4013" w14:cap="sq" w14:cmpd="sng">
                  <w14:solidFill>
                    <w14:srgbClr w14:val="000000"/>
                  </w14:solidFill>
                  <w14:prstDash w14:val="solid"/>
                  <w14:bevel/>
                </w14:textOutline>
              </w:rPr>
              <w:t>（2）政采云</w:t>
            </w:r>
            <w:r>
              <w:rPr>
                <w:rFonts w:hint="eastAsia" w:ascii="宋体" w:hAnsi="宋体" w:eastAsia="宋体" w:cs="宋体"/>
                <w:color w:val="auto"/>
                <w:spacing w:val="3"/>
                <w:sz w:val="22"/>
                <w:szCs w:val="22"/>
                <w:lang w:eastAsia="zh-CN"/>
                <w14:textOutline w14:w="4013" w14:cap="sq" w14:cmpd="sng">
                  <w14:solidFill>
                    <w14:srgbClr w14:val="000000"/>
                  </w14:solidFill>
                  <w14:prstDash w14:val="solid"/>
                  <w14:bevel/>
                </w14:textOutline>
              </w:rPr>
              <w:t>响应文件</w:t>
            </w:r>
            <w:r>
              <w:rPr>
                <w:rFonts w:ascii="宋体" w:hAnsi="宋体" w:eastAsia="宋体" w:cs="宋体"/>
                <w:color w:val="auto"/>
                <w:spacing w:val="3"/>
                <w:sz w:val="22"/>
                <w:szCs w:val="22"/>
                <w14:textOutline w14:w="4013" w14:cap="sq" w14:cmpd="sng">
                  <w14:solidFill>
                    <w14:srgbClr w14:val="000000"/>
                  </w14:solidFill>
                  <w14:prstDash w14:val="solid"/>
                  <w14:bevel/>
                </w14:textOutline>
              </w:rPr>
              <w:t>递交截止时间：202</w:t>
            </w:r>
            <w:r>
              <w:rPr>
                <w:rFonts w:hint="eastAsia" w:ascii="宋体" w:hAnsi="宋体" w:eastAsia="宋体" w:cs="宋体"/>
                <w:color w:val="auto"/>
                <w:spacing w:val="3"/>
                <w:sz w:val="22"/>
                <w:szCs w:val="22"/>
                <w:lang w:val="en-US" w:eastAsia="zh-CN"/>
                <w14:textOutline w14:w="4013" w14:cap="sq" w14:cmpd="sng">
                  <w14:solidFill>
                    <w14:srgbClr w14:val="000000"/>
                  </w14:solidFill>
                  <w14:prstDash w14:val="solid"/>
                  <w14:bevel/>
                </w14:textOutline>
              </w:rPr>
              <w:t>5</w:t>
            </w:r>
            <w:r>
              <w:rPr>
                <w:rFonts w:ascii="宋体" w:hAnsi="宋体" w:eastAsia="宋体" w:cs="宋体"/>
                <w:color w:val="auto"/>
                <w:spacing w:val="3"/>
                <w:sz w:val="22"/>
                <w:szCs w:val="22"/>
                <w14:textOutline w14:w="4013" w14:cap="sq" w14:cmpd="sng">
                  <w14:solidFill>
                    <w14:srgbClr w14:val="000000"/>
                  </w14:solidFill>
                  <w14:prstDash w14:val="solid"/>
                  <w14:bevel/>
                </w14:textOutline>
              </w:rPr>
              <w:t>年</w:t>
            </w:r>
            <w:r>
              <w:rPr>
                <w:rFonts w:hint="eastAsia" w:ascii="宋体" w:hAnsi="宋体" w:eastAsia="宋体" w:cs="宋体"/>
                <w:color w:val="auto"/>
                <w:spacing w:val="3"/>
                <w:sz w:val="22"/>
                <w:szCs w:val="22"/>
                <w:lang w:val="en-US" w:eastAsia="zh-CN"/>
                <w14:textOutline w14:w="4013" w14:cap="sq" w14:cmpd="sng">
                  <w14:solidFill>
                    <w14:srgbClr w14:val="000000"/>
                  </w14:solidFill>
                  <w14:prstDash w14:val="solid"/>
                  <w14:bevel/>
                </w14:textOutline>
              </w:rPr>
              <w:t>03</w:t>
            </w:r>
            <w:r>
              <w:rPr>
                <w:rFonts w:ascii="宋体" w:hAnsi="宋体" w:eastAsia="宋体" w:cs="宋体"/>
                <w:color w:val="auto"/>
                <w:spacing w:val="3"/>
                <w:sz w:val="22"/>
                <w:szCs w:val="22"/>
                <w14:textOutline w14:w="4013" w14:cap="sq" w14:cmpd="sng">
                  <w14:solidFill>
                    <w14:srgbClr w14:val="000000"/>
                  </w14:solidFill>
                  <w14:prstDash w14:val="solid"/>
                  <w14:bevel/>
                </w14:textOutline>
              </w:rPr>
              <w:t>月</w:t>
            </w:r>
            <w:r>
              <w:rPr>
                <w:rFonts w:hint="eastAsia" w:ascii="宋体" w:hAnsi="宋体" w:eastAsia="宋体" w:cs="宋体"/>
                <w:color w:val="auto"/>
                <w:spacing w:val="3"/>
                <w:sz w:val="22"/>
                <w:szCs w:val="22"/>
                <w:lang w:val="en-US" w:eastAsia="zh-CN"/>
                <w14:textOutline w14:w="4013" w14:cap="sq" w14:cmpd="sng">
                  <w14:solidFill>
                    <w14:srgbClr w14:val="000000"/>
                  </w14:solidFill>
                  <w14:prstDash w14:val="solid"/>
                  <w14:bevel/>
                </w14:textOutline>
              </w:rPr>
              <w:t>10</w:t>
            </w:r>
            <w:r>
              <w:rPr>
                <w:rFonts w:ascii="宋体" w:hAnsi="宋体" w:eastAsia="宋体" w:cs="宋体"/>
                <w:color w:val="auto"/>
                <w:spacing w:val="3"/>
                <w:sz w:val="22"/>
                <w:szCs w:val="22"/>
                <w14:textOutline w14:w="4013" w14:cap="sq" w14:cmpd="sng">
                  <w14:solidFill>
                    <w14:srgbClr w14:val="000000"/>
                  </w14:solidFill>
                  <w14:prstDash w14:val="solid"/>
                  <w14:bevel/>
                </w14:textOutline>
              </w:rPr>
              <w:t>日</w:t>
            </w:r>
            <w:r>
              <w:rPr>
                <w:rFonts w:hint="eastAsia" w:ascii="宋体" w:hAnsi="宋体" w:eastAsia="宋体" w:cs="宋体"/>
                <w:color w:val="auto"/>
                <w:spacing w:val="3"/>
                <w:sz w:val="22"/>
                <w:szCs w:val="22"/>
                <w:lang w:val="en-US" w:eastAsia="zh-CN"/>
                <w14:textOutline w14:w="4013" w14:cap="sq" w14:cmpd="sng">
                  <w14:solidFill>
                    <w14:srgbClr w14:val="000000"/>
                  </w14:solidFill>
                  <w14:prstDash w14:val="solid"/>
                  <w14:bevel/>
                </w14:textOutline>
              </w:rPr>
              <w:t>11</w:t>
            </w:r>
            <w:r>
              <w:rPr>
                <w:rFonts w:ascii="宋体" w:hAnsi="宋体" w:eastAsia="宋体" w:cs="宋体"/>
                <w:color w:val="auto"/>
                <w:spacing w:val="3"/>
                <w:sz w:val="22"/>
                <w:szCs w:val="22"/>
                <w14:textOutline w14:w="4013" w14:cap="sq" w14:cmpd="sng">
                  <w14:solidFill>
                    <w14:srgbClr w14:val="000000"/>
                  </w14:solidFill>
                  <w14:prstDash w14:val="solid"/>
                  <w14:bevel/>
                </w14:textOutline>
              </w:rPr>
              <w:t>时</w:t>
            </w:r>
            <w:r>
              <w:rPr>
                <w:rFonts w:hint="eastAsia" w:ascii="宋体" w:hAnsi="宋体" w:eastAsia="宋体" w:cs="宋体"/>
                <w:color w:val="auto"/>
                <w:spacing w:val="3"/>
                <w:sz w:val="22"/>
                <w:szCs w:val="22"/>
                <w:lang w:val="en-US" w:eastAsia="zh-CN"/>
                <w14:textOutline w14:w="4013" w14:cap="sq" w14:cmpd="sng">
                  <w14:solidFill>
                    <w14:srgbClr w14:val="000000"/>
                  </w14:solidFill>
                  <w14:prstDash w14:val="solid"/>
                  <w14:bevel/>
                </w14:textOutline>
              </w:rPr>
              <w:t>3</w:t>
            </w:r>
            <w:r>
              <w:rPr>
                <w:rFonts w:ascii="宋体" w:hAnsi="宋体" w:eastAsia="宋体" w:cs="宋体"/>
                <w:color w:val="auto"/>
                <w:spacing w:val="3"/>
                <w:sz w:val="22"/>
                <w:szCs w:val="22"/>
                <w14:textOutline w14:w="4013" w14:cap="sq" w14:cmpd="sng">
                  <w14:solidFill>
                    <w14:srgbClr w14:val="000000"/>
                  </w14:solidFill>
                  <w14:prstDash w14:val="solid"/>
                  <w14:bevel/>
                </w14:textOutline>
              </w:rPr>
              <w:t>0分（北京时间）</w:t>
            </w:r>
          </w:p>
          <w:p w14:paraId="2B609185">
            <w:pPr>
              <w:spacing w:before="37" w:line="280" w:lineRule="auto"/>
              <w:ind w:left="111" w:right="118" w:firstLine="16"/>
              <w:jc w:val="both"/>
              <w:rPr>
                <w:rFonts w:ascii="宋体" w:hAnsi="宋体" w:eastAsia="宋体" w:cs="宋体"/>
                <w:color w:val="auto"/>
                <w:sz w:val="20"/>
                <w:szCs w:val="20"/>
              </w:rPr>
            </w:pPr>
            <w:r>
              <w:rPr>
                <w:rFonts w:ascii="宋体" w:hAnsi="宋体" w:eastAsia="宋体" w:cs="宋体"/>
                <w:color w:val="auto"/>
                <w:spacing w:val="3"/>
                <w:sz w:val="22"/>
                <w:szCs w:val="22"/>
                <w14:textOutline w14:w="4013" w14:cap="sq" w14:cmpd="sng">
                  <w14:solidFill>
                    <w14:srgbClr w14:val="000000"/>
                  </w14:solidFill>
                  <w14:prstDash w14:val="solid"/>
                  <w14:bevel/>
                </w14:textOutline>
              </w:rPr>
              <w:t>（3）递交地点：政采云平台（www.zcygov.com）</w:t>
            </w:r>
          </w:p>
        </w:tc>
      </w:tr>
      <w:tr w14:paraId="0F9D87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1" w:hRule="atLeast"/>
        </w:trPr>
        <w:tc>
          <w:tcPr>
            <w:tcW w:w="742" w:type="dxa"/>
            <w:tcBorders>
              <w:left w:val="single" w:color="000000" w:sz="4" w:space="0"/>
            </w:tcBorders>
            <w:vAlign w:val="top"/>
          </w:tcPr>
          <w:p w14:paraId="02450969">
            <w:pPr>
              <w:spacing w:line="266" w:lineRule="auto"/>
              <w:rPr>
                <w:rFonts w:ascii="Arial"/>
                <w:color w:val="auto"/>
                <w:sz w:val="21"/>
              </w:rPr>
            </w:pPr>
          </w:p>
          <w:p w14:paraId="39D0A786">
            <w:pPr>
              <w:spacing w:line="266" w:lineRule="auto"/>
              <w:rPr>
                <w:rFonts w:ascii="Arial"/>
                <w:color w:val="auto"/>
                <w:sz w:val="21"/>
              </w:rPr>
            </w:pPr>
          </w:p>
          <w:p w14:paraId="1E0F4F1D">
            <w:pPr>
              <w:spacing w:before="78" w:line="183" w:lineRule="auto"/>
              <w:ind w:left="263"/>
              <w:rPr>
                <w:rFonts w:hint="eastAsia" w:ascii="宋体" w:hAnsi="宋体" w:eastAsia="宋体" w:cs="宋体"/>
                <w:color w:val="auto"/>
                <w:sz w:val="24"/>
                <w:szCs w:val="24"/>
                <w:lang w:val="en-US" w:eastAsia="zh-CN"/>
              </w:rPr>
            </w:pPr>
            <w:r>
              <w:rPr>
                <w:rFonts w:ascii="宋体" w:hAnsi="宋体" w:eastAsia="宋体" w:cs="宋体"/>
                <w:color w:val="auto"/>
                <w:spacing w:val="-7"/>
                <w:sz w:val="24"/>
                <w:szCs w:val="24"/>
              </w:rPr>
              <w:t>2</w:t>
            </w:r>
            <w:r>
              <w:rPr>
                <w:rFonts w:hint="eastAsia" w:ascii="宋体" w:hAnsi="宋体" w:eastAsia="宋体" w:cs="宋体"/>
                <w:color w:val="auto"/>
                <w:spacing w:val="-7"/>
                <w:sz w:val="24"/>
                <w:szCs w:val="24"/>
                <w:lang w:val="en-US" w:eastAsia="zh-CN"/>
              </w:rPr>
              <w:t>6</w:t>
            </w:r>
          </w:p>
        </w:tc>
        <w:tc>
          <w:tcPr>
            <w:tcW w:w="1870" w:type="dxa"/>
            <w:vAlign w:val="top"/>
          </w:tcPr>
          <w:p w14:paraId="5D6545C6">
            <w:pPr>
              <w:spacing w:line="247" w:lineRule="auto"/>
              <w:rPr>
                <w:rFonts w:ascii="Arial"/>
                <w:color w:val="auto"/>
                <w:sz w:val="21"/>
              </w:rPr>
            </w:pPr>
          </w:p>
          <w:p w14:paraId="28BAF725">
            <w:pPr>
              <w:spacing w:line="247" w:lineRule="auto"/>
              <w:rPr>
                <w:rFonts w:ascii="Arial"/>
                <w:color w:val="auto"/>
                <w:sz w:val="21"/>
              </w:rPr>
            </w:pPr>
          </w:p>
          <w:p w14:paraId="71CBB08F">
            <w:pPr>
              <w:spacing w:before="78" w:line="220" w:lineRule="auto"/>
              <w:rPr>
                <w:rFonts w:ascii="宋体" w:hAnsi="宋体" w:eastAsia="宋体" w:cs="宋体"/>
                <w:color w:val="auto"/>
                <w:sz w:val="24"/>
                <w:szCs w:val="24"/>
              </w:rPr>
            </w:pPr>
            <w:r>
              <w:rPr>
                <w:rFonts w:ascii="宋体" w:hAnsi="宋体" w:eastAsia="宋体" w:cs="宋体"/>
                <w:color w:val="auto"/>
                <w:spacing w:val="-1"/>
                <w:sz w:val="24"/>
                <w:szCs w:val="24"/>
                <w14:textOutline w14:w="4358" w14:cap="sq" w14:cmpd="sng">
                  <w14:solidFill>
                    <w14:srgbClr w14:val="000000"/>
                  </w14:solidFill>
                  <w14:prstDash w14:val="solid"/>
                  <w14:bevel/>
                </w14:textOutline>
              </w:rPr>
              <w:t>开标时间及地点</w:t>
            </w:r>
          </w:p>
        </w:tc>
        <w:tc>
          <w:tcPr>
            <w:tcW w:w="7103" w:type="dxa"/>
            <w:tcBorders>
              <w:right w:val="single" w:color="000000" w:sz="4" w:space="0"/>
            </w:tcBorders>
            <w:vAlign w:val="top"/>
          </w:tcPr>
          <w:p w14:paraId="2FC84CA3">
            <w:pPr>
              <w:spacing w:before="41" w:line="219" w:lineRule="auto"/>
              <w:ind w:left="113"/>
              <w:rPr>
                <w:rFonts w:ascii="宋体" w:hAnsi="宋体" w:eastAsia="宋体" w:cs="宋体"/>
                <w:color w:val="auto"/>
                <w:sz w:val="24"/>
                <w:szCs w:val="24"/>
              </w:rPr>
            </w:pPr>
            <w:r>
              <w:rPr>
                <w:rFonts w:ascii="宋体" w:hAnsi="宋体" w:eastAsia="宋体" w:cs="宋体"/>
                <w:color w:val="auto"/>
                <w:spacing w:val="-6"/>
                <w:sz w:val="24"/>
                <w:szCs w:val="24"/>
                <w14:textOutline w14:w="4358" w14:cap="sq" w14:cmpd="sng">
                  <w14:solidFill>
                    <w14:srgbClr w14:val="000000"/>
                  </w14:solidFill>
                  <w14:prstDash w14:val="solid"/>
                  <w14:bevel/>
                </w14:textOutline>
              </w:rPr>
              <w:t>开标时间：</w:t>
            </w:r>
            <w:r>
              <w:rPr>
                <w:rFonts w:hint="eastAsia" w:ascii="宋体" w:hAnsi="宋体" w:eastAsia="宋体" w:cs="宋体"/>
                <w:color w:val="auto"/>
                <w:spacing w:val="-6"/>
                <w:sz w:val="24"/>
                <w:szCs w:val="24"/>
                <w:lang w:eastAsia="zh-CN"/>
                <w14:textOutline w14:w="4358" w14:cap="sq" w14:cmpd="sng">
                  <w14:solidFill>
                    <w14:srgbClr w14:val="000000"/>
                  </w14:solidFill>
                  <w14:prstDash w14:val="solid"/>
                  <w14:bevel/>
                </w14:textOutline>
              </w:rPr>
              <w:t>202</w:t>
            </w:r>
            <w:r>
              <w:rPr>
                <w:rFonts w:hint="eastAsia" w:ascii="宋体" w:hAnsi="宋体" w:eastAsia="宋体" w:cs="宋体"/>
                <w:color w:val="auto"/>
                <w:spacing w:val="-6"/>
                <w:sz w:val="24"/>
                <w:szCs w:val="24"/>
                <w:lang w:val="en-US" w:eastAsia="zh-CN"/>
                <w14:textOutline w14:w="4358" w14:cap="sq" w14:cmpd="sng">
                  <w14:solidFill>
                    <w14:srgbClr w14:val="000000"/>
                  </w14:solidFill>
                  <w14:prstDash w14:val="solid"/>
                  <w14:bevel/>
                </w14:textOutline>
              </w:rPr>
              <w:t>5</w:t>
            </w:r>
            <w:r>
              <w:rPr>
                <w:rFonts w:hint="eastAsia" w:ascii="宋体" w:hAnsi="宋体" w:eastAsia="宋体" w:cs="宋体"/>
                <w:color w:val="auto"/>
                <w:spacing w:val="-6"/>
                <w:sz w:val="24"/>
                <w:szCs w:val="24"/>
                <w:lang w:eastAsia="zh-CN"/>
                <w14:textOutline w14:w="4358" w14:cap="sq" w14:cmpd="sng">
                  <w14:solidFill>
                    <w14:srgbClr w14:val="000000"/>
                  </w14:solidFill>
                  <w14:prstDash w14:val="solid"/>
                  <w14:bevel/>
                </w14:textOutline>
              </w:rPr>
              <w:t>年</w:t>
            </w:r>
            <w:r>
              <w:rPr>
                <w:rFonts w:hint="eastAsia" w:ascii="宋体" w:hAnsi="宋体" w:eastAsia="宋体" w:cs="宋体"/>
                <w:color w:val="auto"/>
                <w:spacing w:val="-6"/>
                <w:sz w:val="24"/>
                <w:szCs w:val="24"/>
                <w:lang w:val="en-US" w:eastAsia="zh-CN"/>
                <w14:textOutline w14:w="4358" w14:cap="sq" w14:cmpd="sng">
                  <w14:solidFill>
                    <w14:srgbClr w14:val="000000"/>
                  </w14:solidFill>
                  <w14:prstDash w14:val="solid"/>
                  <w14:bevel/>
                </w14:textOutline>
              </w:rPr>
              <w:t>03</w:t>
            </w:r>
            <w:r>
              <w:rPr>
                <w:rFonts w:hint="eastAsia" w:ascii="宋体" w:hAnsi="宋体" w:eastAsia="宋体" w:cs="宋体"/>
                <w:color w:val="auto"/>
                <w:spacing w:val="-6"/>
                <w:sz w:val="24"/>
                <w:szCs w:val="24"/>
                <w:lang w:eastAsia="zh-CN"/>
                <w14:textOutline w14:w="4358" w14:cap="sq" w14:cmpd="sng">
                  <w14:solidFill>
                    <w14:srgbClr w14:val="000000"/>
                  </w14:solidFill>
                  <w14:prstDash w14:val="solid"/>
                  <w14:bevel/>
                </w14:textOutline>
              </w:rPr>
              <w:t>月</w:t>
            </w:r>
            <w:r>
              <w:rPr>
                <w:rFonts w:hint="eastAsia" w:ascii="宋体" w:hAnsi="宋体" w:eastAsia="宋体" w:cs="宋体"/>
                <w:color w:val="auto"/>
                <w:spacing w:val="-6"/>
                <w:sz w:val="24"/>
                <w:szCs w:val="24"/>
                <w:lang w:val="en-US" w:eastAsia="zh-CN"/>
                <w14:textOutline w14:w="4358" w14:cap="sq" w14:cmpd="sng">
                  <w14:solidFill>
                    <w14:srgbClr w14:val="000000"/>
                  </w14:solidFill>
                  <w14:prstDash w14:val="solid"/>
                  <w14:bevel/>
                </w14:textOutline>
              </w:rPr>
              <w:t>10</w:t>
            </w:r>
            <w:r>
              <w:rPr>
                <w:rFonts w:hint="eastAsia" w:ascii="宋体" w:hAnsi="宋体" w:eastAsia="宋体" w:cs="宋体"/>
                <w:color w:val="auto"/>
                <w:spacing w:val="-6"/>
                <w:sz w:val="24"/>
                <w:szCs w:val="24"/>
                <w:lang w:eastAsia="zh-CN"/>
                <w14:textOutline w14:w="4358" w14:cap="sq" w14:cmpd="sng">
                  <w14:solidFill>
                    <w14:srgbClr w14:val="000000"/>
                  </w14:solidFill>
                  <w14:prstDash w14:val="solid"/>
                  <w14:bevel/>
                </w14:textOutline>
              </w:rPr>
              <w:t>日</w:t>
            </w:r>
            <w:r>
              <w:rPr>
                <w:rFonts w:ascii="宋体" w:hAnsi="宋体" w:eastAsia="宋体" w:cs="宋体"/>
                <w:color w:val="auto"/>
                <w:spacing w:val="-6"/>
                <w:sz w:val="24"/>
                <w:szCs w:val="24"/>
                <w14:textOutline w14:w="4358" w14:cap="sq" w14:cmpd="sng">
                  <w14:solidFill>
                    <w14:srgbClr w14:val="000000"/>
                  </w14:solidFill>
                  <w14:prstDash w14:val="solid"/>
                  <w14:bevel/>
                </w14:textOutline>
              </w:rPr>
              <w:t>1</w:t>
            </w:r>
            <w:r>
              <w:rPr>
                <w:rFonts w:hint="eastAsia" w:ascii="宋体" w:hAnsi="宋体" w:eastAsia="宋体" w:cs="宋体"/>
                <w:color w:val="auto"/>
                <w:spacing w:val="-6"/>
                <w:sz w:val="24"/>
                <w:szCs w:val="24"/>
                <w:lang w:val="en-US" w:eastAsia="zh-CN"/>
                <w14:textOutline w14:w="4358" w14:cap="sq" w14:cmpd="sng">
                  <w14:solidFill>
                    <w14:srgbClr w14:val="000000"/>
                  </w14:solidFill>
                  <w14:prstDash w14:val="solid"/>
                  <w14:bevel/>
                </w14:textOutline>
              </w:rPr>
              <w:t>1</w:t>
            </w:r>
            <w:r>
              <w:rPr>
                <w:rFonts w:hint="eastAsia" w:ascii="宋体" w:hAnsi="宋体" w:eastAsia="宋体" w:cs="宋体"/>
                <w:color w:val="auto"/>
                <w:spacing w:val="-6"/>
                <w:sz w:val="24"/>
                <w:szCs w:val="24"/>
                <w:lang w:eastAsia="zh-CN"/>
                <w14:textOutline w14:w="4358" w14:cap="sq" w14:cmpd="sng">
                  <w14:solidFill>
                    <w14:srgbClr w14:val="000000"/>
                  </w14:solidFill>
                  <w14:prstDash w14:val="solid"/>
                  <w14:bevel/>
                </w14:textOutline>
              </w:rPr>
              <w:t>时</w:t>
            </w:r>
            <w:r>
              <w:rPr>
                <w:rFonts w:hint="eastAsia" w:ascii="宋体" w:hAnsi="宋体" w:eastAsia="宋体" w:cs="宋体"/>
                <w:color w:val="auto"/>
                <w:spacing w:val="-6"/>
                <w:sz w:val="24"/>
                <w:szCs w:val="24"/>
                <w:lang w:val="en-US" w:eastAsia="zh-CN"/>
                <w14:textOutline w14:w="4358" w14:cap="sq" w14:cmpd="sng">
                  <w14:solidFill>
                    <w14:srgbClr w14:val="000000"/>
                  </w14:solidFill>
                  <w14:prstDash w14:val="solid"/>
                  <w14:bevel/>
                </w14:textOutline>
              </w:rPr>
              <w:t>3</w:t>
            </w:r>
            <w:r>
              <w:rPr>
                <w:rFonts w:hint="eastAsia" w:ascii="宋体" w:hAnsi="宋体" w:eastAsia="宋体" w:cs="宋体"/>
                <w:color w:val="auto"/>
                <w:spacing w:val="-6"/>
                <w:sz w:val="24"/>
                <w:szCs w:val="24"/>
                <w:lang w:eastAsia="zh-CN"/>
                <w14:textOutline w14:w="4358" w14:cap="sq" w14:cmpd="sng">
                  <w14:solidFill>
                    <w14:srgbClr w14:val="000000"/>
                  </w14:solidFill>
                  <w14:prstDash w14:val="solid"/>
                  <w14:bevel/>
                </w14:textOutline>
              </w:rPr>
              <w:t>0分</w:t>
            </w:r>
            <w:r>
              <w:rPr>
                <w:rFonts w:ascii="宋体" w:hAnsi="宋体" w:eastAsia="宋体" w:cs="宋体"/>
                <w:color w:val="auto"/>
                <w:spacing w:val="-7"/>
                <w:sz w:val="24"/>
                <w:szCs w:val="24"/>
                <w14:textOutline w14:w="4358" w14:cap="sq" w14:cmpd="sng">
                  <w14:solidFill>
                    <w14:srgbClr w14:val="000000"/>
                  </w14:solidFill>
                  <w14:prstDash w14:val="solid"/>
                  <w14:bevel/>
                </w14:textOutline>
              </w:rPr>
              <w:t>（北京时间）</w:t>
            </w:r>
          </w:p>
          <w:p w14:paraId="2EA80438">
            <w:pPr>
              <w:spacing w:before="71" w:line="257" w:lineRule="auto"/>
              <w:ind w:left="110" w:firstLine="2"/>
              <w:rPr>
                <w:rFonts w:ascii="宋体" w:hAnsi="宋体" w:eastAsia="宋体" w:cs="宋体"/>
                <w:color w:val="auto"/>
                <w:sz w:val="24"/>
                <w:szCs w:val="24"/>
              </w:rPr>
            </w:pPr>
            <w:r>
              <w:rPr>
                <w:rFonts w:ascii="宋体" w:hAnsi="宋体" w:eastAsia="宋体" w:cs="宋体"/>
                <w:color w:val="auto"/>
                <w:spacing w:val="-2"/>
                <w:sz w:val="24"/>
                <w:szCs w:val="24"/>
                <w14:textOutline w14:w="4358" w14:cap="sq" w14:cmpd="sng">
                  <w14:solidFill>
                    <w14:srgbClr w14:val="000000"/>
                  </w14:solidFill>
                  <w14:prstDash w14:val="solid"/>
                  <w14:bevel/>
                </w14:textOutline>
              </w:rPr>
              <w:t>开标地点：</w:t>
            </w:r>
            <w:r>
              <w:rPr>
                <w:rFonts w:hint="eastAsia" w:ascii="宋体" w:hAnsi="宋体" w:eastAsia="宋体" w:cs="宋体"/>
                <w:color w:val="auto"/>
                <w:spacing w:val="-2"/>
                <w:sz w:val="24"/>
                <w:szCs w:val="24"/>
                <w:lang w:eastAsia="zh-CN"/>
                <w14:textOutline w14:w="4358" w14:cap="sq" w14:cmpd="sng">
                  <w14:solidFill>
                    <w14:srgbClr w14:val="000000"/>
                  </w14:solidFill>
                  <w14:prstDash w14:val="solid"/>
                  <w14:bevel/>
                </w14:textOutline>
              </w:rPr>
              <w:t>供应商</w:t>
            </w:r>
            <w:r>
              <w:rPr>
                <w:rFonts w:ascii="宋体" w:hAnsi="宋体" w:eastAsia="宋体" w:cs="宋体"/>
                <w:color w:val="auto"/>
                <w:spacing w:val="-2"/>
                <w:sz w:val="24"/>
                <w:szCs w:val="24"/>
                <w14:textOutline w14:w="4358" w14:cap="sq" w14:cmpd="sng">
                  <w14:solidFill>
                    <w14:srgbClr w14:val="000000"/>
                  </w14:solidFill>
                  <w14:prstDash w14:val="solid"/>
                  <w14:bevel/>
                </w14:textOutline>
              </w:rPr>
              <w:t>登录政采云平台</w:t>
            </w:r>
            <w:r>
              <w:rPr>
                <w:rFonts w:ascii="宋体" w:hAnsi="宋体" w:eastAsia="宋体" w:cs="宋体"/>
                <w:color w:val="auto"/>
                <w:spacing w:val="-41"/>
                <w:sz w:val="24"/>
                <w:szCs w:val="24"/>
              </w:rPr>
              <w:t xml:space="preserve"> </w:t>
            </w:r>
            <w:r>
              <w:rPr>
                <w:rFonts w:ascii="宋体" w:hAnsi="宋体" w:eastAsia="宋体" w:cs="宋体"/>
                <w:color w:val="auto"/>
                <w:spacing w:val="-2"/>
                <w:sz w:val="24"/>
                <w:szCs w:val="24"/>
                <w14:textOutline w14:w="4358" w14:cap="sq" w14:cmpd="sng">
                  <w14:solidFill>
                    <w14:srgbClr w14:val="000000"/>
                  </w14:solidFill>
                  <w14:prstDash w14:val="solid"/>
                  <w14:bevel/>
                </w14:textOutline>
              </w:rPr>
              <w:t>https://www.zcygov.cn/，</w:t>
            </w:r>
            <w:r>
              <w:rPr>
                <w:rFonts w:ascii="宋体" w:hAnsi="宋体" w:eastAsia="宋体" w:cs="宋体"/>
                <w:color w:val="auto"/>
                <w:sz w:val="24"/>
                <w:szCs w:val="24"/>
              </w:rPr>
              <w:t xml:space="preserve">  </w:t>
            </w:r>
            <w:r>
              <w:rPr>
                <w:rFonts w:ascii="宋体" w:hAnsi="宋体" w:eastAsia="宋体" w:cs="宋体"/>
                <w:color w:val="auto"/>
                <w:spacing w:val="-5"/>
                <w:sz w:val="24"/>
                <w:szCs w:val="24"/>
                <w14:textOutline w14:w="4358" w14:cap="sq" w14:cmpd="sng">
                  <w14:solidFill>
                    <w14:srgbClr w14:val="000000"/>
                  </w14:solidFill>
                  <w14:prstDash w14:val="solid"/>
                  <w14:bevel/>
                </w14:textOutline>
              </w:rPr>
              <w:t>进入“项目采购-开标评标-右边选择对应项目点击“进入项</w:t>
            </w:r>
            <w:r>
              <w:rPr>
                <w:rFonts w:ascii="宋体" w:hAnsi="宋体" w:eastAsia="宋体" w:cs="宋体"/>
                <w:color w:val="auto"/>
                <w:spacing w:val="-6"/>
                <w:sz w:val="24"/>
                <w:szCs w:val="24"/>
                <w14:textOutline w14:w="4358" w14:cap="sq" w14:cmpd="sng">
                  <w14:solidFill>
                    <w14:srgbClr w14:val="000000"/>
                  </w14:solidFill>
                  <w14:prstDash w14:val="solid"/>
                  <w14:bevel/>
                </w14:textOutline>
              </w:rPr>
              <w:t>目</w:t>
            </w:r>
            <w:r>
              <w:rPr>
                <w:rFonts w:ascii="宋体" w:hAnsi="宋体" w:eastAsia="宋体" w:cs="宋体"/>
                <w:color w:val="auto"/>
                <w:spacing w:val="-89"/>
                <w:sz w:val="24"/>
                <w:szCs w:val="24"/>
              </w:rPr>
              <w:t xml:space="preserve"> </w:t>
            </w:r>
            <w:r>
              <w:rPr>
                <w:rFonts w:ascii="宋体" w:hAnsi="宋体" w:eastAsia="宋体" w:cs="宋体"/>
                <w:color w:val="auto"/>
                <w:spacing w:val="-6"/>
                <w:sz w:val="24"/>
                <w:szCs w:val="24"/>
                <w14:textOutline w14:w="4358" w14:cap="sq" w14:cmpd="sng">
                  <w14:solidFill>
                    <w14:srgbClr w14:val="000000"/>
                  </w14:solidFill>
                  <w14:prstDash w14:val="solid"/>
                  <w14:bevel/>
                </w14:textOutline>
              </w:rPr>
              <w:t>”</w:t>
            </w:r>
            <w:r>
              <w:rPr>
                <w:rFonts w:ascii="宋体" w:hAnsi="宋体" w:eastAsia="宋体" w:cs="宋体"/>
                <w:color w:val="auto"/>
                <w:spacing w:val="-4"/>
                <w:sz w:val="24"/>
                <w:szCs w:val="24"/>
                <w14:textOutline w14:w="4358" w14:cap="sq" w14:cmpd="sng">
                  <w14:solidFill>
                    <w14:srgbClr w14:val="000000"/>
                  </w14:solidFill>
                  <w14:prstDash w14:val="solid"/>
                  <w14:bevel/>
                </w14:textOutline>
              </w:rPr>
              <w:t>进入开标大厅。</w:t>
            </w:r>
          </w:p>
        </w:tc>
      </w:tr>
      <w:tr w14:paraId="2121B9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742" w:type="dxa"/>
            <w:tcBorders>
              <w:left w:val="single" w:color="000000" w:sz="4" w:space="0"/>
            </w:tcBorders>
            <w:vAlign w:val="center"/>
          </w:tcPr>
          <w:p w14:paraId="34853625">
            <w:pPr>
              <w:spacing w:before="78" w:line="183" w:lineRule="auto"/>
              <w:jc w:val="center"/>
              <w:rPr>
                <w:rFonts w:hint="eastAsia" w:ascii="宋体" w:hAnsi="宋体" w:eastAsia="宋体" w:cs="宋体"/>
                <w:color w:val="auto"/>
                <w:sz w:val="24"/>
                <w:szCs w:val="24"/>
                <w:lang w:val="en-US" w:eastAsia="zh-CN"/>
              </w:rPr>
            </w:pPr>
            <w:r>
              <w:rPr>
                <w:rFonts w:ascii="宋体" w:hAnsi="宋体" w:eastAsia="宋体" w:cs="宋体"/>
                <w:color w:val="auto"/>
                <w:spacing w:val="-7"/>
                <w:sz w:val="24"/>
                <w:szCs w:val="24"/>
              </w:rPr>
              <w:t>2</w:t>
            </w:r>
            <w:r>
              <w:rPr>
                <w:rFonts w:hint="eastAsia" w:ascii="宋体" w:hAnsi="宋体" w:eastAsia="宋体" w:cs="宋体"/>
                <w:color w:val="auto"/>
                <w:spacing w:val="-7"/>
                <w:sz w:val="24"/>
                <w:szCs w:val="24"/>
                <w:lang w:val="en-US" w:eastAsia="zh-CN"/>
              </w:rPr>
              <w:t>7</w:t>
            </w:r>
          </w:p>
        </w:tc>
        <w:tc>
          <w:tcPr>
            <w:tcW w:w="1870" w:type="dxa"/>
            <w:vAlign w:val="center"/>
          </w:tcPr>
          <w:p w14:paraId="5179B2F7">
            <w:pPr>
              <w:spacing w:before="78" w:line="220" w:lineRule="auto"/>
              <w:jc w:val="center"/>
              <w:rPr>
                <w:rFonts w:ascii="宋体" w:hAnsi="宋体" w:eastAsia="宋体" w:cs="宋体"/>
                <w:color w:val="auto"/>
                <w:sz w:val="24"/>
                <w:szCs w:val="24"/>
              </w:rPr>
            </w:pPr>
            <w:r>
              <w:rPr>
                <w:rFonts w:ascii="宋体" w:hAnsi="宋体" w:eastAsia="宋体" w:cs="宋体"/>
                <w:color w:val="auto"/>
                <w:spacing w:val="-2"/>
                <w:sz w:val="24"/>
                <w:szCs w:val="24"/>
                <w14:textOutline w14:w="4358" w14:cap="sq" w14:cmpd="sng">
                  <w14:solidFill>
                    <w14:srgbClr w14:val="000000"/>
                  </w14:solidFill>
                  <w14:prstDash w14:val="solid"/>
                  <w14:bevel/>
                </w14:textOutline>
              </w:rPr>
              <w:t>履约保证金</w:t>
            </w:r>
          </w:p>
        </w:tc>
        <w:tc>
          <w:tcPr>
            <w:tcW w:w="7103" w:type="dxa"/>
            <w:tcBorders>
              <w:right w:val="single" w:color="000000" w:sz="4" w:space="0"/>
            </w:tcBorders>
            <w:vAlign w:val="center"/>
          </w:tcPr>
          <w:p w14:paraId="536B9B69">
            <w:pPr>
              <w:spacing w:before="71" w:line="257" w:lineRule="auto"/>
              <w:ind w:left="114" w:right="133" w:firstLine="22"/>
              <w:jc w:val="both"/>
              <w:rPr>
                <w:rFonts w:hint="eastAsia" w:ascii="宋体" w:hAnsi="宋体" w:eastAsia="宋体" w:cs="宋体"/>
                <w:color w:val="auto"/>
                <w:sz w:val="24"/>
                <w:szCs w:val="24"/>
                <w:lang w:eastAsia="zh-CN"/>
              </w:rPr>
            </w:pPr>
            <w:r>
              <w:rPr>
                <w:rFonts w:hint="eastAsia" w:ascii="MS Gothic" w:hAnsi="MS Gothic" w:eastAsia="宋体" w:cs="MS Gothic"/>
                <w:color w:val="auto"/>
                <w:spacing w:val="-9"/>
                <w:sz w:val="24"/>
                <w:szCs w:val="24"/>
                <w:lang w:eastAsia="zh-CN"/>
              </w:rPr>
              <w:t>甲乙双方自行约定</w:t>
            </w:r>
          </w:p>
        </w:tc>
      </w:tr>
      <w:tr w14:paraId="791351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8" w:hRule="atLeast"/>
        </w:trPr>
        <w:tc>
          <w:tcPr>
            <w:tcW w:w="742" w:type="dxa"/>
            <w:tcBorders>
              <w:left w:val="single" w:color="000000" w:sz="4" w:space="0"/>
              <w:bottom w:val="single" w:color="000000" w:sz="4" w:space="0"/>
            </w:tcBorders>
            <w:vAlign w:val="top"/>
          </w:tcPr>
          <w:p w14:paraId="1FA5A794">
            <w:pPr>
              <w:spacing w:line="253" w:lineRule="auto"/>
              <w:rPr>
                <w:rFonts w:ascii="Arial"/>
                <w:color w:val="auto"/>
                <w:sz w:val="21"/>
              </w:rPr>
            </w:pPr>
          </w:p>
          <w:p w14:paraId="3ECF754D">
            <w:pPr>
              <w:spacing w:line="253" w:lineRule="auto"/>
              <w:rPr>
                <w:rFonts w:ascii="Arial"/>
                <w:color w:val="auto"/>
                <w:sz w:val="21"/>
              </w:rPr>
            </w:pPr>
          </w:p>
          <w:p w14:paraId="547617AB">
            <w:pPr>
              <w:spacing w:line="253" w:lineRule="auto"/>
              <w:rPr>
                <w:rFonts w:ascii="Arial"/>
                <w:color w:val="auto"/>
                <w:sz w:val="21"/>
              </w:rPr>
            </w:pPr>
          </w:p>
          <w:p w14:paraId="52DF2DCC">
            <w:pPr>
              <w:spacing w:line="253" w:lineRule="auto"/>
              <w:rPr>
                <w:rFonts w:ascii="Arial"/>
                <w:color w:val="auto"/>
                <w:sz w:val="21"/>
              </w:rPr>
            </w:pPr>
          </w:p>
          <w:p w14:paraId="54EABA9D">
            <w:pPr>
              <w:spacing w:line="253" w:lineRule="auto"/>
              <w:rPr>
                <w:rFonts w:ascii="Arial"/>
                <w:color w:val="auto"/>
                <w:sz w:val="21"/>
              </w:rPr>
            </w:pPr>
          </w:p>
          <w:p w14:paraId="4B8BF0CF">
            <w:pPr>
              <w:spacing w:line="253" w:lineRule="auto"/>
              <w:rPr>
                <w:rFonts w:ascii="Arial"/>
                <w:color w:val="auto"/>
                <w:sz w:val="21"/>
              </w:rPr>
            </w:pPr>
          </w:p>
          <w:p w14:paraId="67EE54D9">
            <w:pPr>
              <w:spacing w:line="253" w:lineRule="auto"/>
              <w:rPr>
                <w:rFonts w:ascii="Arial"/>
                <w:color w:val="auto"/>
                <w:sz w:val="21"/>
              </w:rPr>
            </w:pPr>
          </w:p>
          <w:p w14:paraId="4C3DF499">
            <w:pPr>
              <w:spacing w:line="253" w:lineRule="auto"/>
              <w:rPr>
                <w:rFonts w:ascii="Arial"/>
                <w:color w:val="auto"/>
                <w:sz w:val="21"/>
              </w:rPr>
            </w:pPr>
          </w:p>
          <w:p w14:paraId="5FD0D471">
            <w:pPr>
              <w:spacing w:line="253" w:lineRule="auto"/>
              <w:rPr>
                <w:rFonts w:ascii="Arial"/>
                <w:color w:val="auto"/>
                <w:sz w:val="21"/>
              </w:rPr>
            </w:pPr>
          </w:p>
          <w:p w14:paraId="7ACE78FD">
            <w:pPr>
              <w:spacing w:line="253" w:lineRule="auto"/>
              <w:rPr>
                <w:rFonts w:ascii="Arial"/>
                <w:color w:val="auto"/>
                <w:sz w:val="21"/>
              </w:rPr>
            </w:pPr>
          </w:p>
          <w:p w14:paraId="6C938D19">
            <w:pPr>
              <w:spacing w:line="254" w:lineRule="auto"/>
              <w:rPr>
                <w:rFonts w:ascii="Arial"/>
                <w:color w:val="auto"/>
                <w:sz w:val="21"/>
              </w:rPr>
            </w:pPr>
          </w:p>
          <w:p w14:paraId="5A20B06E">
            <w:pPr>
              <w:spacing w:before="78" w:line="183" w:lineRule="auto"/>
              <w:ind w:left="263"/>
              <w:rPr>
                <w:rFonts w:hint="eastAsia" w:ascii="宋体" w:hAnsi="宋体" w:eastAsia="宋体" w:cs="宋体"/>
                <w:color w:val="auto"/>
                <w:sz w:val="24"/>
                <w:szCs w:val="24"/>
                <w:lang w:val="en-US" w:eastAsia="zh-CN"/>
              </w:rPr>
            </w:pPr>
            <w:r>
              <w:rPr>
                <w:rFonts w:ascii="宋体" w:hAnsi="宋体" w:eastAsia="宋体" w:cs="宋体"/>
                <w:color w:val="auto"/>
                <w:spacing w:val="-7"/>
                <w:sz w:val="24"/>
                <w:szCs w:val="24"/>
              </w:rPr>
              <w:t>2</w:t>
            </w:r>
            <w:r>
              <w:rPr>
                <w:rFonts w:hint="eastAsia" w:ascii="宋体" w:hAnsi="宋体" w:eastAsia="宋体" w:cs="宋体"/>
                <w:color w:val="auto"/>
                <w:spacing w:val="-7"/>
                <w:sz w:val="24"/>
                <w:szCs w:val="24"/>
                <w:lang w:val="en-US" w:eastAsia="zh-CN"/>
              </w:rPr>
              <w:t>8</w:t>
            </w:r>
          </w:p>
        </w:tc>
        <w:tc>
          <w:tcPr>
            <w:tcW w:w="1870" w:type="dxa"/>
            <w:tcBorders>
              <w:bottom w:val="single" w:color="000000" w:sz="4" w:space="0"/>
            </w:tcBorders>
            <w:vAlign w:val="center"/>
          </w:tcPr>
          <w:p w14:paraId="49610264">
            <w:pPr>
              <w:spacing w:line="255" w:lineRule="auto"/>
              <w:jc w:val="center"/>
              <w:rPr>
                <w:rFonts w:ascii="Arial"/>
                <w:color w:val="auto"/>
                <w:sz w:val="21"/>
              </w:rPr>
            </w:pPr>
          </w:p>
          <w:p w14:paraId="40D733F6">
            <w:pPr>
              <w:spacing w:line="255" w:lineRule="auto"/>
              <w:jc w:val="center"/>
              <w:rPr>
                <w:rFonts w:ascii="Arial"/>
                <w:color w:val="auto"/>
                <w:sz w:val="21"/>
              </w:rPr>
            </w:pPr>
          </w:p>
          <w:p w14:paraId="02735796">
            <w:pPr>
              <w:spacing w:line="255" w:lineRule="auto"/>
              <w:jc w:val="center"/>
              <w:rPr>
                <w:rFonts w:ascii="Arial"/>
                <w:color w:val="auto"/>
                <w:sz w:val="21"/>
              </w:rPr>
            </w:pPr>
          </w:p>
          <w:p w14:paraId="3A80C35E">
            <w:pPr>
              <w:spacing w:line="255" w:lineRule="auto"/>
              <w:jc w:val="center"/>
              <w:rPr>
                <w:rFonts w:ascii="Arial"/>
                <w:color w:val="auto"/>
                <w:sz w:val="21"/>
              </w:rPr>
            </w:pPr>
          </w:p>
          <w:p w14:paraId="39C0FBF0">
            <w:pPr>
              <w:spacing w:line="255" w:lineRule="auto"/>
              <w:jc w:val="center"/>
              <w:rPr>
                <w:rFonts w:ascii="Arial"/>
                <w:color w:val="auto"/>
                <w:sz w:val="21"/>
              </w:rPr>
            </w:pPr>
          </w:p>
          <w:p w14:paraId="5D798F4E">
            <w:pPr>
              <w:spacing w:line="255" w:lineRule="auto"/>
              <w:jc w:val="center"/>
              <w:rPr>
                <w:rFonts w:ascii="Arial"/>
                <w:color w:val="auto"/>
                <w:sz w:val="21"/>
              </w:rPr>
            </w:pPr>
          </w:p>
          <w:p w14:paraId="2899F54C">
            <w:pPr>
              <w:spacing w:line="255" w:lineRule="auto"/>
              <w:jc w:val="center"/>
              <w:rPr>
                <w:rFonts w:ascii="Arial"/>
                <w:color w:val="auto"/>
                <w:sz w:val="21"/>
              </w:rPr>
            </w:pPr>
          </w:p>
          <w:p w14:paraId="747F26DE">
            <w:pPr>
              <w:spacing w:line="255" w:lineRule="auto"/>
              <w:jc w:val="center"/>
              <w:rPr>
                <w:rFonts w:ascii="Arial"/>
                <w:color w:val="auto"/>
                <w:sz w:val="21"/>
              </w:rPr>
            </w:pPr>
          </w:p>
          <w:p w14:paraId="3AC127EC">
            <w:pPr>
              <w:spacing w:line="255" w:lineRule="auto"/>
              <w:jc w:val="center"/>
              <w:rPr>
                <w:rFonts w:ascii="Arial"/>
                <w:color w:val="auto"/>
                <w:sz w:val="21"/>
              </w:rPr>
            </w:pPr>
          </w:p>
          <w:p w14:paraId="54ADCF7B">
            <w:pPr>
              <w:spacing w:line="255" w:lineRule="auto"/>
              <w:jc w:val="center"/>
              <w:rPr>
                <w:rFonts w:ascii="Arial"/>
                <w:color w:val="auto"/>
                <w:sz w:val="21"/>
              </w:rPr>
            </w:pPr>
          </w:p>
          <w:p w14:paraId="7FD23321">
            <w:pPr>
              <w:spacing w:line="256" w:lineRule="auto"/>
              <w:jc w:val="center"/>
              <w:rPr>
                <w:rFonts w:ascii="Arial"/>
                <w:color w:val="auto"/>
                <w:sz w:val="21"/>
              </w:rPr>
            </w:pPr>
          </w:p>
          <w:p w14:paraId="0FCFC871">
            <w:pPr>
              <w:spacing w:before="78" w:line="220" w:lineRule="auto"/>
              <w:jc w:val="center"/>
              <w:rPr>
                <w:rFonts w:ascii="宋体" w:hAnsi="宋体" w:eastAsia="宋体" w:cs="宋体"/>
                <w:color w:val="auto"/>
                <w:sz w:val="24"/>
                <w:szCs w:val="24"/>
              </w:rPr>
            </w:pPr>
            <w:r>
              <w:rPr>
                <w:rFonts w:ascii="宋体" w:hAnsi="宋体" w:eastAsia="宋体" w:cs="宋体"/>
                <w:color w:val="auto"/>
                <w:spacing w:val="-2"/>
                <w:sz w:val="24"/>
                <w:szCs w:val="24"/>
                <w14:textOutline w14:w="4358" w14:cap="sq" w14:cmpd="sng">
                  <w14:solidFill>
                    <w14:srgbClr w14:val="000000"/>
                  </w14:solidFill>
                  <w14:prstDash w14:val="solid"/>
                  <w14:bevel/>
                </w14:textOutline>
              </w:rPr>
              <w:t>开标程序</w:t>
            </w:r>
          </w:p>
        </w:tc>
        <w:tc>
          <w:tcPr>
            <w:tcW w:w="7103" w:type="dxa"/>
            <w:tcBorders>
              <w:bottom w:val="single" w:color="000000" w:sz="4" w:space="0"/>
              <w:right w:val="single" w:color="000000" w:sz="4" w:space="0"/>
            </w:tcBorders>
            <w:vAlign w:val="top"/>
          </w:tcPr>
          <w:p w14:paraId="5FB66763">
            <w:pPr>
              <w:spacing w:before="37" w:line="280" w:lineRule="auto"/>
              <w:ind w:left="111" w:right="118" w:firstLine="16"/>
              <w:jc w:val="both"/>
              <w:rPr>
                <w:rFonts w:ascii="宋体" w:hAnsi="宋体" w:eastAsia="宋体" w:cs="宋体"/>
                <w:color w:val="auto"/>
                <w:sz w:val="22"/>
                <w:szCs w:val="22"/>
              </w:rPr>
            </w:pPr>
            <w:r>
              <w:rPr>
                <w:rFonts w:ascii="宋体" w:hAnsi="宋体" w:eastAsia="宋体" w:cs="宋体"/>
                <w:color w:val="auto"/>
                <w:spacing w:val="-1"/>
                <w:sz w:val="22"/>
                <w:szCs w:val="22"/>
                <w14:textOutline w14:w="4013" w14:cap="sq" w14:cmpd="sng">
                  <w14:solidFill>
                    <w14:srgbClr w14:val="000000"/>
                  </w14:solidFill>
                  <w14:prstDash w14:val="solid"/>
                  <w14:bevel/>
                </w14:textOutline>
              </w:rPr>
              <w:t>1.在</w:t>
            </w:r>
            <w:r>
              <w:rPr>
                <w:rFonts w:hint="eastAsia" w:ascii="宋体" w:hAnsi="宋体" w:eastAsia="宋体" w:cs="宋体"/>
                <w:color w:val="auto"/>
                <w:spacing w:val="-1"/>
                <w:sz w:val="22"/>
                <w:szCs w:val="22"/>
                <w:lang w:eastAsia="zh-CN"/>
                <w14:textOutline w14:w="4013" w14:cap="sq" w14:cmpd="sng">
                  <w14:solidFill>
                    <w14:srgbClr w14:val="000000"/>
                  </w14:solidFill>
                  <w14:prstDash w14:val="solid"/>
                  <w14:bevel/>
                </w14:textOutline>
              </w:rPr>
              <w:t>磋商文件</w:t>
            </w:r>
            <w:r>
              <w:rPr>
                <w:rFonts w:ascii="宋体" w:hAnsi="宋体" w:eastAsia="宋体" w:cs="宋体"/>
                <w:color w:val="auto"/>
                <w:spacing w:val="-1"/>
                <w:sz w:val="22"/>
                <w:szCs w:val="22"/>
                <w14:textOutline w14:w="4013" w14:cap="sq" w14:cmpd="sng">
                  <w14:solidFill>
                    <w14:srgbClr w14:val="000000"/>
                  </w14:solidFill>
                  <w14:prstDash w14:val="solid"/>
                  <w14:bevel/>
                </w14:textOutline>
              </w:rPr>
              <w:t>确定的响应文件提交截止时间停止接受</w:t>
            </w:r>
            <w:r>
              <w:rPr>
                <w:rFonts w:hint="eastAsia" w:ascii="宋体" w:hAnsi="宋体" w:eastAsia="宋体" w:cs="宋体"/>
                <w:color w:val="auto"/>
                <w:spacing w:val="-1"/>
                <w:sz w:val="22"/>
                <w:szCs w:val="22"/>
                <w:lang w:eastAsia="zh-CN"/>
                <w14:textOutline w14:w="4013" w14:cap="sq" w14:cmpd="sng">
                  <w14:solidFill>
                    <w14:srgbClr w14:val="000000"/>
                  </w14:solidFill>
                  <w14:prstDash w14:val="solid"/>
                  <w14:bevel/>
                </w14:textOutline>
              </w:rPr>
              <w:t>响应文件</w:t>
            </w:r>
            <w:r>
              <w:rPr>
                <w:rFonts w:ascii="宋体" w:hAnsi="宋体" w:eastAsia="宋体" w:cs="宋体"/>
                <w:color w:val="auto"/>
                <w:spacing w:val="-1"/>
                <w:sz w:val="22"/>
                <w:szCs w:val="22"/>
                <w14:textOutline w14:w="4013" w14:cap="sq" w14:cmpd="sng">
                  <w14:solidFill>
                    <w14:srgbClr w14:val="000000"/>
                  </w14:solidFill>
                  <w14:prstDash w14:val="solid"/>
                  <w14:bevel/>
                </w14:textOutline>
              </w:rPr>
              <w:t>。开</w:t>
            </w:r>
            <w:r>
              <w:rPr>
                <w:rFonts w:ascii="宋体" w:hAnsi="宋体" w:eastAsia="宋体" w:cs="宋体"/>
                <w:color w:val="auto"/>
                <w:spacing w:val="3"/>
                <w:sz w:val="22"/>
                <w:szCs w:val="22"/>
                <w14:textOutline w14:w="4013" w14:cap="sq" w14:cmpd="sng">
                  <w14:solidFill>
                    <w14:srgbClr w14:val="000000"/>
                  </w14:solidFill>
                  <w14:prstDash w14:val="solid"/>
                  <w14:bevel/>
                </w14:textOutline>
              </w:rPr>
              <w:t>标会主持人确定供应商数量是否符合开标要求（要求所有</w:t>
            </w:r>
            <w:r>
              <w:rPr>
                <w:rFonts w:ascii="宋体" w:hAnsi="宋体" w:eastAsia="宋体" w:cs="宋体"/>
                <w:color w:val="auto"/>
                <w:spacing w:val="1"/>
                <w:sz w:val="22"/>
                <w:szCs w:val="22"/>
                <w14:textOutline w14:w="4013" w14:cap="sq" w14:cmpd="sng">
                  <w14:solidFill>
                    <w14:srgbClr w14:val="000000"/>
                  </w14:solidFill>
                  <w14:prstDash w14:val="solid"/>
                  <w14:bevel/>
                </w14:textOutline>
              </w:rPr>
              <w:t>供应商提前一小时准备好开标相关资料，调试好电脑设备。</w:t>
            </w:r>
            <w:r>
              <w:rPr>
                <w:rFonts w:ascii="宋体" w:hAnsi="宋体" w:eastAsia="宋体" w:cs="宋体"/>
                <w:color w:val="auto"/>
                <w:spacing w:val="-8"/>
                <w:sz w:val="22"/>
                <w:szCs w:val="22"/>
                <w14:textOutline w14:w="4013" w14:cap="sq" w14:cmpd="sng">
                  <w14:solidFill>
                    <w14:srgbClr w14:val="000000"/>
                  </w14:solidFill>
                  <w14:prstDash w14:val="solid"/>
                  <w14:bevel/>
                </w14:textOutline>
              </w:rPr>
              <w:t>）；</w:t>
            </w:r>
          </w:p>
          <w:p w14:paraId="7C12FED0">
            <w:pPr>
              <w:spacing w:before="111" w:line="262" w:lineRule="auto"/>
              <w:ind w:left="114" w:right="121"/>
              <w:rPr>
                <w:rFonts w:ascii="宋体" w:hAnsi="宋体" w:eastAsia="宋体" w:cs="宋体"/>
                <w:color w:val="auto"/>
                <w:sz w:val="22"/>
                <w:szCs w:val="22"/>
              </w:rPr>
            </w:pPr>
            <w:r>
              <w:rPr>
                <w:rFonts w:ascii="宋体" w:hAnsi="宋体" w:eastAsia="宋体" w:cs="宋体"/>
                <w:color w:val="auto"/>
                <w:spacing w:val="2"/>
                <w:sz w:val="22"/>
                <w:szCs w:val="22"/>
                <w14:textOutline w14:w="4013" w14:cap="sq" w14:cmpd="sng">
                  <w14:solidFill>
                    <w14:srgbClr w14:val="000000"/>
                  </w14:solidFill>
                  <w14:prstDash w14:val="solid"/>
                  <w14:bevel/>
                </w14:textOutline>
              </w:rPr>
              <w:t>2.本项目采用“政采云不见面</w:t>
            </w:r>
            <w:r>
              <w:rPr>
                <w:rFonts w:ascii="宋体" w:hAnsi="宋体" w:eastAsia="宋体" w:cs="宋体"/>
                <w:color w:val="auto"/>
                <w:spacing w:val="-73"/>
                <w:sz w:val="22"/>
                <w:szCs w:val="22"/>
              </w:rPr>
              <w:t xml:space="preserve"> </w:t>
            </w:r>
            <w:r>
              <w:rPr>
                <w:rFonts w:ascii="宋体" w:hAnsi="宋体" w:eastAsia="宋体" w:cs="宋体"/>
                <w:color w:val="auto"/>
                <w:spacing w:val="2"/>
                <w:sz w:val="22"/>
                <w:szCs w:val="22"/>
                <w14:textOutline w14:w="4013" w14:cap="sq" w14:cmpd="sng">
                  <w14:solidFill>
                    <w14:srgbClr w14:val="000000"/>
                  </w14:solidFill>
                  <w14:prstDash w14:val="solid"/>
                  <w14:bevel/>
                </w14:textOutline>
              </w:rPr>
              <w:t>”开标，</w:t>
            </w:r>
            <w:r>
              <w:rPr>
                <w:rFonts w:ascii="宋体" w:hAnsi="宋体" w:eastAsia="宋体" w:cs="宋体"/>
                <w:color w:val="auto"/>
                <w:spacing w:val="2"/>
                <w:sz w:val="22"/>
                <w:szCs w:val="22"/>
              </w:rPr>
              <w:t xml:space="preserve"> </w:t>
            </w:r>
            <w:r>
              <w:rPr>
                <w:rFonts w:ascii="宋体" w:hAnsi="宋体" w:eastAsia="宋体" w:cs="宋体"/>
                <w:color w:val="auto"/>
                <w:spacing w:val="2"/>
                <w:sz w:val="22"/>
                <w:szCs w:val="22"/>
                <w14:textOutline w14:w="4013" w14:cap="sq" w14:cmpd="sng">
                  <w14:solidFill>
                    <w14:srgbClr w14:val="000000"/>
                  </w14:solidFill>
                  <w14:prstDash w14:val="solid"/>
                  <w14:bevel/>
                </w14:textOutline>
              </w:rPr>
              <w:t>供应商须在</w:t>
            </w:r>
            <w:r>
              <w:rPr>
                <w:rFonts w:hint="eastAsia" w:ascii="宋体" w:hAnsi="宋体" w:eastAsia="宋体" w:cs="宋体"/>
                <w:color w:val="auto"/>
                <w:spacing w:val="2"/>
                <w:sz w:val="22"/>
                <w:szCs w:val="22"/>
                <w:lang w:eastAsia="zh-CN"/>
                <w14:textOutline w14:w="4013" w14:cap="sq" w14:cmpd="sng">
                  <w14:solidFill>
                    <w14:srgbClr w14:val="000000"/>
                  </w14:solidFill>
                  <w14:prstDash w14:val="solid"/>
                  <w14:bevel/>
                </w14:textOutline>
              </w:rPr>
              <w:t>响应</w:t>
            </w:r>
            <w:r>
              <w:rPr>
                <w:rFonts w:ascii="宋体" w:hAnsi="宋体" w:eastAsia="宋体" w:cs="宋体"/>
                <w:color w:val="auto"/>
                <w:spacing w:val="2"/>
                <w:sz w:val="22"/>
                <w:szCs w:val="22"/>
                <w14:textOutline w14:w="4013" w14:cap="sq" w14:cmpd="sng">
                  <w14:solidFill>
                    <w14:srgbClr w14:val="000000"/>
                  </w14:solidFill>
                  <w14:prstDash w14:val="solid"/>
                  <w14:bevel/>
                </w14:textOutline>
              </w:rPr>
              <w:t>截止时间</w:t>
            </w:r>
            <w:r>
              <w:rPr>
                <w:rFonts w:ascii="宋体" w:hAnsi="宋体" w:eastAsia="宋体" w:cs="宋体"/>
                <w:color w:val="auto"/>
                <w:sz w:val="22"/>
                <w:szCs w:val="22"/>
              </w:rPr>
              <w:t xml:space="preserve"> </w:t>
            </w:r>
            <w:r>
              <w:rPr>
                <w:rFonts w:ascii="宋体" w:hAnsi="宋体" w:eastAsia="宋体" w:cs="宋体"/>
                <w:color w:val="auto"/>
                <w:sz w:val="22"/>
                <w:szCs w:val="22"/>
                <w14:textOutline w14:w="4013" w14:cap="sq" w14:cmpd="sng">
                  <w14:solidFill>
                    <w14:srgbClr w14:val="000000"/>
                  </w14:solidFill>
                  <w14:prstDash w14:val="solid"/>
                  <w14:bevel/>
                </w14:textOutline>
              </w:rPr>
              <w:t>前登录政采云平台</w:t>
            </w:r>
            <w:r>
              <w:rPr>
                <w:color w:val="auto"/>
              </w:rPr>
              <w:fldChar w:fldCharType="begin"/>
            </w:r>
            <w:r>
              <w:rPr>
                <w:color w:val="auto"/>
              </w:rPr>
              <w:instrText xml:space="preserve"> HYPERLINK "http://www.zcygov.cn/" </w:instrText>
            </w:r>
            <w:r>
              <w:rPr>
                <w:color w:val="auto"/>
              </w:rPr>
              <w:fldChar w:fldCharType="separate"/>
            </w:r>
            <w:r>
              <w:rPr>
                <w:rFonts w:ascii="宋体" w:hAnsi="宋体" w:eastAsia="宋体" w:cs="宋体"/>
                <w:color w:val="auto"/>
                <w:sz w:val="22"/>
                <w:szCs w:val="22"/>
                <w14:textOutline w14:w="4013" w14:cap="sq" w14:cmpd="sng">
                  <w14:solidFill>
                    <w14:srgbClr w14:val="000000"/>
                  </w14:solidFill>
                  <w14:prstDash w14:val="solid"/>
                  <w14:bevel/>
                </w14:textOutline>
              </w:rPr>
              <w:t>http://www.zcygov.cn/</w:t>
            </w:r>
            <w:r>
              <w:rPr>
                <w:rFonts w:ascii="宋体" w:hAnsi="宋体" w:eastAsia="宋体" w:cs="宋体"/>
                <w:color w:val="auto"/>
                <w:sz w:val="22"/>
                <w:szCs w:val="22"/>
                <w14:textOutline w14:w="4013" w14:cap="sq" w14:cmpd="sng">
                  <w14:solidFill>
                    <w14:srgbClr w14:val="000000"/>
                  </w14:solidFill>
                  <w14:prstDash w14:val="solid"/>
                  <w14:bevel/>
                </w14:textOutline>
              </w:rPr>
              <w:fldChar w:fldCharType="end"/>
            </w:r>
            <w:r>
              <w:rPr>
                <w:rFonts w:ascii="宋体" w:hAnsi="宋体" w:eastAsia="宋体" w:cs="宋体"/>
                <w:color w:val="auto"/>
                <w:sz w:val="22"/>
                <w:szCs w:val="22"/>
                <w14:textOutline w14:w="4013" w14:cap="sq" w14:cmpd="sng">
                  <w14:solidFill>
                    <w14:srgbClr w14:val="000000"/>
                  </w14:solidFill>
                  <w14:prstDash w14:val="solid"/>
                  <w14:bevel/>
                </w14:textOutline>
              </w:rPr>
              <w:t>进行签到。</w:t>
            </w:r>
          </w:p>
          <w:p w14:paraId="55560002">
            <w:pPr>
              <w:spacing w:before="117" w:line="219" w:lineRule="auto"/>
              <w:ind w:left="116"/>
              <w:rPr>
                <w:rFonts w:ascii="宋体" w:hAnsi="宋体" w:eastAsia="宋体" w:cs="宋体"/>
                <w:color w:val="auto"/>
                <w:sz w:val="22"/>
                <w:szCs w:val="22"/>
              </w:rPr>
            </w:pPr>
            <w:r>
              <w:rPr>
                <w:rFonts w:ascii="宋体" w:hAnsi="宋体" w:eastAsia="宋体" w:cs="宋体"/>
                <w:color w:val="auto"/>
                <w:sz w:val="22"/>
                <w:szCs w:val="22"/>
                <w14:textOutline w14:w="4013" w14:cap="sq" w14:cmpd="sng">
                  <w14:solidFill>
                    <w14:srgbClr w14:val="000000"/>
                  </w14:solidFill>
                  <w14:prstDash w14:val="solid"/>
                  <w14:bevel/>
                </w14:textOutline>
              </w:rPr>
              <w:t>3.主持人宣布开标会开始，宣布开标纪律；</w:t>
            </w:r>
          </w:p>
          <w:p w14:paraId="0DEF0CCA">
            <w:pPr>
              <w:spacing w:before="109" w:line="281" w:lineRule="auto"/>
              <w:ind w:left="115" w:right="62" w:hanging="4"/>
              <w:jc w:val="both"/>
              <w:rPr>
                <w:rFonts w:ascii="宋体" w:hAnsi="宋体" w:eastAsia="宋体" w:cs="宋体"/>
                <w:color w:val="auto"/>
                <w:spacing w:val="-2"/>
                <w:sz w:val="22"/>
                <w:szCs w:val="22"/>
                <w14:textOutline w14:w="4013" w14:cap="sq" w14:cmpd="sng">
                  <w14:solidFill>
                    <w14:srgbClr w14:val="000000"/>
                  </w14:solidFill>
                  <w14:prstDash w14:val="solid"/>
                  <w14:bevel/>
                </w14:textOutline>
              </w:rPr>
            </w:pPr>
            <w:r>
              <w:rPr>
                <w:rFonts w:ascii="宋体" w:hAnsi="宋体" w:eastAsia="宋体" w:cs="宋体"/>
                <w:color w:val="auto"/>
                <w:spacing w:val="-2"/>
                <w:sz w:val="22"/>
                <w:szCs w:val="22"/>
                <w14:textOutline w14:w="4013" w14:cap="sq" w14:cmpd="sng">
                  <w14:solidFill>
                    <w14:srgbClr w14:val="000000"/>
                  </w14:solidFill>
                  <w14:prstDash w14:val="solid"/>
                  <w14:bevel/>
                </w14:textOutline>
              </w:rPr>
              <w:t>4.宣布主持人、开标人、唱标人、记录人、监督人等工作人员姓名；</w:t>
            </w:r>
          </w:p>
          <w:p w14:paraId="7E9D793B">
            <w:pPr>
              <w:spacing w:before="109" w:line="281" w:lineRule="auto"/>
              <w:ind w:left="115" w:right="62" w:hanging="4"/>
              <w:jc w:val="both"/>
              <w:rPr>
                <w:rFonts w:ascii="宋体" w:hAnsi="宋体" w:eastAsia="宋体" w:cs="宋体"/>
                <w:color w:val="auto"/>
                <w:sz w:val="22"/>
                <w:szCs w:val="22"/>
              </w:rPr>
            </w:pPr>
            <w:r>
              <w:rPr>
                <w:rFonts w:ascii="宋体" w:hAnsi="宋体" w:eastAsia="宋体" w:cs="宋体"/>
                <w:color w:val="auto"/>
                <w:spacing w:val="3"/>
                <w:sz w:val="22"/>
                <w:szCs w:val="22"/>
              </w:rPr>
              <w:t xml:space="preserve"> </w:t>
            </w:r>
            <w:r>
              <w:rPr>
                <w:rFonts w:ascii="宋体" w:hAnsi="宋体" w:eastAsia="宋体" w:cs="宋体"/>
                <w:color w:val="auto"/>
                <w:spacing w:val="3"/>
                <w:sz w:val="22"/>
                <w:szCs w:val="22"/>
                <w14:textOutline w14:w="4013" w14:cap="sq" w14:cmpd="sng">
                  <w14:solidFill>
                    <w14:srgbClr w14:val="000000"/>
                  </w14:solidFill>
                  <w14:prstDash w14:val="solid"/>
                  <w14:bevel/>
                </w14:textOutline>
              </w:rPr>
              <w:t>5.解密：法定代表人或授权委托人须全程在线准时参加开标活动进</w:t>
            </w:r>
            <w:r>
              <w:rPr>
                <w:rFonts w:ascii="宋体" w:hAnsi="宋体" w:eastAsia="宋体" w:cs="宋体"/>
                <w:color w:val="auto"/>
                <w:sz w:val="22"/>
                <w:szCs w:val="22"/>
                <w14:textOutline w14:w="4013" w14:cap="sq" w14:cmpd="sng">
                  <w14:solidFill>
                    <w14:srgbClr w14:val="000000"/>
                  </w14:solidFill>
                  <w14:prstDash w14:val="solid"/>
                  <w14:bevel/>
                </w14:textOutline>
              </w:rPr>
              <w:t>行文件解密、异议、质疑及澄清等。</w:t>
            </w:r>
          </w:p>
          <w:p w14:paraId="0B2D219A">
            <w:pPr>
              <w:spacing w:before="109" w:line="288" w:lineRule="auto"/>
              <w:ind w:left="111" w:right="118" w:firstLine="1"/>
              <w:jc w:val="both"/>
              <w:rPr>
                <w:rFonts w:ascii="宋体" w:hAnsi="宋体" w:eastAsia="宋体" w:cs="宋体"/>
                <w:color w:val="auto"/>
                <w:sz w:val="22"/>
                <w:szCs w:val="22"/>
              </w:rPr>
            </w:pPr>
            <w:r>
              <w:rPr>
                <w:rFonts w:ascii="宋体" w:hAnsi="宋体" w:eastAsia="宋体" w:cs="宋体"/>
                <w:color w:val="auto"/>
                <w:spacing w:val="-1"/>
                <w:sz w:val="22"/>
                <w:szCs w:val="22"/>
                <w14:textOutline w14:w="4013" w14:cap="sq" w14:cmpd="sng">
                  <w14:solidFill>
                    <w14:srgbClr w14:val="000000"/>
                  </w14:solidFill>
                  <w14:prstDash w14:val="solid"/>
                  <w14:bevel/>
                </w14:textOutline>
              </w:rPr>
              <w:t>6</w:t>
            </w:r>
            <w:r>
              <w:rPr>
                <w:rFonts w:ascii="宋体" w:hAnsi="宋体" w:eastAsia="宋体" w:cs="宋体"/>
                <w:color w:val="auto"/>
                <w:spacing w:val="-1"/>
                <w:sz w:val="22"/>
                <w:szCs w:val="22"/>
              </w:rPr>
              <w:t xml:space="preserve"> </w:t>
            </w:r>
            <w:r>
              <w:rPr>
                <w:rFonts w:ascii="宋体" w:hAnsi="宋体" w:eastAsia="宋体" w:cs="宋体"/>
                <w:color w:val="auto"/>
                <w:spacing w:val="-1"/>
                <w:sz w:val="22"/>
                <w:szCs w:val="22"/>
                <w14:textOutline w14:w="4013" w14:cap="sq" w14:cmpd="sng">
                  <w14:solidFill>
                    <w14:srgbClr w14:val="000000"/>
                  </w14:solidFill>
                  <w14:prstDash w14:val="solid"/>
                  <w14:bevel/>
                </w14:textOutline>
              </w:rPr>
              <w:t>.参与“政采云不见面</w:t>
            </w:r>
            <w:r>
              <w:rPr>
                <w:rFonts w:ascii="宋体" w:hAnsi="宋体" w:eastAsia="宋体" w:cs="宋体"/>
                <w:color w:val="auto"/>
                <w:spacing w:val="-81"/>
                <w:sz w:val="22"/>
                <w:szCs w:val="22"/>
              </w:rPr>
              <w:t xml:space="preserve"> </w:t>
            </w:r>
            <w:r>
              <w:rPr>
                <w:rFonts w:ascii="宋体" w:hAnsi="宋体" w:eastAsia="宋体" w:cs="宋体"/>
                <w:color w:val="auto"/>
                <w:spacing w:val="-1"/>
                <w:sz w:val="22"/>
                <w:szCs w:val="22"/>
                <w14:textOutline w14:w="4013" w14:cap="sq" w14:cmpd="sng">
                  <w14:solidFill>
                    <w14:srgbClr w14:val="000000"/>
                  </w14:solidFill>
                  <w14:prstDash w14:val="solid"/>
                  <w14:bevel/>
                </w14:textOutline>
              </w:rPr>
              <w:t>”开标的各供应商，请在</w:t>
            </w:r>
            <w:r>
              <w:rPr>
                <w:rFonts w:ascii="宋体" w:hAnsi="宋体" w:eastAsia="宋体" w:cs="宋体"/>
                <w:color w:val="auto"/>
                <w:spacing w:val="-2"/>
                <w:sz w:val="22"/>
                <w:szCs w:val="22"/>
                <w14:textOutline w14:w="4013" w14:cap="sq" w14:cmpd="sng">
                  <w14:solidFill>
                    <w14:srgbClr w14:val="000000"/>
                  </w14:solidFill>
                  <w14:prstDash w14:val="solid"/>
                  <w14:bevel/>
                </w14:textOutline>
              </w:rPr>
              <w:t>互联网网络环境较</w:t>
            </w:r>
            <w:r>
              <w:rPr>
                <w:rFonts w:ascii="宋体" w:hAnsi="宋体" w:eastAsia="宋体" w:cs="宋体"/>
                <w:color w:val="auto"/>
                <w:sz w:val="22"/>
                <w:szCs w:val="22"/>
              </w:rPr>
              <w:t xml:space="preserve"> </w:t>
            </w:r>
            <w:r>
              <w:rPr>
                <w:rFonts w:ascii="宋体" w:hAnsi="宋体" w:eastAsia="宋体" w:cs="宋体"/>
                <w:color w:val="auto"/>
                <w:spacing w:val="3"/>
                <w:sz w:val="22"/>
                <w:szCs w:val="22"/>
                <w14:textOutline w14:w="4013" w14:cap="sq" w14:cmpd="sng">
                  <w14:solidFill>
                    <w14:srgbClr w14:val="000000"/>
                  </w14:solidFill>
                  <w14:prstDash w14:val="solid"/>
                  <w14:bevel/>
                </w14:textOutline>
              </w:rPr>
              <w:t>好的电脑端登录政采云不见面开标大厅参与开标；不要在电</w:t>
            </w:r>
            <w:r>
              <w:rPr>
                <w:rFonts w:hint="eastAsia" w:ascii="宋体" w:hAnsi="宋体" w:eastAsia="宋体" w:cs="宋体"/>
                <w:color w:val="auto"/>
                <w:spacing w:val="3"/>
                <w:sz w:val="22"/>
                <w:szCs w:val="22"/>
                <w:lang w:eastAsia="zh-CN"/>
                <w14:textOutline w14:w="4013" w14:cap="sq" w14:cmpd="sng">
                  <w14:solidFill>
                    <w14:srgbClr w14:val="000000"/>
                  </w14:solidFill>
                  <w14:prstDash w14:val="solid"/>
                  <w14:bevel/>
                </w14:textOutline>
              </w:rPr>
              <w:t>脑上</w:t>
            </w:r>
            <w:r>
              <w:rPr>
                <w:rFonts w:ascii="宋体" w:hAnsi="宋体" w:eastAsia="宋体" w:cs="宋体"/>
                <w:color w:val="auto"/>
                <w:spacing w:val="3"/>
                <w:sz w:val="22"/>
                <w:szCs w:val="22"/>
                <w14:textOutline w14:w="4013" w14:cap="sq" w14:cmpd="sng">
                  <w14:solidFill>
                    <w14:srgbClr w14:val="000000"/>
                  </w14:solidFill>
                  <w14:prstDash w14:val="solid"/>
                  <w14:bevel/>
                </w14:textOutline>
              </w:rPr>
              <w:t>进行下载、安装等工作，认真耐心等待指令并及时操作，并保持手机畅通；因供应商网络环境或硬件配备不达标等原因，影响开标的，造成的后果由供应商自行承担。</w:t>
            </w:r>
          </w:p>
          <w:p w14:paraId="4E7AB8CC">
            <w:pPr>
              <w:spacing w:line="220" w:lineRule="auto"/>
              <w:ind w:left="117"/>
              <w:rPr>
                <w:rFonts w:ascii="宋体" w:hAnsi="宋体" w:eastAsia="宋体" w:cs="宋体"/>
                <w:color w:val="auto"/>
                <w:sz w:val="22"/>
                <w:szCs w:val="22"/>
              </w:rPr>
            </w:pPr>
            <w:r>
              <w:rPr>
                <w:rFonts w:ascii="宋体" w:hAnsi="宋体" w:eastAsia="宋体" w:cs="宋体"/>
                <w:color w:val="auto"/>
                <w:spacing w:val="-2"/>
                <w:sz w:val="22"/>
                <w:szCs w:val="22"/>
                <w14:textOutline w14:w="4013" w14:cap="sq" w14:cmpd="sng">
                  <w14:solidFill>
                    <w14:srgbClr w14:val="000000"/>
                  </w14:solidFill>
                  <w14:prstDash w14:val="solid"/>
                  <w14:bevel/>
                </w14:textOutline>
              </w:rPr>
              <w:t>7.开标结束。</w:t>
            </w:r>
          </w:p>
          <w:p w14:paraId="63A1DA1C">
            <w:pPr>
              <w:spacing w:before="209" w:line="219" w:lineRule="auto"/>
              <w:ind w:left="112"/>
              <w:rPr>
                <w:rFonts w:ascii="宋体" w:hAnsi="宋体" w:eastAsia="宋体" w:cs="宋体"/>
                <w:color w:val="auto"/>
                <w:sz w:val="22"/>
                <w:szCs w:val="22"/>
              </w:rPr>
            </w:pPr>
            <w:r>
              <w:rPr>
                <w:rFonts w:ascii="宋体" w:hAnsi="宋体" w:eastAsia="宋体" w:cs="宋体"/>
                <w:color w:val="auto"/>
                <w:sz w:val="22"/>
                <w:szCs w:val="22"/>
                <w14:textOutline w14:w="4013" w14:cap="sq" w14:cmpd="sng">
                  <w14:solidFill>
                    <w14:srgbClr w14:val="000000"/>
                  </w14:solidFill>
                  <w14:prstDash w14:val="solid"/>
                  <w14:bevel/>
                </w14:textOutline>
              </w:rPr>
              <w:t>招标代理机构应当对上述开标过程做好记录，存档备查。</w:t>
            </w:r>
          </w:p>
        </w:tc>
      </w:tr>
      <w:tr w14:paraId="67730A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2" w:hRule="atLeast"/>
        </w:trPr>
        <w:tc>
          <w:tcPr>
            <w:tcW w:w="742" w:type="dxa"/>
            <w:tcBorders>
              <w:top w:val="single" w:color="000000" w:sz="4" w:space="0"/>
              <w:left w:val="single" w:color="000000" w:sz="4" w:space="0"/>
            </w:tcBorders>
            <w:vAlign w:val="top"/>
          </w:tcPr>
          <w:p w14:paraId="02E15702">
            <w:pPr>
              <w:spacing w:line="364" w:lineRule="auto"/>
              <w:rPr>
                <w:rFonts w:ascii="Arial"/>
                <w:color w:val="auto"/>
                <w:sz w:val="21"/>
              </w:rPr>
            </w:pPr>
          </w:p>
          <w:p w14:paraId="013983CA">
            <w:pPr>
              <w:spacing w:before="78" w:line="183" w:lineRule="auto"/>
              <w:ind w:left="265"/>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29</w:t>
            </w:r>
          </w:p>
        </w:tc>
        <w:tc>
          <w:tcPr>
            <w:tcW w:w="1870" w:type="dxa"/>
            <w:tcBorders>
              <w:top w:val="single" w:color="000000" w:sz="4" w:space="0"/>
            </w:tcBorders>
            <w:vAlign w:val="center"/>
          </w:tcPr>
          <w:p w14:paraId="05F11F5D">
            <w:pPr>
              <w:spacing w:before="265" w:line="262" w:lineRule="auto"/>
              <w:ind w:right="194"/>
              <w:jc w:val="center"/>
              <w:rPr>
                <w:rFonts w:ascii="宋体" w:hAnsi="宋体" w:eastAsia="宋体" w:cs="宋体"/>
                <w:color w:val="auto"/>
                <w:sz w:val="24"/>
                <w:szCs w:val="24"/>
              </w:rPr>
            </w:pPr>
            <w:r>
              <w:rPr>
                <w:rFonts w:ascii="宋体" w:hAnsi="宋体" w:eastAsia="宋体" w:cs="宋体"/>
                <w:color w:val="auto"/>
                <w:spacing w:val="-4"/>
                <w:sz w:val="24"/>
                <w:szCs w:val="24"/>
                <w14:textOutline w14:w="4358" w14:cap="sq" w14:cmpd="sng">
                  <w14:solidFill>
                    <w14:srgbClr w14:val="000000"/>
                  </w14:solidFill>
                  <w14:prstDash w14:val="solid"/>
                  <w14:bevel/>
                </w14:textOutline>
              </w:rPr>
              <w:t>中标</w:t>
            </w:r>
            <w:r>
              <w:rPr>
                <w:rFonts w:hint="eastAsia" w:ascii="宋体" w:hAnsi="宋体" w:eastAsia="宋体" w:cs="宋体"/>
                <w:color w:val="auto"/>
                <w:spacing w:val="-4"/>
                <w:sz w:val="24"/>
                <w:szCs w:val="24"/>
                <w:lang w:eastAsia="zh-CN"/>
                <w14:textOutline w14:w="4358" w14:cap="sq" w14:cmpd="sng">
                  <w14:solidFill>
                    <w14:srgbClr w14:val="000000"/>
                  </w14:solidFill>
                  <w14:prstDash w14:val="solid"/>
                  <w14:bevel/>
                </w14:textOutline>
              </w:rPr>
              <w:t>（</w:t>
            </w:r>
            <w:r>
              <w:rPr>
                <w:rFonts w:ascii="宋体" w:hAnsi="宋体" w:eastAsia="宋体" w:cs="宋体"/>
                <w:color w:val="auto"/>
                <w:spacing w:val="-4"/>
                <w:sz w:val="24"/>
                <w:szCs w:val="24"/>
                <w14:textOutline w14:w="4358" w14:cap="sq" w14:cmpd="sng">
                  <w14:solidFill>
                    <w14:srgbClr w14:val="000000"/>
                  </w14:solidFill>
                  <w14:prstDash w14:val="solid"/>
                  <w14:bevel/>
                </w14:textOutline>
              </w:rPr>
              <w:t>成交</w:t>
            </w:r>
            <w:r>
              <w:rPr>
                <w:rFonts w:hint="eastAsia" w:ascii="宋体" w:hAnsi="宋体" w:eastAsia="宋体" w:cs="宋体"/>
                <w:color w:val="auto"/>
                <w:spacing w:val="-4"/>
                <w:sz w:val="24"/>
                <w:szCs w:val="24"/>
                <w:lang w:eastAsia="zh-CN"/>
                <w14:textOutline w14:w="4358" w14:cap="sq" w14:cmpd="sng">
                  <w14:solidFill>
                    <w14:srgbClr w14:val="000000"/>
                  </w14:solidFill>
                  <w14:prstDash w14:val="solid"/>
                  <w14:bevel/>
                </w14:textOutline>
              </w:rPr>
              <w:t>）</w:t>
            </w:r>
            <w:r>
              <w:rPr>
                <w:rFonts w:ascii="宋体" w:hAnsi="宋体" w:eastAsia="宋体" w:cs="宋体"/>
                <w:color w:val="auto"/>
                <w:spacing w:val="-4"/>
                <w:sz w:val="24"/>
                <w:szCs w:val="24"/>
                <w14:textOutline w14:w="4358" w14:cap="sq" w14:cmpd="sng">
                  <w14:solidFill>
                    <w14:srgbClr w14:val="000000"/>
                  </w14:solidFill>
                  <w14:prstDash w14:val="solid"/>
                  <w14:bevel/>
                </w14:textOutline>
              </w:rPr>
              <w:t>结果公</w:t>
            </w:r>
            <w:r>
              <w:rPr>
                <w:rFonts w:ascii="宋体" w:hAnsi="宋体" w:eastAsia="宋体" w:cs="宋体"/>
                <w:color w:val="auto"/>
                <w:sz w:val="24"/>
                <w:szCs w:val="24"/>
                <w14:textOutline w14:w="4358" w14:cap="sq" w14:cmpd="sng">
                  <w14:solidFill>
                    <w14:srgbClr w14:val="000000"/>
                  </w14:solidFill>
                  <w14:prstDash w14:val="solid"/>
                  <w14:bevel/>
                </w14:textOutline>
              </w:rPr>
              <w:t>告</w:t>
            </w:r>
          </w:p>
        </w:tc>
        <w:tc>
          <w:tcPr>
            <w:tcW w:w="7103" w:type="dxa"/>
            <w:tcBorders>
              <w:top w:val="single" w:color="000000" w:sz="4" w:space="0"/>
              <w:right w:val="single" w:color="000000" w:sz="4" w:space="0"/>
            </w:tcBorders>
            <w:vAlign w:val="top"/>
          </w:tcPr>
          <w:p w14:paraId="15A50A5D">
            <w:pPr>
              <w:spacing w:before="265" w:line="263" w:lineRule="auto"/>
              <w:ind w:left="114" w:right="133"/>
              <w:rPr>
                <w:rFonts w:ascii="宋体" w:hAnsi="宋体" w:eastAsia="宋体" w:cs="宋体"/>
                <w:color w:val="auto"/>
                <w:sz w:val="24"/>
                <w:szCs w:val="24"/>
              </w:rPr>
            </w:pPr>
            <w:r>
              <w:rPr>
                <w:rFonts w:ascii="宋体" w:hAnsi="宋体" w:eastAsia="宋体" w:cs="宋体"/>
                <w:color w:val="auto"/>
                <w:spacing w:val="-2"/>
                <w:sz w:val="24"/>
                <w:szCs w:val="24"/>
              </w:rPr>
              <w:t>成交结果公告在新疆政府采购网予以公告</w:t>
            </w:r>
            <w:r>
              <w:rPr>
                <w:rFonts w:ascii="宋体" w:hAnsi="宋体" w:eastAsia="宋体" w:cs="宋体"/>
                <w:color w:val="auto"/>
                <w:spacing w:val="-4"/>
                <w:sz w:val="24"/>
                <w:szCs w:val="24"/>
              </w:rPr>
              <w:t>。</w:t>
            </w:r>
          </w:p>
        </w:tc>
      </w:tr>
      <w:tr w14:paraId="53B322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6" w:hRule="atLeast"/>
        </w:trPr>
        <w:tc>
          <w:tcPr>
            <w:tcW w:w="742" w:type="dxa"/>
            <w:tcBorders>
              <w:left w:val="single" w:color="000000" w:sz="4" w:space="0"/>
            </w:tcBorders>
            <w:vAlign w:val="top"/>
          </w:tcPr>
          <w:p w14:paraId="5568D11E">
            <w:pPr>
              <w:spacing w:line="413" w:lineRule="auto"/>
              <w:rPr>
                <w:rFonts w:ascii="Arial"/>
                <w:color w:val="auto"/>
                <w:sz w:val="21"/>
              </w:rPr>
            </w:pPr>
          </w:p>
          <w:p w14:paraId="55495A2F">
            <w:pPr>
              <w:spacing w:before="78" w:line="184" w:lineRule="auto"/>
              <w:ind w:left="265"/>
              <w:rPr>
                <w:rFonts w:hint="eastAsia" w:ascii="宋体" w:hAnsi="宋体" w:eastAsia="宋体" w:cs="宋体"/>
                <w:color w:val="auto"/>
                <w:sz w:val="24"/>
                <w:szCs w:val="24"/>
                <w:lang w:val="en-US" w:eastAsia="zh-CN"/>
              </w:rPr>
            </w:pPr>
            <w:r>
              <w:rPr>
                <w:rFonts w:ascii="宋体" w:hAnsi="宋体" w:eastAsia="宋体" w:cs="宋体"/>
                <w:color w:val="auto"/>
                <w:spacing w:val="-8"/>
                <w:sz w:val="24"/>
                <w:szCs w:val="24"/>
              </w:rPr>
              <w:t>3</w:t>
            </w:r>
            <w:r>
              <w:rPr>
                <w:rFonts w:hint="eastAsia" w:ascii="宋体" w:hAnsi="宋体" w:eastAsia="宋体" w:cs="宋体"/>
                <w:color w:val="auto"/>
                <w:spacing w:val="-8"/>
                <w:sz w:val="24"/>
                <w:szCs w:val="24"/>
                <w:lang w:val="en-US" w:eastAsia="zh-CN"/>
              </w:rPr>
              <w:t>0</w:t>
            </w:r>
          </w:p>
        </w:tc>
        <w:tc>
          <w:tcPr>
            <w:tcW w:w="1870" w:type="dxa"/>
            <w:vAlign w:val="center"/>
          </w:tcPr>
          <w:p w14:paraId="571943C1">
            <w:pPr>
              <w:spacing w:before="78" w:line="220" w:lineRule="auto"/>
              <w:jc w:val="center"/>
              <w:rPr>
                <w:rFonts w:ascii="宋体" w:hAnsi="宋体" w:eastAsia="宋体" w:cs="宋体"/>
                <w:color w:val="auto"/>
                <w:sz w:val="24"/>
                <w:szCs w:val="24"/>
              </w:rPr>
            </w:pPr>
            <w:r>
              <w:rPr>
                <w:rFonts w:ascii="宋体" w:hAnsi="宋体" w:eastAsia="宋体" w:cs="宋体"/>
                <w:color w:val="auto"/>
                <w:spacing w:val="-2"/>
                <w:sz w:val="24"/>
                <w:szCs w:val="24"/>
                <w14:textOutline w14:w="4358" w14:cap="sq" w14:cmpd="sng">
                  <w14:solidFill>
                    <w14:srgbClr w14:val="000000"/>
                  </w14:solidFill>
                  <w14:prstDash w14:val="solid"/>
                  <w14:bevel/>
                </w14:textOutline>
              </w:rPr>
              <w:t>相关费用</w:t>
            </w:r>
          </w:p>
        </w:tc>
        <w:tc>
          <w:tcPr>
            <w:tcW w:w="7103" w:type="dxa"/>
            <w:tcBorders>
              <w:right w:val="single" w:color="000000" w:sz="4" w:space="0"/>
            </w:tcBorders>
            <w:vAlign w:val="top"/>
          </w:tcPr>
          <w:p w14:paraId="72373D7D">
            <w:pPr>
              <w:keepNext w:val="0"/>
              <w:keepLines w:val="0"/>
              <w:pageBreakBefore w:val="0"/>
              <w:widowControl/>
              <w:kinsoku w:val="0"/>
              <w:wordWrap/>
              <w:overflowPunct/>
              <w:topLinePunct w:val="0"/>
              <w:autoSpaceDE w:val="0"/>
              <w:autoSpaceDN w:val="0"/>
              <w:bidi w:val="0"/>
              <w:adjustRightInd w:val="0"/>
              <w:snapToGrid w:val="0"/>
              <w:spacing w:before="1" w:line="360" w:lineRule="auto"/>
              <w:ind w:left="113"/>
              <w:textAlignment w:val="baseline"/>
              <w:rPr>
                <w:rFonts w:ascii="宋体" w:hAnsi="宋体" w:eastAsia="宋体" w:cs="宋体"/>
                <w:color w:val="auto"/>
                <w:sz w:val="24"/>
                <w:szCs w:val="24"/>
              </w:rPr>
            </w:pPr>
            <w:r>
              <w:rPr>
                <w:rFonts w:ascii="宋体" w:hAnsi="宋体" w:eastAsia="宋体" w:cs="宋体"/>
                <w:color w:val="auto"/>
                <w:spacing w:val="-6"/>
                <w:sz w:val="24"/>
                <w:szCs w:val="24"/>
              </w:rPr>
              <w:t>1.代理服务费：</w:t>
            </w:r>
            <w:r>
              <w:rPr>
                <w:rFonts w:hint="eastAsia" w:ascii="宋体" w:hAnsi="宋体" w:eastAsia="宋体" w:cs="宋体"/>
                <w:color w:val="auto"/>
                <w:spacing w:val="-6"/>
                <w:sz w:val="24"/>
                <w:szCs w:val="24"/>
                <w:lang w:eastAsia="zh-CN"/>
              </w:rPr>
              <w:t>本项目根据《招标代理服务收费管理暂行办法》计价格〔2002〕1980号文标准下浮20%收取，由成交（成交）人向采购代理机构交纳代理服务费。</w:t>
            </w:r>
          </w:p>
        </w:tc>
      </w:tr>
      <w:tr w14:paraId="67E8D9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6" w:hRule="atLeast"/>
        </w:trPr>
        <w:tc>
          <w:tcPr>
            <w:tcW w:w="742" w:type="dxa"/>
            <w:tcBorders>
              <w:left w:val="single" w:color="000000" w:sz="4" w:space="0"/>
            </w:tcBorders>
            <w:vAlign w:val="center"/>
          </w:tcPr>
          <w:p w14:paraId="4C04F33B">
            <w:pPr>
              <w:spacing w:before="78" w:line="184" w:lineRule="auto"/>
              <w:ind w:left="265"/>
              <w:jc w:val="center"/>
              <w:rPr>
                <w:rFonts w:hint="default" w:ascii="宋体" w:hAnsi="宋体" w:eastAsia="宋体" w:cs="宋体"/>
                <w:color w:val="auto"/>
                <w:spacing w:val="-8"/>
                <w:sz w:val="24"/>
                <w:szCs w:val="24"/>
                <w:lang w:val="en-US" w:eastAsia="zh-CN"/>
              </w:rPr>
            </w:pPr>
            <w:r>
              <w:rPr>
                <w:rFonts w:hint="eastAsia" w:ascii="宋体" w:hAnsi="宋体" w:eastAsia="宋体" w:cs="宋体"/>
                <w:color w:val="auto"/>
                <w:spacing w:val="-8"/>
                <w:sz w:val="24"/>
                <w:szCs w:val="24"/>
                <w:lang w:val="en-US" w:eastAsia="zh-CN"/>
              </w:rPr>
              <w:t>31</w:t>
            </w:r>
          </w:p>
        </w:tc>
        <w:tc>
          <w:tcPr>
            <w:tcW w:w="1870" w:type="dxa"/>
            <w:vAlign w:val="center"/>
          </w:tcPr>
          <w:p w14:paraId="24219611">
            <w:pPr>
              <w:spacing w:before="78" w:line="220" w:lineRule="auto"/>
              <w:jc w:val="center"/>
              <w:rPr>
                <w:rFonts w:hint="eastAsia" w:ascii="宋体" w:hAnsi="宋体" w:eastAsia="宋体" w:cs="宋体"/>
                <w:color w:val="auto"/>
                <w:spacing w:val="-2"/>
                <w:sz w:val="24"/>
                <w:szCs w:val="24"/>
                <w:lang w:eastAsia="zh-CN"/>
                <w14:textOutline w14:w="4358" w14:cap="sq" w14:cmpd="sng">
                  <w14:solidFill>
                    <w14:srgbClr w14:val="000000"/>
                  </w14:solidFill>
                  <w14:prstDash w14:val="solid"/>
                  <w14:bevel/>
                </w14:textOutline>
              </w:rPr>
            </w:pPr>
            <w:r>
              <w:rPr>
                <w:rFonts w:hint="eastAsia" w:ascii="宋体" w:hAnsi="宋体" w:eastAsia="宋体" w:cs="宋体"/>
                <w:color w:val="auto"/>
                <w:spacing w:val="-2"/>
                <w:sz w:val="24"/>
                <w:szCs w:val="24"/>
                <w:lang w:eastAsia="zh-CN"/>
                <w14:textOutline w14:w="4358" w14:cap="sq" w14:cmpd="sng">
                  <w14:solidFill>
                    <w14:srgbClr w14:val="000000"/>
                  </w14:solidFill>
                  <w14:prstDash w14:val="solid"/>
                  <w14:bevel/>
                </w14:textOutline>
              </w:rPr>
              <w:t>样品</w:t>
            </w:r>
          </w:p>
        </w:tc>
        <w:tc>
          <w:tcPr>
            <w:tcW w:w="7103" w:type="dxa"/>
            <w:tcBorders>
              <w:right w:val="single" w:color="000000" w:sz="4" w:space="0"/>
            </w:tcBorders>
            <w:vAlign w:val="top"/>
          </w:tcPr>
          <w:p w14:paraId="5D7A7660">
            <w:pPr>
              <w:pStyle w:val="15"/>
              <w:spacing w:before="120" w:line="265" w:lineRule="auto"/>
              <w:ind w:left="121" w:right="119" w:hanging="3"/>
              <w:jc w:val="both"/>
              <w:rPr>
                <w:spacing w:val="3"/>
                <w:highlight w:val="none"/>
              </w:rPr>
            </w:pPr>
            <w:r>
              <w:rPr>
                <w:rFonts w:hint="eastAsia"/>
                <w:spacing w:val="3"/>
                <w:highlight w:val="none"/>
                <w:lang w:val="en-US" w:eastAsia="zh-CN"/>
              </w:rPr>
              <w:t>☑需要。提供样品截止时间：2025年03月10日11时30分（北京时间）详见（二）供应商须知第10条样品。</w:t>
            </w:r>
          </w:p>
          <w:p w14:paraId="035F148E">
            <w:pPr>
              <w:pStyle w:val="15"/>
              <w:spacing w:before="120" w:line="265" w:lineRule="auto"/>
              <w:ind w:left="121" w:right="119" w:hanging="3"/>
              <w:jc w:val="both"/>
              <w:rPr>
                <w:rFonts w:ascii="宋体" w:hAnsi="宋体" w:eastAsia="宋体" w:cs="宋体"/>
                <w:color w:val="auto"/>
                <w:spacing w:val="-6"/>
                <w:sz w:val="24"/>
                <w:szCs w:val="24"/>
              </w:rPr>
            </w:pPr>
            <w:r>
              <w:rPr>
                <w:rFonts w:hint="eastAsia"/>
                <w:spacing w:val="3"/>
                <w:highlight w:val="none"/>
                <w:lang w:val="en-US" w:eastAsia="zh-CN"/>
              </w:rPr>
              <w:t>□不需要。</w:t>
            </w:r>
          </w:p>
        </w:tc>
      </w:tr>
      <w:tr w14:paraId="08A063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73" w:hRule="atLeast"/>
        </w:trPr>
        <w:tc>
          <w:tcPr>
            <w:tcW w:w="742" w:type="dxa"/>
            <w:tcBorders>
              <w:left w:val="single" w:color="000000" w:sz="4" w:space="0"/>
            </w:tcBorders>
            <w:vAlign w:val="top"/>
          </w:tcPr>
          <w:p w14:paraId="642E5AE3">
            <w:pPr>
              <w:spacing w:line="243" w:lineRule="auto"/>
              <w:rPr>
                <w:rFonts w:ascii="Arial"/>
                <w:color w:val="auto"/>
                <w:sz w:val="21"/>
              </w:rPr>
            </w:pPr>
          </w:p>
          <w:p w14:paraId="317E7496">
            <w:pPr>
              <w:spacing w:line="244" w:lineRule="auto"/>
              <w:rPr>
                <w:rFonts w:ascii="Arial"/>
                <w:color w:val="auto"/>
                <w:sz w:val="21"/>
              </w:rPr>
            </w:pPr>
          </w:p>
          <w:p w14:paraId="092C7B31">
            <w:pPr>
              <w:spacing w:line="244" w:lineRule="auto"/>
              <w:rPr>
                <w:rFonts w:ascii="Arial"/>
                <w:color w:val="auto"/>
                <w:sz w:val="21"/>
              </w:rPr>
            </w:pPr>
          </w:p>
          <w:p w14:paraId="468AE1D3">
            <w:pPr>
              <w:spacing w:line="244" w:lineRule="auto"/>
              <w:rPr>
                <w:rFonts w:ascii="Arial"/>
                <w:color w:val="auto"/>
                <w:sz w:val="21"/>
              </w:rPr>
            </w:pPr>
          </w:p>
          <w:p w14:paraId="20B13CE3">
            <w:pPr>
              <w:spacing w:line="244" w:lineRule="auto"/>
              <w:rPr>
                <w:rFonts w:ascii="Arial"/>
                <w:color w:val="auto"/>
                <w:sz w:val="21"/>
              </w:rPr>
            </w:pPr>
          </w:p>
          <w:p w14:paraId="3B6901CB">
            <w:pPr>
              <w:spacing w:line="244" w:lineRule="auto"/>
              <w:rPr>
                <w:rFonts w:ascii="Arial"/>
                <w:color w:val="auto"/>
                <w:sz w:val="21"/>
              </w:rPr>
            </w:pPr>
          </w:p>
          <w:p w14:paraId="04AFFD3E">
            <w:pPr>
              <w:spacing w:line="244" w:lineRule="auto"/>
              <w:rPr>
                <w:rFonts w:ascii="Arial"/>
                <w:color w:val="auto"/>
                <w:sz w:val="21"/>
              </w:rPr>
            </w:pPr>
          </w:p>
          <w:p w14:paraId="5A75A451">
            <w:pPr>
              <w:spacing w:line="244" w:lineRule="auto"/>
              <w:rPr>
                <w:rFonts w:ascii="Arial"/>
                <w:color w:val="auto"/>
                <w:sz w:val="21"/>
              </w:rPr>
            </w:pPr>
          </w:p>
          <w:p w14:paraId="67597DFC">
            <w:pPr>
              <w:spacing w:line="244" w:lineRule="auto"/>
              <w:rPr>
                <w:rFonts w:ascii="Arial"/>
                <w:color w:val="auto"/>
                <w:sz w:val="21"/>
              </w:rPr>
            </w:pPr>
          </w:p>
          <w:p w14:paraId="30049230">
            <w:pPr>
              <w:spacing w:line="244" w:lineRule="auto"/>
              <w:rPr>
                <w:rFonts w:ascii="Arial"/>
                <w:color w:val="auto"/>
                <w:sz w:val="21"/>
              </w:rPr>
            </w:pPr>
          </w:p>
          <w:p w14:paraId="1E0FBCBD">
            <w:pPr>
              <w:spacing w:line="244" w:lineRule="auto"/>
              <w:rPr>
                <w:rFonts w:ascii="Arial"/>
                <w:color w:val="auto"/>
                <w:sz w:val="21"/>
              </w:rPr>
            </w:pPr>
          </w:p>
          <w:p w14:paraId="26C9C162">
            <w:pPr>
              <w:spacing w:line="244" w:lineRule="auto"/>
              <w:rPr>
                <w:rFonts w:ascii="Arial"/>
                <w:color w:val="auto"/>
                <w:sz w:val="21"/>
              </w:rPr>
            </w:pPr>
          </w:p>
          <w:p w14:paraId="3E766931">
            <w:pPr>
              <w:spacing w:line="244" w:lineRule="auto"/>
              <w:rPr>
                <w:rFonts w:ascii="Arial"/>
                <w:color w:val="auto"/>
                <w:sz w:val="21"/>
              </w:rPr>
            </w:pPr>
          </w:p>
          <w:p w14:paraId="43D98F50">
            <w:pPr>
              <w:spacing w:line="244" w:lineRule="auto"/>
              <w:rPr>
                <w:rFonts w:ascii="Arial"/>
                <w:color w:val="auto"/>
                <w:sz w:val="21"/>
              </w:rPr>
            </w:pPr>
          </w:p>
          <w:p w14:paraId="1B36DFED">
            <w:pPr>
              <w:spacing w:line="244" w:lineRule="auto"/>
              <w:rPr>
                <w:rFonts w:ascii="Arial"/>
                <w:color w:val="auto"/>
                <w:sz w:val="21"/>
              </w:rPr>
            </w:pPr>
          </w:p>
          <w:p w14:paraId="54090D73">
            <w:pPr>
              <w:spacing w:line="244" w:lineRule="auto"/>
              <w:rPr>
                <w:rFonts w:ascii="Arial"/>
                <w:color w:val="auto"/>
                <w:sz w:val="21"/>
              </w:rPr>
            </w:pPr>
          </w:p>
          <w:p w14:paraId="1AFDE4E7">
            <w:pPr>
              <w:spacing w:line="244" w:lineRule="auto"/>
              <w:rPr>
                <w:rFonts w:ascii="Arial"/>
                <w:color w:val="auto"/>
                <w:sz w:val="21"/>
              </w:rPr>
            </w:pPr>
          </w:p>
          <w:p w14:paraId="64367AD4">
            <w:pPr>
              <w:spacing w:line="244" w:lineRule="auto"/>
              <w:rPr>
                <w:rFonts w:ascii="Arial"/>
                <w:color w:val="auto"/>
                <w:sz w:val="21"/>
              </w:rPr>
            </w:pPr>
          </w:p>
          <w:p w14:paraId="0F233DE9">
            <w:pPr>
              <w:spacing w:before="78" w:line="183" w:lineRule="auto"/>
              <w:ind w:left="265"/>
              <w:rPr>
                <w:rFonts w:hint="eastAsia" w:ascii="宋体" w:hAnsi="宋体" w:eastAsia="宋体" w:cs="宋体"/>
                <w:color w:val="auto"/>
                <w:sz w:val="24"/>
                <w:szCs w:val="24"/>
                <w:lang w:val="en-US" w:eastAsia="zh-CN"/>
              </w:rPr>
            </w:pPr>
            <w:r>
              <w:rPr>
                <w:rFonts w:ascii="宋体" w:hAnsi="宋体" w:eastAsia="宋体" w:cs="宋体"/>
                <w:color w:val="auto"/>
                <w:spacing w:val="-8"/>
                <w:sz w:val="24"/>
                <w:szCs w:val="24"/>
              </w:rPr>
              <w:t>3</w:t>
            </w:r>
            <w:r>
              <w:rPr>
                <w:rFonts w:hint="eastAsia" w:ascii="宋体" w:hAnsi="宋体" w:eastAsia="宋体" w:cs="宋体"/>
                <w:color w:val="auto"/>
                <w:spacing w:val="-8"/>
                <w:sz w:val="24"/>
                <w:szCs w:val="24"/>
                <w:lang w:val="en-US" w:eastAsia="zh-CN"/>
              </w:rPr>
              <w:t>2</w:t>
            </w:r>
          </w:p>
        </w:tc>
        <w:tc>
          <w:tcPr>
            <w:tcW w:w="1870" w:type="dxa"/>
            <w:vAlign w:val="center"/>
          </w:tcPr>
          <w:p w14:paraId="11B476B7">
            <w:pPr>
              <w:spacing w:line="247" w:lineRule="auto"/>
              <w:jc w:val="center"/>
              <w:rPr>
                <w:rFonts w:ascii="Arial"/>
                <w:color w:val="auto"/>
                <w:sz w:val="21"/>
              </w:rPr>
            </w:pPr>
          </w:p>
          <w:p w14:paraId="5148F518">
            <w:pPr>
              <w:spacing w:line="247" w:lineRule="auto"/>
              <w:jc w:val="center"/>
              <w:rPr>
                <w:rFonts w:ascii="Arial"/>
                <w:color w:val="auto"/>
                <w:sz w:val="21"/>
              </w:rPr>
            </w:pPr>
          </w:p>
          <w:p w14:paraId="22FFBB97">
            <w:pPr>
              <w:spacing w:line="247" w:lineRule="auto"/>
              <w:jc w:val="center"/>
              <w:rPr>
                <w:rFonts w:ascii="Arial"/>
                <w:color w:val="auto"/>
                <w:sz w:val="21"/>
              </w:rPr>
            </w:pPr>
          </w:p>
          <w:p w14:paraId="6C1F639C">
            <w:pPr>
              <w:spacing w:line="248" w:lineRule="auto"/>
              <w:jc w:val="center"/>
              <w:rPr>
                <w:rFonts w:ascii="Arial"/>
                <w:color w:val="auto"/>
                <w:sz w:val="21"/>
              </w:rPr>
            </w:pPr>
          </w:p>
          <w:p w14:paraId="4CAF17D4">
            <w:pPr>
              <w:spacing w:line="248" w:lineRule="auto"/>
              <w:jc w:val="center"/>
              <w:rPr>
                <w:rFonts w:ascii="Arial"/>
                <w:color w:val="auto"/>
                <w:sz w:val="21"/>
              </w:rPr>
            </w:pPr>
          </w:p>
          <w:p w14:paraId="62D34594">
            <w:pPr>
              <w:spacing w:line="248" w:lineRule="auto"/>
              <w:jc w:val="center"/>
              <w:rPr>
                <w:rFonts w:ascii="Arial"/>
                <w:color w:val="auto"/>
                <w:sz w:val="21"/>
              </w:rPr>
            </w:pPr>
          </w:p>
          <w:p w14:paraId="219970BB">
            <w:pPr>
              <w:spacing w:line="248" w:lineRule="auto"/>
              <w:jc w:val="center"/>
              <w:rPr>
                <w:rFonts w:ascii="Arial"/>
                <w:color w:val="auto"/>
                <w:sz w:val="21"/>
              </w:rPr>
            </w:pPr>
          </w:p>
          <w:p w14:paraId="1833FF84">
            <w:pPr>
              <w:spacing w:line="248" w:lineRule="auto"/>
              <w:jc w:val="center"/>
              <w:rPr>
                <w:rFonts w:ascii="Arial"/>
                <w:color w:val="auto"/>
                <w:sz w:val="21"/>
              </w:rPr>
            </w:pPr>
          </w:p>
          <w:p w14:paraId="6CAA032F">
            <w:pPr>
              <w:spacing w:line="248" w:lineRule="auto"/>
              <w:jc w:val="center"/>
              <w:rPr>
                <w:rFonts w:ascii="Arial"/>
                <w:color w:val="auto"/>
                <w:sz w:val="21"/>
              </w:rPr>
            </w:pPr>
          </w:p>
          <w:p w14:paraId="21F42E90">
            <w:pPr>
              <w:spacing w:line="248" w:lineRule="auto"/>
              <w:jc w:val="center"/>
              <w:rPr>
                <w:rFonts w:ascii="Arial"/>
                <w:color w:val="auto"/>
                <w:sz w:val="21"/>
              </w:rPr>
            </w:pPr>
          </w:p>
          <w:p w14:paraId="3FCE0B41">
            <w:pPr>
              <w:spacing w:line="248" w:lineRule="auto"/>
              <w:jc w:val="center"/>
              <w:rPr>
                <w:rFonts w:ascii="Arial"/>
                <w:color w:val="auto"/>
                <w:sz w:val="21"/>
              </w:rPr>
            </w:pPr>
          </w:p>
          <w:p w14:paraId="2A3C0FE8">
            <w:pPr>
              <w:spacing w:line="248" w:lineRule="auto"/>
              <w:jc w:val="center"/>
              <w:rPr>
                <w:rFonts w:ascii="Arial"/>
                <w:color w:val="auto"/>
                <w:sz w:val="21"/>
              </w:rPr>
            </w:pPr>
          </w:p>
          <w:p w14:paraId="251061EA">
            <w:pPr>
              <w:spacing w:line="248" w:lineRule="auto"/>
              <w:jc w:val="center"/>
              <w:rPr>
                <w:rFonts w:ascii="Arial"/>
                <w:color w:val="auto"/>
                <w:sz w:val="21"/>
              </w:rPr>
            </w:pPr>
          </w:p>
          <w:p w14:paraId="705CC799">
            <w:pPr>
              <w:spacing w:line="248" w:lineRule="auto"/>
              <w:jc w:val="center"/>
              <w:rPr>
                <w:rFonts w:ascii="Arial"/>
                <w:color w:val="auto"/>
                <w:sz w:val="21"/>
              </w:rPr>
            </w:pPr>
          </w:p>
          <w:p w14:paraId="26612AE2">
            <w:pPr>
              <w:spacing w:line="248" w:lineRule="auto"/>
              <w:jc w:val="center"/>
              <w:rPr>
                <w:rFonts w:ascii="Arial"/>
                <w:color w:val="auto"/>
                <w:sz w:val="21"/>
              </w:rPr>
            </w:pPr>
          </w:p>
          <w:p w14:paraId="1C92FABF">
            <w:pPr>
              <w:spacing w:line="248" w:lineRule="auto"/>
              <w:jc w:val="center"/>
              <w:rPr>
                <w:rFonts w:ascii="Arial"/>
                <w:color w:val="auto"/>
                <w:sz w:val="21"/>
              </w:rPr>
            </w:pPr>
          </w:p>
          <w:p w14:paraId="3737E9C7">
            <w:pPr>
              <w:spacing w:before="78" w:line="263" w:lineRule="auto"/>
              <w:ind w:right="194"/>
              <w:jc w:val="center"/>
              <w:rPr>
                <w:rFonts w:ascii="宋体" w:hAnsi="宋体" w:eastAsia="宋体" w:cs="宋体"/>
                <w:color w:val="auto"/>
                <w:sz w:val="24"/>
                <w:szCs w:val="24"/>
              </w:rPr>
            </w:pPr>
            <w:r>
              <w:rPr>
                <w:rFonts w:ascii="宋体" w:hAnsi="宋体" w:eastAsia="宋体" w:cs="宋体"/>
                <w:color w:val="auto"/>
                <w:spacing w:val="-1"/>
                <w:sz w:val="24"/>
                <w:szCs w:val="24"/>
                <w14:textOutline w14:w="4358" w14:cap="sq" w14:cmpd="sng">
                  <w14:solidFill>
                    <w14:srgbClr w14:val="000000"/>
                  </w14:solidFill>
                  <w14:prstDash w14:val="solid"/>
                  <w14:bevel/>
                </w14:textOutline>
              </w:rPr>
              <w:t>落实政府采购政</w:t>
            </w:r>
            <w:r>
              <w:rPr>
                <w:rFonts w:ascii="宋体" w:hAnsi="宋体" w:eastAsia="宋体" w:cs="宋体"/>
                <w:color w:val="auto"/>
                <w:sz w:val="24"/>
                <w:szCs w:val="24"/>
              </w:rPr>
              <w:t xml:space="preserve"> </w:t>
            </w:r>
            <w:r>
              <w:rPr>
                <w:rFonts w:ascii="宋体" w:hAnsi="宋体" w:eastAsia="宋体" w:cs="宋体"/>
                <w:color w:val="auto"/>
                <w:sz w:val="24"/>
                <w:szCs w:val="24"/>
                <w14:textOutline w14:w="4358" w14:cap="sq" w14:cmpd="sng">
                  <w14:solidFill>
                    <w14:srgbClr w14:val="000000"/>
                  </w14:solidFill>
                  <w14:prstDash w14:val="solid"/>
                  <w14:bevel/>
                </w14:textOutline>
              </w:rPr>
              <w:t>策</w:t>
            </w:r>
          </w:p>
        </w:tc>
        <w:tc>
          <w:tcPr>
            <w:tcW w:w="7103" w:type="dxa"/>
            <w:tcBorders>
              <w:right w:val="single" w:color="000000" w:sz="4" w:space="0"/>
            </w:tcBorders>
            <w:vAlign w:val="top"/>
          </w:tcPr>
          <w:p w14:paraId="7540D516">
            <w:pPr>
              <w:pStyle w:val="15"/>
              <w:spacing w:before="120" w:line="265" w:lineRule="auto"/>
              <w:ind w:left="121" w:right="119" w:hanging="3"/>
              <w:jc w:val="both"/>
              <w:rPr>
                <w:rFonts w:ascii="宋体" w:hAnsi="宋体" w:eastAsia="宋体" w:cs="宋体"/>
                <w:color w:val="auto"/>
                <w:spacing w:val="-13"/>
                <w:sz w:val="24"/>
                <w:szCs w:val="24"/>
              </w:rPr>
            </w:pPr>
            <w:r>
              <w:rPr>
                <w:rFonts w:ascii="宋体" w:hAnsi="宋体" w:eastAsia="宋体" w:cs="宋体"/>
                <w:color w:val="auto"/>
                <w:spacing w:val="-1"/>
                <w:sz w:val="24"/>
                <w:szCs w:val="24"/>
              </w:rPr>
              <w:t>支持中小企业发展，《政府采购促进中小企业发展管理办法》</w:t>
            </w:r>
            <w:r>
              <w:rPr>
                <w:rFonts w:ascii="宋体" w:hAnsi="宋体" w:eastAsia="宋体" w:cs="宋体"/>
                <w:color w:val="auto"/>
                <w:spacing w:val="6"/>
                <w:sz w:val="24"/>
                <w:szCs w:val="24"/>
              </w:rPr>
              <w:t xml:space="preserve"> </w:t>
            </w:r>
            <w:r>
              <w:rPr>
                <w:rFonts w:ascii="宋体" w:hAnsi="宋体" w:eastAsia="宋体" w:cs="宋体"/>
                <w:color w:val="auto"/>
                <w:spacing w:val="-2"/>
                <w:sz w:val="24"/>
                <w:szCs w:val="24"/>
              </w:rPr>
              <w:t>（财库[2020]46</w:t>
            </w:r>
            <w:r>
              <w:rPr>
                <w:rFonts w:ascii="宋体" w:hAnsi="宋体" w:eastAsia="宋体" w:cs="宋体"/>
                <w:color w:val="auto"/>
                <w:spacing w:val="-44"/>
                <w:sz w:val="24"/>
                <w:szCs w:val="24"/>
              </w:rPr>
              <w:t xml:space="preserve"> </w:t>
            </w:r>
            <w:r>
              <w:rPr>
                <w:rFonts w:ascii="宋体" w:hAnsi="宋体" w:eastAsia="宋体" w:cs="宋体"/>
                <w:color w:val="auto"/>
                <w:spacing w:val="-2"/>
                <w:sz w:val="24"/>
                <w:szCs w:val="24"/>
              </w:rPr>
              <w:t>号</w:t>
            </w:r>
            <w:r>
              <w:rPr>
                <w:rFonts w:ascii="宋体" w:hAnsi="宋体" w:eastAsia="宋体" w:cs="宋体"/>
                <w:color w:val="auto"/>
                <w:spacing w:val="-13"/>
                <w:sz w:val="24"/>
                <w:szCs w:val="24"/>
              </w:rPr>
              <w:t>）：</w:t>
            </w:r>
          </w:p>
          <w:p w14:paraId="46520ECF">
            <w:pPr>
              <w:pStyle w:val="15"/>
              <w:spacing w:before="120" w:line="265" w:lineRule="auto"/>
              <w:ind w:left="121" w:right="119" w:hanging="3"/>
              <w:jc w:val="both"/>
              <w:rPr>
                <w:spacing w:val="3"/>
                <w:highlight w:val="none"/>
              </w:rPr>
            </w:pPr>
            <w:r>
              <w:rPr>
                <w:rFonts w:hint="eastAsia"/>
                <w:spacing w:val="3"/>
                <w:highlight w:val="none"/>
                <w:lang w:val="en-US" w:eastAsia="zh-CN"/>
              </w:rPr>
              <w:t>☑本项目专门面向中小企业采购，供应商为中小企业，不再执行价格评审优惠政策。</w:t>
            </w:r>
          </w:p>
          <w:p w14:paraId="2BE1AE33">
            <w:pPr>
              <w:pStyle w:val="15"/>
              <w:spacing w:before="120" w:line="265" w:lineRule="auto"/>
              <w:ind w:left="121" w:right="119" w:hanging="3"/>
              <w:jc w:val="both"/>
              <w:rPr>
                <w:highlight w:val="none"/>
              </w:rPr>
            </w:pPr>
            <w:r>
              <w:rPr>
                <w:rFonts w:hint="eastAsia"/>
                <w:spacing w:val="3"/>
                <w:highlight w:val="none"/>
                <w:lang w:val="en-US" w:eastAsia="zh-CN"/>
              </w:rPr>
              <w:t>□非专门面向中小企业采购，给与符合规定的小微企业、监狱企业或残疾人福利性单位的其报价扣除10%后参与评审。</w:t>
            </w:r>
          </w:p>
          <w:p w14:paraId="77F760D3">
            <w:pPr>
              <w:pStyle w:val="15"/>
              <w:spacing w:before="109" w:line="287" w:lineRule="auto"/>
              <w:ind w:left="118" w:right="119" w:hanging="4"/>
              <w:jc w:val="both"/>
              <w:rPr>
                <w:rFonts w:ascii="宋体" w:hAnsi="宋体" w:eastAsia="宋体" w:cs="宋体"/>
                <w:color w:val="auto"/>
                <w:sz w:val="24"/>
                <w:szCs w:val="24"/>
              </w:rPr>
            </w:pPr>
            <w:r>
              <w:rPr>
                <w:rFonts w:hint="eastAsia"/>
                <w:b/>
                <w:bCs/>
                <w:spacing w:val="-2"/>
                <w:highlight w:val="none"/>
                <w:lang w:eastAsia="zh-CN"/>
              </w:rPr>
              <w:t>注：（监狱企业、残疾人福利性单位视同小型、微型企业）。</w:t>
            </w:r>
          </w:p>
          <w:p w14:paraId="5BAE80A2">
            <w:pPr>
              <w:spacing w:before="114" w:line="297" w:lineRule="auto"/>
              <w:ind w:left="110" w:right="118" w:firstLine="6"/>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1、采购限额标准以上，200万元以下的货物和服务采购项目、400万元以下的工程采购项目，适宜由中小企业提供的，采购人应当专门面向中小企业采购。</w:t>
            </w:r>
            <w:bookmarkStart w:id="7" w:name="_GoBack"/>
            <w:bookmarkEnd w:id="7"/>
          </w:p>
          <w:p w14:paraId="5D997426">
            <w:pPr>
              <w:spacing w:before="114" w:line="297" w:lineRule="auto"/>
              <w:ind w:left="110" w:right="118" w:firstLine="6"/>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2、超过200万元的货物和服务采购项目，预留该部分采购项目预算总额的30%以上专门面向中小企业采购，其中预留给小微企业的比例不低于60%。</w:t>
            </w:r>
          </w:p>
          <w:p w14:paraId="3BEB909F">
            <w:pPr>
              <w:spacing w:before="114" w:line="297" w:lineRule="auto"/>
              <w:ind w:left="110" w:right="118" w:firstLine="6"/>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3、超过400万元的工程采购项目中适宜由中小企业提供的，预留该部分采购项目预算总额的40%以上专门面向中小企业采购，其中预留给小微企业的比例不低于60%。</w:t>
            </w:r>
          </w:p>
          <w:p w14:paraId="5AC640A9">
            <w:pPr>
              <w:spacing w:before="114" w:line="297" w:lineRule="auto"/>
              <w:ind w:left="110" w:right="118" w:firstLine="6"/>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7C00BD34">
            <w:pPr>
              <w:spacing w:before="114" w:line="297" w:lineRule="auto"/>
              <w:ind w:left="110" w:right="118" w:firstLine="6"/>
              <w:jc w:val="both"/>
              <w:rPr>
                <w:rFonts w:ascii="宋体" w:hAnsi="宋体" w:eastAsia="宋体" w:cs="宋体"/>
                <w:color w:val="auto"/>
                <w:sz w:val="24"/>
                <w:szCs w:val="24"/>
              </w:rPr>
            </w:pPr>
            <w:r>
              <w:rPr>
                <w:rFonts w:hint="eastAsia" w:ascii="宋体" w:hAnsi="宋体" w:eastAsia="宋体" w:cs="宋体"/>
                <w:color w:val="auto"/>
                <w:sz w:val="24"/>
                <w:szCs w:val="24"/>
                <w:lang w:val="en-US" w:eastAsia="zh-CN"/>
              </w:rPr>
              <w:t>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r>
              <w:rPr>
                <w:rFonts w:hint="eastAsia" w:ascii="宋体" w:hAnsi="宋体" w:eastAsia="宋体" w:cs="宋体"/>
                <w:color w:val="auto"/>
                <w:sz w:val="24"/>
                <w:szCs w:val="24"/>
              </w:rPr>
              <w:t>。</w:t>
            </w:r>
          </w:p>
        </w:tc>
      </w:tr>
      <w:tr w14:paraId="0FBA00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0" w:hRule="atLeast"/>
        </w:trPr>
        <w:tc>
          <w:tcPr>
            <w:tcW w:w="742" w:type="dxa"/>
            <w:vMerge w:val="restart"/>
            <w:tcBorders>
              <w:left w:val="single" w:color="000000" w:sz="4" w:space="0"/>
            </w:tcBorders>
            <w:vAlign w:val="center"/>
          </w:tcPr>
          <w:p w14:paraId="6FC11764">
            <w:pPr>
              <w:spacing w:before="78" w:line="183" w:lineRule="auto"/>
              <w:jc w:val="center"/>
              <w:rPr>
                <w:rFonts w:hint="eastAsia" w:ascii="宋体" w:hAnsi="宋体" w:eastAsia="宋体" w:cs="宋体"/>
                <w:color w:val="auto"/>
                <w:sz w:val="24"/>
                <w:szCs w:val="24"/>
                <w:lang w:val="en-US" w:eastAsia="zh-CN"/>
              </w:rPr>
            </w:pPr>
            <w:r>
              <w:rPr>
                <w:rFonts w:ascii="宋体" w:hAnsi="宋体" w:eastAsia="宋体" w:cs="宋体"/>
                <w:color w:val="auto"/>
                <w:spacing w:val="-8"/>
                <w:sz w:val="24"/>
                <w:szCs w:val="24"/>
              </w:rPr>
              <w:t>3</w:t>
            </w:r>
            <w:r>
              <w:rPr>
                <w:rFonts w:hint="eastAsia" w:ascii="宋体" w:hAnsi="宋体" w:eastAsia="宋体" w:cs="宋体"/>
                <w:color w:val="auto"/>
                <w:spacing w:val="-8"/>
                <w:sz w:val="24"/>
                <w:szCs w:val="24"/>
                <w:lang w:val="en-US" w:eastAsia="zh-CN"/>
              </w:rPr>
              <w:t>2</w:t>
            </w:r>
          </w:p>
        </w:tc>
        <w:tc>
          <w:tcPr>
            <w:tcW w:w="1870" w:type="dxa"/>
            <w:vMerge w:val="restart"/>
            <w:vAlign w:val="center"/>
          </w:tcPr>
          <w:p w14:paraId="21E12574">
            <w:pPr>
              <w:spacing w:before="78" w:line="221" w:lineRule="auto"/>
              <w:jc w:val="center"/>
              <w:rPr>
                <w:rFonts w:ascii="宋体" w:hAnsi="宋体" w:eastAsia="宋体" w:cs="宋体"/>
                <w:color w:val="auto"/>
                <w:sz w:val="24"/>
                <w:szCs w:val="24"/>
              </w:rPr>
            </w:pPr>
            <w:r>
              <w:rPr>
                <w:rFonts w:ascii="宋体" w:hAnsi="宋体" w:eastAsia="宋体" w:cs="宋体"/>
                <w:color w:val="auto"/>
                <w:spacing w:val="-7"/>
                <w:sz w:val="24"/>
                <w:szCs w:val="24"/>
                <w14:textOutline w14:w="4358" w14:cap="sq" w14:cmpd="sng">
                  <w14:solidFill>
                    <w14:srgbClr w14:val="000000"/>
                  </w14:solidFill>
                  <w14:prstDash w14:val="solid"/>
                  <w14:bevel/>
                </w14:textOutline>
              </w:rPr>
              <w:t>备注</w:t>
            </w:r>
          </w:p>
        </w:tc>
        <w:tc>
          <w:tcPr>
            <w:tcW w:w="7103" w:type="dxa"/>
            <w:tcBorders>
              <w:bottom w:val="single" w:color="000000" w:sz="4" w:space="0"/>
              <w:right w:val="single" w:color="000000" w:sz="4" w:space="0"/>
            </w:tcBorders>
            <w:vAlign w:val="top"/>
          </w:tcPr>
          <w:p w14:paraId="58B4C9AB">
            <w:pPr>
              <w:spacing w:before="123" w:line="308" w:lineRule="auto"/>
              <w:ind w:left="158" w:right="118" w:hanging="28"/>
              <w:jc w:val="both"/>
              <w:rPr>
                <w:rFonts w:ascii="宋体" w:hAnsi="宋体" w:eastAsia="宋体" w:cs="宋体"/>
                <w:color w:val="auto"/>
                <w:sz w:val="24"/>
                <w:szCs w:val="24"/>
              </w:rPr>
            </w:pPr>
            <w:r>
              <w:rPr>
                <w:rFonts w:ascii="宋体" w:hAnsi="宋体" w:eastAsia="宋体" w:cs="宋体"/>
                <w:color w:val="auto"/>
                <w:spacing w:val="-1"/>
                <w:sz w:val="24"/>
                <w:szCs w:val="24"/>
              </w:rPr>
              <w:t>1.电子</w:t>
            </w:r>
            <w:r>
              <w:rPr>
                <w:rFonts w:hint="eastAsia" w:ascii="宋体" w:hAnsi="宋体" w:eastAsia="宋体" w:cs="宋体"/>
                <w:color w:val="auto"/>
                <w:spacing w:val="-1"/>
                <w:sz w:val="24"/>
                <w:szCs w:val="24"/>
                <w:lang w:eastAsia="zh-CN"/>
              </w:rPr>
              <w:t>响应文件</w:t>
            </w:r>
            <w:r>
              <w:rPr>
                <w:rFonts w:ascii="宋体" w:hAnsi="宋体" w:eastAsia="宋体" w:cs="宋体"/>
                <w:color w:val="auto"/>
                <w:spacing w:val="-1"/>
                <w:sz w:val="24"/>
                <w:szCs w:val="24"/>
              </w:rPr>
              <w:t>使用“新疆维吾尔自治区全流程电子招投标项</w:t>
            </w:r>
            <w:r>
              <w:rPr>
                <w:rFonts w:ascii="宋体" w:hAnsi="宋体" w:eastAsia="宋体" w:cs="宋体"/>
                <w:color w:val="auto"/>
                <w:spacing w:val="6"/>
                <w:sz w:val="24"/>
                <w:szCs w:val="24"/>
              </w:rPr>
              <w:t>目管理系统--供应商客户端</w:t>
            </w:r>
            <w:r>
              <w:rPr>
                <w:rFonts w:ascii="宋体" w:hAnsi="宋体" w:eastAsia="宋体" w:cs="宋体"/>
                <w:color w:val="auto"/>
                <w:spacing w:val="-78"/>
                <w:sz w:val="24"/>
                <w:szCs w:val="24"/>
              </w:rPr>
              <w:t xml:space="preserve"> </w:t>
            </w:r>
            <w:r>
              <w:rPr>
                <w:rFonts w:ascii="宋体" w:hAnsi="宋体" w:eastAsia="宋体" w:cs="宋体"/>
                <w:color w:val="auto"/>
                <w:spacing w:val="6"/>
                <w:sz w:val="24"/>
                <w:szCs w:val="24"/>
              </w:rPr>
              <w:t>”制作完成，生成</w:t>
            </w:r>
            <w:r>
              <w:rPr>
                <w:rFonts w:ascii="宋体" w:hAnsi="宋体" w:eastAsia="宋体" w:cs="宋体"/>
                <w:color w:val="auto"/>
                <w:spacing w:val="5"/>
                <w:sz w:val="24"/>
                <w:szCs w:val="24"/>
              </w:rPr>
              <w:t>电子加密标书</w:t>
            </w:r>
            <w:r>
              <w:rPr>
                <w:rFonts w:ascii="宋体" w:hAnsi="宋体" w:eastAsia="宋体" w:cs="宋体"/>
                <w:color w:val="auto"/>
                <w:spacing w:val="-2"/>
                <w:sz w:val="24"/>
                <w:szCs w:val="24"/>
              </w:rPr>
              <w:t>（.jmbs）上传至政采云平台。</w:t>
            </w:r>
          </w:p>
          <w:p w14:paraId="4C709F44">
            <w:pPr>
              <w:spacing w:before="120" w:line="308" w:lineRule="auto"/>
              <w:ind w:left="112" w:right="118" w:firstLine="2"/>
              <w:jc w:val="both"/>
              <w:rPr>
                <w:rFonts w:ascii="宋体" w:hAnsi="宋体" w:eastAsia="宋体" w:cs="宋体"/>
                <w:color w:val="auto"/>
                <w:sz w:val="24"/>
                <w:szCs w:val="24"/>
              </w:rPr>
            </w:pPr>
            <w:r>
              <w:rPr>
                <w:rFonts w:ascii="宋体" w:hAnsi="宋体" w:eastAsia="宋体" w:cs="宋体"/>
                <w:color w:val="auto"/>
                <w:sz w:val="24"/>
                <w:szCs w:val="24"/>
              </w:rPr>
              <w:t>2.供应商制作电子</w:t>
            </w:r>
            <w:r>
              <w:rPr>
                <w:rFonts w:hint="eastAsia" w:ascii="宋体" w:hAnsi="宋体" w:eastAsia="宋体" w:cs="宋体"/>
                <w:color w:val="auto"/>
                <w:sz w:val="24"/>
                <w:szCs w:val="24"/>
                <w:lang w:eastAsia="zh-CN"/>
              </w:rPr>
              <w:t>响应文件</w:t>
            </w:r>
            <w:r>
              <w:rPr>
                <w:rFonts w:ascii="宋体" w:hAnsi="宋体" w:eastAsia="宋体" w:cs="宋体"/>
                <w:color w:val="auto"/>
                <w:sz w:val="24"/>
                <w:szCs w:val="24"/>
              </w:rPr>
              <w:t>加密文件应与开标现场解密时的数字</w:t>
            </w:r>
            <w:r>
              <w:rPr>
                <w:rFonts w:ascii="宋体" w:hAnsi="宋体" w:eastAsia="宋体" w:cs="宋体"/>
                <w:color w:val="auto"/>
                <w:spacing w:val="-5"/>
                <w:sz w:val="24"/>
                <w:szCs w:val="24"/>
              </w:rPr>
              <w:t>证书（CA</w:t>
            </w:r>
            <w:r>
              <w:rPr>
                <w:rFonts w:ascii="宋体" w:hAnsi="宋体" w:eastAsia="宋体" w:cs="宋体"/>
                <w:color w:val="auto"/>
                <w:spacing w:val="-43"/>
                <w:sz w:val="24"/>
                <w:szCs w:val="24"/>
              </w:rPr>
              <w:t xml:space="preserve"> </w:t>
            </w:r>
            <w:r>
              <w:rPr>
                <w:rFonts w:ascii="宋体" w:hAnsi="宋体" w:eastAsia="宋体" w:cs="宋体"/>
                <w:color w:val="auto"/>
                <w:spacing w:val="-5"/>
                <w:sz w:val="24"/>
                <w:szCs w:val="24"/>
              </w:rPr>
              <w:t>锁）同为一把，若因数字证书（CA</w:t>
            </w:r>
            <w:r>
              <w:rPr>
                <w:rFonts w:ascii="宋体" w:hAnsi="宋体" w:eastAsia="宋体" w:cs="宋体"/>
                <w:color w:val="auto"/>
                <w:spacing w:val="-51"/>
                <w:sz w:val="24"/>
                <w:szCs w:val="24"/>
              </w:rPr>
              <w:t xml:space="preserve"> </w:t>
            </w:r>
            <w:r>
              <w:rPr>
                <w:rFonts w:ascii="宋体" w:hAnsi="宋体" w:eastAsia="宋体" w:cs="宋体"/>
                <w:color w:val="auto"/>
                <w:spacing w:val="-5"/>
                <w:sz w:val="24"/>
                <w:szCs w:val="24"/>
              </w:rPr>
              <w:t>锁）不是同一把锁</w:t>
            </w:r>
            <w:r>
              <w:rPr>
                <w:rFonts w:ascii="宋体" w:hAnsi="宋体" w:eastAsia="宋体" w:cs="宋体"/>
                <w:color w:val="auto"/>
                <w:spacing w:val="-1"/>
                <w:sz w:val="24"/>
                <w:szCs w:val="24"/>
              </w:rPr>
              <w:t>导致现场解密失败的，供应商自行承担后果。</w:t>
            </w:r>
          </w:p>
        </w:tc>
      </w:tr>
      <w:tr w14:paraId="383BE2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3" w:hRule="atLeast"/>
        </w:trPr>
        <w:tc>
          <w:tcPr>
            <w:tcW w:w="742" w:type="dxa"/>
            <w:vMerge w:val="continue"/>
            <w:tcBorders>
              <w:left w:val="single" w:color="000000" w:sz="4" w:space="0"/>
            </w:tcBorders>
            <w:vAlign w:val="top"/>
          </w:tcPr>
          <w:p w14:paraId="4BC0D648">
            <w:pPr>
              <w:rPr>
                <w:rFonts w:ascii="Arial"/>
                <w:color w:val="auto"/>
                <w:sz w:val="21"/>
              </w:rPr>
            </w:pPr>
          </w:p>
        </w:tc>
        <w:tc>
          <w:tcPr>
            <w:tcW w:w="1870" w:type="dxa"/>
            <w:vMerge w:val="continue"/>
            <w:vAlign w:val="top"/>
          </w:tcPr>
          <w:p w14:paraId="3601EC9B">
            <w:pPr>
              <w:rPr>
                <w:rFonts w:ascii="Arial"/>
                <w:color w:val="auto"/>
                <w:sz w:val="21"/>
              </w:rPr>
            </w:pPr>
          </w:p>
        </w:tc>
        <w:tc>
          <w:tcPr>
            <w:tcW w:w="7103" w:type="dxa"/>
            <w:tcBorders>
              <w:left w:val="single" w:color="000000" w:sz="2" w:space="0"/>
            </w:tcBorders>
            <w:vAlign w:val="top"/>
          </w:tcPr>
          <w:p w14:paraId="35F1B502">
            <w:pPr>
              <w:spacing w:before="114" w:line="400" w:lineRule="exact"/>
              <w:ind w:left="117"/>
              <w:rPr>
                <w:rFonts w:ascii="宋体" w:hAnsi="宋体" w:eastAsia="宋体" w:cs="宋体"/>
                <w:color w:val="auto"/>
                <w:sz w:val="24"/>
                <w:szCs w:val="24"/>
              </w:rPr>
            </w:pPr>
            <w:r>
              <w:rPr>
                <w:rFonts w:ascii="宋体" w:hAnsi="宋体" w:eastAsia="宋体" w:cs="宋体"/>
                <w:color w:val="auto"/>
                <w:spacing w:val="-1"/>
                <w:position w:val="11"/>
                <w:sz w:val="24"/>
                <w:szCs w:val="24"/>
              </w:rPr>
              <w:t>3.数字证书办理：供应商须自行办理政采云数字证书（CA</w:t>
            </w:r>
            <w:r>
              <w:rPr>
                <w:rFonts w:ascii="宋体" w:hAnsi="宋体" w:eastAsia="宋体" w:cs="宋体"/>
                <w:color w:val="auto"/>
                <w:spacing w:val="-47"/>
                <w:position w:val="11"/>
                <w:sz w:val="24"/>
                <w:szCs w:val="24"/>
              </w:rPr>
              <w:t xml:space="preserve"> </w:t>
            </w:r>
            <w:r>
              <w:rPr>
                <w:rFonts w:ascii="宋体" w:hAnsi="宋体" w:eastAsia="宋体" w:cs="宋体"/>
                <w:color w:val="auto"/>
                <w:spacing w:val="-1"/>
                <w:position w:val="11"/>
                <w:sz w:val="24"/>
                <w:szCs w:val="24"/>
              </w:rPr>
              <w:t>锁）</w:t>
            </w:r>
          </w:p>
          <w:p w14:paraId="04E6862A">
            <w:pPr>
              <w:spacing w:line="218" w:lineRule="auto"/>
              <w:ind w:left="113"/>
              <w:rPr>
                <w:rFonts w:ascii="宋体" w:hAnsi="宋体" w:eastAsia="宋体" w:cs="宋体"/>
                <w:color w:val="auto"/>
                <w:sz w:val="24"/>
                <w:szCs w:val="24"/>
              </w:rPr>
            </w:pPr>
            <w:r>
              <w:rPr>
                <w:rFonts w:ascii="宋体" w:hAnsi="宋体" w:eastAsia="宋体" w:cs="宋体"/>
                <w:color w:val="auto"/>
                <w:spacing w:val="-2"/>
                <w:sz w:val="24"/>
                <w:szCs w:val="24"/>
              </w:rPr>
              <w:t>联系方式：政采云热线</w:t>
            </w:r>
            <w:r>
              <w:rPr>
                <w:rFonts w:ascii="宋体" w:hAnsi="宋体" w:eastAsia="宋体" w:cs="宋体"/>
                <w:color w:val="auto"/>
                <w:spacing w:val="-42"/>
                <w:sz w:val="24"/>
                <w:szCs w:val="24"/>
              </w:rPr>
              <w:t xml:space="preserve"> </w:t>
            </w:r>
            <w:r>
              <w:rPr>
                <w:rFonts w:ascii="宋体" w:hAnsi="宋体" w:eastAsia="宋体" w:cs="宋体"/>
                <w:color w:val="auto"/>
                <w:spacing w:val="-2"/>
                <w:sz w:val="24"/>
                <w:szCs w:val="24"/>
              </w:rPr>
              <w:t>95763</w:t>
            </w:r>
          </w:p>
          <w:p w14:paraId="5D3DFA29">
            <w:pPr>
              <w:spacing w:before="115" w:line="263" w:lineRule="auto"/>
              <w:ind w:left="117" w:right="133" w:hanging="6"/>
              <w:rPr>
                <w:rFonts w:ascii="宋体" w:hAnsi="宋体" w:eastAsia="宋体" w:cs="宋体"/>
                <w:color w:val="auto"/>
                <w:sz w:val="24"/>
                <w:szCs w:val="24"/>
              </w:rPr>
            </w:pPr>
            <w:r>
              <w:rPr>
                <w:rFonts w:ascii="宋体" w:hAnsi="宋体" w:eastAsia="宋体" w:cs="宋体"/>
                <w:color w:val="auto"/>
                <w:spacing w:val="-1"/>
                <w:sz w:val="24"/>
                <w:szCs w:val="24"/>
              </w:rPr>
              <w:t>4.供应商应认真学习关于开展自治区政府采购“不见面开标系</w:t>
            </w:r>
            <w:r>
              <w:rPr>
                <w:rFonts w:ascii="宋体" w:hAnsi="宋体" w:eastAsia="宋体" w:cs="宋体"/>
                <w:color w:val="auto"/>
                <w:spacing w:val="-3"/>
                <w:sz w:val="24"/>
                <w:szCs w:val="24"/>
              </w:rPr>
              <w:t>统</w:t>
            </w:r>
            <w:r>
              <w:rPr>
                <w:rFonts w:ascii="宋体" w:hAnsi="宋体" w:eastAsia="宋体" w:cs="宋体"/>
                <w:color w:val="auto"/>
                <w:spacing w:val="-83"/>
                <w:sz w:val="24"/>
                <w:szCs w:val="24"/>
              </w:rPr>
              <w:t xml:space="preserve"> </w:t>
            </w:r>
            <w:r>
              <w:rPr>
                <w:rFonts w:ascii="宋体" w:hAnsi="宋体" w:eastAsia="宋体" w:cs="宋体"/>
                <w:color w:val="auto"/>
                <w:spacing w:val="-3"/>
                <w:sz w:val="24"/>
                <w:szCs w:val="24"/>
              </w:rPr>
              <w:t>”网络培训的通知，制作电子</w:t>
            </w:r>
            <w:r>
              <w:rPr>
                <w:rFonts w:hint="eastAsia" w:ascii="宋体" w:hAnsi="宋体" w:eastAsia="宋体" w:cs="宋体"/>
                <w:color w:val="auto"/>
                <w:spacing w:val="-3"/>
                <w:sz w:val="24"/>
                <w:szCs w:val="24"/>
                <w:lang w:eastAsia="zh-CN"/>
              </w:rPr>
              <w:t>响应文件</w:t>
            </w:r>
            <w:r>
              <w:rPr>
                <w:rFonts w:ascii="宋体" w:hAnsi="宋体" w:eastAsia="宋体" w:cs="宋体"/>
                <w:color w:val="auto"/>
                <w:spacing w:val="-3"/>
                <w:sz w:val="24"/>
                <w:szCs w:val="24"/>
              </w:rPr>
              <w:t>。</w:t>
            </w:r>
          </w:p>
        </w:tc>
      </w:tr>
      <w:tr w14:paraId="127A2D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3" w:hRule="atLeast"/>
        </w:trPr>
        <w:tc>
          <w:tcPr>
            <w:tcW w:w="742" w:type="dxa"/>
            <w:tcBorders>
              <w:left w:val="single" w:color="000000" w:sz="4" w:space="0"/>
            </w:tcBorders>
            <w:vAlign w:val="center"/>
          </w:tcPr>
          <w:p w14:paraId="3D5D5823">
            <w:pPr>
              <w:jc w:val="center"/>
              <w:rPr>
                <w:rFonts w:hint="default" w:ascii="Arial" w:eastAsia="宋体"/>
                <w:color w:val="auto"/>
                <w:sz w:val="21"/>
                <w:lang w:val="en-US" w:eastAsia="zh-CN"/>
              </w:rPr>
            </w:pPr>
            <w:r>
              <w:rPr>
                <w:rFonts w:hint="eastAsia" w:eastAsia="宋体"/>
                <w:color w:val="auto"/>
                <w:sz w:val="21"/>
                <w:lang w:val="en-US" w:eastAsia="zh-CN"/>
              </w:rPr>
              <w:t>33</w:t>
            </w:r>
          </w:p>
        </w:tc>
        <w:tc>
          <w:tcPr>
            <w:tcW w:w="1870" w:type="dxa"/>
            <w:vAlign w:val="center"/>
          </w:tcPr>
          <w:p w14:paraId="7F73E792">
            <w:pPr>
              <w:jc w:val="center"/>
              <w:rPr>
                <w:rFonts w:ascii="Arial"/>
                <w:color w:val="auto"/>
                <w:sz w:val="21"/>
              </w:rPr>
            </w:pPr>
            <w:r>
              <w:rPr>
                <w:rFonts w:hint="eastAsia" w:ascii="宋体" w:hAnsi="宋体" w:eastAsia="宋体" w:cs="宋体"/>
                <w:color w:val="auto"/>
                <w:spacing w:val="-7"/>
                <w:sz w:val="24"/>
                <w:szCs w:val="24"/>
                <w:lang w:eastAsia="zh-CN"/>
                <w14:textOutline w14:w="4358" w14:cap="sq" w14:cmpd="sng">
                  <w14:solidFill>
                    <w14:srgbClr w14:val="000000"/>
                  </w14:solidFill>
                  <w14:prstDash w14:val="solid"/>
                  <w14:bevel/>
                </w14:textOutline>
              </w:rPr>
              <w:t>多标段成交原则</w:t>
            </w:r>
          </w:p>
        </w:tc>
        <w:tc>
          <w:tcPr>
            <w:tcW w:w="7103" w:type="dxa"/>
            <w:tcBorders>
              <w:left w:val="single" w:color="000000" w:sz="2" w:space="0"/>
            </w:tcBorders>
            <w:vAlign w:val="top"/>
          </w:tcPr>
          <w:p w14:paraId="538584CB">
            <w:pPr>
              <w:spacing w:before="115" w:line="263" w:lineRule="auto"/>
              <w:ind w:left="117" w:right="133" w:hanging="6"/>
              <w:rPr>
                <w:rFonts w:hint="eastAsia" w:ascii="宋体" w:hAnsi="宋体" w:eastAsia="宋体" w:cs="宋体"/>
                <w:b/>
                <w:bCs/>
                <w:color w:val="auto"/>
                <w:spacing w:val="-1"/>
                <w:sz w:val="24"/>
                <w:szCs w:val="24"/>
                <w:lang w:val="en-US" w:eastAsia="zh-CN"/>
              </w:rPr>
            </w:pPr>
            <w:r>
              <w:rPr>
                <w:rFonts w:hint="eastAsia" w:ascii="宋体" w:hAnsi="宋体" w:eastAsia="宋体" w:cs="宋体"/>
                <w:b/>
                <w:bCs/>
                <w:color w:val="auto"/>
                <w:spacing w:val="-1"/>
                <w:sz w:val="24"/>
                <w:szCs w:val="24"/>
                <w:lang w:val="en-US" w:eastAsia="zh-CN"/>
              </w:rPr>
              <w:t>本项目分 4 个标项（标段），项目允许兼投不允许兼中，按标项顺序，逐项确定成交候选人。同时对多个标项参与响应的供应商，如成交在标项 1 中已经被推荐为第一成交候选人，则评审委员会在评审其他标项时，不再继续授予该供应商为其他标项的成交候选人资格（但需参与评审和排名），授予综合得分为下一排名的供应商为该标项的第一成交候选人，以此类推。</w:t>
            </w:r>
          </w:p>
          <w:p w14:paraId="4D77D1BE">
            <w:pPr>
              <w:spacing w:before="115" w:line="263" w:lineRule="auto"/>
              <w:ind w:left="117" w:right="133" w:hanging="6"/>
              <w:rPr>
                <w:rFonts w:ascii="宋体" w:hAnsi="宋体" w:eastAsia="宋体" w:cs="宋体"/>
                <w:color w:val="auto"/>
                <w:spacing w:val="-1"/>
                <w:sz w:val="24"/>
                <w:szCs w:val="24"/>
              </w:rPr>
            </w:pPr>
            <w:r>
              <w:rPr>
                <w:rFonts w:hint="eastAsia" w:ascii="宋体" w:hAnsi="宋体" w:eastAsia="宋体" w:cs="宋体"/>
                <w:b/>
                <w:bCs/>
                <w:color w:val="auto"/>
                <w:spacing w:val="-1"/>
                <w:sz w:val="24"/>
                <w:szCs w:val="24"/>
                <w:lang w:eastAsia="zh-CN"/>
              </w:rPr>
              <w:t>（兼投不兼中</w:t>
            </w:r>
            <w:r>
              <w:rPr>
                <w:rFonts w:hint="eastAsia" w:ascii="宋体" w:hAnsi="宋体" w:eastAsia="宋体" w:cs="宋体"/>
                <w:color w:val="auto"/>
                <w:spacing w:val="-1"/>
                <w:sz w:val="24"/>
                <w:szCs w:val="24"/>
                <w:lang w:eastAsia="zh-CN"/>
              </w:rPr>
              <w:t>）</w:t>
            </w:r>
          </w:p>
        </w:tc>
      </w:tr>
      <w:tr w14:paraId="7F2409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3" w:hRule="atLeast"/>
        </w:trPr>
        <w:tc>
          <w:tcPr>
            <w:tcW w:w="742" w:type="dxa"/>
            <w:tcBorders>
              <w:left w:val="single" w:color="000000" w:sz="4" w:space="0"/>
            </w:tcBorders>
            <w:vAlign w:val="center"/>
          </w:tcPr>
          <w:p w14:paraId="332DA1AE">
            <w:pPr>
              <w:jc w:val="center"/>
              <w:rPr>
                <w:rFonts w:hint="default" w:eastAsia="宋体"/>
                <w:color w:val="auto"/>
                <w:sz w:val="21"/>
                <w:lang w:val="en-US" w:eastAsia="zh-CN"/>
              </w:rPr>
            </w:pPr>
            <w:r>
              <w:rPr>
                <w:rFonts w:hint="eastAsia" w:eastAsia="宋体"/>
                <w:color w:val="auto"/>
                <w:sz w:val="21"/>
                <w:lang w:val="en-US" w:eastAsia="zh-CN"/>
              </w:rPr>
              <w:t>34</w:t>
            </w:r>
          </w:p>
        </w:tc>
        <w:tc>
          <w:tcPr>
            <w:tcW w:w="1870" w:type="dxa"/>
            <w:vAlign w:val="center"/>
          </w:tcPr>
          <w:p w14:paraId="24AAF450">
            <w:pPr>
              <w:jc w:val="center"/>
              <w:rPr>
                <w:b/>
                <w:bCs/>
                <w:spacing w:val="-5"/>
              </w:rPr>
            </w:pPr>
            <w:r>
              <w:rPr>
                <w:rFonts w:hint="eastAsia" w:ascii="宋体" w:hAnsi="宋体" w:eastAsia="宋体" w:cs="宋体"/>
                <w:color w:val="auto"/>
                <w:spacing w:val="-7"/>
                <w:sz w:val="24"/>
                <w:szCs w:val="24"/>
                <w:lang w:eastAsia="zh-CN"/>
                <w14:textOutline w14:w="4358" w14:cap="sq" w14:cmpd="sng">
                  <w14:solidFill>
                    <w14:srgbClr w14:val="000000"/>
                  </w14:solidFill>
                  <w14:prstDash w14:val="solid"/>
                  <w14:bevel/>
                </w14:textOutline>
              </w:rPr>
              <w:t>监管部门</w:t>
            </w:r>
          </w:p>
        </w:tc>
        <w:tc>
          <w:tcPr>
            <w:tcW w:w="7103" w:type="dxa"/>
            <w:tcBorders>
              <w:left w:val="single" w:color="000000" w:sz="2" w:space="0"/>
            </w:tcBorders>
            <w:vAlign w:val="center"/>
          </w:tcPr>
          <w:p w14:paraId="001990BC">
            <w:pPr>
              <w:keepNext w:val="0"/>
              <w:keepLines w:val="0"/>
              <w:pageBreakBefore w:val="0"/>
              <w:widowControl/>
              <w:kinsoku/>
              <w:wordWrap/>
              <w:overflowPunct/>
              <w:topLinePunct w:val="0"/>
              <w:autoSpaceDE w:val="0"/>
              <w:autoSpaceDN w:val="0"/>
              <w:bidi w:val="0"/>
              <w:adjustRightInd w:val="0"/>
              <w:snapToGrid w:val="0"/>
              <w:spacing w:line="360" w:lineRule="auto"/>
              <w:ind w:left="0" w:right="0" w:hanging="10"/>
              <w:jc w:val="both"/>
              <w:textAlignment w:val="baseline"/>
              <w:rPr>
                <w:rFonts w:hint="eastAsia" w:ascii="仿宋" w:hAnsi="仿宋" w:eastAsia="仿宋" w:cs="仿宋"/>
                <w:spacing w:val="-3"/>
                <w:sz w:val="24"/>
                <w:szCs w:val="24"/>
                <w:lang w:val="en-US" w:eastAsia="zh-CN"/>
              </w:rPr>
            </w:pPr>
            <w:r>
              <w:rPr>
                <w:rFonts w:hint="eastAsia" w:ascii="仿宋" w:hAnsi="仿宋" w:eastAsia="仿宋" w:cs="仿宋"/>
                <w:spacing w:val="-3"/>
                <w:sz w:val="24"/>
                <w:szCs w:val="24"/>
                <w:lang w:val="en-US" w:eastAsia="zh-CN"/>
              </w:rPr>
              <w:t>监管部门：拜城县财政局政府采购管理办公室</w:t>
            </w:r>
          </w:p>
          <w:p w14:paraId="29620F73">
            <w:pPr>
              <w:keepNext w:val="0"/>
              <w:keepLines w:val="0"/>
              <w:pageBreakBefore w:val="0"/>
              <w:widowControl/>
              <w:kinsoku/>
              <w:wordWrap/>
              <w:overflowPunct/>
              <w:topLinePunct w:val="0"/>
              <w:autoSpaceDE w:val="0"/>
              <w:autoSpaceDN w:val="0"/>
              <w:bidi w:val="0"/>
              <w:adjustRightInd w:val="0"/>
              <w:snapToGrid w:val="0"/>
              <w:spacing w:line="360" w:lineRule="auto"/>
              <w:ind w:left="0" w:right="0" w:hanging="10"/>
              <w:jc w:val="both"/>
              <w:textAlignment w:val="baseline"/>
              <w:rPr>
                <w:rFonts w:hint="eastAsia" w:ascii="仿宋" w:hAnsi="仿宋" w:eastAsia="仿宋" w:cs="仿宋"/>
                <w:spacing w:val="-3"/>
                <w:sz w:val="24"/>
                <w:szCs w:val="24"/>
                <w:lang w:val="en-US" w:eastAsia="zh-CN"/>
              </w:rPr>
            </w:pPr>
            <w:r>
              <w:rPr>
                <w:rFonts w:hint="eastAsia" w:ascii="仿宋" w:hAnsi="仿宋" w:eastAsia="仿宋" w:cs="仿宋"/>
                <w:spacing w:val="-3"/>
                <w:sz w:val="24"/>
                <w:szCs w:val="24"/>
                <w:lang w:val="en-US" w:eastAsia="zh-CN"/>
              </w:rPr>
              <w:t>联系电话：0997-8623036</w:t>
            </w:r>
          </w:p>
          <w:p w14:paraId="552A8DA8">
            <w:pPr>
              <w:spacing w:before="115" w:line="263" w:lineRule="auto"/>
              <w:ind w:right="133"/>
              <w:jc w:val="both"/>
              <w:rPr>
                <w:rFonts w:hint="eastAsia" w:ascii="宋体" w:hAnsi="宋体" w:eastAsia="宋体" w:cs="宋体"/>
                <w:b/>
                <w:bCs/>
                <w:color w:val="auto"/>
                <w:spacing w:val="-1"/>
                <w:sz w:val="24"/>
                <w:szCs w:val="24"/>
                <w:lang w:eastAsia="zh-CN"/>
              </w:rPr>
            </w:pPr>
            <w:r>
              <w:rPr>
                <w:rFonts w:hint="eastAsia" w:ascii="仿宋" w:hAnsi="仿宋" w:eastAsia="仿宋" w:cs="仿宋"/>
                <w:spacing w:val="-3"/>
                <w:sz w:val="24"/>
                <w:szCs w:val="24"/>
                <w:lang w:val="en-US" w:eastAsia="zh-CN"/>
              </w:rPr>
              <w:t>电子邮箱：</w:t>
            </w:r>
            <w:r>
              <w:rPr>
                <w:rFonts w:hint="eastAsia" w:ascii="仿宋" w:hAnsi="仿宋" w:eastAsia="仿宋" w:cs="仿宋"/>
                <w:spacing w:val="-3"/>
                <w:sz w:val="24"/>
                <w:szCs w:val="24"/>
                <w:lang w:val="en-US" w:eastAsia="zh-CN"/>
              </w:rPr>
              <w:fldChar w:fldCharType="begin"/>
            </w:r>
            <w:r>
              <w:rPr>
                <w:rFonts w:hint="eastAsia" w:ascii="仿宋" w:hAnsi="仿宋" w:eastAsia="仿宋" w:cs="仿宋"/>
                <w:spacing w:val="-3"/>
                <w:sz w:val="24"/>
                <w:szCs w:val="24"/>
                <w:lang w:val="en-US" w:eastAsia="zh-CN"/>
              </w:rPr>
              <w:instrText xml:space="preserve"> HYPERLINK "mailto:539205957@qq.com" </w:instrText>
            </w:r>
            <w:r>
              <w:rPr>
                <w:rFonts w:hint="eastAsia" w:ascii="仿宋" w:hAnsi="仿宋" w:eastAsia="仿宋" w:cs="仿宋"/>
                <w:spacing w:val="-3"/>
                <w:sz w:val="24"/>
                <w:szCs w:val="24"/>
                <w:lang w:val="en-US" w:eastAsia="zh-CN"/>
              </w:rPr>
              <w:fldChar w:fldCharType="separate"/>
            </w:r>
            <w:r>
              <w:rPr>
                <w:rFonts w:hint="eastAsia" w:ascii="仿宋" w:hAnsi="仿宋" w:eastAsia="仿宋" w:cs="仿宋"/>
                <w:spacing w:val="-3"/>
                <w:sz w:val="24"/>
                <w:szCs w:val="24"/>
                <w:lang w:val="en-US" w:eastAsia="zh-CN"/>
              </w:rPr>
              <w:t>539205957@qq.com</w:t>
            </w:r>
            <w:r>
              <w:rPr>
                <w:rFonts w:hint="eastAsia" w:ascii="仿宋" w:hAnsi="仿宋" w:eastAsia="仿宋" w:cs="仿宋"/>
                <w:spacing w:val="-3"/>
                <w:sz w:val="24"/>
                <w:szCs w:val="24"/>
                <w:lang w:val="en-US" w:eastAsia="zh-CN"/>
              </w:rPr>
              <w:fldChar w:fldCharType="end"/>
            </w:r>
          </w:p>
        </w:tc>
      </w:tr>
      <w:tr w14:paraId="255DFA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3" w:hRule="atLeast"/>
        </w:trPr>
        <w:tc>
          <w:tcPr>
            <w:tcW w:w="742" w:type="dxa"/>
            <w:tcBorders>
              <w:left w:val="single" w:color="000000" w:sz="4" w:space="0"/>
            </w:tcBorders>
            <w:vAlign w:val="center"/>
          </w:tcPr>
          <w:p w14:paraId="22209474">
            <w:pPr>
              <w:jc w:val="center"/>
              <w:rPr>
                <w:rFonts w:hint="default" w:eastAsia="宋体"/>
                <w:color w:val="auto"/>
                <w:sz w:val="21"/>
                <w:lang w:val="en-US" w:eastAsia="zh-CN"/>
              </w:rPr>
            </w:pPr>
            <w:r>
              <w:rPr>
                <w:rFonts w:hint="eastAsia" w:eastAsia="宋体"/>
                <w:color w:val="auto"/>
                <w:sz w:val="21"/>
                <w:lang w:val="en-US" w:eastAsia="zh-CN"/>
              </w:rPr>
              <w:t>35</w:t>
            </w:r>
          </w:p>
        </w:tc>
        <w:tc>
          <w:tcPr>
            <w:tcW w:w="1870" w:type="dxa"/>
            <w:vAlign w:val="center"/>
          </w:tcPr>
          <w:p w14:paraId="61520491">
            <w:pPr>
              <w:jc w:val="center"/>
              <w:rPr>
                <w:b/>
                <w:bCs/>
                <w:spacing w:val="-5"/>
              </w:rPr>
            </w:pPr>
            <w:r>
              <w:rPr>
                <w:rFonts w:hint="eastAsia" w:ascii="宋体" w:hAnsi="宋体" w:eastAsia="宋体" w:cs="宋体"/>
                <w:color w:val="auto"/>
                <w:spacing w:val="-7"/>
                <w:sz w:val="24"/>
                <w:szCs w:val="24"/>
                <w:lang w:val="en-US" w:eastAsia="zh-CN"/>
                <w14:textOutline w14:w="4358" w14:cap="sq" w14:cmpd="sng">
                  <w14:solidFill>
                    <w14:srgbClr w14:val="000000"/>
                  </w14:solidFill>
                  <w14:prstDash w14:val="solid"/>
                  <w14:bevel/>
                </w14:textOutline>
              </w:rPr>
              <w:t>公证</w:t>
            </w:r>
          </w:p>
        </w:tc>
        <w:tc>
          <w:tcPr>
            <w:tcW w:w="7103" w:type="dxa"/>
            <w:tcBorders>
              <w:left w:val="single" w:color="000000" w:sz="2" w:space="0"/>
            </w:tcBorders>
            <w:vAlign w:val="center"/>
          </w:tcPr>
          <w:p w14:paraId="258F8B30">
            <w:pPr>
              <w:spacing w:before="115" w:line="263" w:lineRule="auto"/>
              <w:ind w:left="117" w:right="133" w:hanging="6"/>
              <w:jc w:val="both"/>
              <w:rPr>
                <w:rFonts w:hint="eastAsia" w:ascii="宋体" w:hAnsi="宋体" w:eastAsia="宋体" w:cs="宋体"/>
                <w:b/>
                <w:bCs/>
                <w:color w:val="auto"/>
                <w:spacing w:val="-1"/>
                <w:sz w:val="24"/>
                <w:szCs w:val="24"/>
                <w:lang w:eastAsia="zh-CN"/>
              </w:rPr>
            </w:pPr>
            <w:r>
              <w:rPr>
                <w:rFonts w:hint="eastAsia" w:ascii="仿宋" w:hAnsi="仿宋" w:eastAsia="仿宋" w:cs="仿宋"/>
                <w:spacing w:val="-3"/>
                <w:sz w:val="24"/>
                <w:szCs w:val="24"/>
                <w:lang w:val="en-US" w:eastAsia="zh-CN"/>
              </w:rPr>
              <w:t>本项目公证人员由采购代理机构进行委托，公证书相关费用由采购代理机构承担</w:t>
            </w:r>
          </w:p>
        </w:tc>
      </w:tr>
    </w:tbl>
    <w:p w14:paraId="126814E8">
      <w:pPr>
        <w:spacing w:before="44" w:line="219" w:lineRule="auto"/>
        <w:ind w:left="3666"/>
        <w:outlineLvl w:val="9"/>
        <w:rPr>
          <w:rFonts w:ascii="宋体" w:hAnsi="宋体" w:eastAsia="宋体" w:cs="宋体"/>
          <w:spacing w:val="-2"/>
          <w:sz w:val="28"/>
          <w:szCs w:val="28"/>
          <w14:textOutline w14:w="5103" w14:cap="sq" w14:cmpd="sng">
            <w14:solidFill>
              <w14:srgbClr w14:val="000000"/>
            </w14:solidFill>
            <w14:prstDash w14:val="solid"/>
            <w14:bevel/>
          </w14:textOutline>
        </w:rPr>
      </w:pPr>
    </w:p>
    <w:p w14:paraId="72B9D93C">
      <w:pPr>
        <w:spacing w:before="44" w:line="219" w:lineRule="auto"/>
        <w:ind w:left="3666"/>
        <w:outlineLvl w:val="9"/>
        <w:rPr>
          <w:rFonts w:ascii="宋体" w:hAnsi="宋体" w:eastAsia="宋体" w:cs="宋体"/>
          <w:spacing w:val="-2"/>
          <w:sz w:val="28"/>
          <w:szCs w:val="28"/>
          <w14:textOutline w14:w="5103" w14:cap="sq" w14:cmpd="sng">
            <w14:solidFill>
              <w14:srgbClr w14:val="000000"/>
            </w14:solidFill>
            <w14:prstDash w14:val="solid"/>
            <w14:bevel/>
          </w14:textOutline>
        </w:rPr>
      </w:pPr>
    </w:p>
    <w:p w14:paraId="79AFFF93">
      <w:pPr>
        <w:spacing w:before="44" w:line="219" w:lineRule="auto"/>
        <w:ind w:left="3666"/>
        <w:outlineLvl w:val="9"/>
        <w:rPr>
          <w:rFonts w:ascii="宋体" w:hAnsi="宋体" w:eastAsia="宋体" w:cs="宋体"/>
          <w:spacing w:val="-2"/>
          <w:sz w:val="28"/>
          <w:szCs w:val="28"/>
          <w14:textOutline w14:w="5103" w14:cap="sq" w14:cmpd="sng">
            <w14:solidFill>
              <w14:srgbClr w14:val="000000"/>
            </w14:solidFill>
            <w14:prstDash w14:val="solid"/>
            <w14:bevel/>
          </w14:textOutline>
        </w:rPr>
      </w:pPr>
    </w:p>
    <w:p w14:paraId="6EBDCFA9">
      <w:pPr>
        <w:pStyle w:val="2"/>
      </w:pPr>
    </w:p>
    <w:p w14:paraId="6F2C598C">
      <w:pPr>
        <w:spacing w:before="44" w:line="219" w:lineRule="auto"/>
        <w:ind w:left="3666"/>
        <w:outlineLvl w:val="1"/>
        <w:rPr>
          <w:rFonts w:ascii="宋体" w:hAnsi="宋体" w:eastAsia="宋体" w:cs="宋体"/>
          <w:sz w:val="28"/>
          <w:szCs w:val="28"/>
        </w:rPr>
      </w:pPr>
      <w:r>
        <w:rPr>
          <w:rFonts w:ascii="宋体" w:hAnsi="宋体" w:eastAsia="宋体" w:cs="宋体"/>
          <w:spacing w:val="-2"/>
          <w:sz w:val="28"/>
          <w:szCs w:val="28"/>
          <w14:textOutline w14:w="5103" w14:cap="sq" w14:cmpd="sng">
            <w14:solidFill>
              <w14:srgbClr w14:val="000000"/>
            </w14:solidFill>
            <w14:prstDash w14:val="solid"/>
            <w14:bevel/>
          </w14:textOutline>
        </w:rPr>
        <w:t>（二）供应商须知</w:t>
      </w:r>
    </w:p>
    <w:p w14:paraId="18C0C327">
      <w:pPr>
        <w:spacing w:before="204" w:line="220" w:lineRule="auto"/>
        <w:ind w:left="38"/>
        <w:outlineLvl w:val="2"/>
        <w:rPr>
          <w:rFonts w:ascii="宋体" w:hAnsi="宋体" w:eastAsia="宋体" w:cs="宋体"/>
          <w:sz w:val="24"/>
          <w:szCs w:val="24"/>
        </w:rPr>
      </w:pPr>
      <w:r>
        <w:rPr>
          <w:rFonts w:ascii="宋体" w:hAnsi="宋体" w:eastAsia="宋体" w:cs="宋体"/>
          <w:spacing w:val="-6"/>
          <w:sz w:val="24"/>
          <w:szCs w:val="24"/>
          <w14:textOutline w14:w="4358" w14:cap="sq" w14:cmpd="sng">
            <w14:solidFill>
              <w14:srgbClr w14:val="000000"/>
            </w14:solidFill>
            <w14:prstDash w14:val="solid"/>
            <w14:bevel/>
          </w14:textOutline>
        </w:rPr>
        <w:t>1.定义、</w:t>
      </w:r>
    </w:p>
    <w:p w14:paraId="44012E44">
      <w:pPr>
        <w:spacing w:before="225" w:line="465" w:lineRule="exact"/>
        <w:ind w:left="518"/>
        <w:rPr>
          <w:rFonts w:ascii="宋体" w:hAnsi="宋体" w:eastAsia="宋体" w:cs="宋体"/>
          <w:position w:val="17"/>
          <w:sz w:val="24"/>
          <w:szCs w:val="24"/>
        </w:rPr>
      </w:pPr>
      <w:r>
        <w:rPr>
          <w:rFonts w:ascii="宋体" w:hAnsi="宋体" w:eastAsia="宋体" w:cs="宋体"/>
          <w:position w:val="17"/>
          <w:sz w:val="24"/>
          <w:szCs w:val="24"/>
        </w:rPr>
        <w:t>1.1“政府采购当事人 ”系指在政府采购活动中享有权利和承担义务的各类主体，包括采购人、供应商和采购代理机构。</w:t>
      </w:r>
    </w:p>
    <w:p w14:paraId="26C794C7">
      <w:pPr>
        <w:spacing w:before="183" w:line="219" w:lineRule="auto"/>
        <w:ind w:left="518"/>
        <w:rPr>
          <w:rFonts w:ascii="宋体" w:hAnsi="宋体" w:eastAsia="宋体" w:cs="宋体"/>
          <w:sz w:val="24"/>
          <w:szCs w:val="24"/>
        </w:rPr>
      </w:pPr>
      <w:r>
        <w:rPr>
          <w:rFonts w:ascii="宋体" w:hAnsi="宋体" w:eastAsia="宋体" w:cs="宋体"/>
          <w:spacing w:val="-5"/>
          <w:sz w:val="24"/>
          <w:szCs w:val="24"/>
        </w:rPr>
        <w:t>1.2“采购人</w:t>
      </w:r>
      <w:r>
        <w:rPr>
          <w:rFonts w:ascii="宋体" w:hAnsi="宋体" w:eastAsia="宋体" w:cs="宋体"/>
          <w:spacing w:val="-86"/>
          <w:sz w:val="24"/>
          <w:szCs w:val="24"/>
        </w:rPr>
        <w:t xml:space="preserve"> </w:t>
      </w:r>
      <w:r>
        <w:rPr>
          <w:rFonts w:ascii="宋体" w:hAnsi="宋体" w:eastAsia="宋体" w:cs="宋体"/>
          <w:spacing w:val="-5"/>
          <w:sz w:val="24"/>
          <w:szCs w:val="24"/>
        </w:rPr>
        <w:t>”和“</w:t>
      </w:r>
      <w:r>
        <w:rPr>
          <w:rFonts w:ascii="宋体" w:hAnsi="宋体" w:eastAsia="宋体" w:cs="宋体"/>
          <w:spacing w:val="-80"/>
          <w:sz w:val="24"/>
          <w:szCs w:val="24"/>
        </w:rPr>
        <w:t xml:space="preserve"> </w:t>
      </w:r>
      <w:r>
        <w:rPr>
          <w:rFonts w:ascii="宋体" w:hAnsi="宋体" w:eastAsia="宋体" w:cs="宋体"/>
          <w:spacing w:val="-5"/>
          <w:sz w:val="24"/>
          <w:szCs w:val="24"/>
        </w:rPr>
        <w:t>甲方</w:t>
      </w:r>
      <w:r>
        <w:rPr>
          <w:rFonts w:ascii="宋体" w:hAnsi="宋体" w:eastAsia="宋体" w:cs="宋体"/>
          <w:spacing w:val="-88"/>
          <w:sz w:val="24"/>
          <w:szCs w:val="24"/>
        </w:rPr>
        <w:t xml:space="preserve"> </w:t>
      </w:r>
      <w:r>
        <w:rPr>
          <w:rFonts w:ascii="宋体" w:hAnsi="宋体" w:eastAsia="宋体" w:cs="宋体"/>
          <w:spacing w:val="-5"/>
          <w:sz w:val="24"/>
          <w:szCs w:val="24"/>
        </w:rPr>
        <w:t>”系指</w:t>
      </w:r>
      <w:r>
        <w:rPr>
          <w:rFonts w:hint="eastAsia" w:ascii="宋体" w:hAnsi="宋体" w:eastAsia="宋体" w:cs="宋体"/>
          <w:spacing w:val="-5"/>
          <w:sz w:val="24"/>
          <w:szCs w:val="24"/>
          <w:u w:val="single" w:color="auto"/>
          <w:lang w:eastAsia="zh-CN"/>
        </w:rPr>
        <w:t>拜城县人民医院</w:t>
      </w:r>
      <w:r>
        <w:rPr>
          <w:rFonts w:ascii="宋体" w:hAnsi="宋体" w:eastAsia="宋体" w:cs="宋体"/>
          <w:spacing w:val="-5"/>
          <w:sz w:val="24"/>
          <w:szCs w:val="24"/>
        </w:rPr>
        <w:t>。</w:t>
      </w:r>
    </w:p>
    <w:p w14:paraId="5EB7C630">
      <w:pPr>
        <w:spacing w:before="181" w:line="219" w:lineRule="auto"/>
        <w:ind w:left="518"/>
        <w:rPr>
          <w:rFonts w:ascii="宋体" w:hAnsi="宋体" w:eastAsia="宋体" w:cs="宋体"/>
          <w:sz w:val="24"/>
          <w:szCs w:val="24"/>
        </w:rPr>
      </w:pPr>
      <w:r>
        <w:rPr>
          <w:rFonts w:ascii="宋体" w:hAnsi="宋体" w:eastAsia="宋体" w:cs="宋体"/>
          <w:spacing w:val="-3"/>
          <w:sz w:val="24"/>
          <w:szCs w:val="24"/>
        </w:rPr>
        <w:t>1.3“采购代理机构</w:t>
      </w:r>
      <w:r>
        <w:rPr>
          <w:rFonts w:ascii="宋体" w:hAnsi="宋体" w:eastAsia="宋体" w:cs="宋体"/>
          <w:spacing w:val="-71"/>
          <w:sz w:val="24"/>
          <w:szCs w:val="24"/>
        </w:rPr>
        <w:t xml:space="preserve"> </w:t>
      </w:r>
      <w:r>
        <w:rPr>
          <w:rFonts w:ascii="宋体" w:hAnsi="宋体" w:eastAsia="宋体" w:cs="宋体"/>
          <w:spacing w:val="-3"/>
          <w:sz w:val="24"/>
          <w:szCs w:val="24"/>
        </w:rPr>
        <w:t>”系指</w:t>
      </w:r>
      <w:r>
        <w:rPr>
          <w:rFonts w:hint="eastAsia" w:ascii="宋体" w:hAnsi="宋体" w:eastAsia="宋体" w:cs="宋体"/>
          <w:spacing w:val="-3"/>
          <w:sz w:val="24"/>
          <w:szCs w:val="24"/>
          <w:u w:val="single" w:color="auto"/>
          <w:lang w:eastAsia="zh-CN"/>
        </w:rPr>
        <w:t>阿克苏疆山项目管理有限公司</w:t>
      </w:r>
      <w:r>
        <w:rPr>
          <w:rFonts w:ascii="宋体" w:hAnsi="宋体" w:eastAsia="宋体" w:cs="宋体"/>
          <w:spacing w:val="-3"/>
          <w:sz w:val="24"/>
          <w:szCs w:val="24"/>
        </w:rPr>
        <w:t>。</w:t>
      </w:r>
    </w:p>
    <w:p w14:paraId="66F697B3">
      <w:pPr>
        <w:spacing w:before="184" w:line="359" w:lineRule="auto"/>
        <w:ind w:left="40" w:right="80" w:firstLine="478"/>
        <w:rPr>
          <w:rFonts w:ascii="宋体" w:hAnsi="宋体" w:eastAsia="宋体" w:cs="宋体"/>
          <w:sz w:val="24"/>
          <w:szCs w:val="24"/>
        </w:rPr>
      </w:pPr>
      <w:r>
        <w:rPr>
          <w:rFonts w:ascii="宋体" w:hAnsi="宋体" w:eastAsia="宋体" w:cs="宋体"/>
          <w:sz w:val="24"/>
          <w:szCs w:val="24"/>
        </w:rPr>
        <w:t>1.4“供应商</w:t>
      </w:r>
      <w:r>
        <w:rPr>
          <w:rFonts w:ascii="宋体" w:hAnsi="宋体" w:eastAsia="宋体" w:cs="宋体"/>
          <w:spacing w:val="-85"/>
          <w:sz w:val="24"/>
          <w:szCs w:val="24"/>
        </w:rPr>
        <w:t xml:space="preserve"> </w:t>
      </w:r>
      <w:r>
        <w:rPr>
          <w:rFonts w:ascii="宋体" w:hAnsi="宋体" w:eastAsia="宋体" w:cs="宋体"/>
          <w:sz w:val="24"/>
          <w:szCs w:val="24"/>
        </w:rPr>
        <w:t>”系指获取了</w:t>
      </w:r>
      <w:r>
        <w:rPr>
          <w:rFonts w:hint="eastAsia" w:ascii="宋体" w:hAnsi="宋体" w:eastAsia="宋体" w:cs="宋体"/>
          <w:sz w:val="24"/>
          <w:szCs w:val="24"/>
          <w:lang w:eastAsia="zh-CN"/>
        </w:rPr>
        <w:t>磋商文件</w:t>
      </w:r>
      <w:r>
        <w:rPr>
          <w:rFonts w:ascii="宋体" w:hAnsi="宋体" w:eastAsia="宋体" w:cs="宋体"/>
          <w:sz w:val="24"/>
          <w:szCs w:val="24"/>
        </w:rPr>
        <w:t>拟参</w:t>
      </w:r>
      <w:r>
        <w:rPr>
          <w:rFonts w:ascii="宋体" w:hAnsi="宋体" w:eastAsia="宋体" w:cs="宋体"/>
          <w:spacing w:val="-1"/>
          <w:sz w:val="24"/>
          <w:szCs w:val="24"/>
        </w:rPr>
        <w:t>加</w:t>
      </w:r>
      <w:r>
        <w:rPr>
          <w:rFonts w:hint="eastAsia" w:ascii="宋体" w:hAnsi="宋体" w:eastAsia="宋体" w:cs="宋体"/>
          <w:spacing w:val="-1"/>
          <w:sz w:val="24"/>
          <w:szCs w:val="24"/>
          <w:lang w:eastAsia="zh-CN"/>
        </w:rPr>
        <w:t>本项目</w:t>
      </w:r>
      <w:r>
        <w:rPr>
          <w:rFonts w:ascii="宋体" w:hAnsi="宋体" w:eastAsia="宋体" w:cs="宋体"/>
          <w:spacing w:val="-1"/>
          <w:sz w:val="24"/>
          <w:szCs w:val="24"/>
        </w:rPr>
        <w:t>和向采购人提供工程、货物及相应服务</w:t>
      </w:r>
      <w:r>
        <w:rPr>
          <w:rFonts w:ascii="宋体" w:hAnsi="宋体" w:eastAsia="宋体" w:cs="宋体"/>
          <w:sz w:val="24"/>
          <w:szCs w:val="24"/>
        </w:rPr>
        <w:t xml:space="preserve"> </w:t>
      </w:r>
      <w:r>
        <w:rPr>
          <w:rFonts w:ascii="宋体" w:hAnsi="宋体" w:eastAsia="宋体" w:cs="宋体"/>
          <w:spacing w:val="-3"/>
          <w:sz w:val="24"/>
          <w:szCs w:val="24"/>
        </w:rPr>
        <w:t>的法人、非法人组织或者自然人。潜在磋商供应商：以磋商文件规定的方式获取本项目磋商</w:t>
      </w:r>
      <w:r>
        <w:rPr>
          <w:rFonts w:ascii="宋体" w:hAnsi="宋体" w:eastAsia="宋体" w:cs="宋体"/>
          <w:spacing w:val="-1"/>
          <w:sz w:val="24"/>
          <w:szCs w:val="24"/>
        </w:rPr>
        <w:t>文件的法人、非法人组织或者自然人。</w:t>
      </w:r>
    </w:p>
    <w:p w14:paraId="4EF785F1">
      <w:pPr>
        <w:keepNext w:val="0"/>
        <w:keepLines w:val="0"/>
        <w:pageBreakBefore w:val="0"/>
        <w:widowControl/>
        <w:kinsoku w:val="0"/>
        <w:wordWrap/>
        <w:overflowPunct/>
        <w:topLinePunct w:val="0"/>
        <w:autoSpaceDE w:val="0"/>
        <w:autoSpaceDN w:val="0"/>
        <w:bidi w:val="0"/>
        <w:adjustRightInd w:val="0"/>
        <w:snapToGrid w:val="0"/>
        <w:spacing w:before="181" w:line="468" w:lineRule="exact"/>
        <w:ind w:firstLine="480" w:firstLineChars="200"/>
        <w:textAlignment w:val="baseline"/>
        <w:rPr>
          <w:rFonts w:ascii="宋体" w:hAnsi="宋体" w:eastAsia="宋体" w:cs="宋体"/>
          <w:sz w:val="24"/>
          <w:szCs w:val="24"/>
        </w:rPr>
      </w:pPr>
      <w:r>
        <w:rPr>
          <w:rFonts w:ascii="宋体" w:hAnsi="宋体" w:eastAsia="宋体" w:cs="宋体"/>
          <w:position w:val="17"/>
          <w:sz w:val="24"/>
          <w:szCs w:val="24"/>
        </w:rPr>
        <w:t>1.5“磋商文件或</w:t>
      </w:r>
      <w:r>
        <w:rPr>
          <w:rFonts w:hint="eastAsia" w:ascii="宋体" w:hAnsi="宋体" w:eastAsia="宋体" w:cs="宋体"/>
          <w:position w:val="17"/>
          <w:sz w:val="24"/>
          <w:szCs w:val="24"/>
          <w:lang w:eastAsia="zh-CN"/>
        </w:rPr>
        <w:t>磋商文件</w:t>
      </w:r>
      <w:r>
        <w:rPr>
          <w:rFonts w:ascii="宋体" w:hAnsi="宋体" w:eastAsia="宋体" w:cs="宋体"/>
          <w:position w:val="17"/>
          <w:sz w:val="24"/>
          <w:szCs w:val="24"/>
        </w:rPr>
        <w:t xml:space="preserve"> ”系指由采购人发出的文本、文件，包括全部章节和附件及答疑会议纪要。</w:t>
      </w:r>
    </w:p>
    <w:p w14:paraId="7E838AE6">
      <w:pPr>
        <w:keepNext w:val="0"/>
        <w:keepLines w:val="0"/>
        <w:pageBreakBefore w:val="0"/>
        <w:widowControl/>
        <w:kinsoku w:val="0"/>
        <w:wordWrap/>
        <w:overflowPunct/>
        <w:topLinePunct w:val="0"/>
        <w:autoSpaceDE w:val="0"/>
        <w:autoSpaceDN w:val="0"/>
        <w:bidi w:val="0"/>
        <w:adjustRightInd w:val="0"/>
        <w:snapToGrid w:val="0"/>
        <w:spacing w:before="181" w:line="219" w:lineRule="auto"/>
        <w:ind w:firstLine="472" w:firstLineChars="200"/>
        <w:textAlignment w:val="baseline"/>
        <w:rPr>
          <w:rFonts w:ascii="宋体" w:hAnsi="宋体" w:eastAsia="宋体" w:cs="宋体"/>
          <w:sz w:val="24"/>
          <w:szCs w:val="24"/>
        </w:rPr>
      </w:pPr>
      <w:r>
        <w:rPr>
          <w:rFonts w:ascii="宋体" w:hAnsi="宋体" w:eastAsia="宋体" w:cs="宋体"/>
          <w:spacing w:val="-2"/>
          <w:sz w:val="24"/>
          <w:szCs w:val="24"/>
        </w:rPr>
        <w:t>1.6“磋商响应文件</w:t>
      </w:r>
      <w:r>
        <w:rPr>
          <w:rFonts w:ascii="宋体" w:hAnsi="宋体" w:eastAsia="宋体" w:cs="宋体"/>
          <w:spacing w:val="-79"/>
          <w:sz w:val="24"/>
          <w:szCs w:val="24"/>
        </w:rPr>
        <w:t xml:space="preserve"> </w:t>
      </w:r>
      <w:r>
        <w:rPr>
          <w:rFonts w:ascii="宋体" w:hAnsi="宋体" w:eastAsia="宋体" w:cs="宋体"/>
          <w:spacing w:val="-2"/>
          <w:sz w:val="24"/>
          <w:szCs w:val="24"/>
        </w:rPr>
        <w:t>”系指供应商根据本磋商文件向采购人提交的全部文件。</w:t>
      </w:r>
    </w:p>
    <w:p w14:paraId="25AA88B3">
      <w:pPr>
        <w:spacing w:before="184" w:line="359" w:lineRule="auto"/>
        <w:ind w:left="21" w:right="80" w:firstLine="496"/>
        <w:rPr>
          <w:rFonts w:ascii="宋体" w:hAnsi="宋体" w:eastAsia="宋体" w:cs="宋体"/>
          <w:sz w:val="24"/>
          <w:szCs w:val="24"/>
        </w:rPr>
      </w:pPr>
      <w:r>
        <w:rPr>
          <w:rFonts w:ascii="宋体" w:hAnsi="宋体" w:eastAsia="宋体" w:cs="宋体"/>
          <w:sz w:val="24"/>
          <w:szCs w:val="24"/>
        </w:rPr>
        <w:t>1.7“</w:t>
      </w:r>
      <w:r>
        <w:rPr>
          <w:rFonts w:hint="eastAsia" w:ascii="宋体" w:hAnsi="宋体" w:eastAsia="宋体" w:cs="宋体"/>
          <w:sz w:val="24"/>
          <w:szCs w:val="24"/>
          <w:lang w:eastAsia="zh-CN"/>
        </w:rPr>
        <w:t>磋商文件</w:t>
      </w:r>
      <w:r>
        <w:rPr>
          <w:rFonts w:ascii="宋体" w:hAnsi="宋体" w:eastAsia="宋体" w:cs="宋体"/>
          <w:spacing w:val="-88"/>
          <w:sz w:val="24"/>
          <w:szCs w:val="24"/>
        </w:rPr>
        <w:t xml:space="preserve"> </w:t>
      </w:r>
      <w:r>
        <w:rPr>
          <w:rFonts w:ascii="宋体" w:hAnsi="宋体" w:eastAsia="宋体" w:cs="宋体"/>
          <w:sz w:val="24"/>
          <w:szCs w:val="24"/>
        </w:rPr>
        <w:t>”系指包括采购活动的记录、采</w:t>
      </w:r>
      <w:r>
        <w:rPr>
          <w:rFonts w:ascii="宋体" w:hAnsi="宋体" w:eastAsia="宋体" w:cs="宋体"/>
          <w:spacing w:val="-1"/>
          <w:sz w:val="24"/>
          <w:szCs w:val="24"/>
        </w:rPr>
        <w:t>购预算、磋商文件、磋商响应文件、评</w:t>
      </w:r>
      <w:r>
        <w:rPr>
          <w:rFonts w:ascii="宋体" w:hAnsi="宋体" w:eastAsia="宋体" w:cs="宋体"/>
          <w:sz w:val="24"/>
          <w:szCs w:val="24"/>
        </w:rPr>
        <w:t xml:space="preserve"> </w:t>
      </w:r>
      <w:r>
        <w:rPr>
          <w:rFonts w:ascii="宋体" w:hAnsi="宋体" w:eastAsia="宋体" w:cs="宋体"/>
          <w:spacing w:val="-2"/>
          <w:sz w:val="24"/>
          <w:szCs w:val="24"/>
        </w:rPr>
        <w:t>标标准、评标报告、定标文件、合同文本、验收证明、质疑答复、投诉</w:t>
      </w:r>
      <w:r>
        <w:rPr>
          <w:rFonts w:ascii="宋体" w:hAnsi="宋体" w:eastAsia="宋体" w:cs="宋体"/>
          <w:spacing w:val="-3"/>
          <w:sz w:val="24"/>
          <w:szCs w:val="24"/>
        </w:rPr>
        <w:t>处理决定及其他有关</w:t>
      </w:r>
      <w:r>
        <w:rPr>
          <w:rFonts w:ascii="宋体" w:hAnsi="宋体" w:eastAsia="宋体" w:cs="宋体"/>
          <w:spacing w:val="-2"/>
          <w:sz w:val="24"/>
          <w:szCs w:val="24"/>
        </w:rPr>
        <w:t>文件、资料。</w:t>
      </w:r>
    </w:p>
    <w:p w14:paraId="445C7A51">
      <w:pPr>
        <w:spacing w:before="182" w:line="219" w:lineRule="auto"/>
        <w:ind w:left="518"/>
        <w:rPr>
          <w:rFonts w:ascii="宋体" w:hAnsi="宋体" w:eastAsia="宋体" w:cs="宋体"/>
          <w:sz w:val="24"/>
          <w:szCs w:val="24"/>
        </w:rPr>
      </w:pPr>
      <w:r>
        <w:rPr>
          <w:rFonts w:ascii="宋体" w:hAnsi="宋体" w:eastAsia="宋体" w:cs="宋体"/>
          <w:spacing w:val="-2"/>
          <w:sz w:val="24"/>
          <w:szCs w:val="24"/>
        </w:rPr>
        <w:t>1.8“书面形式</w:t>
      </w:r>
      <w:r>
        <w:rPr>
          <w:rFonts w:ascii="宋体" w:hAnsi="宋体" w:eastAsia="宋体" w:cs="宋体"/>
          <w:spacing w:val="-88"/>
          <w:sz w:val="24"/>
          <w:szCs w:val="24"/>
        </w:rPr>
        <w:t xml:space="preserve"> </w:t>
      </w:r>
      <w:r>
        <w:rPr>
          <w:rFonts w:ascii="宋体" w:hAnsi="宋体" w:eastAsia="宋体" w:cs="宋体"/>
          <w:spacing w:val="-2"/>
          <w:sz w:val="24"/>
          <w:szCs w:val="24"/>
        </w:rPr>
        <w:t>”系指任何手写、打印或印</w:t>
      </w:r>
      <w:r>
        <w:rPr>
          <w:rFonts w:ascii="宋体" w:hAnsi="宋体" w:eastAsia="宋体" w:cs="宋体"/>
          <w:spacing w:val="-3"/>
          <w:sz w:val="24"/>
          <w:szCs w:val="24"/>
        </w:rPr>
        <w:t>刷的各种函件。</w:t>
      </w:r>
    </w:p>
    <w:p w14:paraId="19DE4004">
      <w:pPr>
        <w:keepNext w:val="0"/>
        <w:keepLines w:val="0"/>
        <w:pageBreakBefore w:val="0"/>
        <w:widowControl/>
        <w:kinsoku w:val="0"/>
        <w:wordWrap/>
        <w:overflowPunct/>
        <w:topLinePunct w:val="0"/>
        <w:autoSpaceDE w:val="0"/>
        <w:autoSpaceDN w:val="0"/>
        <w:bidi w:val="0"/>
        <w:adjustRightInd w:val="0"/>
        <w:snapToGrid w:val="0"/>
        <w:spacing w:before="181" w:line="466" w:lineRule="exact"/>
        <w:ind w:firstLine="456" w:firstLineChars="200"/>
        <w:textAlignment w:val="baseline"/>
        <w:rPr>
          <w:rFonts w:ascii="宋体" w:hAnsi="宋体" w:eastAsia="宋体" w:cs="宋体"/>
          <w:sz w:val="24"/>
          <w:szCs w:val="24"/>
        </w:rPr>
      </w:pPr>
      <w:r>
        <w:rPr>
          <w:rFonts w:ascii="宋体" w:hAnsi="宋体" w:eastAsia="宋体" w:cs="宋体"/>
          <w:spacing w:val="-6"/>
          <w:position w:val="17"/>
          <w:sz w:val="24"/>
          <w:szCs w:val="24"/>
        </w:rPr>
        <w:t>1.9“货物 ”系指各种形态和种类的物品，包括原材料、燃料、设备、产品等，详见《政府采购品目分类目录》 (2022 年印发)。</w:t>
      </w:r>
    </w:p>
    <w:p w14:paraId="7ECF75BB">
      <w:pPr>
        <w:spacing w:before="184" w:line="359" w:lineRule="auto"/>
        <w:ind w:left="20" w:right="61" w:firstLine="497"/>
        <w:rPr>
          <w:rFonts w:ascii="宋体" w:hAnsi="宋体" w:eastAsia="宋体" w:cs="宋体"/>
          <w:sz w:val="24"/>
          <w:szCs w:val="24"/>
        </w:rPr>
      </w:pPr>
      <w:r>
        <w:rPr>
          <w:rFonts w:ascii="宋体" w:hAnsi="宋体" w:eastAsia="宋体" w:cs="宋体"/>
          <w:spacing w:val="-3"/>
          <w:sz w:val="24"/>
          <w:szCs w:val="24"/>
        </w:rPr>
        <w:t>1.10“服务</w:t>
      </w:r>
      <w:r>
        <w:rPr>
          <w:rFonts w:ascii="宋体" w:hAnsi="宋体" w:eastAsia="宋体" w:cs="宋体"/>
          <w:spacing w:val="-87"/>
          <w:sz w:val="24"/>
          <w:szCs w:val="24"/>
        </w:rPr>
        <w:t xml:space="preserve"> </w:t>
      </w:r>
      <w:r>
        <w:rPr>
          <w:rFonts w:ascii="宋体" w:hAnsi="宋体" w:eastAsia="宋体" w:cs="宋体"/>
          <w:spacing w:val="-3"/>
          <w:sz w:val="24"/>
          <w:szCs w:val="24"/>
        </w:rPr>
        <w:t>”系指供应商</w:t>
      </w:r>
      <w:r>
        <w:rPr>
          <w:rFonts w:hint="eastAsia" w:ascii="宋体" w:hAnsi="宋体" w:eastAsia="宋体" w:cs="宋体"/>
          <w:spacing w:val="-3"/>
          <w:sz w:val="24"/>
          <w:szCs w:val="24"/>
          <w:lang w:eastAsia="zh-CN"/>
        </w:rPr>
        <w:t>成交</w:t>
      </w:r>
      <w:r>
        <w:rPr>
          <w:rFonts w:ascii="宋体" w:hAnsi="宋体" w:eastAsia="宋体" w:cs="宋体"/>
          <w:spacing w:val="-3"/>
          <w:sz w:val="24"/>
          <w:szCs w:val="24"/>
        </w:rPr>
        <w:t>后根据《磋商文件》和合同的规定承担所有相关的服务，</w:t>
      </w:r>
      <w:r>
        <w:rPr>
          <w:rFonts w:ascii="宋体" w:hAnsi="宋体" w:eastAsia="宋体" w:cs="宋体"/>
          <w:sz w:val="24"/>
          <w:szCs w:val="24"/>
        </w:rPr>
        <w:t xml:space="preserve"> </w:t>
      </w:r>
      <w:r>
        <w:rPr>
          <w:rFonts w:ascii="宋体" w:hAnsi="宋体" w:eastAsia="宋体" w:cs="宋体"/>
          <w:spacing w:val="-2"/>
          <w:sz w:val="24"/>
          <w:szCs w:val="24"/>
        </w:rPr>
        <w:t>包括运输、仓储、保险</w:t>
      </w:r>
      <w:r>
        <w:rPr>
          <w:rFonts w:hint="eastAsia" w:ascii="宋体" w:hAnsi="宋体" w:eastAsia="宋体" w:cs="宋体"/>
          <w:spacing w:val="-2"/>
          <w:sz w:val="24"/>
          <w:szCs w:val="24"/>
          <w:lang w:eastAsia="zh-CN"/>
        </w:rPr>
        <w:t>以及其他</w:t>
      </w:r>
      <w:r>
        <w:rPr>
          <w:rFonts w:ascii="宋体" w:hAnsi="宋体" w:eastAsia="宋体" w:cs="宋体"/>
          <w:spacing w:val="-2"/>
          <w:sz w:val="24"/>
          <w:szCs w:val="24"/>
        </w:rPr>
        <w:t>的伴随服务，如售后、维修、更换和应承担</w:t>
      </w:r>
      <w:r>
        <w:rPr>
          <w:rFonts w:hint="eastAsia" w:ascii="宋体" w:hAnsi="宋体" w:eastAsia="宋体" w:cs="宋体"/>
          <w:spacing w:val="-2"/>
          <w:sz w:val="24"/>
          <w:szCs w:val="24"/>
          <w:lang w:eastAsia="zh-CN"/>
        </w:rPr>
        <w:t>的其他</w:t>
      </w:r>
      <w:r>
        <w:rPr>
          <w:rFonts w:ascii="宋体" w:hAnsi="宋体" w:eastAsia="宋体" w:cs="宋体"/>
          <w:spacing w:val="-2"/>
          <w:sz w:val="24"/>
          <w:szCs w:val="24"/>
        </w:rPr>
        <w:t>义务, 详</w:t>
      </w:r>
      <w:r>
        <w:rPr>
          <w:rFonts w:ascii="宋体" w:hAnsi="宋体" w:eastAsia="宋体" w:cs="宋体"/>
          <w:spacing w:val="-4"/>
          <w:sz w:val="24"/>
          <w:szCs w:val="24"/>
        </w:rPr>
        <w:t>见《政府采购品目分类目录》</w:t>
      </w:r>
      <w:r>
        <w:rPr>
          <w:rFonts w:ascii="宋体" w:hAnsi="宋体" w:eastAsia="宋体" w:cs="宋体"/>
          <w:spacing w:val="-53"/>
          <w:sz w:val="24"/>
          <w:szCs w:val="24"/>
        </w:rPr>
        <w:t xml:space="preserve"> </w:t>
      </w:r>
      <w:r>
        <w:rPr>
          <w:rFonts w:ascii="宋体" w:hAnsi="宋体" w:eastAsia="宋体" w:cs="宋体"/>
          <w:spacing w:val="-4"/>
          <w:sz w:val="24"/>
          <w:szCs w:val="24"/>
        </w:rPr>
        <w:t>(2022</w:t>
      </w:r>
      <w:r>
        <w:rPr>
          <w:rFonts w:ascii="宋体" w:hAnsi="宋体" w:eastAsia="宋体" w:cs="宋体"/>
          <w:spacing w:val="-50"/>
          <w:sz w:val="24"/>
          <w:szCs w:val="24"/>
        </w:rPr>
        <w:t xml:space="preserve"> </w:t>
      </w:r>
      <w:r>
        <w:rPr>
          <w:rFonts w:ascii="宋体" w:hAnsi="宋体" w:eastAsia="宋体" w:cs="宋体"/>
          <w:spacing w:val="-4"/>
          <w:sz w:val="24"/>
          <w:szCs w:val="24"/>
        </w:rPr>
        <w:t>年印发)。</w:t>
      </w:r>
    </w:p>
    <w:p w14:paraId="4588388C">
      <w:pPr>
        <w:spacing w:before="184" w:line="359" w:lineRule="auto"/>
        <w:ind w:left="20" w:right="61" w:firstLine="497"/>
        <w:rPr>
          <w:rFonts w:ascii="宋体" w:hAnsi="宋体" w:eastAsia="宋体" w:cs="宋体"/>
          <w:spacing w:val="-3"/>
          <w:sz w:val="24"/>
          <w:szCs w:val="24"/>
        </w:rPr>
      </w:pPr>
      <w:r>
        <w:rPr>
          <w:rFonts w:ascii="宋体" w:hAnsi="宋体" w:eastAsia="宋体" w:cs="宋体"/>
          <w:spacing w:val="-3"/>
          <w:sz w:val="24"/>
          <w:szCs w:val="24"/>
        </w:rPr>
        <w:t>1.11“节能产品 ”是指列入财政部、发展改革委发布的《节能产品政府采购清单》（以下简称节能清单）内所列型号的产品。</w:t>
      </w:r>
    </w:p>
    <w:p w14:paraId="3BD6A04D">
      <w:pPr>
        <w:spacing w:before="184" w:line="359" w:lineRule="auto"/>
        <w:ind w:left="20" w:right="61" w:firstLine="497"/>
        <w:rPr>
          <w:rFonts w:ascii="宋体" w:hAnsi="宋体" w:eastAsia="宋体" w:cs="宋体"/>
          <w:spacing w:val="-3"/>
          <w:sz w:val="24"/>
          <w:szCs w:val="24"/>
        </w:rPr>
      </w:pPr>
      <w:r>
        <w:rPr>
          <w:rFonts w:ascii="宋体" w:hAnsi="宋体" w:eastAsia="宋体" w:cs="宋体"/>
          <w:spacing w:val="-3"/>
          <w:sz w:val="24"/>
          <w:szCs w:val="24"/>
        </w:rPr>
        <w:t>1.12“环境标志产品 ”是指列入财政部、国家环境保护总局公布的《环境标志产品政府采购清单》（以下简称环保清单）内所列型号的产品。</w:t>
      </w:r>
    </w:p>
    <w:p w14:paraId="39F0EC54">
      <w:pPr>
        <w:spacing w:before="184" w:line="359" w:lineRule="auto"/>
        <w:ind w:left="20" w:right="61" w:firstLine="497"/>
        <w:rPr>
          <w:rFonts w:ascii="宋体" w:hAnsi="宋体" w:eastAsia="宋体" w:cs="宋体"/>
          <w:spacing w:val="-3"/>
          <w:sz w:val="24"/>
          <w:szCs w:val="24"/>
        </w:rPr>
      </w:pPr>
      <w:r>
        <w:rPr>
          <w:rFonts w:ascii="宋体" w:hAnsi="宋体" w:eastAsia="宋体" w:cs="宋体"/>
          <w:spacing w:val="-3"/>
          <w:sz w:val="24"/>
          <w:szCs w:val="24"/>
        </w:rPr>
        <w:t>1.13 实质性条款：除</w:t>
      </w:r>
      <w:r>
        <w:rPr>
          <w:rFonts w:hint="eastAsia" w:ascii="宋体" w:hAnsi="宋体" w:eastAsia="宋体" w:cs="宋体"/>
          <w:spacing w:val="-3"/>
          <w:sz w:val="24"/>
          <w:szCs w:val="24"/>
          <w:lang w:eastAsia="zh-CN"/>
        </w:rPr>
        <w:t>法律法规</w:t>
      </w:r>
      <w:r>
        <w:rPr>
          <w:rFonts w:ascii="宋体" w:hAnsi="宋体" w:eastAsia="宋体" w:cs="宋体"/>
          <w:spacing w:val="-3"/>
          <w:sz w:val="24"/>
          <w:szCs w:val="24"/>
        </w:rPr>
        <w:t>和规章规定外，磋商文件中用“拒绝 ”、“不接受 ”、“无效 ”、“不得 ”、“未响应 ”、“废标 ”等文字规定或标注“★ ”符号的条款为实质性要求条款，对其中任何一条的偏离，在评审时将其视为无效</w:t>
      </w:r>
      <w:r>
        <w:rPr>
          <w:rFonts w:hint="eastAsia" w:ascii="宋体" w:hAnsi="宋体" w:eastAsia="宋体" w:cs="宋体"/>
          <w:spacing w:val="-3"/>
          <w:sz w:val="24"/>
          <w:szCs w:val="24"/>
          <w:lang w:eastAsia="zh-CN"/>
        </w:rPr>
        <w:t>响应</w:t>
      </w:r>
      <w:r>
        <w:rPr>
          <w:rFonts w:ascii="宋体" w:hAnsi="宋体" w:eastAsia="宋体" w:cs="宋体"/>
          <w:spacing w:val="-3"/>
          <w:sz w:val="24"/>
          <w:szCs w:val="24"/>
        </w:rPr>
        <w:t>。未用上述文字规定或符号标注的条款为非实质性要求条款(即一般条款)。</w:t>
      </w:r>
    </w:p>
    <w:p w14:paraId="09907C37">
      <w:pPr>
        <w:spacing w:before="183" w:line="219" w:lineRule="auto"/>
        <w:ind w:left="15"/>
        <w:outlineLvl w:val="2"/>
        <w:rPr>
          <w:rFonts w:ascii="宋体" w:hAnsi="宋体" w:eastAsia="宋体" w:cs="宋体"/>
          <w:sz w:val="24"/>
          <w:szCs w:val="24"/>
        </w:rPr>
      </w:pPr>
      <w:r>
        <w:rPr>
          <w:rFonts w:ascii="宋体" w:hAnsi="宋体" w:eastAsia="宋体" w:cs="宋体"/>
          <w:spacing w:val="-2"/>
          <w:sz w:val="24"/>
          <w:szCs w:val="24"/>
          <w14:textOutline w14:w="4358" w14:cap="sq" w14:cmpd="sng">
            <w14:solidFill>
              <w14:srgbClr w14:val="000000"/>
            </w14:solidFill>
            <w14:prstDash w14:val="solid"/>
            <w14:bevel/>
          </w14:textOutline>
        </w:rPr>
        <w:t>★2.综合说明</w:t>
      </w:r>
    </w:p>
    <w:p w14:paraId="6C88E9D0">
      <w:pPr>
        <w:spacing w:before="184" w:line="359" w:lineRule="auto"/>
        <w:ind w:left="20" w:right="61" w:firstLine="497"/>
        <w:rPr>
          <w:rFonts w:ascii="宋体" w:hAnsi="宋体" w:eastAsia="宋体" w:cs="宋体"/>
          <w:sz w:val="24"/>
          <w:szCs w:val="24"/>
        </w:rPr>
      </w:pPr>
      <w:r>
        <w:rPr>
          <w:rFonts w:ascii="宋体" w:hAnsi="宋体" w:eastAsia="宋体" w:cs="宋体"/>
          <w:spacing w:val="-2"/>
          <w:sz w:val="24"/>
          <w:szCs w:val="24"/>
        </w:rPr>
        <w:t>本项目按照《中华人民共和国政府采购法》及相关法规，</w:t>
      </w:r>
      <w:r>
        <w:rPr>
          <w:rFonts w:ascii="宋体" w:hAnsi="宋体" w:eastAsia="宋体" w:cs="宋体"/>
          <w:spacing w:val="-3"/>
          <w:sz w:val="24"/>
          <w:szCs w:val="24"/>
        </w:rPr>
        <w:t>已办理招标申请，并得到招标</w:t>
      </w:r>
      <w:r>
        <w:rPr>
          <w:rFonts w:ascii="宋体" w:hAnsi="宋体" w:eastAsia="宋体" w:cs="宋体"/>
          <w:spacing w:val="-2"/>
          <w:sz w:val="24"/>
          <w:szCs w:val="24"/>
        </w:rPr>
        <w:t>管理机构批准，现通过招标来择优选定服务的供货商。本磋商文件包括本</w:t>
      </w:r>
      <w:r>
        <w:rPr>
          <w:rFonts w:hint="eastAsia" w:ascii="宋体" w:hAnsi="宋体" w:eastAsia="宋体" w:cs="宋体"/>
          <w:spacing w:val="-2"/>
          <w:sz w:val="24"/>
          <w:szCs w:val="24"/>
          <w:lang w:eastAsia="zh-CN"/>
        </w:rPr>
        <w:t>文件</w:t>
      </w:r>
      <w:r>
        <w:rPr>
          <w:rFonts w:ascii="宋体" w:hAnsi="宋体" w:eastAsia="宋体" w:cs="宋体"/>
          <w:spacing w:val="-3"/>
          <w:sz w:val="24"/>
          <w:szCs w:val="24"/>
        </w:rPr>
        <w:t>所列内容及按本</w:t>
      </w:r>
      <w:r>
        <w:rPr>
          <w:rFonts w:ascii="宋体" w:hAnsi="宋体" w:eastAsia="宋体" w:cs="宋体"/>
          <w:spacing w:val="-2"/>
          <w:sz w:val="24"/>
          <w:szCs w:val="24"/>
        </w:rPr>
        <w:t>须知发出的全部和补充资料。供应商应认真阅读本磋商文件中所有的事项</w:t>
      </w:r>
      <w:r>
        <w:rPr>
          <w:rFonts w:ascii="宋体" w:hAnsi="宋体" w:eastAsia="宋体" w:cs="宋体"/>
          <w:spacing w:val="-3"/>
          <w:sz w:val="24"/>
          <w:szCs w:val="24"/>
        </w:rPr>
        <w:t>、格式、条款、技</w:t>
      </w:r>
      <w:r>
        <w:rPr>
          <w:rFonts w:ascii="宋体" w:hAnsi="宋体" w:eastAsia="宋体" w:cs="宋体"/>
          <w:spacing w:val="-2"/>
          <w:sz w:val="24"/>
          <w:szCs w:val="24"/>
        </w:rPr>
        <w:t>术规范等实质性的条件和要求。供应商被视为充分熟悉本招标项目的全部</w:t>
      </w:r>
      <w:r>
        <w:rPr>
          <w:rFonts w:ascii="宋体" w:hAnsi="宋体" w:eastAsia="宋体" w:cs="宋体"/>
          <w:spacing w:val="-3"/>
          <w:sz w:val="24"/>
          <w:szCs w:val="24"/>
        </w:rPr>
        <w:t>内容及与履行合同</w:t>
      </w:r>
      <w:r>
        <w:rPr>
          <w:rFonts w:ascii="宋体" w:hAnsi="宋体" w:eastAsia="宋体" w:cs="宋体"/>
          <w:spacing w:val="-2"/>
          <w:sz w:val="24"/>
          <w:szCs w:val="24"/>
        </w:rPr>
        <w:t>有关的全部内容，熟悉磋商文件的格式、条件和范围。供应商没有按照磋</w:t>
      </w:r>
      <w:r>
        <w:rPr>
          <w:rFonts w:ascii="宋体" w:hAnsi="宋体" w:eastAsia="宋体" w:cs="宋体"/>
          <w:spacing w:val="-3"/>
          <w:sz w:val="24"/>
          <w:szCs w:val="24"/>
        </w:rPr>
        <w:t>商文件的要求提交</w:t>
      </w:r>
      <w:r>
        <w:rPr>
          <w:rFonts w:ascii="宋体" w:hAnsi="宋体" w:eastAsia="宋体" w:cs="宋体"/>
          <w:spacing w:val="-2"/>
          <w:sz w:val="24"/>
          <w:szCs w:val="24"/>
        </w:rPr>
        <w:t>相关资料，或者供应商没有对磋商文件相关</w:t>
      </w:r>
      <w:r>
        <w:rPr>
          <w:rFonts w:hint="eastAsia" w:ascii="宋体" w:hAnsi="宋体" w:eastAsia="宋体" w:cs="宋体"/>
          <w:spacing w:val="-2"/>
          <w:sz w:val="24"/>
          <w:szCs w:val="24"/>
          <w:lang w:eastAsia="zh-CN"/>
        </w:rPr>
        <w:t>内容</w:t>
      </w:r>
      <w:r>
        <w:rPr>
          <w:rFonts w:ascii="宋体" w:hAnsi="宋体" w:eastAsia="宋体" w:cs="宋体"/>
          <w:spacing w:val="-2"/>
          <w:sz w:val="24"/>
          <w:szCs w:val="24"/>
        </w:rPr>
        <w:t>做出实质性响应是供应</w:t>
      </w:r>
      <w:r>
        <w:rPr>
          <w:rFonts w:ascii="宋体" w:hAnsi="宋体" w:eastAsia="宋体" w:cs="宋体"/>
          <w:spacing w:val="-3"/>
          <w:sz w:val="24"/>
          <w:szCs w:val="24"/>
        </w:rPr>
        <w:t>商的风险，并可能</w:t>
      </w:r>
      <w:r>
        <w:rPr>
          <w:rFonts w:ascii="宋体" w:hAnsi="宋体" w:eastAsia="宋体" w:cs="宋体"/>
          <w:spacing w:val="-2"/>
          <w:sz w:val="24"/>
          <w:szCs w:val="24"/>
        </w:rPr>
        <w:t>导致其</w:t>
      </w:r>
      <w:r>
        <w:rPr>
          <w:rFonts w:hint="eastAsia" w:ascii="宋体" w:hAnsi="宋体" w:eastAsia="宋体" w:cs="宋体"/>
          <w:spacing w:val="-2"/>
          <w:sz w:val="24"/>
          <w:szCs w:val="24"/>
          <w:lang w:eastAsia="zh-CN"/>
        </w:rPr>
        <w:t>响应</w:t>
      </w:r>
      <w:r>
        <w:rPr>
          <w:rFonts w:ascii="宋体" w:hAnsi="宋体" w:eastAsia="宋体" w:cs="宋体"/>
          <w:spacing w:val="-2"/>
          <w:sz w:val="24"/>
          <w:szCs w:val="24"/>
        </w:rPr>
        <w:t>无效。</w:t>
      </w:r>
    </w:p>
    <w:p w14:paraId="409D6C46">
      <w:pPr>
        <w:spacing w:before="179" w:line="219" w:lineRule="auto"/>
        <w:ind w:left="16"/>
        <w:outlineLvl w:val="2"/>
        <w:rPr>
          <w:rFonts w:ascii="宋体" w:hAnsi="宋体" w:eastAsia="宋体" w:cs="宋体"/>
          <w:sz w:val="24"/>
          <w:szCs w:val="24"/>
        </w:rPr>
      </w:pPr>
      <w:r>
        <w:rPr>
          <w:rFonts w:ascii="宋体" w:hAnsi="宋体" w:eastAsia="宋体" w:cs="宋体"/>
          <w:spacing w:val="-1"/>
          <w:sz w:val="24"/>
          <w:szCs w:val="24"/>
          <w14:textOutline w14:w="4358" w14:cap="sq" w14:cmpd="sng">
            <w14:solidFill>
              <w14:srgbClr w14:val="000000"/>
            </w14:solidFill>
            <w14:prstDash w14:val="solid"/>
            <w14:bevel/>
          </w14:textOutline>
        </w:rPr>
        <w:t>3.政府采购政策支持</w:t>
      </w:r>
    </w:p>
    <w:p w14:paraId="339B6CE7">
      <w:pPr>
        <w:spacing w:before="184" w:line="359" w:lineRule="auto"/>
        <w:ind w:left="20" w:right="61" w:firstLine="497"/>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（1）《新疆维吾尔自治区政府采购促进中小企业发展管理实施办法》（新财规〔2021〕6号）； </w:t>
      </w:r>
    </w:p>
    <w:p w14:paraId="171C6701">
      <w:pPr>
        <w:spacing w:before="184" w:line="359" w:lineRule="auto"/>
        <w:ind w:left="20" w:right="61" w:firstLine="497"/>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（2）财政部生态环境部关于印发环境标志产品政府采购品目清单的通知（财库〔2019〕18号）； </w:t>
      </w:r>
    </w:p>
    <w:p w14:paraId="6C30BE0A">
      <w:pPr>
        <w:spacing w:before="184" w:line="359" w:lineRule="auto"/>
        <w:ind w:left="20" w:right="61" w:firstLine="497"/>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（3）《财政部民政部中国残疾人联合会关于促进残疾人就业政府采购政策的通知》财库〔2017〕141号。</w:t>
      </w:r>
    </w:p>
    <w:p w14:paraId="3E640543">
      <w:pPr>
        <w:spacing w:before="184" w:line="359" w:lineRule="auto"/>
        <w:ind w:left="20" w:right="61" w:firstLine="497"/>
        <w:rPr>
          <w:rFonts w:hint="eastAsia" w:ascii="宋体" w:hAnsi="宋体" w:eastAsia="宋体" w:cs="宋体"/>
          <w:sz w:val="24"/>
          <w:szCs w:val="24"/>
        </w:rPr>
      </w:pPr>
      <w:r>
        <w:rPr>
          <w:rFonts w:hint="eastAsia" w:ascii="宋体" w:hAnsi="宋体" w:eastAsia="宋体" w:cs="宋体"/>
          <w:sz w:val="24"/>
          <w:szCs w:val="24"/>
          <w:lang w:val="en-US" w:eastAsia="zh-CN"/>
        </w:rPr>
        <w:t>（4）《财政部发展改革委 生态环境部 市场监管总局关于调整优化节能产品环境标志产品政府采购执行机制的通知》（财库〔2019〕9号），投标产品遵照《关于印发节能产品政府采购品目清单的通知》（财库〔2019〕19号）相关规定执行。</w:t>
      </w:r>
    </w:p>
    <w:p w14:paraId="589CA3D3">
      <w:pPr>
        <w:spacing w:before="184" w:line="359" w:lineRule="auto"/>
        <w:ind w:left="20" w:right="61" w:firstLine="497"/>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（5）本项目专门面向中小企业。</w:t>
      </w:r>
    </w:p>
    <w:p w14:paraId="126A44C7">
      <w:pPr>
        <w:spacing w:before="184" w:line="359" w:lineRule="auto"/>
        <w:ind w:left="20" w:right="61" w:firstLine="497"/>
        <w:rPr>
          <w:rFonts w:ascii="宋体" w:hAnsi="宋体" w:eastAsia="宋体" w:cs="宋体"/>
          <w:sz w:val="24"/>
          <w:szCs w:val="24"/>
        </w:rPr>
      </w:pPr>
      <w:r>
        <w:rPr>
          <w:rFonts w:ascii="宋体" w:hAnsi="宋体" w:eastAsia="宋体" w:cs="宋体"/>
          <w:sz w:val="24"/>
          <w:szCs w:val="24"/>
        </w:rPr>
        <w:t>4.合格的供应商</w:t>
      </w:r>
    </w:p>
    <w:p w14:paraId="7D97692E">
      <w:pPr>
        <w:spacing w:before="184" w:line="359" w:lineRule="auto"/>
        <w:ind w:left="20" w:right="61" w:firstLine="497"/>
        <w:rPr>
          <w:rFonts w:ascii="宋体" w:hAnsi="宋体" w:eastAsia="宋体" w:cs="宋体"/>
          <w:sz w:val="24"/>
          <w:szCs w:val="24"/>
        </w:rPr>
      </w:pPr>
      <w:r>
        <w:rPr>
          <w:rFonts w:ascii="宋体" w:hAnsi="宋体" w:eastAsia="宋体" w:cs="宋体"/>
          <w:sz w:val="24"/>
          <w:szCs w:val="24"/>
        </w:rPr>
        <w:t>4.1 具备“供应商须知前附表 ”的基本条件；</w:t>
      </w:r>
    </w:p>
    <w:p w14:paraId="596FF9EF">
      <w:pPr>
        <w:spacing w:before="184" w:line="359" w:lineRule="auto"/>
        <w:ind w:left="20" w:right="61" w:firstLine="497"/>
        <w:rPr>
          <w:rFonts w:ascii="宋体" w:hAnsi="宋体" w:eastAsia="宋体" w:cs="宋体"/>
          <w:sz w:val="24"/>
          <w:szCs w:val="24"/>
        </w:rPr>
      </w:pPr>
      <w:r>
        <w:rPr>
          <w:rFonts w:ascii="宋体" w:hAnsi="宋体" w:eastAsia="宋体" w:cs="宋体"/>
          <w:sz w:val="24"/>
          <w:szCs w:val="24"/>
        </w:rPr>
        <w:t>4.2 凡是符合国家工商行政管理部门登记审核，具有相应生产经营许可的，有一定技术实力和规模，并有能力提供招标服务的供应商；</w:t>
      </w:r>
    </w:p>
    <w:p w14:paraId="1FCF1A34">
      <w:pPr>
        <w:spacing w:before="184" w:line="359" w:lineRule="auto"/>
        <w:ind w:left="20" w:right="61" w:firstLine="497"/>
        <w:rPr>
          <w:rFonts w:ascii="宋体" w:hAnsi="宋体" w:eastAsia="宋体" w:cs="宋体"/>
          <w:sz w:val="24"/>
          <w:szCs w:val="24"/>
        </w:rPr>
      </w:pPr>
      <w:r>
        <w:rPr>
          <w:rFonts w:ascii="宋体" w:hAnsi="宋体" w:eastAsia="宋体" w:cs="宋体"/>
          <w:sz w:val="24"/>
          <w:szCs w:val="24"/>
        </w:rPr>
        <w:t>4.3 供应商不得直接或间接地与本次招标所委托的咨询公司或其附属机构有任何关联；</w:t>
      </w:r>
    </w:p>
    <w:p w14:paraId="4E3EB1C2">
      <w:pPr>
        <w:spacing w:before="184" w:line="359" w:lineRule="auto"/>
        <w:ind w:left="20" w:right="61" w:firstLine="497"/>
        <w:rPr>
          <w:rFonts w:ascii="宋体" w:hAnsi="宋体" w:eastAsia="宋体" w:cs="宋体"/>
          <w:sz w:val="24"/>
          <w:szCs w:val="24"/>
        </w:rPr>
      </w:pPr>
      <w:r>
        <w:rPr>
          <w:rFonts w:ascii="宋体" w:hAnsi="宋体" w:eastAsia="宋体" w:cs="宋体"/>
          <w:sz w:val="24"/>
          <w:szCs w:val="24"/>
        </w:rPr>
        <w:t>4.4 供应商与采购人存在利害关系可能影响招标公正性的法人、其他组织或个人，不得 参加</w:t>
      </w:r>
      <w:r>
        <w:rPr>
          <w:rFonts w:hint="eastAsia" w:ascii="宋体" w:hAnsi="宋体" w:eastAsia="宋体" w:cs="宋体"/>
          <w:sz w:val="24"/>
          <w:szCs w:val="24"/>
          <w:lang w:eastAsia="zh-CN"/>
        </w:rPr>
        <w:t>本项目</w:t>
      </w:r>
      <w:r>
        <w:rPr>
          <w:rFonts w:ascii="宋体" w:hAnsi="宋体" w:eastAsia="宋体" w:cs="宋体"/>
          <w:sz w:val="24"/>
          <w:szCs w:val="24"/>
        </w:rPr>
        <w:t>。单位负责人为同一人或者存在控股、管理关系的不同单位，不得参加同二标段或者未划分标段的同一招标项目；</w:t>
      </w:r>
    </w:p>
    <w:p w14:paraId="4498F34E">
      <w:pPr>
        <w:spacing w:before="184" w:line="359" w:lineRule="auto"/>
        <w:ind w:left="20" w:right="61" w:firstLine="497"/>
        <w:rPr>
          <w:rFonts w:ascii="宋体" w:hAnsi="宋体" w:eastAsia="宋体" w:cs="宋体"/>
          <w:sz w:val="24"/>
          <w:szCs w:val="24"/>
        </w:rPr>
      </w:pPr>
      <w:r>
        <w:rPr>
          <w:rFonts w:ascii="宋体" w:hAnsi="宋体" w:eastAsia="宋体" w:cs="宋体"/>
          <w:sz w:val="24"/>
          <w:szCs w:val="24"/>
        </w:rPr>
        <w:t>4.5 供应商未获取《磋商文件》的潜在供应商均无资格参加；</w:t>
      </w:r>
    </w:p>
    <w:p w14:paraId="22751E59">
      <w:pPr>
        <w:spacing w:before="184" w:line="359" w:lineRule="auto"/>
        <w:ind w:left="20" w:right="61" w:firstLine="497"/>
        <w:rPr>
          <w:rFonts w:ascii="宋体" w:hAnsi="宋体" w:eastAsia="宋体" w:cs="宋体"/>
          <w:sz w:val="24"/>
          <w:szCs w:val="24"/>
        </w:rPr>
      </w:pPr>
      <w:r>
        <w:rPr>
          <w:rFonts w:ascii="宋体" w:hAnsi="宋体" w:eastAsia="宋体" w:cs="宋体"/>
          <w:sz w:val="24"/>
          <w:szCs w:val="24"/>
        </w:rPr>
        <w:t>4.6 遵守国家有关的</w:t>
      </w:r>
      <w:r>
        <w:rPr>
          <w:rFonts w:hint="eastAsia" w:ascii="宋体" w:hAnsi="宋体" w:eastAsia="宋体" w:cs="宋体"/>
          <w:sz w:val="24"/>
          <w:szCs w:val="24"/>
          <w:lang w:eastAsia="zh-CN"/>
        </w:rPr>
        <w:t>法律法规</w:t>
      </w:r>
      <w:r>
        <w:rPr>
          <w:rFonts w:ascii="宋体" w:hAnsi="宋体" w:eastAsia="宋体" w:cs="宋体"/>
          <w:sz w:val="24"/>
          <w:szCs w:val="24"/>
        </w:rPr>
        <w:t>和条例及《磋商文件》的规定。</w:t>
      </w:r>
    </w:p>
    <w:p w14:paraId="37C9875F">
      <w:pPr>
        <w:spacing w:before="181" w:line="219" w:lineRule="auto"/>
        <w:ind w:left="5"/>
        <w:outlineLvl w:val="2"/>
        <w:rPr>
          <w:rFonts w:ascii="宋体" w:hAnsi="宋体" w:eastAsia="宋体" w:cs="宋体"/>
          <w:sz w:val="24"/>
          <w:szCs w:val="24"/>
        </w:rPr>
      </w:pPr>
      <w:r>
        <w:rPr>
          <w:rFonts w:ascii="宋体" w:hAnsi="宋体" w:eastAsia="宋体" w:cs="宋体"/>
          <w:spacing w:val="-2"/>
          <w:sz w:val="24"/>
          <w:szCs w:val="24"/>
          <w14:textOutline w14:w="4358" w14:cap="sq" w14:cmpd="sng">
            <w14:solidFill>
              <w14:srgbClr w14:val="000000"/>
            </w14:solidFill>
            <w14:prstDash w14:val="solid"/>
            <w14:bevel/>
          </w14:textOutline>
        </w:rPr>
        <w:t>5.伴随服务</w:t>
      </w:r>
    </w:p>
    <w:p w14:paraId="4D8A3056">
      <w:pPr>
        <w:spacing w:before="223" w:line="219" w:lineRule="auto"/>
        <w:ind w:left="480"/>
        <w:rPr>
          <w:rFonts w:ascii="宋体" w:hAnsi="宋体" w:eastAsia="宋体" w:cs="宋体"/>
          <w:sz w:val="24"/>
          <w:szCs w:val="24"/>
        </w:rPr>
      </w:pPr>
      <w:r>
        <w:rPr>
          <w:rFonts w:ascii="宋体" w:hAnsi="宋体" w:eastAsia="宋体" w:cs="宋体"/>
          <w:spacing w:val="-1"/>
          <w:sz w:val="24"/>
          <w:szCs w:val="24"/>
        </w:rPr>
        <w:t>供应商按照磋商文件要求提供服务。</w:t>
      </w:r>
    </w:p>
    <w:p w14:paraId="62E953BA">
      <w:pPr>
        <w:spacing w:before="182" w:line="220" w:lineRule="auto"/>
        <w:ind w:left="2"/>
        <w:outlineLvl w:val="2"/>
        <w:rPr>
          <w:rFonts w:ascii="宋体" w:hAnsi="宋体" w:eastAsia="宋体" w:cs="宋体"/>
          <w:sz w:val="24"/>
          <w:szCs w:val="24"/>
        </w:rPr>
      </w:pPr>
      <w:r>
        <w:rPr>
          <w:rFonts w:ascii="宋体" w:hAnsi="宋体" w:eastAsia="宋体" w:cs="宋体"/>
          <w:spacing w:val="-2"/>
          <w:sz w:val="24"/>
          <w:szCs w:val="24"/>
          <w14:textOutline w14:w="4358" w14:cap="sq" w14:cmpd="sng">
            <w14:solidFill>
              <w14:srgbClr w14:val="000000"/>
            </w14:solidFill>
            <w14:prstDash w14:val="solid"/>
            <w14:bevel/>
          </w14:textOutline>
        </w:rPr>
        <w:t>6.投标费用</w:t>
      </w:r>
    </w:p>
    <w:p w14:paraId="4CF1B5C4">
      <w:pPr>
        <w:spacing w:before="184" w:line="359" w:lineRule="auto"/>
        <w:ind w:left="20" w:right="61" w:firstLine="497"/>
        <w:rPr>
          <w:rFonts w:ascii="宋体" w:hAnsi="宋体" w:eastAsia="宋体" w:cs="宋体"/>
          <w:sz w:val="24"/>
          <w:szCs w:val="24"/>
        </w:rPr>
      </w:pPr>
      <w:r>
        <w:rPr>
          <w:rFonts w:ascii="宋体" w:hAnsi="宋体" w:eastAsia="宋体" w:cs="宋体"/>
          <w:sz w:val="24"/>
          <w:szCs w:val="24"/>
        </w:rPr>
        <w:t>供应商应承担与采购活动有关的一切费用。不论采购的结果如何，采购代理机构和采购人在任何情况下均无义务和责任承担这些费用。</w:t>
      </w:r>
    </w:p>
    <w:p w14:paraId="2C978AD9">
      <w:pPr>
        <w:spacing w:before="182" w:line="219" w:lineRule="auto"/>
        <w:ind w:left="6"/>
        <w:outlineLvl w:val="2"/>
        <w:rPr>
          <w:rFonts w:ascii="宋体" w:hAnsi="宋体" w:eastAsia="宋体" w:cs="宋体"/>
          <w:sz w:val="24"/>
          <w:szCs w:val="24"/>
        </w:rPr>
      </w:pPr>
      <w:r>
        <w:rPr>
          <w:rFonts w:ascii="宋体" w:hAnsi="宋体" w:eastAsia="宋体" w:cs="宋体"/>
          <w:spacing w:val="-1"/>
          <w:sz w:val="24"/>
          <w:szCs w:val="24"/>
          <w14:textOutline w14:w="4358" w14:cap="sq" w14:cmpd="sng">
            <w14:solidFill>
              <w14:srgbClr w14:val="000000"/>
            </w14:solidFill>
            <w14:prstDash w14:val="solid"/>
            <w14:bevel/>
          </w14:textOutline>
        </w:rPr>
        <w:t>7.招标代理机构相关费用</w:t>
      </w:r>
    </w:p>
    <w:p w14:paraId="49F14064">
      <w:pPr>
        <w:spacing w:before="184" w:line="359" w:lineRule="auto"/>
        <w:ind w:left="20" w:right="61" w:firstLine="497"/>
        <w:rPr>
          <w:rFonts w:ascii="宋体" w:hAnsi="宋体" w:eastAsia="宋体" w:cs="宋体"/>
          <w:spacing w:val="-1"/>
          <w:sz w:val="24"/>
          <w:szCs w:val="24"/>
          <w14:textOutline w14:w="4358" w14:cap="sq" w14:cmpd="sng">
            <w14:solidFill>
              <w14:srgbClr w14:val="000000"/>
            </w14:solidFill>
            <w14:prstDash w14:val="solid"/>
            <w14:bevel/>
          </w14:textOutline>
        </w:rPr>
      </w:pPr>
      <w:r>
        <w:rPr>
          <w:rFonts w:ascii="宋体" w:hAnsi="宋体" w:eastAsia="宋体" w:cs="宋体"/>
          <w:sz w:val="24"/>
          <w:szCs w:val="24"/>
        </w:rPr>
        <w:t xml:space="preserve">7.1 </w:t>
      </w:r>
      <w:r>
        <w:rPr>
          <w:rFonts w:hint="eastAsia" w:ascii="宋体" w:hAnsi="宋体" w:eastAsia="宋体" w:cs="宋体"/>
          <w:spacing w:val="-1"/>
          <w:sz w:val="24"/>
          <w:szCs w:val="24"/>
          <w:lang w:val="en-US" w:eastAsia="zh-CN"/>
          <w14:textOutline w14:w="4358" w14:cap="sq" w14:cmpd="sng">
            <w14:solidFill>
              <w14:srgbClr w14:val="000000"/>
            </w14:solidFill>
            <w14:prstDash w14:val="solid"/>
            <w14:bevel/>
          </w14:textOutline>
        </w:rPr>
        <w:t>代理服务费为：本项目根据《招标代理服务收费管理暂行办法》计价格〔2002〕1980号文标准下浮20%收取，由成交（成交）人向采购代理机构交纳代理服务费。</w:t>
      </w:r>
    </w:p>
    <w:p w14:paraId="5BF36DE8">
      <w:pPr>
        <w:spacing w:before="180" w:line="219" w:lineRule="auto"/>
        <w:ind w:left="486"/>
        <w:rPr>
          <w:rFonts w:ascii="宋体" w:hAnsi="宋体" w:eastAsia="宋体" w:cs="宋体"/>
          <w:sz w:val="24"/>
          <w:szCs w:val="24"/>
        </w:rPr>
      </w:pPr>
      <w:r>
        <w:rPr>
          <w:rFonts w:ascii="宋体" w:hAnsi="宋体" w:eastAsia="宋体" w:cs="宋体"/>
          <w:spacing w:val="-1"/>
          <w:sz w:val="24"/>
          <w:szCs w:val="24"/>
        </w:rPr>
        <w:t>7.2</w:t>
      </w:r>
      <w:r>
        <w:rPr>
          <w:rFonts w:ascii="宋体" w:hAnsi="宋体" w:eastAsia="宋体" w:cs="宋体"/>
          <w:spacing w:val="-48"/>
          <w:sz w:val="24"/>
          <w:szCs w:val="24"/>
        </w:rPr>
        <w:t xml:space="preserve"> </w:t>
      </w:r>
      <w:r>
        <w:rPr>
          <w:rFonts w:ascii="宋体" w:hAnsi="宋体" w:eastAsia="宋体" w:cs="宋体"/>
          <w:spacing w:val="-1"/>
          <w:sz w:val="24"/>
          <w:szCs w:val="24"/>
        </w:rPr>
        <w:t>本项目招标代理服务费由</w:t>
      </w:r>
      <w:r>
        <w:rPr>
          <w:rFonts w:hint="eastAsia" w:ascii="宋体" w:hAnsi="宋体" w:eastAsia="宋体" w:cs="宋体"/>
          <w:spacing w:val="-1"/>
          <w:sz w:val="24"/>
          <w:szCs w:val="24"/>
          <w:lang w:eastAsia="zh-CN"/>
        </w:rPr>
        <w:t>成交</w:t>
      </w:r>
      <w:r>
        <w:rPr>
          <w:rFonts w:ascii="宋体" w:hAnsi="宋体" w:eastAsia="宋体" w:cs="宋体"/>
          <w:spacing w:val="-1"/>
          <w:sz w:val="24"/>
          <w:szCs w:val="24"/>
        </w:rPr>
        <w:t>供应商支付给招标代理机构。</w:t>
      </w:r>
    </w:p>
    <w:p w14:paraId="225535ED">
      <w:pPr>
        <w:spacing w:before="184" w:line="359" w:lineRule="auto"/>
        <w:ind w:left="20" w:right="61" w:firstLine="497"/>
        <w:rPr>
          <w:rFonts w:ascii="宋体" w:hAnsi="宋体" w:eastAsia="宋体" w:cs="宋体"/>
          <w:sz w:val="24"/>
          <w:szCs w:val="24"/>
        </w:rPr>
      </w:pPr>
      <w:r>
        <w:rPr>
          <w:rFonts w:ascii="宋体" w:hAnsi="宋体" w:eastAsia="宋体" w:cs="宋体"/>
          <w:sz w:val="24"/>
          <w:szCs w:val="24"/>
        </w:rPr>
        <w:t>7.3 费用缴纳可采用电汇、转支（公户）的方式支付，在发放《</w:t>
      </w:r>
      <w:r>
        <w:rPr>
          <w:rFonts w:hint="eastAsia" w:ascii="宋体" w:hAnsi="宋体" w:eastAsia="宋体" w:cs="宋体"/>
          <w:sz w:val="24"/>
          <w:szCs w:val="24"/>
          <w:lang w:eastAsia="zh-CN"/>
        </w:rPr>
        <w:t>成交</w:t>
      </w:r>
      <w:r>
        <w:rPr>
          <w:rFonts w:ascii="宋体" w:hAnsi="宋体" w:eastAsia="宋体" w:cs="宋体"/>
          <w:sz w:val="24"/>
          <w:szCs w:val="24"/>
        </w:rPr>
        <w:t>通知书》前一次性支付给招标代理机构。</w:t>
      </w:r>
    </w:p>
    <w:p w14:paraId="0A448472">
      <w:pPr>
        <w:spacing w:before="182" w:line="220" w:lineRule="auto"/>
        <w:ind w:left="1"/>
        <w:outlineLvl w:val="2"/>
        <w:rPr>
          <w:rFonts w:ascii="宋体" w:hAnsi="宋体" w:eastAsia="宋体" w:cs="宋体"/>
          <w:sz w:val="24"/>
          <w:szCs w:val="24"/>
        </w:rPr>
      </w:pPr>
      <w:r>
        <w:rPr>
          <w:rFonts w:ascii="宋体" w:hAnsi="宋体" w:eastAsia="宋体" w:cs="宋体"/>
          <w:spacing w:val="-3"/>
          <w:sz w:val="24"/>
          <w:szCs w:val="24"/>
          <w14:textOutline w14:w="4358" w14:cap="sq" w14:cmpd="sng">
            <w14:solidFill>
              <w14:srgbClr w14:val="000000"/>
            </w14:solidFill>
            <w14:prstDash w14:val="solid"/>
            <w14:bevel/>
          </w14:textOutline>
        </w:rPr>
        <w:t>8.保密</w:t>
      </w:r>
    </w:p>
    <w:p w14:paraId="4F665B88">
      <w:pPr>
        <w:spacing w:before="184" w:line="359" w:lineRule="auto"/>
        <w:ind w:left="20" w:right="61" w:firstLine="497"/>
        <w:rPr>
          <w:rFonts w:ascii="宋体" w:hAnsi="宋体" w:eastAsia="宋体" w:cs="宋体"/>
          <w:sz w:val="24"/>
          <w:szCs w:val="24"/>
        </w:rPr>
      </w:pPr>
      <w:r>
        <w:rPr>
          <w:rFonts w:ascii="宋体" w:hAnsi="宋体" w:eastAsia="宋体" w:cs="宋体"/>
          <w:sz w:val="24"/>
          <w:szCs w:val="24"/>
        </w:rPr>
        <w:t>参与招标</w:t>
      </w:r>
      <w:r>
        <w:rPr>
          <w:rFonts w:hint="eastAsia" w:ascii="宋体" w:hAnsi="宋体" w:eastAsia="宋体" w:cs="宋体"/>
          <w:sz w:val="24"/>
          <w:szCs w:val="24"/>
          <w:lang w:eastAsia="zh-CN"/>
        </w:rPr>
        <w:t>采购活动</w:t>
      </w:r>
      <w:r>
        <w:rPr>
          <w:rFonts w:ascii="宋体" w:hAnsi="宋体" w:eastAsia="宋体" w:cs="宋体"/>
          <w:sz w:val="24"/>
          <w:szCs w:val="24"/>
        </w:rPr>
        <w:t>的各方应对磋商文件和磋商响应文件中的商业和技术等秘密保密，违者应对由此造成的后果承担法律责任。</w:t>
      </w:r>
    </w:p>
    <w:p w14:paraId="794A7F66">
      <w:pPr>
        <w:spacing w:before="184" w:line="219" w:lineRule="auto"/>
        <w:ind w:left="1"/>
        <w:outlineLvl w:val="2"/>
        <w:rPr>
          <w:rFonts w:ascii="宋体" w:hAnsi="宋体" w:eastAsia="宋体" w:cs="宋体"/>
          <w:sz w:val="24"/>
          <w:szCs w:val="24"/>
        </w:rPr>
      </w:pPr>
      <w:r>
        <w:rPr>
          <w:rFonts w:ascii="宋体" w:hAnsi="宋体" w:eastAsia="宋体" w:cs="宋体"/>
          <w:spacing w:val="-2"/>
          <w:sz w:val="24"/>
          <w:szCs w:val="24"/>
          <w14:textOutline w14:w="4358" w14:cap="sq" w14:cmpd="sng">
            <w14:solidFill>
              <w14:srgbClr w14:val="000000"/>
            </w14:solidFill>
            <w14:prstDash w14:val="solid"/>
            <w14:bevel/>
          </w14:textOutline>
        </w:rPr>
        <w:t>9.适用法律</w:t>
      </w:r>
    </w:p>
    <w:p w14:paraId="41375DB9">
      <w:pPr>
        <w:spacing w:before="184" w:line="359" w:lineRule="auto"/>
        <w:ind w:left="20" w:right="61" w:firstLine="497"/>
        <w:rPr>
          <w:rFonts w:ascii="宋体" w:hAnsi="宋体" w:eastAsia="宋体" w:cs="宋体"/>
          <w:sz w:val="24"/>
          <w:szCs w:val="24"/>
        </w:rPr>
      </w:pPr>
      <w:r>
        <w:rPr>
          <w:rFonts w:ascii="宋体" w:hAnsi="宋体" w:eastAsia="宋体" w:cs="宋体"/>
          <w:sz w:val="24"/>
          <w:szCs w:val="24"/>
        </w:rPr>
        <w:t>本次招标属服务类政府采购，招标采购单位、供应商、磋商小组的相关行为均受《中华 人民共和国政府采购法》、《中华人民共和国政府采购法实施条例》、《政府采购货物和服务招标投标管理办法》、《政府采购非招标采购方式管理办法》、《政府采购竞争性磋商采购方式管理暂行办法》本项目采购人本级和上级财政部门政府采购有关规定的约束，其权利受到上述法律法规的保护。</w:t>
      </w:r>
    </w:p>
    <w:p w14:paraId="39707EEB">
      <w:pPr>
        <w:numPr>
          <w:ilvl w:val="0"/>
          <w:numId w:val="0"/>
        </w:numPr>
        <w:spacing w:before="184" w:line="219" w:lineRule="auto"/>
        <w:ind w:left="1" w:leftChars="0"/>
        <w:outlineLvl w:val="2"/>
        <w:rPr>
          <w:rFonts w:hint="eastAsia" w:ascii="宋体" w:hAnsi="宋体" w:eastAsia="宋体" w:cs="宋体"/>
          <w:spacing w:val="-2"/>
          <w:sz w:val="24"/>
          <w:szCs w:val="24"/>
          <w:lang w:val="en-US" w:eastAsia="zh-CN"/>
          <w14:textOutline w14:w="4358" w14:cap="sq" w14:cmpd="sng">
            <w14:solidFill>
              <w14:srgbClr w14:val="000000"/>
            </w14:solidFill>
            <w14:prstDash w14:val="solid"/>
            <w14:bevel/>
          </w14:textOutline>
        </w:rPr>
      </w:pPr>
      <w:r>
        <w:rPr>
          <w:rFonts w:hint="eastAsia" w:ascii="宋体" w:hAnsi="宋体" w:eastAsia="宋体" w:cs="宋体"/>
          <w:snapToGrid w:val="0"/>
          <w:color w:val="000000"/>
          <w:spacing w:val="-2"/>
          <w:kern w:val="0"/>
          <w:sz w:val="24"/>
          <w:szCs w:val="24"/>
          <w:lang w:val="en-US" w:eastAsia="zh-CN" w:bidi="ar-SA"/>
          <w14:textOutline w14:w="4358" w14:cap="sq" w14:cmpd="sng">
            <w14:solidFill>
              <w14:srgbClr w14:val="000000"/>
            </w14:solidFill>
            <w14:prstDash w14:val="solid"/>
            <w14:bevel/>
          </w14:textOutline>
        </w:rPr>
        <w:t>10.</w:t>
      </w:r>
      <w:r>
        <w:rPr>
          <w:rFonts w:ascii="宋体" w:hAnsi="宋体" w:eastAsia="宋体" w:cs="宋体"/>
          <w:spacing w:val="-3"/>
          <w:sz w:val="24"/>
          <w:szCs w:val="24"/>
        </w:rPr>
        <w:t>★</w:t>
      </w:r>
      <w:r>
        <w:rPr>
          <w:rFonts w:hint="eastAsia" w:ascii="宋体" w:hAnsi="宋体" w:eastAsia="宋体" w:cs="宋体"/>
          <w:spacing w:val="-2"/>
          <w:sz w:val="24"/>
          <w:szCs w:val="24"/>
          <w:lang w:val="en-US" w:eastAsia="zh-CN"/>
          <w14:textOutline w14:w="4358" w14:cap="sq" w14:cmpd="sng">
            <w14:solidFill>
              <w14:srgbClr w14:val="000000"/>
            </w14:solidFill>
            <w14:prstDash w14:val="solid"/>
            <w14:bevel/>
          </w14:textOutline>
        </w:rPr>
        <w:t>样品</w:t>
      </w:r>
    </w:p>
    <w:p w14:paraId="241B7B1D">
      <w:pPr>
        <w:spacing w:before="184" w:line="359" w:lineRule="auto"/>
        <w:ind w:left="20" w:right="61" w:firstLine="497"/>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10.1.样品要求：</w:t>
      </w:r>
      <w:r>
        <w:rPr>
          <w:rFonts w:hint="default" w:ascii="宋体" w:hAnsi="宋体" w:eastAsia="宋体" w:cs="宋体"/>
          <w:sz w:val="24"/>
          <w:szCs w:val="24"/>
          <w:lang w:val="en-US" w:eastAsia="zh-CN"/>
        </w:rPr>
        <w:t>按</w:t>
      </w:r>
      <w:r>
        <w:rPr>
          <w:rFonts w:hint="eastAsia" w:ascii="宋体" w:hAnsi="宋体" w:eastAsia="宋体" w:cs="宋体"/>
          <w:sz w:val="24"/>
          <w:szCs w:val="24"/>
          <w:lang w:val="en-US" w:eastAsia="zh-CN"/>
        </w:rPr>
        <w:t>标段采购清单所有种类提供样品（50g-100g/种），用以和供货时质量对比。成交供应商样品由医院封存，成交供应商在合同期内必须交付与评标时质量相同的中药饮片，入库验收时如发现与评标留样样品不相符的，取消供应商成交资格。</w:t>
      </w:r>
    </w:p>
    <w:p w14:paraId="6ECA4470">
      <w:pPr>
        <w:spacing w:before="184" w:line="359" w:lineRule="auto"/>
        <w:ind w:left="20" w:right="61" w:firstLine="497"/>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10.2.样品的提供方式：供应商</w:t>
      </w:r>
      <w:r>
        <w:rPr>
          <w:rFonts w:hint="default" w:ascii="宋体" w:hAnsi="宋体" w:eastAsia="宋体" w:cs="宋体"/>
          <w:sz w:val="24"/>
          <w:szCs w:val="24"/>
          <w:lang w:val="en-US" w:eastAsia="zh-CN"/>
        </w:rPr>
        <w:t>须</w:t>
      </w:r>
      <w:r>
        <w:rPr>
          <w:rFonts w:hint="eastAsia" w:ascii="宋体" w:hAnsi="宋体" w:eastAsia="宋体" w:cs="宋体"/>
          <w:sz w:val="24"/>
          <w:szCs w:val="24"/>
          <w:lang w:val="en-US" w:eastAsia="zh-CN"/>
        </w:rPr>
        <w:t>通过邮寄的方式，提供样品截止时间：2025年03月10日11时30分（北京时间）</w:t>
      </w:r>
      <w:r>
        <w:rPr>
          <w:rFonts w:hint="default" w:ascii="宋体" w:hAnsi="宋体" w:eastAsia="宋体" w:cs="宋体"/>
          <w:sz w:val="24"/>
          <w:szCs w:val="24"/>
          <w:lang w:val="en-US" w:eastAsia="zh-CN"/>
        </w:rPr>
        <w:t>，此次</w:t>
      </w:r>
      <w:r>
        <w:rPr>
          <w:rFonts w:hint="eastAsia" w:ascii="宋体" w:hAnsi="宋体" w:eastAsia="宋体" w:cs="宋体"/>
          <w:sz w:val="24"/>
          <w:szCs w:val="24"/>
          <w:lang w:val="en-US" w:eastAsia="zh-CN"/>
        </w:rPr>
        <w:t>磋商</w:t>
      </w:r>
      <w:r>
        <w:rPr>
          <w:rFonts w:hint="default" w:ascii="宋体" w:hAnsi="宋体" w:eastAsia="宋体" w:cs="宋体"/>
          <w:sz w:val="24"/>
          <w:szCs w:val="24"/>
          <w:lang w:val="en-US" w:eastAsia="zh-CN"/>
        </w:rPr>
        <w:t>如不按规定提供样品，则不作为评审依据，对评</w:t>
      </w:r>
      <w:r>
        <w:rPr>
          <w:rFonts w:hint="eastAsia" w:ascii="宋体" w:hAnsi="宋体" w:eastAsia="宋体" w:cs="宋体"/>
          <w:sz w:val="24"/>
          <w:szCs w:val="24"/>
          <w:lang w:val="en-US" w:eastAsia="zh-CN"/>
        </w:rPr>
        <w:t>审</w:t>
      </w:r>
      <w:r>
        <w:rPr>
          <w:rFonts w:hint="default" w:ascii="宋体" w:hAnsi="宋体" w:eastAsia="宋体" w:cs="宋体"/>
          <w:sz w:val="24"/>
          <w:szCs w:val="24"/>
          <w:lang w:val="en-US" w:eastAsia="zh-CN"/>
        </w:rPr>
        <w:t>结果产生的影响，由</w:t>
      </w:r>
      <w:r>
        <w:rPr>
          <w:rFonts w:hint="eastAsia" w:ascii="宋体" w:hAnsi="宋体" w:eastAsia="宋体" w:cs="宋体"/>
          <w:sz w:val="24"/>
          <w:szCs w:val="24"/>
          <w:lang w:val="en-US" w:eastAsia="zh-CN"/>
        </w:rPr>
        <w:t>供应商</w:t>
      </w:r>
      <w:r>
        <w:rPr>
          <w:rFonts w:hint="default" w:ascii="宋体" w:hAnsi="宋体" w:eastAsia="宋体" w:cs="宋体"/>
          <w:sz w:val="24"/>
          <w:szCs w:val="24"/>
          <w:lang w:val="en-US" w:eastAsia="zh-CN"/>
        </w:rPr>
        <w:t>自行承担。</w:t>
      </w:r>
    </w:p>
    <w:p w14:paraId="6C336CB0">
      <w:pPr>
        <w:spacing w:before="184" w:line="359" w:lineRule="auto"/>
        <w:ind w:left="20" w:right="61" w:firstLine="497"/>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10.3.邮寄地点：阿克苏市采荷路1号云山悦府12号楼2单元202室，联系人：刘辉，电话：18399561515</w:t>
      </w:r>
    </w:p>
    <w:p w14:paraId="7C513568">
      <w:pPr>
        <w:spacing w:before="184" w:line="359" w:lineRule="auto"/>
        <w:ind w:left="20" w:right="61" w:firstLine="497"/>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10.4.样品的包装及密封：样品按下列要去提供，否则将被拒收，产生的后果由供应商负责。</w:t>
      </w:r>
    </w:p>
    <w:p w14:paraId="41E69C3B">
      <w:pPr>
        <w:spacing w:before="184" w:line="359" w:lineRule="auto"/>
        <w:ind w:left="20" w:right="61" w:firstLine="497"/>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1)、样品每种50g-100g/种（透明密封袋或密封盒），每种药品都需标签标注药品的名称、产地及生产厂家、供应商名称、所投的标项名称。</w:t>
      </w:r>
    </w:p>
    <w:p w14:paraId="4B48160A">
      <w:pPr>
        <w:spacing w:before="184" w:line="359" w:lineRule="auto"/>
        <w:ind w:left="20" w:right="61" w:firstLine="497"/>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2)、同标项中的所有样品放入一个纸箱中，密封并设置包装封皮。</w:t>
      </w:r>
    </w:p>
    <w:p w14:paraId="4533E036">
      <w:pPr>
        <w:spacing w:before="184" w:line="359" w:lineRule="auto"/>
        <w:ind w:left="20" w:right="61" w:firstLine="497"/>
        <w:rPr>
          <w:rFonts w:hint="eastAsia" w:ascii="宋体" w:hAnsi="宋体" w:eastAsia="宋体" w:cs="宋体"/>
          <w:b/>
          <w:bCs/>
          <w:sz w:val="24"/>
          <w:szCs w:val="24"/>
          <w:lang w:val="en-US" w:eastAsia="zh-CN"/>
        </w:rPr>
      </w:pPr>
      <w:r>
        <w:rPr>
          <w:rFonts w:hint="eastAsia" w:ascii="宋体" w:hAnsi="宋体" w:eastAsia="宋体" w:cs="宋体"/>
          <w:sz w:val="24"/>
          <w:szCs w:val="24"/>
          <w:lang w:val="en-US" w:eastAsia="zh-CN"/>
        </w:rPr>
        <w:t>3）、封皮均应:</w:t>
      </w:r>
      <w:r>
        <w:rPr>
          <w:rFonts w:hint="default" w:ascii="宋体" w:hAnsi="宋体" w:eastAsia="宋体" w:cs="宋体"/>
          <w:sz w:val="24"/>
          <w:szCs w:val="24"/>
          <w:lang w:val="en-US" w:eastAsia="zh-CN"/>
        </w:rPr>
        <w:t>注明</w:t>
      </w:r>
      <w:r>
        <w:rPr>
          <w:rFonts w:hint="eastAsia" w:ascii="宋体" w:hAnsi="宋体" w:eastAsia="宋体" w:cs="宋体"/>
          <w:sz w:val="24"/>
          <w:szCs w:val="24"/>
          <w:lang w:val="en-US" w:eastAsia="zh-CN"/>
        </w:rPr>
        <w:t>供应商所投的标项（标段），标项</w:t>
      </w:r>
      <w:r>
        <w:rPr>
          <w:rFonts w:hint="default" w:ascii="宋体" w:hAnsi="宋体" w:eastAsia="宋体" w:cs="宋体"/>
          <w:sz w:val="24"/>
          <w:szCs w:val="24"/>
          <w:lang w:val="en-US" w:eastAsia="zh-CN"/>
        </w:rPr>
        <w:t>名称</w:t>
      </w:r>
      <w:r>
        <w:rPr>
          <w:rFonts w:hint="eastAsia" w:ascii="宋体" w:hAnsi="宋体" w:eastAsia="宋体" w:cs="宋体"/>
          <w:sz w:val="24"/>
          <w:szCs w:val="24"/>
          <w:lang w:val="en-US" w:eastAsia="zh-CN"/>
        </w:rPr>
        <w:t>、</w:t>
      </w:r>
      <w:r>
        <w:rPr>
          <w:rFonts w:hint="eastAsia" w:ascii="宋体" w:hAnsi="宋体" w:eastAsia="宋体" w:cs="宋体"/>
          <w:color w:val="auto"/>
          <w:spacing w:val="-4"/>
          <w:sz w:val="24"/>
          <w:szCs w:val="24"/>
          <w:highlight w:val="none"/>
        </w:rPr>
        <w:t>样品清单及样品数</w:t>
      </w:r>
      <w:r>
        <w:rPr>
          <w:rFonts w:hint="eastAsia" w:ascii="宋体" w:hAnsi="宋体" w:eastAsia="宋体" w:cs="宋体"/>
          <w:color w:val="auto"/>
          <w:spacing w:val="-3"/>
          <w:sz w:val="24"/>
          <w:szCs w:val="24"/>
          <w:highlight w:val="none"/>
        </w:rPr>
        <w:t>量</w:t>
      </w:r>
      <w:r>
        <w:rPr>
          <w:rFonts w:hint="default" w:ascii="宋体" w:hAnsi="宋体" w:eastAsia="宋体" w:cs="宋体"/>
          <w:sz w:val="24"/>
          <w:szCs w:val="24"/>
          <w:lang w:val="en-US" w:eastAsia="zh-CN"/>
        </w:rPr>
        <w:t>和“在(开标时间)之前不得启封”的字样。</w:t>
      </w:r>
      <w:r>
        <w:rPr>
          <w:rFonts w:hint="eastAsia" w:ascii="宋体" w:hAnsi="宋体" w:eastAsia="宋体" w:cs="宋体"/>
          <w:b/>
          <w:bCs/>
          <w:sz w:val="24"/>
          <w:szCs w:val="24"/>
          <w:lang w:val="en-US" w:eastAsia="zh-CN"/>
        </w:rPr>
        <w:t>外包装</w:t>
      </w:r>
      <w:r>
        <w:rPr>
          <w:rFonts w:hint="eastAsia" w:ascii="宋体" w:hAnsi="宋体" w:eastAsia="宋体" w:cs="宋体"/>
          <w:b/>
          <w:bCs/>
          <w:color w:val="auto"/>
          <w:spacing w:val="-3"/>
          <w:sz w:val="24"/>
          <w:szCs w:val="24"/>
          <w:highlight w:val="none"/>
          <w:lang w:eastAsia="zh-CN"/>
        </w:rPr>
        <w:t>不得</w:t>
      </w:r>
      <w:r>
        <w:rPr>
          <w:rFonts w:hint="eastAsia" w:ascii="宋体" w:hAnsi="宋体" w:eastAsia="宋体" w:cs="宋体"/>
          <w:b/>
          <w:bCs/>
          <w:color w:val="auto"/>
          <w:spacing w:val="-3"/>
          <w:sz w:val="24"/>
          <w:szCs w:val="24"/>
          <w:highlight w:val="none"/>
        </w:rPr>
        <w:t>显示供应商名称</w:t>
      </w:r>
      <w:r>
        <w:rPr>
          <w:rFonts w:hint="eastAsia" w:ascii="宋体" w:hAnsi="宋体" w:eastAsia="宋体" w:cs="宋体"/>
          <w:b/>
          <w:bCs/>
          <w:color w:val="auto"/>
          <w:spacing w:val="-3"/>
          <w:sz w:val="24"/>
          <w:szCs w:val="24"/>
          <w:highlight w:val="none"/>
          <w:lang w:eastAsia="zh-CN"/>
        </w:rPr>
        <w:t>及相关信息。（所有供应商样品在评审时统一启封）</w:t>
      </w:r>
    </w:p>
    <w:p w14:paraId="45AE94A5">
      <w:pPr>
        <w:spacing w:before="184" w:line="359" w:lineRule="auto"/>
        <w:ind w:left="20" w:right="61" w:firstLine="497"/>
        <w:rPr>
          <w:rFonts w:hint="default" w:ascii="宋体" w:hAnsi="宋体" w:eastAsia="宋体" w:cs="宋体"/>
          <w:sz w:val="24"/>
          <w:szCs w:val="24"/>
          <w:lang w:val="en-US" w:eastAsia="zh-CN"/>
        </w:rPr>
      </w:pPr>
      <w:r>
        <w:rPr>
          <w:rFonts w:hint="eastAsia" w:ascii="宋体" w:hAnsi="宋体" w:eastAsia="宋体" w:cs="宋体"/>
          <w:color w:val="auto"/>
          <w:sz w:val="24"/>
          <w:szCs w:val="24"/>
          <w:highlight w:val="none"/>
          <w:lang w:eastAsia="zh-CN"/>
        </w:rPr>
        <w:t>请各潜在供应商在发出邮件时仔细检查外包装，</w:t>
      </w:r>
      <w:r>
        <w:rPr>
          <w:rFonts w:hint="eastAsia" w:ascii="宋体" w:hAnsi="宋体" w:eastAsia="宋体" w:cs="宋体"/>
          <w:color w:val="auto"/>
          <w:sz w:val="24"/>
          <w:szCs w:val="24"/>
          <w:highlight w:val="none"/>
        </w:rPr>
        <w:t>如未按规定提供所有样</w:t>
      </w:r>
      <w:r>
        <w:rPr>
          <w:rFonts w:hint="eastAsia" w:ascii="宋体" w:hAnsi="宋体" w:eastAsia="宋体" w:cs="宋体"/>
          <w:color w:val="auto"/>
          <w:spacing w:val="-1"/>
          <w:sz w:val="24"/>
          <w:szCs w:val="24"/>
          <w:highlight w:val="none"/>
        </w:rPr>
        <w:t>品</w:t>
      </w:r>
      <w:r>
        <w:rPr>
          <w:rFonts w:hint="eastAsia" w:ascii="宋体" w:hAnsi="宋体" w:eastAsia="宋体" w:cs="宋体"/>
          <w:color w:val="auto"/>
          <w:spacing w:val="-1"/>
          <w:sz w:val="24"/>
          <w:szCs w:val="24"/>
          <w:highlight w:val="none"/>
          <w:lang w:eastAsia="zh-CN"/>
        </w:rPr>
        <w:t>或运输中有破损、变质</w:t>
      </w:r>
      <w:r>
        <w:rPr>
          <w:rFonts w:hint="eastAsia" w:ascii="宋体" w:hAnsi="宋体" w:eastAsia="宋体" w:cs="宋体"/>
          <w:color w:val="auto"/>
          <w:spacing w:val="-1"/>
          <w:sz w:val="24"/>
          <w:szCs w:val="24"/>
          <w:highlight w:val="none"/>
        </w:rPr>
        <w:t>，</w:t>
      </w:r>
      <w:r>
        <w:rPr>
          <w:rFonts w:hint="eastAsia" w:ascii="宋体" w:hAnsi="宋体" w:eastAsia="宋体" w:cs="宋体"/>
          <w:color w:val="auto"/>
          <w:spacing w:val="-8"/>
          <w:sz w:val="24"/>
          <w:szCs w:val="24"/>
          <w:highlight w:val="none"/>
        </w:rPr>
        <w:t>则不作为评标依据，对评标结果产生的不良影响，由供应商自行承</w:t>
      </w:r>
      <w:r>
        <w:rPr>
          <w:rFonts w:hint="eastAsia" w:ascii="宋体" w:hAnsi="宋体" w:eastAsia="宋体" w:cs="宋体"/>
          <w:color w:val="auto"/>
          <w:spacing w:val="-9"/>
          <w:sz w:val="24"/>
          <w:szCs w:val="24"/>
          <w:highlight w:val="none"/>
        </w:rPr>
        <w:t>担。</w:t>
      </w:r>
    </w:p>
    <w:p w14:paraId="1217020D">
      <w:pPr>
        <w:spacing w:before="184" w:line="359" w:lineRule="auto"/>
        <w:ind w:left="20" w:right="61" w:firstLine="497"/>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10.5.</w:t>
      </w:r>
      <w:r>
        <w:rPr>
          <w:rFonts w:hint="default" w:ascii="宋体" w:hAnsi="宋体" w:eastAsia="宋体" w:cs="宋体"/>
          <w:sz w:val="24"/>
          <w:szCs w:val="24"/>
          <w:lang w:val="en-US" w:eastAsia="zh-CN"/>
        </w:rPr>
        <w:t>样品的留存及退回</w:t>
      </w:r>
    </w:p>
    <w:p w14:paraId="03754859">
      <w:pPr>
        <w:spacing w:before="184" w:line="359" w:lineRule="auto"/>
        <w:ind w:left="20" w:right="61" w:firstLine="497"/>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成交供应商</w:t>
      </w:r>
      <w:r>
        <w:rPr>
          <w:rFonts w:hint="default" w:ascii="宋体" w:hAnsi="宋体" w:eastAsia="宋体" w:cs="宋体"/>
          <w:sz w:val="24"/>
          <w:szCs w:val="24"/>
          <w:lang w:val="en-US" w:eastAsia="zh-CN"/>
        </w:rPr>
        <w:t>样品由</w:t>
      </w:r>
      <w:r>
        <w:rPr>
          <w:rFonts w:hint="eastAsia" w:ascii="宋体" w:hAnsi="宋体" w:eastAsia="宋体" w:cs="宋体"/>
          <w:sz w:val="24"/>
          <w:szCs w:val="24"/>
          <w:lang w:val="en-US" w:eastAsia="zh-CN"/>
        </w:rPr>
        <w:t>采购人</w:t>
      </w:r>
      <w:r>
        <w:rPr>
          <w:rFonts w:hint="default" w:ascii="宋体" w:hAnsi="宋体" w:eastAsia="宋体" w:cs="宋体"/>
          <w:sz w:val="24"/>
          <w:szCs w:val="24"/>
          <w:lang w:val="en-US" w:eastAsia="zh-CN"/>
        </w:rPr>
        <w:t>封存，</w:t>
      </w:r>
      <w:r>
        <w:rPr>
          <w:rFonts w:hint="eastAsia" w:ascii="宋体" w:hAnsi="宋体" w:eastAsia="宋体" w:cs="宋体"/>
          <w:sz w:val="24"/>
          <w:szCs w:val="24"/>
          <w:lang w:val="en-US" w:eastAsia="zh-CN"/>
        </w:rPr>
        <w:t>成交供应商按采购人要求</w:t>
      </w:r>
      <w:r>
        <w:rPr>
          <w:rFonts w:hint="default" w:ascii="宋体" w:hAnsi="宋体" w:eastAsia="宋体" w:cs="宋体"/>
          <w:sz w:val="24"/>
          <w:szCs w:val="24"/>
          <w:lang w:val="en-US" w:eastAsia="zh-CN"/>
        </w:rPr>
        <w:t>必须交付与评</w:t>
      </w:r>
      <w:r>
        <w:rPr>
          <w:rFonts w:hint="eastAsia" w:ascii="宋体" w:hAnsi="宋体" w:eastAsia="宋体" w:cs="宋体"/>
          <w:sz w:val="24"/>
          <w:szCs w:val="24"/>
          <w:lang w:val="en-US" w:eastAsia="zh-CN"/>
        </w:rPr>
        <w:t>审</w:t>
      </w:r>
      <w:r>
        <w:rPr>
          <w:rFonts w:hint="default" w:ascii="宋体" w:hAnsi="宋体" w:eastAsia="宋体" w:cs="宋体"/>
          <w:sz w:val="24"/>
          <w:szCs w:val="24"/>
          <w:lang w:val="en-US" w:eastAsia="zh-CN"/>
        </w:rPr>
        <w:t>时质量相同的中药饮片，入库验收时如发现与评</w:t>
      </w:r>
      <w:r>
        <w:rPr>
          <w:rFonts w:hint="eastAsia" w:ascii="宋体" w:hAnsi="宋体" w:eastAsia="宋体" w:cs="宋体"/>
          <w:sz w:val="24"/>
          <w:szCs w:val="24"/>
          <w:lang w:val="en-US" w:eastAsia="zh-CN"/>
        </w:rPr>
        <w:t>审</w:t>
      </w:r>
      <w:r>
        <w:rPr>
          <w:rFonts w:hint="default" w:ascii="宋体" w:hAnsi="宋体" w:eastAsia="宋体" w:cs="宋体"/>
          <w:sz w:val="24"/>
          <w:szCs w:val="24"/>
          <w:lang w:val="en-US" w:eastAsia="zh-CN"/>
        </w:rPr>
        <w:t>留样样品不相符的，终止供应商资格。医院不定期对</w:t>
      </w:r>
      <w:r>
        <w:rPr>
          <w:rFonts w:hint="eastAsia" w:ascii="宋体" w:hAnsi="宋体" w:eastAsia="宋体" w:cs="宋体"/>
          <w:sz w:val="24"/>
          <w:szCs w:val="24"/>
          <w:lang w:val="en-US" w:eastAsia="zh-CN"/>
        </w:rPr>
        <w:t>成交供应商</w:t>
      </w:r>
      <w:r>
        <w:rPr>
          <w:rFonts w:hint="default" w:ascii="宋体" w:hAnsi="宋体" w:eastAsia="宋体" w:cs="宋体"/>
          <w:sz w:val="24"/>
          <w:szCs w:val="24"/>
          <w:lang w:val="en-US" w:eastAsia="zh-CN"/>
        </w:rPr>
        <w:t>供应的中药饮片进行抽查检验，检验不合格的，可向供货厂家通知拒收任何不符合</w:t>
      </w:r>
      <w:r>
        <w:rPr>
          <w:rFonts w:hint="eastAsia" w:ascii="宋体" w:hAnsi="宋体" w:eastAsia="宋体" w:cs="宋体"/>
          <w:sz w:val="24"/>
          <w:szCs w:val="24"/>
          <w:lang w:val="en-US" w:eastAsia="zh-CN"/>
        </w:rPr>
        <w:t>采购人</w:t>
      </w:r>
      <w:r>
        <w:rPr>
          <w:rFonts w:hint="default" w:ascii="宋体" w:hAnsi="宋体" w:eastAsia="宋体" w:cs="宋体"/>
          <w:sz w:val="24"/>
          <w:szCs w:val="24"/>
          <w:lang w:val="en-US" w:eastAsia="zh-CN"/>
        </w:rPr>
        <w:t>质量要求的药品。对于药监局抽检不合格的药品，造成的罚款及没收等损失由</w:t>
      </w:r>
      <w:r>
        <w:rPr>
          <w:rFonts w:hint="eastAsia" w:ascii="宋体" w:hAnsi="宋体" w:eastAsia="宋体" w:cs="宋体"/>
          <w:sz w:val="24"/>
          <w:szCs w:val="24"/>
          <w:lang w:val="en-US" w:eastAsia="zh-CN"/>
        </w:rPr>
        <w:t>成交供应商</w:t>
      </w:r>
      <w:r>
        <w:rPr>
          <w:rFonts w:hint="default" w:ascii="宋体" w:hAnsi="宋体" w:eastAsia="宋体" w:cs="宋体"/>
          <w:sz w:val="24"/>
          <w:szCs w:val="24"/>
          <w:lang w:val="en-US" w:eastAsia="zh-CN"/>
        </w:rPr>
        <w:t>承担。</w:t>
      </w:r>
    </w:p>
    <w:p w14:paraId="1E9EAC65">
      <w:pPr>
        <w:spacing w:before="184" w:line="359" w:lineRule="auto"/>
        <w:ind w:left="20" w:right="61" w:firstLine="497"/>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未</w:t>
      </w:r>
      <w:r>
        <w:rPr>
          <w:rFonts w:hint="eastAsia" w:ascii="宋体" w:hAnsi="宋体" w:eastAsia="宋体" w:cs="宋体"/>
          <w:sz w:val="24"/>
          <w:szCs w:val="24"/>
          <w:lang w:val="en-US" w:eastAsia="zh-CN"/>
        </w:rPr>
        <w:t>成交</w:t>
      </w:r>
      <w:r>
        <w:rPr>
          <w:rFonts w:hint="default" w:ascii="宋体" w:hAnsi="宋体" w:eastAsia="宋体" w:cs="宋体"/>
          <w:sz w:val="24"/>
          <w:szCs w:val="24"/>
          <w:lang w:val="en-US" w:eastAsia="zh-CN"/>
        </w:rPr>
        <w:t>单位样品</w:t>
      </w:r>
      <w:r>
        <w:rPr>
          <w:rFonts w:hint="eastAsia" w:ascii="宋体" w:hAnsi="宋体" w:eastAsia="宋体" w:cs="宋体"/>
          <w:sz w:val="24"/>
          <w:szCs w:val="24"/>
          <w:lang w:val="en-US" w:eastAsia="zh-CN"/>
        </w:rPr>
        <w:t>成交</w:t>
      </w:r>
      <w:r>
        <w:rPr>
          <w:rFonts w:hint="default" w:ascii="宋体" w:hAnsi="宋体" w:eastAsia="宋体" w:cs="宋体"/>
          <w:sz w:val="24"/>
          <w:szCs w:val="24"/>
          <w:lang w:val="en-US" w:eastAsia="zh-CN"/>
        </w:rPr>
        <w:t>结果公示发出，无质疑、投诉后退回，如有质疑、投诉，待质疑投诉处理完成后退回;在上述期限需提前退回的贵重样品或易变质中药饮片，</w:t>
      </w:r>
      <w:r>
        <w:rPr>
          <w:rFonts w:hint="eastAsia" w:ascii="宋体" w:hAnsi="宋体" w:eastAsia="宋体" w:cs="宋体"/>
          <w:sz w:val="24"/>
          <w:szCs w:val="24"/>
          <w:lang w:val="en-US" w:eastAsia="zh-CN"/>
        </w:rPr>
        <w:t>供应商</w:t>
      </w:r>
      <w:r>
        <w:rPr>
          <w:rFonts w:hint="default" w:ascii="宋体" w:hAnsi="宋体" w:eastAsia="宋体" w:cs="宋体"/>
          <w:sz w:val="24"/>
          <w:szCs w:val="24"/>
          <w:lang w:val="en-US" w:eastAsia="zh-CN"/>
        </w:rPr>
        <w:t>联系代理机构，</w:t>
      </w:r>
      <w:r>
        <w:rPr>
          <w:rFonts w:hint="eastAsia" w:ascii="宋体" w:hAnsi="宋体" w:eastAsia="宋体" w:cs="宋体"/>
          <w:sz w:val="24"/>
          <w:szCs w:val="24"/>
          <w:lang w:val="en-US" w:eastAsia="zh-CN"/>
        </w:rPr>
        <w:t>代理机构</w:t>
      </w:r>
      <w:r>
        <w:rPr>
          <w:rFonts w:hint="default" w:ascii="宋体" w:hAnsi="宋体" w:eastAsia="宋体" w:cs="宋体"/>
          <w:sz w:val="24"/>
          <w:szCs w:val="24"/>
          <w:lang w:val="en-US" w:eastAsia="zh-CN"/>
        </w:rPr>
        <w:t>无储存中药饮片的条件，如因储存不当造成，药品变质，由</w:t>
      </w:r>
      <w:r>
        <w:rPr>
          <w:rFonts w:hint="eastAsia" w:ascii="宋体" w:hAnsi="宋体" w:eastAsia="宋体" w:cs="宋体"/>
          <w:sz w:val="24"/>
          <w:szCs w:val="24"/>
          <w:lang w:val="en-US" w:eastAsia="zh-CN"/>
        </w:rPr>
        <w:t>供应商</w:t>
      </w:r>
      <w:r>
        <w:rPr>
          <w:rFonts w:hint="default" w:ascii="宋体" w:hAnsi="宋体" w:eastAsia="宋体" w:cs="宋体"/>
          <w:sz w:val="24"/>
          <w:szCs w:val="24"/>
          <w:lang w:val="en-US" w:eastAsia="zh-CN"/>
        </w:rPr>
        <w:t>承担</w:t>
      </w:r>
      <w:r>
        <w:rPr>
          <w:rFonts w:hint="eastAsia" w:ascii="宋体" w:hAnsi="宋体" w:eastAsia="宋体" w:cs="宋体"/>
          <w:sz w:val="24"/>
          <w:szCs w:val="24"/>
          <w:lang w:val="en-US" w:eastAsia="zh-CN"/>
        </w:rPr>
        <w:t>。</w:t>
      </w:r>
    </w:p>
    <w:p w14:paraId="0E152F73">
      <w:pPr>
        <w:spacing w:before="188" w:line="220" w:lineRule="auto"/>
        <w:ind w:left="3508"/>
        <w:outlineLvl w:val="1"/>
        <w:rPr>
          <w:rFonts w:ascii="宋体" w:hAnsi="宋体" w:eastAsia="宋体" w:cs="宋体"/>
          <w:sz w:val="28"/>
          <w:szCs w:val="28"/>
        </w:rPr>
      </w:pPr>
      <w:r>
        <w:rPr>
          <w:rFonts w:ascii="宋体" w:hAnsi="宋体" w:eastAsia="宋体" w:cs="宋体"/>
          <w:spacing w:val="-2"/>
          <w:sz w:val="28"/>
          <w:szCs w:val="28"/>
          <w14:textOutline w14:w="5103" w14:cap="sq" w14:cmpd="sng">
            <w14:solidFill>
              <w14:srgbClr w14:val="000000"/>
            </w14:solidFill>
            <w14:prstDash w14:val="solid"/>
            <w14:bevel/>
          </w14:textOutline>
        </w:rPr>
        <w:t>（三）《磋商文件》</w:t>
      </w:r>
    </w:p>
    <w:p w14:paraId="48692FEA">
      <w:pPr>
        <w:spacing w:before="206" w:line="219" w:lineRule="auto"/>
        <w:ind w:left="19"/>
        <w:outlineLvl w:val="2"/>
        <w:rPr>
          <w:rFonts w:ascii="宋体" w:hAnsi="宋体" w:eastAsia="宋体" w:cs="宋体"/>
          <w:sz w:val="24"/>
          <w:szCs w:val="24"/>
        </w:rPr>
      </w:pPr>
      <w:r>
        <w:rPr>
          <w:rFonts w:ascii="宋体" w:hAnsi="宋体" w:eastAsia="宋体" w:cs="宋体"/>
          <w:spacing w:val="-2"/>
          <w:sz w:val="24"/>
          <w:szCs w:val="24"/>
          <w14:textOutline w14:w="4358" w14:cap="sq" w14:cmpd="sng">
            <w14:solidFill>
              <w14:srgbClr w14:val="000000"/>
            </w14:solidFill>
            <w14:prstDash w14:val="solid"/>
            <w14:bevel/>
          </w14:textOutline>
        </w:rPr>
        <w:t>1.《磋商文件》的组成</w:t>
      </w:r>
    </w:p>
    <w:p w14:paraId="23E6FBE0">
      <w:pPr>
        <w:spacing w:before="184" w:line="359" w:lineRule="auto"/>
        <w:ind w:left="20" w:right="61" w:firstLine="497"/>
        <w:rPr>
          <w:rFonts w:ascii="宋体" w:hAnsi="宋体" w:eastAsia="宋体" w:cs="宋体"/>
          <w:sz w:val="24"/>
          <w:szCs w:val="24"/>
        </w:rPr>
      </w:pPr>
      <w:r>
        <w:rPr>
          <w:rFonts w:ascii="宋体" w:hAnsi="宋体" w:eastAsia="宋体" w:cs="宋体"/>
          <w:sz w:val="24"/>
          <w:szCs w:val="24"/>
        </w:rPr>
        <w:t>磋商文件用以阐明招标项目所需的资质、技术、服务及报价等要求、招标</w:t>
      </w:r>
      <w:r>
        <w:rPr>
          <w:rFonts w:hint="eastAsia" w:ascii="宋体" w:hAnsi="宋体" w:eastAsia="宋体" w:cs="宋体"/>
          <w:sz w:val="24"/>
          <w:szCs w:val="24"/>
          <w:lang w:eastAsia="zh-CN"/>
        </w:rPr>
        <w:t>响应</w:t>
      </w:r>
      <w:r>
        <w:rPr>
          <w:rFonts w:ascii="宋体" w:hAnsi="宋体" w:eastAsia="宋体" w:cs="宋体"/>
          <w:sz w:val="24"/>
          <w:szCs w:val="24"/>
        </w:rPr>
        <w:t>程序、有关规定和注意事项以及合同主要条款等。本磋商文件包括以下内容,但不限于这些内容：</w:t>
      </w:r>
    </w:p>
    <w:p w14:paraId="65618225">
      <w:pPr>
        <w:spacing w:before="184" w:line="359" w:lineRule="auto"/>
        <w:ind w:left="20" w:right="61" w:firstLine="497"/>
        <w:rPr>
          <w:rFonts w:ascii="宋体" w:hAnsi="宋体" w:eastAsia="宋体" w:cs="宋体"/>
          <w:sz w:val="24"/>
          <w:szCs w:val="24"/>
        </w:rPr>
      </w:pPr>
      <w:r>
        <w:rPr>
          <w:rFonts w:ascii="宋体" w:hAnsi="宋体" w:eastAsia="宋体" w:cs="宋体"/>
          <w:sz w:val="24"/>
          <w:szCs w:val="24"/>
        </w:rPr>
        <w:t>（1）磋商公告</w:t>
      </w:r>
    </w:p>
    <w:p w14:paraId="43ACBD23">
      <w:pPr>
        <w:spacing w:before="184" w:line="359" w:lineRule="auto"/>
        <w:ind w:left="20" w:right="61" w:firstLine="497"/>
        <w:rPr>
          <w:rFonts w:ascii="宋体" w:hAnsi="宋体" w:eastAsia="宋体" w:cs="宋体"/>
          <w:sz w:val="24"/>
          <w:szCs w:val="24"/>
        </w:rPr>
      </w:pPr>
      <w:r>
        <w:rPr>
          <w:rFonts w:ascii="宋体" w:hAnsi="宋体" w:eastAsia="宋体" w:cs="宋体"/>
          <w:sz w:val="24"/>
          <w:szCs w:val="24"/>
        </w:rPr>
        <w:t>（2）供应商须知及前附表</w:t>
      </w:r>
    </w:p>
    <w:p w14:paraId="7E735B54">
      <w:pPr>
        <w:spacing w:before="184" w:line="359" w:lineRule="auto"/>
        <w:ind w:left="20" w:right="61" w:firstLine="497"/>
        <w:rPr>
          <w:rFonts w:ascii="宋体" w:hAnsi="宋体" w:eastAsia="宋体" w:cs="宋体"/>
          <w:sz w:val="24"/>
          <w:szCs w:val="24"/>
        </w:rPr>
      </w:pPr>
      <w:r>
        <w:rPr>
          <w:rFonts w:ascii="宋体" w:hAnsi="宋体" w:eastAsia="宋体" w:cs="宋体"/>
          <w:sz w:val="24"/>
          <w:szCs w:val="24"/>
        </w:rPr>
        <w:t>（3）评标办法</w:t>
      </w:r>
    </w:p>
    <w:p w14:paraId="16475C76">
      <w:pPr>
        <w:spacing w:before="184" w:line="359" w:lineRule="auto"/>
        <w:ind w:left="20" w:right="61" w:firstLine="497"/>
        <w:rPr>
          <w:rFonts w:ascii="宋体" w:hAnsi="宋体" w:eastAsia="宋体" w:cs="宋体"/>
          <w:sz w:val="24"/>
          <w:szCs w:val="24"/>
        </w:rPr>
      </w:pPr>
      <w:r>
        <w:rPr>
          <w:rFonts w:ascii="宋体" w:hAnsi="宋体" w:eastAsia="宋体" w:cs="宋体"/>
          <w:sz w:val="24"/>
          <w:szCs w:val="24"/>
        </w:rPr>
        <w:t>（4）招标内容及需求</w:t>
      </w:r>
    </w:p>
    <w:p w14:paraId="17DEF4EF">
      <w:pPr>
        <w:spacing w:before="184" w:line="359" w:lineRule="auto"/>
        <w:ind w:left="20" w:right="61" w:firstLine="497"/>
        <w:rPr>
          <w:rFonts w:ascii="宋体" w:hAnsi="宋体" w:eastAsia="宋体" w:cs="宋体"/>
          <w:sz w:val="24"/>
          <w:szCs w:val="24"/>
        </w:rPr>
      </w:pPr>
      <w:r>
        <w:rPr>
          <w:rFonts w:ascii="宋体" w:hAnsi="宋体" w:eastAsia="宋体" w:cs="宋体"/>
          <w:sz w:val="24"/>
          <w:szCs w:val="24"/>
        </w:rPr>
        <w:t>（5）《磋商响应文件》格式</w:t>
      </w:r>
    </w:p>
    <w:p w14:paraId="1EA26D61">
      <w:pPr>
        <w:spacing w:before="184" w:line="359" w:lineRule="auto"/>
        <w:ind w:left="20" w:right="61" w:firstLine="497"/>
        <w:rPr>
          <w:rFonts w:ascii="宋体" w:hAnsi="宋体" w:eastAsia="宋体" w:cs="宋体"/>
          <w:sz w:val="24"/>
          <w:szCs w:val="24"/>
        </w:rPr>
      </w:pPr>
      <w:r>
        <w:rPr>
          <w:rFonts w:ascii="宋体" w:hAnsi="宋体" w:eastAsia="宋体" w:cs="宋体"/>
          <w:sz w:val="24"/>
          <w:szCs w:val="24"/>
        </w:rPr>
        <w:t>（6）合同条款</w:t>
      </w:r>
    </w:p>
    <w:p w14:paraId="5E630473">
      <w:pPr>
        <w:spacing w:before="183" w:line="219" w:lineRule="auto"/>
        <w:ind w:left="4"/>
        <w:outlineLvl w:val="2"/>
        <w:rPr>
          <w:rFonts w:ascii="宋体" w:hAnsi="宋体" w:eastAsia="宋体" w:cs="宋体"/>
          <w:sz w:val="24"/>
          <w:szCs w:val="24"/>
        </w:rPr>
      </w:pPr>
      <w:r>
        <w:rPr>
          <w:rFonts w:ascii="宋体" w:hAnsi="宋体" w:eastAsia="宋体" w:cs="宋体"/>
          <w:spacing w:val="-1"/>
          <w:sz w:val="24"/>
          <w:szCs w:val="24"/>
          <w14:textOutline w14:w="4358" w14:cap="sq" w14:cmpd="sng">
            <w14:solidFill>
              <w14:srgbClr w14:val="000000"/>
            </w14:solidFill>
            <w14:prstDash w14:val="solid"/>
            <w14:bevel/>
          </w14:textOutline>
        </w:rPr>
        <w:t>2.《磋商文件》的澄清</w:t>
      </w:r>
    </w:p>
    <w:p w14:paraId="3F452731">
      <w:pPr>
        <w:spacing w:before="184" w:line="359" w:lineRule="auto"/>
        <w:ind w:left="20" w:right="61" w:firstLine="497"/>
        <w:rPr>
          <w:rFonts w:ascii="宋体" w:hAnsi="宋体" w:eastAsia="宋体" w:cs="宋体"/>
          <w:sz w:val="24"/>
          <w:szCs w:val="24"/>
        </w:rPr>
      </w:pPr>
      <w:r>
        <w:rPr>
          <w:rFonts w:ascii="宋体" w:hAnsi="宋体" w:eastAsia="宋体" w:cs="宋体"/>
          <w:sz w:val="24"/>
          <w:szCs w:val="24"/>
        </w:rPr>
        <w:t>供应商若对《磋商文件》有任何疑问，供应商应于</w:t>
      </w:r>
      <w:r>
        <w:rPr>
          <w:rFonts w:hint="eastAsia" w:ascii="宋体" w:hAnsi="宋体" w:eastAsia="宋体" w:cs="宋体"/>
          <w:sz w:val="24"/>
          <w:szCs w:val="24"/>
          <w:lang w:eastAsia="zh-CN"/>
        </w:rPr>
        <w:t>响应</w:t>
      </w:r>
      <w:r>
        <w:rPr>
          <w:rFonts w:ascii="宋体" w:hAnsi="宋体" w:eastAsia="宋体" w:cs="宋体"/>
          <w:sz w:val="24"/>
          <w:szCs w:val="24"/>
        </w:rPr>
        <w:t>截止日期前 5 日以书面形式向招 标代理机构提出澄清要求，送至招标代理机构。如认为有必要，招标代理机构将以书面形式 予以澄清，同时将书面澄清文件向所有供应商发送。供应商在收到该澄清文件后，应于 1 日 内以书面形式（加盖公章）向招标代理机构予以确认，该答复作为《磋商文件》的组成部分， 具有同《磋商文件》同样的约束作用。未确认情况应当视为对磋商文件修改的知晓，也将视 为对修改内容接受的默认。对于未在磋商响应文件中对修改内容做实质性响应的，对其产生的不利因素由未确认者自行承担。</w:t>
      </w:r>
    </w:p>
    <w:p w14:paraId="6899972B">
      <w:pPr>
        <w:spacing w:before="181" w:line="219" w:lineRule="auto"/>
        <w:ind w:left="6"/>
        <w:outlineLvl w:val="2"/>
        <w:rPr>
          <w:rFonts w:ascii="宋体" w:hAnsi="宋体" w:eastAsia="宋体" w:cs="宋体"/>
          <w:sz w:val="24"/>
          <w:szCs w:val="24"/>
        </w:rPr>
      </w:pPr>
      <w:r>
        <w:rPr>
          <w:rFonts w:ascii="宋体" w:hAnsi="宋体" w:eastAsia="宋体" w:cs="宋体"/>
          <w:spacing w:val="-1"/>
          <w:sz w:val="24"/>
          <w:szCs w:val="24"/>
          <w14:textOutline w14:w="4358" w14:cap="sq" w14:cmpd="sng">
            <w14:solidFill>
              <w14:srgbClr w14:val="000000"/>
            </w14:solidFill>
            <w14:prstDash w14:val="solid"/>
            <w14:bevel/>
          </w14:textOutline>
        </w:rPr>
        <w:t>3.《磋商文件》的修改</w:t>
      </w:r>
    </w:p>
    <w:p w14:paraId="3C4FE38B">
      <w:pPr>
        <w:spacing w:before="184" w:line="359" w:lineRule="auto"/>
        <w:ind w:left="20" w:right="61" w:firstLine="497"/>
        <w:rPr>
          <w:rFonts w:ascii="宋体" w:hAnsi="宋体" w:eastAsia="宋体" w:cs="宋体"/>
          <w:sz w:val="24"/>
          <w:szCs w:val="24"/>
        </w:rPr>
      </w:pPr>
      <w:r>
        <w:rPr>
          <w:rFonts w:ascii="宋体" w:hAnsi="宋体" w:eastAsia="宋体" w:cs="宋体"/>
          <w:sz w:val="24"/>
          <w:szCs w:val="24"/>
        </w:rPr>
        <w:t>3.1 截止期 5 日前，无论出于何种原因，招标采购单位可主动地或在解答供应商提出的澄清问题时对《磋商文件》进行修改，《磋商文件》的修改书将构成《磋商文件》的组成部分。</w:t>
      </w:r>
    </w:p>
    <w:p w14:paraId="502DEFD9">
      <w:pPr>
        <w:spacing w:before="184" w:line="359" w:lineRule="auto"/>
        <w:ind w:left="20" w:right="61" w:firstLine="497"/>
        <w:rPr>
          <w:rFonts w:ascii="宋体" w:hAnsi="宋体" w:eastAsia="宋体" w:cs="宋体"/>
          <w:sz w:val="24"/>
          <w:szCs w:val="24"/>
        </w:rPr>
      </w:pPr>
      <w:r>
        <w:rPr>
          <w:rFonts w:ascii="宋体" w:hAnsi="宋体" w:eastAsia="宋体" w:cs="宋体"/>
          <w:sz w:val="24"/>
          <w:szCs w:val="24"/>
        </w:rPr>
        <w:t>3.2《磋商文件》的修改将以书面形式通知所有获取《磋商文件》的</w:t>
      </w:r>
      <w:r>
        <w:rPr>
          <w:rFonts w:hint="eastAsia" w:ascii="宋体" w:hAnsi="宋体" w:eastAsia="宋体" w:cs="宋体"/>
          <w:sz w:val="24"/>
          <w:szCs w:val="24"/>
          <w:lang w:eastAsia="zh-CN"/>
        </w:rPr>
        <w:t>供应商</w:t>
      </w:r>
      <w:r>
        <w:rPr>
          <w:rFonts w:ascii="宋体" w:hAnsi="宋体" w:eastAsia="宋体" w:cs="宋体"/>
          <w:sz w:val="24"/>
          <w:szCs w:val="24"/>
        </w:rPr>
        <w:t>，并对其 具有约束力。供应商在收到上述通知后，应于1日内以书面形式（加盖公章）向招标代理机构予以确认。未确认情况应当视为对磋商文件修改的知晓，也将视为对修改内容接受的默认。</w:t>
      </w:r>
    </w:p>
    <w:p w14:paraId="1B5F396B">
      <w:pPr>
        <w:pStyle w:val="4"/>
        <w:keepNext w:val="0"/>
        <w:keepLines w:val="0"/>
        <w:pageBreakBefore w:val="0"/>
        <w:widowControl/>
        <w:kinsoku w:val="0"/>
        <w:wordWrap/>
        <w:overflowPunct/>
        <w:topLinePunct w:val="0"/>
        <w:autoSpaceDE w:val="0"/>
        <w:autoSpaceDN w:val="0"/>
        <w:bidi w:val="0"/>
        <w:adjustRightInd w:val="0"/>
        <w:snapToGrid w:val="0"/>
        <w:ind w:firstLine="480" w:firstLineChars="200"/>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kern w:val="0"/>
          <w:sz w:val="24"/>
          <w:szCs w:val="24"/>
          <w:lang w:val="en-US" w:eastAsia="en-US" w:bidi="ar-SA"/>
        </w:rPr>
        <w:t>3.3 为使供应商在编制《磋商响应文件》时有充分时间对《磋商文件》的修改部分进行研究，招标代理机构可自行决定是否延长截止日期和推迟开标时间，并通知全部供应商。</w:t>
      </w:r>
    </w:p>
    <w:p w14:paraId="512B54F7">
      <w:pPr>
        <w:pStyle w:val="4"/>
      </w:pPr>
    </w:p>
    <w:p w14:paraId="12241B30">
      <w:pPr>
        <w:pStyle w:val="4"/>
        <w:spacing w:line="241" w:lineRule="auto"/>
      </w:pPr>
    </w:p>
    <w:p w14:paraId="5E68333B">
      <w:pPr>
        <w:spacing w:before="91" w:line="220" w:lineRule="auto"/>
        <w:ind w:left="2804"/>
        <w:outlineLvl w:val="1"/>
        <w:rPr>
          <w:rFonts w:ascii="宋体" w:hAnsi="宋体" w:eastAsia="宋体" w:cs="宋体"/>
          <w:sz w:val="28"/>
          <w:szCs w:val="28"/>
        </w:rPr>
      </w:pPr>
      <w:r>
        <w:rPr>
          <w:rFonts w:ascii="宋体" w:hAnsi="宋体" w:eastAsia="宋体" w:cs="宋体"/>
          <w:spacing w:val="-1"/>
          <w:sz w:val="28"/>
          <w:szCs w:val="28"/>
          <w14:textOutline w14:w="5103" w14:cap="sq" w14:cmpd="sng">
            <w14:solidFill>
              <w14:srgbClr w14:val="000000"/>
            </w14:solidFill>
            <w14:prstDash w14:val="solid"/>
            <w14:bevel/>
          </w14:textOutline>
        </w:rPr>
        <w:t>（四）《磋商响应文件》的编制</w:t>
      </w:r>
    </w:p>
    <w:p w14:paraId="5D1C81B7">
      <w:pPr>
        <w:spacing w:before="205" w:line="219" w:lineRule="auto"/>
        <w:ind w:left="4"/>
        <w:outlineLvl w:val="2"/>
        <w:rPr>
          <w:rFonts w:ascii="宋体" w:hAnsi="宋体" w:eastAsia="宋体" w:cs="宋体"/>
          <w:sz w:val="24"/>
          <w:szCs w:val="24"/>
        </w:rPr>
      </w:pPr>
      <w:r>
        <w:rPr>
          <w:rFonts w:ascii="宋体" w:hAnsi="宋体" w:eastAsia="宋体" w:cs="宋体"/>
          <w:spacing w:val="-1"/>
          <w:sz w:val="24"/>
          <w:szCs w:val="24"/>
          <w14:textOutline w14:w="4358" w14:cap="sq" w14:cmpd="sng">
            <w14:solidFill>
              <w14:srgbClr w14:val="000000"/>
            </w14:solidFill>
            <w14:prstDash w14:val="solid"/>
            <w14:bevel/>
          </w14:textOutline>
        </w:rPr>
        <w:t>★1.</w:t>
      </w:r>
      <w:r>
        <w:rPr>
          <w:rFonts w:ascii="宋体" w:hAnsi="宋体" w:eastAsia="宋体" w:cs="宋体"/>
          <w:spacing w:val="-1"/>
          <w:sz w:val="24"/>
          <w:szCs w:val="24"/>
        </w:rPr>
        <w:t xml:space="preserve"> </w:t>
      </w:r>
      <w:r>
        <w:rPr>
          <w:rFonts w:ascii="宋体" w:hAnsi="宋体" w:eastAsia="宋体" w:cs="宋体"/>
          <w:spacing w:val="-1"/>
          <w:sz w:val="24"/>
          <w:szCs w:val="24"/>
          <w14:textOutline w14:w="4358" w14:cap="sq" w14:cmpd="sng">
            <w14:solidFill>
              <w14:srgbClr w14:val="000000"/>
            </w14:solidFill>
            <w14:prstDash w14:val="solid"/>
            <w14:bevel/>
          </w14:textOutline>
        </w:rPr>
        <w:t>《磋商响应文件》编制要求</w:t>
      </w:r>
    </w:p>
    <w:p w14:paraId="1760178C">
      <w:pPr>
        <w:spacing w:before="178" w:line="360" w:lineRule="auto"/>
        <w:ind w:right="59" w:firstLine="498"/>
        <w:rPr>
          <w:rFonts w:ascii="宋体" w:hAnsi="宋体" w:eastAsia="宋体" w:cs="宋体"/>
          <w:spacing w:val="-3"/>
          <w:sz w:val="24"/>
          <w:szCs w:val="24"/>
        </w:rPr>
      </w:pPr>
      <w:r>
        <w:rPr>
          <w:rFonts w:ascii="宋体" w:hAnsi="宋体" w:eastAsia="宋体" w:cs="宋体"/>
          <w:sz w:val="24"/>
          <w:szCs w:val="24"/>
        </w:rPr>
        <w:t>1）供应商应仔细阅读和充分理解《磋商文件》中所有的事项、格式、条款等要求，并</w:t>
      </w:r>
      <w:r>
        <w:rPr>
          <w:rFonts w:ascii="宋体" w:hAnsi="宋体" w:eastAsia="宋体" w:cs="宋体"/>
          <w:spacing w:val="-3"/>
          <w:sz w:val="24"/>
          <w:szCs w:val="24"/>
        </w:rPr>
        <w:t>按照《磋商文件》的“磋商响应文件格式</w:t>
      </w:r>
      <w:r>
        <w:rPr>
          <w:rFonts w:ascii="宋体" w:hAnsi="宋体" w:eastAsia="宋体" w:cs="宋体"/>
          <w:spacing w:val="-87"/>
          <w:sz w:val="24"/>
          <w:szCs w:val="24"/>
        </w:rPr>
        <w:t xml:space="preserve"> </w:t>
      </w:r>
      <w:r>
        <w:rPr>
          <w:rFonts w:ascii="宋体" w:hAnsi="宋体" w:eastAsia="宋体" w:cs="宋体"/>
          <w:spacing w:val="-3"/>
          <w:sz w:val="24"/>
          <w:szCs w:val="24"/>
        </w:rPr>
        <w:t>”规定及要求内容的格式提交完整的《磋商响应文</w:t>
      </w:r>
      <w:r>
        <w:rPr>
          <w:rFonts w:ascii="宋体" w:hAnsi="宋体" w:eastAsia="宋体" w:cs="宋体"/>
          <w:spacing w:val="-2"/>
          <w:sz w:val="24"/>
          <w:szCs w:val="24"/>
        </w:rPr>
        <w:t>件》。</w:t>
      </w:r>
      <w:r>
        <w:rPr>
          <w:rFonts w:ascii="宋体" w:hAnsi="宋体" w:eastAsia="宋体" w:cs="宋体"/>
          <w:spacing w:val="-2"/>
          <w:sz w:val="24"/>
          <w:szCs w:val="24"/>
          <w14:textOutline w14:w="4358" w14:cap="sq" w14:cmpd="sng">
            <w14:solidFill>
              <w14:srgbClr w14:val="000000"/>
            </w14:solidFill>
            <w14:prstDash w14:val="solid"/>
            <w14:bevel/>
          </w14:textOutline>
        </w:rPr>
        <w:t>磋商响应文件应使用中文、编排有序，并按要求编制文件目录和页码</w:t>
      </w:r>
      <w:r>
        <w:rPr>
          <w:rFonts w:ascii="宋体" w:hAnsi="宋体" w:eastAsia="宋体" w:cs="宋体"/>
          <w:spacing w:val="-3"/>
          <w:sz w:val="24"/>
          <w:szCs w:val="24"/>
          <w14:textOutline w14:w="4358" w14:cap="sq" w14:cmpd="sng">
            <w14:solidFill>
              <w14:srgbClr w14:val="000000"/>
            </w14:solidFill>
            <w14:prstDash w14:val="solid"/>
            <w14:bevel/>
          </w14:textOutline>
        </w:rPr>
        <w:t>，准确标明文件</w:t>
      </w:r>
      <w:r>
        <w:rPr>
          <w:rFonts w:ascii="宋体" w:hAnsi="宋体" w:eastAsia="宋体" w:cs="宋体"/>
          <w:spacing w:val="-2"/>
          <w:sz w:val="24"/>
          <w:szCs w:val="24"/>
          <w14:textOutline w14:w="4358" w14:cap="sq" w14:cmpd="sng">
            <w14:solidFill>
              <w14:srgbClr w14:val="000000"/>
            </w14:solidFill>
            <w14:prstDash w14:val="solid"/>
            <w14:bevel/>
          </w14:textOutline>
        </w:rPr>
        <w:t>内容所在位置。</w:t>
      </w:r>
      <w:r>
        <w:rPr>
          <w:rFonts w:ascii="宋体" w:hAnsi="宋体" w:eastAsia="宋体" w:cs="宋体"/>
          <w:spacing w:val="-2"/>
          <w:sz w:val="24"/>
          <w:szCs w:val="24"/>
        </w:rPr>
        <w:t>供应商没有对磋商</w:t>
      </w:r>
      <w:r>
        <w:rPr>
          <w:rFonts w:ascii="宋体" w:hAnsi="宋体" w:eastAsia="宋体" w:cs="宋体"/>
          <w:spacing w:val="-3"/>
          <w:sz w:val="24"/>
          <w:szCs w:val="24"/>
        </w:rPr>
        <w:t>文件全面做出实质性响应是供应商的风险。没有按照磋商文件要求作出响应的磋商响应文件将被拒绝。</w:t>
      </w:r>
    </w:p>
    <w:p w14:paraId="7D95F5BF">
      <w:pPr>
        <w:spacing w:before="178" w:line="360" w:lineRule="auto"/>
        <w:ind w:right="59" w:firstLine="498"/>
        <w:rPr>
          <w:rFonts w:ascii="宋体" w:hAnsi="宋体" w:eastAsia="宋体" w:cs="宋体"/>
          <w:spacing w:val="-3"/>
          <w:sz w:val="24"/>
          <w:szCs w:val="24"/>
        </w:rPr>
      </w:pPr>
      <w:r>
        <w:rPr>
          <w:rFonts w:ascii="宋体" w:hAnsi="宋体" w:eastAsia="宋体" w:cs="宋体"/>
          <w:spacing w:val="1"/>
          <w:sz w:val="24"/>
          <w:szCs w:val="24"/>
        </w:rPr>
        <w:t>2）</w:t>
      </w:r>
      <w:r>
        <w:rPr>
          <w:rFonts w:ascii="宋体" w:hAnsi="宋体" w:eastAsia="宋体" w:cs="宋体"/>
          <w:spacing w:val="-3"/>
          <w:sz w:val="24"/>
          <w:szCs w:val="24"/>
        </w:rPr>
        <w:t>磋商响应文件应字迹清楚，内容齐全，不得涂改和增删。如有修改错漏处，必须由供应商法定代表人或其授权代表签字。资格证明材料的复印件</w:t>
      </w:r>
      <w:r>
        <w:rPr>
          <w:rFonts w:hint="eastAsia" w:ascii="宋体" w:hAnsi="宋体" w:eastAsia="宋体" w:cs="宋体"/>
          <w:spacing w:val="-3"/>
          <w:sz w:val="24"/>
          <w:szCs w:val="24"/>
          <w:lang w:eastAsia="zh-CN"/>
        </w:rPr>
        <w:t>应</w:t>
      </w:r>
      <w:r>
        <w:rPr>
          <w:rFonts w:ascii="宋体" w:hAnsi="宋体" w:eastAsia="宋体" w:cs="宋体"/>
          <w:spacing w:val="-3"/>
          <w:sz w:val="24"/>
          <w:szCs w:val="24"/>
        </w:rPr>
        <w:t>清晰可辨并加盖供应商鲜章。</w:t>
      </w:r>
    </w:p>
    <w:p w14:paraId="0FA33756">
      <w:pPr>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3）磋商响应文件所提供的全部资料必须真实可靠。若磋商响应文件填报的内容资料不详，或提供了虚假资料，其磋商响应文件为无效磋商响应文件。</w:t>
      </w:r>
    </w:p>
    <w:p w14:paraId="1BD9C543">
      <w:pPr>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4）磋商响应文件应严格按照磋商文件格式的要求提交</w:t>
      </w:r>
      <w:r>
        <w:rPr>
          <w:rFonts w:hint="eastAsia" w:ascii="宋体" w:hAnsi="宋体" w:eastAsia="宋体" w:cs="宋体"/>
          <w:spacing w:val="-3"/>
          <w:sz w:val="24"/>
          <w:szCs w:val="24"/>
          <w:lang w:eastAsia="zh-CN"/>
        </w:rPr>
        <w:t>不得随意改变格式，标注自拟或续页等可改变格式字样供应商方可自行填写否则按无效响应处理</w:t>
      </w:r>
      <w:r>
        <w:rPr>
          <w:rFonts w:ascii="宋体" w:hAnsi="宋体" w:eastAsia="宋体" w:cs="宋体"/>
          <w:spacing w:val="-3"/>
          <w:sz w:val="24"/>
          <w:szCs w:val="24"/>
        </w:rPr>
        <w:t>，并按规定的统一格式逐项填写，不准有空项；无相应内容可填的项应填写“无 ”、“未测试 ”、“没有相应指标 ”等明确的回答文字。</w:t>
      </w:r>
    </w:p>
    <w:p w14:paraId="10ACACF9">
      <w:pPr>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5）语言：除专用术语外，与招标投标有关的磋商响应文件、投标交换的文件和往来信件应均使用中文。必要时专用术语应附有中文注释。</w:t>
      </w:r>
    </w:p>
    <w:p w14:paraId="2D3D8A8F">
      <w:pPr>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6）计量单位：除法律规范中另有规定外，磋商响应文件使用的度量衡单位，均应使用中华人民共和国法定计量单位。</w:t>
      </w:r>
    </w:p>
    <w:p w14:paraId="1426F3F8">
      <w:pPr>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7）货币：本项目的</w:t>
      </w:r>
      <w:r>
        <w:rPr>
          <w:rFonts w:hint="eastAsia" w:ascii="宋体" w:hAnsi="宋体" w:eastAsia="宋体" w:cs="宋体"/>
          <w:spacing w:val="-3"/>
          <w:sz w:val="24"/>
          <w:szCs w:val="24"/>
          <w:lang w:eastAsia="zh-CN"/>
        </w:rPr>
        <w:t>采购</w:t>
      </w:r>
      <w:r>
        <w:rPr>
          <w:rFonts w:ascii="宋体" w:hAnsi="宋体" w:eastAsia="宋体" w:cs="宋体"/>
          <w:spacing w:val="-3"/>
          <w:sz w:val="24"/>
          <w:szCs w:val="24"/>
        </w:rPr>
        <w:t>均以</w:t>
      </w:r>
      <w:r>
        <w:rPr>
          <w:rFonts w:hint="eastAsia" w:ascii="宋体" w:hAnsi="宋体" w:eastAsia="宋体" w:cs="宋体"/>
          <w:spacing w:val="-3"/>
          <w:sz w:val="24"/>
          <w:szCs w:val="24"/>
          <w:lang w:eastAsia="zh-CN"/>
        </w:rPr>
        <w:t>下浮率</w:t>
      </w:r>
      <w:r>
        <w:rPr>
          <w:rFonts w:ascii="宋体" w:hAnsi="宋体" w:eastAsia="宋体" w:cs="宋体"/>
          <w:spacing w:val="-3"/>
          <w:sz w:val="24"/>
          <w:szCs w:val="24"/>
        </w:rPr>
        <w:t>报价。</w:t>
      </w:r>
    </w:p>
    <w:p w14:paraId="7539FF35">
      <w:pPr>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8）联合投标：本项目不接受联合体投标。</w:t>
      </w:r>
    </w:p>
    <w:p w14:paraId="0FB6968D">
      <w:pPr>
        <w:spacing w:before="185" w:line="219" w:lineRule="auto"/>
        <w:ind w:left="4"/>
        <w:outlineLvl w:val="2"/>
        <w:rPr>
          <w:rFonts w:ascii="宋体" w:hAnsi="宋体" w:eastAsia="宋体" w:cs="宋体"/>
          <w:sz w:val="24"/>
          <w:szCs w:val="24"/>
        </w:rPr>
      </w:pPr>
      <w:r>
        <w:rPr>
          <w:rFonts w:ascii="宋体" w:hAnsi="宋体" w:eastAsia="宋体" w:cs="宋体"/>
          <w:spacing w:val="-1"/>
          <w:sz w:val="24"/>
          <w:szCs w:val="24"/>
          <w14:textOutline w14:w="4358" w14:cap="sq" w14:cmpd="sng">
            <w14:solidFill>
              <w14:srgbClr w14:val="000000"/>
            </w14:solidFill>
            <w14:prstDash w14:val="solid"/>
            <w14:bevel/>
          </w14:textOutline>
        </w:rPr>
        <w:t>★2.《磋商响应文件》的组成</w:t>
      </w:r>
    </w:p>
    <w:p w14:paraId="14219DBB">
      <w:pPr>
        <w:spacing w:before="180" w:line="218" w:lineRule="auto"/>
        <w:ind w:left="471"/>
        <w:outlineLvl w:val="2"/>
        <w:rPr>
          <w:rFonts w:ascii="宋体" w:hAnsi="宋体" w:eastAsia="宋体" w:cs="宋体"/>
          <w:sz w:val="24"/>
          <w:szCs w:val="24"/>
        </w:rPr>
      </w:pPr>
      <w:r>
        <w:rPr>
          <w:rFonts w:ascii="宋体" w:hAnsi="宋体" w:eastAsia="宋体" w:cs="宋体"/>
          <w:spacing w:val="-1"/>
          <w:sz w:val="24"/>
          <w:szCs w:val="24"/>
          <w14:textOutline w14:w="4358" w14:cap="sq" w14:cmpd="sng">
            <w14:solidFill>
              <w14:srgbClr w14:val="000000"/>
            </w14:solidFill>
            <w14:prstDash w14:val="solid"/>
            <w14:bevel/>
          </w14:textOutline>
        </w:rPr>
        <w:t>2.1</w:t>
      </w:r>
      <w:r>
        <w:rPr>
          <w:rFonts w:ascii="宋体" w:hAnsi="宋体" w:eastAsia="宋体" w:cs="宋体"/>
          <w:spacing w:val="-35"/>
          <w:sz w:val="24"/>
          <w:szCs w:val="24"/>
        </w:rPr>
        <w:t xml:space="preserve"> </w:t>
      </w:r>
      <w:r>
        <w:rPr>
          <w:rFonts w:ascii="宋体" w:hAnsi="宋体" w:eastAsia="宋体" w:cs="宋体"/>
          <w:spacing w:val="-1"/>
          <w:sz w:val="24"/>
          <w:szCs w:val="24"/>
          <w14:textOutline w14:w="4358" w14:cap="sq" w14:cmpd="sng">
            <w14:solidFill>
              <w14:srgbClr w14:val="000000"/>
            </w14:solidFill>
            <w14:prstDash w14:val="solid"/>
            <w14:bevel/>
          </w14:textOutline>
        </w:rPr>
        <w:t>商务文件部分、</w:t>
      </w:r>
      <w:r>
        <w:rPr>
          <w:rFonts w:hint="eastAsia" w:ascii="宋体" w:hAnsi="宋体" w:eastAsia="宋体" w:cs="宋体"/>
          <w:spacing w:val="-1"/>
          <w:sz w:val="24"/>
          <w:szCs w:val="24"/>
          <w:lang w:eastAsia="zh-CN"/>
          <w14:textOutline w14:w="4358" w14:cap="sq" w14:cmpd="sng">
            <w14:solidFill>
              <w14:srgbClr w14:val="000000"/>
            </w14:solidFill>
            <w14:prstDash w14:val="solid"/>
            <w14:bevel/>
          </w14:textOutline>
        </w:rPr>
        <w:t>磋商报价</w:t>
      </w:r>
      <w:r>
        <w:rPr>
          <w:rFonts w:ascii="宋体" w:hAnsi="宋体" w:eastAsia="宋体" w:cs="宋体"/>
          <w:spacing w:val="-1"/>
          <w:sz w:val="24"/>
          <w:szCs w:val="24"/>
          <w14:textOutline w14:w="4358" w14:cap="sq" w14:cmpd="sng">
            <w14:solidFill>
              <w14:srgbClr w14:val="000000"/>
            </w14:solidFill>
            <w14:prstDash w14:val="solid"/>
            <w14:bevel/>
          </w14:textOutline>
        </w:rPr>
        <w:t>部分应包括：</w:t>
      </w:r>
    </w:p>
    <w:p w14:paraId="4E9D54B9">
      <w:pPr>
        <w:spacing w:before="183" w:line="219" w:lineRule="auto"/>
        <w:ind w:left="514"/>
        <w:rPr>
          <w:rFonts w:ascii="宋体" w:hAnsi="宋体" w:eastAsia="宋体" w:cs="宋体"/>
          <w:sz w:val="24"/>
          <w:szCs w:val="24"/>
        </w:rPr>
      </w:pPr>
      <w:r>
        <w:rPr>
          <w:rFonts w:ascii="宋体" w:hAnsi="宋体" w:eastAsia="宋体" w:cs="宋体"/>
          <w:spacing w:val="-6"/>
          <w:sz w:val="24"/>
          <w:szCs w:val="24"/>
        </w:rPr>
        <w:t>目录（编制连续页码）</w:t>
      </w:r>
    </w:p>
    <w:p w14:paraId="11FEA123">
      <w:pPr>
        <w:spacing w:before="180" w:line="218" w:lineRule="auto"/>
        <w:ind w:left="245"/>
        <w:outlineLvl w:val="2"/>
        <w:rPr>
          <w:rFonts w:hint="eastAsia" w:ascii="宋体" w:hAnsi="宋体" w:eastAsia="宋体" w:cs="宋体"/>
          <w:spacing w:val="-4"/>
          <w:sz w:val="24"/>
          <w:szCs w:val="24"/>
          <w:lang w:eastAsia="zh-CN"/>
          <w14:textOutline w14:w="4358" w14:cap="sq" w14:cmpd="sng">
            <w14:solidFill>
              <w14:srgbClr w14:val="000000"/>
            </w14:solidFill>
            <w14:prstDash w14:val="solid"/>
            <w14:bevel/>
          </w14:textOutline>
        </w:rPr>
      </w:pPr>
      <w:r>
        <w:rPr>
          <w:rFonts w:ascii="宋体" w:hAnsi="宋体" w:eastAsia="宋体" w:cs="宋体"/>
          <w:spacing w:val="-4"/>
          <w:sz w:val="24"/>
          <w:szCs w:val="24"/>
          <w14:textOutline w14:w="4358" w14:cap="sq" w14:cmpd="sng">
            <w14:solidFill>
              <w14:srgbClr w14:val="000000"/>
            </w14:solidFill>
            <w14:prstDash w14:val="solid"/>
            <w14:bevel/>
          </w14:textOutline>
        </w:rPr>
        <w:t>报价文件部分</w:t>
      </w:r>
      <w:r>
        <w:rPr>
          <w:rFonts w:hint="eastAsia" w:ascii="宋体" w:hAnsi="宋体" w:eastAsia="宋体" w:cs="宋体"/>
          <w:spacing w:val="-4"/>
          <w:sz w:val="24"/>
          <w:szCs w:val="24"/>
          <w:lang w:eastAsia="zh-CN"/>
          <w14:textOutline w14:w="4358" w14:cap="sq" w14:cmpd="sng">
            <w14:solidFill>
              <w14:srgbClr w14:val="000000"/>
            </w14:solidFill>
            <w14:prstDash w14:val="solid"/>
            <w14:bevel/>
          </w14:textOutline>
        </w:rPr>
        <w:t>；</w:t>
      </w:r>
    </w:p>
    <w:p w14:paraId="0BFADC6D">
      <w:pPr>
        <w:spacing w:before="180" w:line="218" w:lineRule="auto"/>
        <w:ind w:left="245"/>
        <w:outlineLvl w:val="2"/>
        <w:rPr>
          <w:rFonts w:hint="eastAsia" w:ascii="宋体" w:hAnsi="宋体" w:eastAsia="宋体" w:cs="宋体"/>
          <w:spacing w:val="-4"/>
          <w:sz w:val="24"/>
          <w:szCs w:val="24"/>
          <w:lang w:eastAsia="zh-CN"/>
          <w14:textOutline w14:w="4358" w14:cap="sq" w14:cmpd="sng">
            <w14:solidFill>
              <w14:srgbClr w14:val="000000"/>
            </w14:solidFill>
            <w14:prstDash w14:val="solid"/>
            <w14:bevel/>
          </w14:textOutline>
        </w:rPr>
      </w:pPr>
      <w:r>
        <w:rPr>
          <w:rFonts w:ascii="宋体" w:hAnsi="宋体" w:eastAsia="宋体" w:cs="宋体"/>
          <w:spacing w:val="-4"/>
          <w:sz w:val="24"/>
          <w:szCs w:val="24"/>
          <w14:textOutline w14:w="4358" w14:cap="sq" w14:cmpd="sng">
            <w14:solidFill>
              <w14:srgbClr w14:val="000000"/>
            </w14:solidFill>
            <w14:prstDash w14:val="solid"/>
            <w14:bevel/>
          </w14:textOutline>
        </w:rPr>
        <w:t>商务技术文件部分</w:t>
      </w:r>
      <w:r>
        <w:rPr>
          <w:rFonts w:hint="eastAsia" w:ascii="宋体" w:hAnsi="宋体" w:eastAsia="宋体" w:cs="宋体"/>
          <w:spacing w:val="-4"/>
          <w:sz w:val="24"/>
          <w:szCs w:val="24"/>
          <w:lang w:eastAsia="zh-CN"/>
          <w14:textOutline w14:w="4358" w14:cap="sq" w14:cmpd="sng">
            <w14:solidFill>
              <w14:srgbClr w14:val="000000"/>
            </w14:solidFill>
            <w14:prstDash w14:val="solid"/>
            <w14:bevel/>
          </w14:textOutline>
        </w:rPr>
        <w:t>。</w:t>
      </w:r>
    </w:p>
    <w:p w14:paraId="254FF983">
      <w:pPr>
        <w:spacing w:before="180" w:line="218" w:lineRule="auto"/>
        <w:ind w:left="245"/>
        <w:outlineLvl w:val="2"/>
        <w:rPr>
          <w:rFonts w:ascii="宋体" w:hAnsi="宋体" w:eastAsia="宋体" w:cs="宋体"/>
          <w:sz w:val="24"/>
          <w:szCs w:val="24"/>
        </w:rPr>
      </w:pPr>
      <w:r>
        <w:rPr>
          <w:rFonts w:ascii="宋体" w:hAnsi="宋体" w:eastAsia="宋体" w:cs="宋体"/>
          <w:spacing w:val="-4"/>
          <w:sz w:val="24"/>
          <w:szCs w:val="24"/>
          <w14:textOutline w14:w="4358" w14:cap="sq" w14:cmpd="sng">
            <w14:solidFill>
              <w14:srgbClr w14:val="000000"/>
            </w14:solidFill>
            <w14:prstDash w14:val="solid"/>
            <w14:bevel/>
          </w14:textOutline>
        </w:rPr>
        <w:t>3.价格</w:t>
      </w:r>
    </w:p>
    <w:p w14:paraId="2DA3EDEF">
      <w:pPr>
        <w:spacing w:before="185" w:line="218" w:lineRule="auto"/>
        <w:ind w:left="480"/>
        <w:rPr>
          <w:rFonts w:ascii="宋体" w:hAnsi="宋体" w:eastAsia="宋体" w:cs="宋体"/>
          <w:sz w:val="24"/>
          <w:szCs w:val="24"/>
        </w:rPr>
      </w:pPr>
      <w:r>
        <w:rPr>
          <w:rFonts w:ascii="宋体" w:hAnsi="宋体" w:eastAsia="宋体" w:cs="宋体"/>
          <w:spacing w:val="-2"/>
          <w:sz w:val="24"/>
          <w:szCs w:val="24"/>
          <w14:textOutline w14:w="4358" w14:cap="sq" w14:cmpd="sng">
            <w14:solidFill>
              <w14:srgbClr w14:val="000000"/>
            </w14:solidFill>
            <w14:prstDash w14:val="solid"/>
            <w14:bevel/>
          </w14:textOutline>
        </w:rPr>
        <w:t>（1）报价方式：</w:t>
      </w:r>
    </w:p>
    <w:p w14:paraId="57C5A2D7">
      <w:pPr>
        <w:spacing w:before="178" w:line="360" w:lineRule="auto"/>
        <w:ind w:right="59" w:firstLine="498"/>
        <w:rPr>
          <w:rFonts w:hint="eastAsia" w:ascii="宋体" w:hAnsi="宋体" w:eastAsia="宋体" w:cs="宋体"/>
          <w:spacing w:val="-3"/>
          <w:sz w:val="24"/>
          <w:szCs w:val="24"/>
          <w:lang w:eastAsia="zh-CN"/>
        </w:rPr>
      </w:pPr>
      <w:r>
        <w:rPr>
          <w:rFonts w:ascii="宋体" w:hAnsi="宋体" w:eastAsia="宋体" w:cs="宋体"/>
          <w:spacing w:val="-3"/>
          <w:sz w:val="24"/>
          <w:szCs w:val="24"/>
        </w:rPr>
        <w:t>供应商应按磋商文件规定的要求、责任范围和合同条件，以</w:t>
      </w:r>
      <w:r>
        <w:rPr>
          <w:rFonts w:hint="eastAsia" w:ascii="宋体" w:hAnsi="宋体" w:eastAsia="宋体" w:cs="宋体"/>
          <w:spacing w:val="-3"/>
          <w:sz w:val="24"/>
          <w:szCs w:val="24"/>
          <w:lang w:eastAsia="zh-CN"/>
        </w:rPr>
        <w:t>下浮率报价</w:t>
      </w:r>
      <w:r>
        <w:rPr>
          <w:rFonts w:ascii="宋体" w:hAnsi="宋体" w:eastAsia="宋体" w:cs="宋体"/>
          <w:spacing w:val="-3"/>
          <w:sz w:val="24"/>
          <w:szCs w:val="24"/>
        </w:rPr>
        <w:t>进行报价</w:t>
      </w:r>
      <w:r>
        <w:rPr>
          <w:rFonts w:hint="eastAsia" w:ascii="宋体" w:hAnsi="宋体" w:eastAsia="宋体" w:cs="宋体"/>
          <w:spacing w:val="-3"/>
          <w:sz w:val="24"/>
          <w:szCs w:val="24"/>
          <w:lang w:eastAsia="zh-CN"/>
        </w:rPr>
        <w:t>。</w:t>
      </w:r>
    </w:p>
    <w:p w14:paraId="15ECBC6D">
      <w:pPr>
        <w:spacing w:before="178" w:line="360" w:lineRule="auto"/>
        <w:ind w:right="59" w:firstLine="498"/>
        <w:rPr>
          <w:rFonts w:hint="eastAsia" w:ascii="宋体" w:hAnsi="宋体" w:eastAsia="宋体" w:cs="宋体"/>
          <w:spacing w:val="-3"/>
          <w:sz w:val="24"/>
          <w:szCs w:val="24"/>
          <w:lang w:eastAsia="zh-CN"/>
        </w:rPr>
      </w:pPr>
      <w:r>
        <w:rPr>
          <w:rFonts w:hint="eastAsia" w:ascii="宋体" w:hAnsi="宋体" w:eastAsia="宋体" w:cs="宋体"/>
          <w:spacing w:val="-3"/>
          <w:sz w:val="24"/>
          <w:szCs w:val="24"/>
          <w:lang w:eastAsia="zh-CN"/>
        </w:rPr>
        <w:t>本项目原则上为两轮报价，一轮为磋商磋商响应文件中的报价，一轮为评审专家发起的报价，供应商须在规定时间内完成报价，未报价按无效响应处理。</w:t>
      </w:r>
    </w:p>
    <w:p w14:paraId="6EFBCD1F">
      <w:pPr>
        <w:spacing w:before="178" w:line="360" w:lineRule="auto"/>
        <w:ind w:right="59" w:firstLine="498"/>
        <w:rPr>
          <w:rFonts w:ascii="宋体" w:hAnsi="宋体" w:eastAsia="宋体" w:cs="宋体"/>
          <w:sz w:val="24"/>
          <w:szCs w:val="24"/>
        </w:rPr>
      </w:pPr>
      <w:r>
        <w:rPr>
          <w:rFonts w:ascii="宋体" w:hAnsi="宋体" w:eastAsia="宋体" w:cs="宋体"/>
          <w:spacing w:val="-2"/>
          <w:sz w:val="24"/>
          <w:szCs w:val="24"/>
          <w14:textOutline w14:w="4358" w14:cap="sq" w14:cmpd="sng">
            <w14:solidFill>
              <w14:srgbClr w14:val="000000"/>
            </w14:solidFill>
            <w14:prstDash w14:val="solid"/>
            <w14:bevel/>
          </w14:textOutline>
        </w:rPr>
        <w:t>（2）报价要求：</w:t>
      </w:r>
    </w:p>
    <w:p w14:paraId="38F78329">
      <w:pPr>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①本项目只允许供应商在磋商响应文件中有一个</w:t>
      </w:r>
      <w:r>
        <w:rPr>
          <w:rFonts w:hint="eastAsia" w:ascii="宋体" w:hAnsi="宋体" w:eastAsia="宋体" w:cs="宋体"/>
          <w:spacing w:val="-3"/>
          <w:sz w:val="24"/>
          <w:szCs w:val="24"/>
          <w:lang w:eastAsia="zh-CN"/>
        </w:rPr>
        <w:t>响应</w:t>
      </w:r>
      <w:r>
        <w:rPr>
          <w:rFonts w:ascii="宋体" w:hAnsi="宋体" w:eastAsia="宋体" w:cs="宋体"/>
          <w:spacing w:val="-3"/>
          <w:sz w:val="24"/>
          <w:szCs w:val="24"/>
        </w:rPr>
        <w:t>方案，不接受任何有选择的方案和报价；供应商未按要求，提供了选择方案和/或报价的，其</w:t>
      </w:r>
      <w:r>
        <w:rPr>
          <w:rFonts w:hint="eastAsia" w:ascii="宋体" w:hAnsi="宋体" w:eastAsia="宋体" w:cs="宋体"/>
          <w:spacing w:val="-3"/>
          <w:sz w:val="24"/>
          <w:szCs w:val="24"/>
          <w:lang w:eastAsia="zh-CN"/>
        </w:rPr>
        <w:t>响应</w:t>
      </w:r>
      <w:r>
        <w:rPr>
          <w:rFonts w:ascii="宋体" w:hAnsi="宋体" w:eastAsia="宋体" w:cs="宋体"/>
          <w:spacing w:val="-3"/>
          <w:sz w:val="24"/>
          <w:szCs w:val="24"/>
        </w:rPr>
        <w:t>将被视为无效</w:t>
      </w:r>
      <w:r>
        <w:rPr>
          <w:rFonts w:hint="eastAsia" w:ascii="宋体" w:hAnsi="宋体" w:eastAsia="宋体" w:cs="宋体"/>
          <w:spacing w:val="-3"/>
          <w:sz w:val="24"/>
          <w:szCs w:val="24"/>
          <w:lang w:eastAsia="zh-CN"/>
        </w:rPr>
        <w:t>响应</w:t>
      </w:r>
      <w:r>
        <w:rPr>
          <w:rFonts w:ascii="宋体" w:hAnsi="宋体" w:eastAsia="宋体" w:cs="宋体"/>
          <w:spacing w:val="-3"/>
          <w:sz w:val="24"/>
          <w:szCs w:val="24"/>
        </w:rPr>
        <w:t>。</w:t>
      </w:r>
    </w:p>
    <w:p w14:paraId="29FD6A4C">
      <w:pPr>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供应商按磋商文件要求填写“开标一览表”。</w:t>
      </w:r>
    </w:p>
    <w:p w14:paraId="67038FED">
      <w:pPr>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报价：本次招标的报价，含从服务地点、验收合格、交付使用售后服务等报价。综合单价包括了供应商的人工、保险、利润、税金、政策性文件的规定以及包括合同明示或暗示的所有一切风险、责任和义务的费用，本次报价必须考虑。</w:t>
      </w:r>
    </w:p>
    <w:p w14:paraId="3B6E4B70">
      <w:pPr>
        <w:spacing w:before="185" w:line="219" w:lineRule="auto"/>
        <w:ind w:left="4"/>
        <w:outlineLvl w:val="2"/>
        <w:rPr>
          <w:rFonts w:ascii="宋体" w:hAnsi="宋体" w:eastAsia="宋体" w:cs="宋体"/>
          <w:sz w:val="24"/>
          <w:szCs w:val="24"/>
        </w:rPr>
      </w:pPr>
      <w:r>
        <w:rPr>
          <w:rFonts w:ascii="宋体" w:hAnsi="宋体" w:eastAsia="宋体" w:cs="宋体"/>
          <w:spacing w:val="-1"/>
          <w:sz w:val="24"/>
          <w:szCs w:val="24"/>
          <w14:textOutline w14:w="4358" w14:cap="sq" w14:cmpd="sng">
            <w14:solidFill>
              <w14:srgbClr w14:val="000000"/>
            </w14:solidFill>
            <w14:prstDash w14:val="solid"/>
            <w14:bevel/>
          </w14:textOutline>
        </w:rPr>
        <w:t>★4.磋商响应文件格式</w:t>
      </w:r>
    </w:p>
    <w:p w14:paraId="71C58292">
      <w:pPr>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4.1 供应商应按《磋商文件》的内容与要求和第五章提供的格式编写其《磋商响应文件》，供应商不得空留或缺少任何《磋商文件》要求填写的表格或提交的资料，未列出格式的部分供应商可自行编制。</w:t>
      </w:r>
    </w:p>
    <w:p w14:paraId="43873BB4">
      <w:pPr>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4.2 供应商提交的《磋商响应文件》中全部资料必须真实可靠，并接受采购人、招标代理机构对其中任何资料进一步审查的要求。</w:t>
      </w:r>
    </w:p>
    <w:p w14:paraId="29C3114C">
      <w:pPr>
        <w:spacing w:before="182" w:line="220" w:lineRule="auto"/>
        <w:ind w:left="4"/>
        <w:outlineLvl w:val="2"/>
        <w:rPr>
          <w:rFonts w:ascii="宋体" w:hAnsi="宋体" w:eastAsia="宋体" w:cs="宋体"/>
          <w:sz w:val="24"/>
          <w:szCs w:val="24"/>
        </w:rPr>
      </w:pPr>
      <w:r>
        <w:rPr>
          <w:rFonts w:ascii="宋体" w:hAnsi="宋体" w:eastAsia="宋体" w:cs="宋体"/>
          <w:spacing w:val="-2"/>
          <w:sz w:val="24"/>
          <w:szCs w:val="24"/>
          <w14:textOutline w14:w="4358" w14:cap="sq" w14:cmpd="sng">
            <w14:solidFill>
              <w14:srgbClr w14:val="000000"/>
            </w14:solidFill>
            <w14:prstDash w14:val="solid"/>
            <w14:bevel/>
          </w14:textOutline>
        </w:rPr>
        <w:t>5.投标有效期</w:t>
      </w:r>
    </w:p>
    <w:p w14:paraId="2243553A">
      <w:pPr>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5.1 磋商响应文件有效期从开标日起计算</w:t>
      </w:r>
      <w:r>
        <w:rPr>
          <w:rFonts w:hint="eastAsia" w:ascii="宋体" w:hAnsi="宋体" w:eastAsia="宋体" w:cs="宋体"/>
          <w:spacing w:val="-3"/>
          <w:sz w:val="24"/>
          <w:szCs w:val="24"/>
          <w:lang w:val="en-US" w:eastAsia="zh-CN"/>
        </w:rPr>
        <w:t>60</w:t>
      </w:r>
      <w:r>
        <w:rPr>
          <w:rFonts w:ascii="宋体" w:hAnsi="宋体" w:eastAsia="宋体" w:cs="宋体"/>
          <w:spacing w:val="-3"/>
          <w:sz w:val="24"/>
          <w:szCs w:val="24"/>
        </w:rPr>
        <w:t>天，</w:t>
      </w:r>
      <w:r>
        <w:rPr>
          <w:rFonts w:hint="eastAsia" w:ascii="宋体" w:hAnsi="宋体" w:eastAsia="宋体" w:cs="宋体"/>
          <w:spacing w:val="-3"/>
          <w:sz w:val="24"/>
          <w:szCs w:val="24"/>
          <w:lang w:eastAsia="zh-CN"/>
        </w:rPr>
        <w:t>供应商需做出响应，</w:t>
      </w:r>
      <w:r>
        <w:rPr>
          <w:rFonts w:ascii="宋体" w:hAnsi="宋体" w:eastAsia="宋体" w:cs="宋体"/>
          <w:spacing w:val="-3"/>
          <w:sz w:val="24"/>
          <w:szCs w:val="24"/>
        </w:rPr>
        <w:t>有效期</w:t>
      </w:r>
      <w:r>
        <w:rPr>
          <w:rFonts w:hint="eastAsia" w:ascii="宋体" w:hAnsi="宋体" w:eastAsia="宋体" w:cs="宋体"/>
          <w:spacing w:val="-3"/>
          <w:sz w:val="24"/>
          <w:szCs w:val="24"/>
          <w:lang w:eastAsia="zh-CN"/>
        </w:rPr>
        <w:t>未响应或</w:t>
      </w:r>
      <w:r>
        <w:rPr>
          <w:rFonts w:ascii="宋体" w:hAnsi="宋体" w:eastAsia="宋体" w:cs="宋体"/>
          <w:spacing w:val="-3"/>
          <w:sz w:val="24"/>
          <w:szCs w:val="24"/>
        </w:rPr>
        <w:t>短于该规定期限的磋商响应文件将被拒绝。在此期限内，供应商不得要求撤销或修改其磋商响应文件。</w:t>
      </w:r>
    </w:p>
    <w:p w14:paraId="22A495DF">
      <w:pPr>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5.2 若供应商被确定为本次</w:t>
      </w:r>
      <w:r>
        <w:rPr>
          <w:rFonts w:hint="eastAsia" w:ascii="宋体" w:hAnsi="宋体" w:eastAsia="宋体" w:cs="宋体"/>
          <w:spacing w:val="-3"/>
          <w:sz w:val="24"/>
          <w:szCs w:val="24"/>
          <w:lang w:eastAsia="zh-CN"/>
        </w:rPr>
        <w:t>成交</w:t>
      </w:r>
      <w:r>
        <w:rPr>
          <w:rFonts w:ascii="宋体" w:hAnsi="宋体" w:eastAsia="宋体" w:cs="宋体"/>
          <w:spacing w:val="-3"/>
          <w:sz w:val="24"/>
          <w:szCs w:val="24"/>
        </w:rPr>
        <w:t>供应商，则其作为本项目服务商的资格。</w:t>
      </w:r>
    </w:p>
    <w:p w14:paraId="39A48CF9">
      <w:pPr>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5.3 在特殊情况下，采购人在原定投标有效期内，可以根据需要以书面形式向供应商提出延长投标有效期的要求，对此要求供应商须以书面形式予以答复。供应商可以拒绝采购人这种要求，而不被没收</w:t>
      </w:r>
      <w:r>
        <w:rPr>
          <w:rFonts w:hint="eastAsia" w:ascii="宋体" w:hAnsi="宋体" w:eastAsia="宋体" w:cs="宋体"/>
          <w:spacing w:val="-3"/>
          <w:sz w:val="24"/>
          <w:szCs w:val="24"/>
          <w:lang w:eastAsia="zh-CN"/>
        </w:rPr>
        <w:t>磋商保证金</w:t>
      </w:r>
      <w:r>
        <w:rPr>
          <w:rFonts w:ascii="宋体" w:hAnsi="宋体" w:eastAsia="宋体" w:cs="宋体"/>
          <w:spacing w:val="-3"/>
          <w:sz w:val="24"/>
          <w:szCs w:val="24"/>
        </w:rPr>
        <w:t>。同意延长投标有效期的供应商既不能要求也不允许修改 其磋商响应文件，但需要相应的延长投标担保的有效期，在延长的投标有效期内本须知第30条关于</w:t>
      </w:r>
      <w:r>
        <w:rPr>
          <w:rFonts w:hint="eastAsia" w:ascii="宋体" w:hAnsi="宋体" w:eastAsia="宋体" w:cs="宋体"/>
          <w:spacing w:val="-3"/>
          <w:sz w:val="24"/>
          <w:szCs w:val="24"/>
          <w:lang w:eastAsia="zh-CN"/>
        </w:rPr>
        <w:t>磋商保证金</w:t>
      </w:r>
      <w:r>
        <w:rPr>
          <w:rFonts w:ascii="宋体" w:hAnsi="宋体" w:eastAsia="宋体" w:cs="宋体"/>
          <w:spacing w:val="-3"/>
          <w:sz w:val="24"/>
          <w:szCs w:val="24"/>
        </w:rPr>
        <w:t>的退还与没收的规定仍然适用。</w:t>
      </w:r>
    </w:p>
    <w:p w14:paraId="7DB8ADB1">
      <w:pPr>
        <w:spacing w:before="180" w:line="220" w:lineRule="auto"/>
        <w:ind w:left="2"/>
        <w:outlineLvl w:val="2"/>
        <w:rPr>
          <w:rFonts w:hint="eastAsia" w:ascii="宋体" w:hAnsi="宋体" w:eastAsia="宋体" w:cs="宋体"/>
          <w:sz w:val="24"/>
          <w:szCs w:val="24"/>
          <w:lang w:eastAsia="zh-CN"/>
        </w:rPr>
      </w:pPr>
      <w:r>
        <w:rPr>
          <w:rFonts w:ascii="宋体" w:hAnsi="宋体" w:eastAsia="宋体" w:cs="宋体"/>
          <w:spacing w:val="-1"/>
          <w:sz w:val="24"/>
          <w:szCs w:val="24"/>
          <w14:textOutline w14:w="4358" w14:cap="sq" w14:cmpd="sng">
            <w14:solidFill>
              <w14:srgbClr w14:val="000000"/>
            </w14:solidFill>
            <w14:prstDash w14:val="solid"/>
            <w14:bevel/>
          </w14:textOutline>
        </w:rPr>
        <w:t>6.</w:t>
      </w:r>
      <w:r>
        <w:rPr>
          <w:rFonts w:hint="eastAsia" w:ascii="宋体" w:hAnsi="宋体" w:eastAsia="宋体" w:cs="宋体"/>
          <w:spacing w:val="-1"/>
          <w:sz w:val="24"/>
          <w:szCs w:val="24"/>
          <w:lang w:eastAsia="zh-CN"/>
          <w14:textOutline w14:w="4358" w14:cap="sq" w14:cmpd="sng">
            <w14:solidFill>
              <w14:srgbClr w14:val="000000"/>
            </w14:solidFill>
            <w14:prstDash w14:val="solid"/>
            <w14:bevel/>
          </w14:textOutline>
        </w:rPr>
        <w:t>磋商保证金</w:t>
      </w:r>
    </w:p>
    <w:p w14:paraId="534A2FA6">
      <w:pPr>
        <w:spacing w:before="181" w:line="219" w:lineRule="auto"/>
        <w:ind w:left="481"/>
        <w:rPr>
          <w:rFonts w:hint="eastAsia" w:ascii="宋体" w:hAnsi="宋体" w:eastAsia="宋体" w:cs="宋体"/>
          <w:sz w:val="24"/>
          <w:szCs w:val="24"/>
          <w:lang w:eastAsia="zh-CN"/>
        </w:rPr>
      </w:pPr>
      <w:r>
        <w:rPr>
          <w:rFonts w:ascii="宋体" w:hAnsi="宋体" w:eastAsia="宋体" w:cs="宋体"/>
          <w:spacing w:val="-1"/>
          <w:sz w:val="24"/>
          <w:szCs w:val="24"/>
        </w:rPr>
        <w:t>本项目无须缴纳</w:t>
      </w:r>
      <w:r>
        <w:rPr>
          <w:rFonts w:hint="eastAsia" w:ascii="宋体" w:hAnsi="宋体" w:eastAsia="宋体" w:cs="宋体"/>
          <w:spacing w:val="-1"/>
          <w:sz w:val="24"/>
          <w:szCs w:val="24"/>
          <w:lang w:eastAsia="zh-CN"/>
        </w:rPr>
        <w:t>磋商保证金</w:t>
      </w:r>
    </w:p>
    <w:p w14:paraId="424158AC">
      <w:pPr>
        <w:spacing w:before="182" w:line="219" w:lineRule="auto"/>
        <w:ind w:left="4"/>
        <w:outlineLvl w:val="2"/>
        <w:rPr>
          <w:rFonts w:ascii="宋体" w:hAnsi="宋体" w:eastAsia="宋体" w:cs="宋体"/>
          <w:sz w:val="24"/>
          <w:szCs w:val="24"/>
        </w:rPr>
      </w:pPr>
      <w:r>
        <w:rPr>
          <w:rFonts w:ascii="宋体" w:hAnsi="宋体" w:eastAsia="宋体" w:cs="宋体"/>
          <w:spacing w:val="-1"/>
          <w:sz w:val="24"/>
          <w:szCs w:val="24"/>
          <w14:textOutline w14:w="4358" w14:cap="sq" w14:cmpd="sng">
            <w14:solidFill>
              <w14:srgbClr w14:val="000000"/>
            </w14:solidFill>
            <w14:prstDash w14:val="solid"/>
            <w14:bevel/>
          </w14:textOutline>
        </w:rPr>
        <w:t>7.磋商响应文件的印制和签署</w:t>
      </w:r>
    </w:p>
    <w:p w14:paraId="04592B3E">
      <w:pPr>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7.1 供应商应按“供应商须知前附表 ”规定的份数提交《磋商响应文件》，否则视为无效</w:t>
      </w:r>
      <w:r>
        <w:rPr>
          <w:rFonts w:hint="eastAsia" w:ascii="宋体" w:hAnsi="宋体" w:eastAsia="宋体" w:cs="宋体"/>
          <w:spacing w:val="-3"/>
          <w:sz w:val="24"/>
          <w:szCs w:val="24"/>
          <w:lang w:eastAsia="zh-CN"/>
        </w:rPr>
        <w:t>响应</w:t>
      </w:r>
      <w:r>
        <w:rPr>
          <w:rFonts w:ascii="宋体" w:hAnsi="宋体" w:eastAsia="宋体" w:cs="宋体"/>
          <w:spacing w:val="-3"/>
          <w:sz w:val="24"/>
          <w:szCs w:val="24"/>
        </w:rPr>
        <w:t>。</w:t>
      </w:r>
    </w:p>
    <w:p w14:paraId="6EA0419A">
      <w:pPr>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7.2 响应文件电子版要求：按照本</w:t>
      </w:r>
      <w:r>
        <w:rPr>
          <w:rFonts w:hint="eastAsia" w:ascii="宋体" w:hAnsi="宋体" w:eastAsia="宋体" w:cs="宋体"/>
          <w:spacing w:val="-3"/>
          <w:sz w:val="24"/>
          <w:szCs w:val="24"/>
          <w:lang w:eastAsia="zh-CN"/>
        </w:rPr>
        <w:t>磋商文件</w:t>
      </w:r>
      <w:r>
        <w:rPr>
          <w:rFonts w:ascii="宋体" w:hAnsi="宋体" w:eastAsia="宋体" w:cs="宋体"/>
          <w:spacing w:val="-3"/>
          <w:sz w:val="24"/>
          <w:szCs w:val="24"/>
        </w:rPr>
        <w:t>“第五章 响应文件格式 ”编写（第五章未 附格式的，由供应商自行拟定），不可涂改并在规定加盖公章处加盖电子公章，否则响应文件按无效响应处理。</w:t>
      </w:r>
    </w:p>
    <w:p w14:paraId="573ACD8F">
      <w:pPr>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7.3 响应文件电子版密封方式：电子响应文件通过平台有效 CA 加密后在 “政采云 ”平台投送。（操作方式见公告要求“ 电子响应文件制作与投送教程 ”）</w:t>
      </w:r>
    </w:p>
    <w:p w14:paraId="6F056759">
      <w:pPr>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7.4 本项目采用电子招投标，开标现场无需提供纸质版</w:t>
      </w:r>
      <w:r>
        <w:rPr>
          <w:rFonts w:hint="eastAsia" w:ascii="宋体" w:hAnsi="宋体" w:eastAsia="宋体" w:cs="宋体"/>
          <w:spacing w:val="-3"/>
          <w:sz w:val="24"/>
          <w:szCs w:val="24"/>
          <w:lang w:eastAsia="zh-CN"/>
        </w:rPr>
        <w:t>响应文件</w:t>
      </w:r>
      <w:r>
        <w:rPr>
          <w:rFonts w:ascii="宋体" w:hAnsi="宋体" w:eastAsia="宋体" w:cs="宋体"/>
          <w:spacing w:val="-3"/>
          <w:sz w:val="24"/>
          <w:szCs w:val="24"/>
        </w:rPr>
        <w:t>，</w:t>
      </w:r>
      <w:r>
        <w:rPr>
          <w:rFonts w:hint="eastAsia" w:ascii="宋体" w:hAnsi="宋体" w:eastAsia="宋体" w:cs="宋体"/>
          <w:spacing w:val="-3"/>
          <w:sz w:val="24"/>
          <w:szCs w:val="24"/>
          <w:lang w:eastAsia="zh-CN"/>
        </w:rPr>
        <w:t>供应商</w:t>
      </w:r>
      <w:r>
        <w:rPr>
          <w:rFonts w:ascii="宋体" w:hAnsi="宋体" w:eastAsia="宋体" w:cs="宋体"/>
          <w:spacing w:val="-3"/>
          <w:sz w:val="24"/>
          <w:szCs w:val="24"/>
        </w:rPr>
        <w:t>在中标</w:t>
      </w:r>
      <w:r>
        <w:rPr>
          <w:rFonts w:hint="eastAsia" w:ascii="宋体" w:hAnsi="宋体" w:eastAsia="宋体" w:cs="宋体"/>
          <w:spacing w:val="-3"/>
          <w:sz w:val="24"/>
          <w:szCs w:val="24"/>
          <w:lang w:eastAsia="zh-CN"/>
        </w:rPr>
        <w:t>（成交）</w:t>
      </w:r>
      <w:r>
        <w:rPr>
          <w:rFonts w:ascii="宋体" w:hAnsi="宋体" w:eastAsia="宋体" w:cs="宋体"/>
          <w:spacing w:val="-3"/>
          <w:sz w:val="24"/>
          <w:szCs w:val="24"/>
        </w:rPr>
        <w:t>公示期满后提交三套纸质版响应文件给代理机构存档备案。</w:t>
      </w:r>
    </w:p>
    <w:p w14:paraId="1E322D30">
      <w:pPr>
        <w:spacing w:before="178" w:line="360" w:lineRule="auto"/>
        <w:ind w:right="59" w:firstLine="498"/>
        <w:rPr>
          <w:rFonts w:ascii="宋体" w:hAnsi="宋体" w:eastAsia="宋体" w:cs="宋体"/>
          <w:b/>
          <w:bCs/>
          <w:spacing w:val="-3"/>
          <w:sz w:val="24"/>
          <w:szCs w:val="24"/>
        </w:rPr>
      </w:pPr>
      <w:r>
        <w:rPr>
          <w:rFonts w:ascii="宋体" w:hAnsi="宋体" w:eastAsia="宋体" w:cs="宋体"/>
          <w:b/>
          <w:bCs/>
          <w:spacing w:val="-3"/>
          <w:sz w:val="24"/>
          <w:szCs w:val="24"/>
        </w:rPr>
        <w:t>特别提示：提交的纸质版《</w:t>
      </w:r>
      <w:r>
        <w:rPr>
          <w:rFonts w:hint="eastAsia" w:ascii="宋体" w:hAnsi="宋体" w:eastAsia="宋体" w:cs="宋体"/>
          <w:b/>
          <w:bCs/>
          <w:spacing w:val="-3"/>
          <w:sz w:val="24"/>
          <w:szCs w:val="24"/>
          <w:lang w:eastAsia="zh-CN"/>
        </w:rPr>
        <w:t>响应文件</w:t>
      </w:r>
      <w:r>
        <w:rPr>
          <w:rFonts w:ascii="宋体" w:hAnsi="宋体" w:eastAsia="宋体" w:cs="宋体"/>
          <w:b/>
          <w:bCs/>
          <w:spacing w:val="-3"/>
          <w:sz w:val="24"/>
          <w:szCs w:val="24"/>
        </w:rPr>
        <w:t>》内容与开标时电子</w:t>
      </w:r>
      <w:r>
        <w:rPr>
          <w:rFonts w:hint="eastAsia" w:ascii="宋体" w:hAnsi="宋体" w:eastAsia="宋体" w:cs="宋体"/>
          <w:b/>
          <w:bCs/>
          <w:spacing w:val="-3"/>
          <w:sz w:val="24"/>
          <w:szCs w:val="24"/>
          <w:lang w:eastAsia="zh-CN"/>
        </w:rPr>
        <w:t>响应文件</w:t>
      </w:r>
      <w:r>
        <w:rPr>
          <w:rFonts w:ascii="宋体" w:hAnsi="宋体" w:eastAsia="宋体" w:cs="宋体"/>
          <w:b/>
          <w:bCs/>
          <w:spacing w:val="-3"/>
          <w:sz w:val="24"/>
          <w:szCs w:val="24"/>
        </w:rPr>
        <w:t>应完全一致。</w:t>
      </w:r>
    </w:p>
    <w:p w14:paraId="222D821C">
      <w:pPr>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7.5 除供应商对错误处须修改外，全套《磋商响应文件》应无涂改或行间插字和增删。 如有修改，修改处应由供应商加盖</w:t>
      </w:r>
      <w:r>
        <w:rPr>
          <w:rFonts w:hint="eastAsia" w:ascii="宋体" w:hAnsi="宋体" w:eastAsia="宋体" w:cs="宋体"/>
          <w:spacing w:val="-3"/>
          <w:sz w:val="24"/>
          <w:szCs w:val="24"/>
          <w:lang w:eastAsia="zh-CN"/>
        </w:rPr>
        <w:t>供应商</w:t>
      </w:r>
      <w:r>
        <w:rPr>
          <w:rFonts w:ascii="宋体" w:hAnsi="宋体" w:eastAsia="宋体" w:cs="宋体"/>
          <w:spacing w:val="-3"/>
          <w:sz w:val="24"/>
          <w:szCs w:val="24"/>
        </w:rPr>
        <w:t>的印章或由《磋商响应文件》签字人签字或盖章。字迹潦草、表达不清或可能导致非唯一理解的磋商响应文件可能视为无效</w:t>
      </w:r>
      <w:r>
        <w:rPr>
          <w:rFonts w:hint="eastAsia" w:ascii="宋体" w:hAnsi="宋体" w:eastAsia="宋体" w:cs="宋体"/>
          <w:spacing w:val="-3"/>
          <w:sz w:val="24"/>
          <w:szCs w:val="24"/>
          <w:lang w:eastAsia="zh-CN"/>
        </w:rPr>
        <w:t>响应</w:t>
      </w:r>
      <w:r>
        <w:rPr>
          <w:rFonts w:ascii="宋体" w:hAnsi="宋体" w:eastAsia="宋体" w:cs="宋体"/>
          <w:spacing w:val="-3"/>
          <w:sz w:val="24"/>
          <w:szCs w:val="24"/>
        </w:rPr>
        <w:t>。</w:t>
      </w:r>
    </w:p>
    <w:p w14:paraId="3F1DC655">
      <w:pPr>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7.6 《磋商响应文件》应根据《磋商文件》的要求签署及盖章，内容应完整详细，如有遗漏，将被视为无效</w:t>
      </w:r>
      <w:r>
        <w:rPr>
          <w:rFonts w:hint="eastAsia" w:ascii="宋体" w:hAnsi="宋体" w:eastAsia="宋体" w:cs="宋体"/>
          <w:spacing w:val="-3"/>
          <w:sz w:val="24"/>
          <w:szCs w:val="24"/>
          <w:lang w:eastAsia="zh-CN"/>
        </w:rPr>
        <w:t>响应</w:t>
      </w:r>
      <w:r>
        <w:rPr>
          <w:rFonts w:ascii="宋体" w:hAnsi="宋体" w:eastAsia="宋体" w:cs="宋体"/>
          <w:spacing w:val="-3"/>
          <w:sz w:val="24"/>
          <w:szCs w:val="24"/>
        </w:rPr>
        <w:t>。</w:t>
      </w:r>
    </w:p>
    <w:p w14:paraId="00DC686D">
      <w:pPr>
        <w:pStyle w:val="4"/>
        <w:spacing w:line="335" w:lineRule="auto"/>
      </w:pPr>
    </w:p>
    <w:p w14:paraId="08C75C99">
      <w:pPr>
        <w:spacing w:before="91" w:line="220" w:lineRule="auto"/>
        <w:ind w:left="2381"/>
        <w:outlineLvl w:val="1"/>
        <w:rPr>
          <w:rFonts w:ascii="宋体" w:hAnsi="宋体" w:eastAsia="宋体" w:cs="宋体"/>
          <w:sz w:val="28"/>
          <w:szCs w:val="28"/>
        </w:rPr>
      </w:pPr>
      <w:r>
        <w:rPr>
          <w:rFonts w:ascii="宋体" w:hAnsi="宋体" w:eastAsia="宋体" w:cs="宋体"/>
          <w:spacing w:val="-1"/>
          <w:sz w:val="28"/>
          <w:szCs w:val="28"/>
          <w14:textOutline w14:w="5103" w14:cap="sq" w14:cmpd="sng">
            <w14:solidFill>
              <w14:srgbClr w14:val="000000"/>
            </w14:solidFill>
            <w14:prstDash w14:val="solid"/>
            <w14:bevel/>
          </w14:textOutline>
        </w:rPr>
        <w:t>（五）磋商响应文件的提交及相关事项</w:t>
      </w:r>
    </w:p>
    <w:p w14:paraId="00A4202A">
      <w:pPr>
        <w:spacing w:before="204" w:line="219" w:lineRule="auto"/>
        <w:ind w:left="18"/>
        <w:outlineLvl w:val="2"/>
        <w:rPr>
          <w:rFonts w:ascii="宋体" w:hAnsi="宋体" w:eastAsia="宋体" w:cs="宋体"/>
          <w:sz w:val="24"/>
          <w:szCs w:val="24"/>
        </w:rPr>
      </w:pPr>
      <w:r>
        <w:rPr>
          <w:rFonts w:ascii="宋体" w:hAnsi="宋体" w:eastAsia="宋体" w:cs="宋体"/>
          <w:spacing w:val="-2"/>
          <w:sz w:val="24"/>
          <w:szCs w:val="24"/>
          <w14:textOutline w14:w="4358" w14:cap="sq" w14:cmpd="sng">
            <w14:solidFill>
              <w14:srgbClr w14:val="000000"/>
            </w14:solidFill>
            <w14:prstDash w14:val="solid"/>
            <w14:bevel/>
          </w14:textOutline>
        </w:rPr>
        <w:t>1.磋商响应文件的密封和标记</w:t>
      </w:r>
    </w:p>
    <w:p w14:paraId="1301E163">
      <w:pPr>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1.1.电子</w:t>
      </w:r>
      <w:r>
        <w:rPr>
          <w:rFonts w:hint="eastAsia" w:ascii="宋体" w:hAnsi="宋体" w:eastAsia="宋体" w:cs="宋体"/>
          <w:spacing w:val="-3"/>
          <w:sz w:val="24"/>
          <w:szCs w:val="24"/>
          <w:lang w:eastAsia="zh-CN"/>
        </w:rPr>
        <w:t>响应文件</w:t>
      </w:r>
      <w:r>
        <w:rPr>
          <w:rFonts w:ascii="宋体" w:hAnsi="宋体" w:eastAsia="宋体" w:cs="宋体"/>
          <w:spacing w:val="-3"/>
          <w:sz w:val="24"/>
          <w:szCs w:val="24"/>
        </w:rPr>
        <w:t>使用“新疆维吾尔自治区全流程电子招</w:t>
      </w:r>
      <w:r>
        <w:rPr>
          <w:rFonts w:hint="eastAsia" w:ascii="宋体" w:hAnsi="宋体" w:eastAsia="宋体" w:cs="宋体"/>
          <w:spacing w:val="-3"/>
          <w:sz w:val="24"/>
          <w:szCs w:val="24"/>
          <w:lang w:eastAsia="zh-CN"/>
        </w:rPr>
        <w:t>响应</w:t>
      </w:r>
      <w:r>
        <w:rPr>
          <w:rFonts w:ascii="宋体" w:hAnsi="宋体" w:eastAsia="宋体" w:cs="宋体"/>
          <w:spacing w:val="-3"/>
          <w:sz w:val="24"/>
          <w:szCs w:val="24"/>
        </w:rPr>
        <w:t>项目管理系统--供应商客户端 ”制作完成，生成电子加密标书（ .jmbs）上传至政采云平台。</w:t>
      </w:r>
    </w:p>
    <w:p w14:paraId="5CE1AB85">
      <w:pPr>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1.2.供应商制作电子</w:t>
      </w:r>
      <w:r>
        <w:rPr>
          <w:rFonts w:hint="eastAsia" w:ascii="宋体" w:hAnsi="宋体" w:eastAsia="宋体" w:cs="宋体"/>
          <w:spacing w:val="-3"/>
          <w:sz w:val="24"/>
          <w:szCs w:val="24"/>
          <w:lang w:eastAsia="zh-CN"/>
        </w:rPr>
        <w:t>响应文件</w:t>
      </w:r>
      <w:r>
        <w:rPr>
          <w:rFonts w:ascii="宋体" w:hAnsi="宋体" w:eastAsia="宋体" w:cs="宋体"/>
          <w:spacing w:val="-3"/>
          <w:sz w:val="24"/>
          <w:szCs w:val="24"/>
        </w:rPr>
        <w:t>加密文件应与开标现场解密时的数字证书（CA 锁）同为一把，若因数字证书（CA 锁）不是同一把锁导致现场解密失败的，供应商自行承担后果。</w:t>
      </w:r>
    </w:p>
    <w:p w14:paraId="357776C6">
      <w:pPr>
        <w:pStyle w:val="4"/>
        <w:spacing w:line="242" w:lineRule="auto"/>
      </w:pPr>
      <w:r>
        <w:rPr>
          <w:rFonts w:ascii="宋体" w:hAnsi="宋体" w:eastAsia="宋体" w:cs="宋体"/>
          <w:spacing w:val="-1"/>
          <w:sz w:val="24"/>
          <w:szCs w:val="24"/>
          <w14:textOutline w14:w="4358" w14:cap="sq" w14:cmpd="sng">
            <w14:solidFill>
              <w14:srgbClr w14:val="000000"/>
            </w14:solidFill>
            <w14:prstDash w14:val="solid"/>
            <w14:bevel/>
          </w14:textOutline>
        </w:rPr>
        <w:t>2.磋商响应文件的提交</w:t>
      </w:r>
    </w:p>
    <w:p w14:paraId="65657C3F">
      <w:pPr>
        <w:pStyle w:val="4"/>
        <w:spacing w:line="242" w:lineRule="auto"/>
      </w:pPr>
    </w:p>
    <w:p w14:paraId="1274B4FF">
      <w:pPr>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2.1 供应商应按本须知前附表所规定的地点，于递交截止时间前提交磋商响应文件。</w:t>
      </w:r>
    </w:p>
    <w:p w14:paraId="20A23863">
      <w:pPr>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 xml:space="preserve">2.2 </w:t>
      </w:r>
      <w:r>
        <w:rPr>
          <w:rFonts w:hint="eastAsia" w:ascii="宋体" w:hAnsi="宋体" w:eastAsia="宋体" w:cs="宋体"/>
          <w:spacing w:val="-3"/>
          <w:sz w:val="24"/>
          <w:szCs w:val="24"/>
          <w:lang w:eastAsia="zh-CN"/>
        </w:rPr>
        <w:t>响应</w:t>
      </w:r>
      <w:r>
        <w:rPr>
          <w:rFonts w:ascii="宋体" w:hAnsi="宋体" w:eastAsia="宋体" w:cs="宋体"/>
          <w:spacing w:val="-3"/>
          <w:sz w:val="24"/>
          <w:szCs w:val="24"/>
        </w:rPr>
        <w:t>截止时间为《磋商文件》“供应商须知前附表 ”中规定时间，逾期的《磋商响应文件》招标代理机构和采购人概不接受。</w:t>
      </w:r>
    </w:p>
    <w:p w14:paraId="44968821">
      <w:pPr>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2.3 到</w:t>
      </w:r>
      <w:r>
        <w:rPr>
          <w:rFonts w:hint="eastAsia" w:ascii="宋体" w:hAnsi="宋体" w:eastAsia="宋体" w:cs="宋体"/>
          <w:spacing w:val="-3"/>
          <w:sz w:val="24"/>
          <w:szCs w:val="24"/>
          <w:lang w:eastAsia="zh-CN"/>
        </w:rPr>
        <w:t>响应</w:t>
      </w:r>
      <w:r>
        <w:rPr>
          <w:rFonts w:ascii="宋体" w:hAnsi="宋体" w:eastAsia="宋体" w:cs="宋体"/>
          <w:spacing w:val="-3"/>
          <w:sz w:val="24"/>
          <w:szCs w:val="24"/>
        </w:rPr>
        <w:t>截止时间止，采购人收到的磋商响应文件少于3个的，采购人将依法重新组织招标。</w:t>
      </w:r>
    </w:p>
    <w:p w14:paraId="18CA22E8">
      <w:pPr>
        <w:spacing w:before="98" w:line="220" w:lineRule="auto"/>
        <w:ind w:left="4024"/>
        <w:outlineLvl w:val="1"/>
        <w:rPr>
          <w:rFonts w:ascii="宋体" w:hAnsi="宋体" w:eastAsia="宋体" w:cs="宋体"/>
          <w:sz w:val="30"/>
          <w:szCs w:val="30"/>
        </w:rPr>
      </w:pPr>
      <w:r>
        <w:rPr>
          <w:rFonts w:ascii="宋体" w:hAnsi="宋体" w:eastAsia="宋体" w:cs="宋体"/>
          <w:spacing w:val="-5"/>
          <w:sz w:val="30"/>
          <w:szCs w:val="30"/>
          <w14:textOutline w14:w="5448" w14:cap="sq" w14:cmpd="sng">
            <w14:solidFill>
              <w14:srgbClr w14:val="000000"/>
            </w14:solidFill>
            <w14:prstDash w14:val="solid"/>
            <w14:bevel/>
          </w14:textOutline>
        </w:rPr>
        <w:t>（六）开标</w:t>
      </w:r>
    </w:p>
    <w:p w14:paraId="228F46F2">
      <w:pPr>
        <w:spacing w:before="217" w:line="219" w:lineRule="auto"/>
        <w:ind w:left="18"/>
        <w:outlineLvl w:val="2"/>
        <w:rPr>
          <w:rFonts w:ascii="宋体" w:hAnsi="宋体" w:eastAsia="宋体" w:cs="宋体"/>
          <w:sz w:val="24"/>
          <w:szCs w:val="24"/>
        </w:rPr>
      </w:pPr>
      <w:r>
        <w:rPr>
          <w:rFonts w:ascii="宋体" w:hAnsi="宋体" w:eastAsia="宋体" w:cs="宋体"/>
          <w:spacing w:val="-1"/>
          <w:sz w:val="24"/>
          <w:szCs w:val="24"/>
          <w14:textOutline w14:w="4358" w14:cap="sq" w14:cmpd="sng">
            <w14:solidFill>
              <w14:srgbClr w14:val="000000"/>
            </w14:solidFill>
            <w14:prstDash w14:val="solid"/>
            <w14:bevel/>
          </w14:textOutline>
        </w:rPr>
        <w:t>1.开标时间、地点：详见供应商须知前附表</w:t>
      </w:r>
    </w:p>
    <w:p w14:paraId="4977A0E0">
      <w:pPr>
        <w:spacing w:before="181" w:line="219" w:lineRule="auto"/>
        <w:ind w:left="3"/>
        <w:outlineLvl w:val="2"/>
        <w:rPr>
          <w:rFonts w:ascii="宋体" w:hAnsi="宋体" w:eastAsia="宋体" w:cs="宋体"/>
          <w:sz w:val="24"/>
          <w:szCs w:val="24"/>
        </w:rPr>
      </w:pPr>
      <w:r>
        <w:rPr>
          <w:rFonts w:ascii="宋体" w:hAnsi="宋体" w:eastAsia="宋体" w:cs="宋体"/>
          <w:sz w:val="24"/>
          <w:szCs w:val="24"/>
          <w14:textOutline w14:w="4358" w14:cap="sq" w14:cmpd="sng">
            <w14:solidFill>
              <w14:srgbClr w14:val="000000"/>
            </w14:solidFill>
            <w14:prstDash w14:val="solid"/>
            <w14:bevel/>
          </w14:textOutline>
        </w:rPr>
        <w:t>2.</w:t>
      </w:r>
      <w:r>
        <w:rPr>
          <w:rFonts w:ascii="宋体" w:hAnsi="宋体" w:eastAsia="宋体" w:cs="宋体"/>
          <w:sz w:val="24"/>
          <w:szCs w:val="24"/>
        </w:rPr>
        <w:t xml:space="preserve"> </w:t>
      </w:r>
      <w:r>
        <w:rPr>
          <w:rFonts w:ascii="宋体" w:hAnsi="宋体" w:eastAsia="宋体" w:cs="宋体"/>
          <w:sz w:val="24"/>
          <w:szCs w:val="24"/>
          <w14:textOutline w14:w="4358" w14:cap="sq" w14:cmpd="sng">
            <w14:solidFill>
              <w14:srgbClr w14:val="000000"/>
            </w14:solidFill>
            <w14:prstDash w14:val="solid"/>
            <w14:bevel/>
          </w14:textOutline>
        </w:rPr>
        <w:t>开标程序：详见供应商须知前附表</w:t>
      </w:r>
    </w:p>
    <w:p w14:paraId="197208BB">
      <w:pPr>
        <w:pStyle w:val="4"/>
        <w:spacing w:line="332" w:lineRule="auto"/>
      </w:pPr>
    </w:p>
    <w:p w14:paraId="31D1B2FD">
      <w:pPr>
        <w:spacing w:before="98" w:line="220" w:lineRule="auto"/>
        <w:ind w:left="4024"/>
        <w:outlineLvl w:val="1"/>
        <w:rPr>
          <w:rFonts w:ascii="宋体" w:hAnsi="宋体" w:eastAsia="宋体" w:cs="宋体"/>
          <w:sz w:val="30"/>
          <w:szCs w:val="30"/>
        </w:rPr>
      </w:pPr>
      <w:r>
        <w:rPr>
          <w:rFonts w:ascii="宋体" w:hAnsi="宋体" w:eastAsia="宋体" w:cs="宋体"/>
          <w:spacing w:val="-5"/>
          <w:sz w:val="30"/>
          <w:szCs w:val="30"/>
          <w14:textOutline w14:w="5448" w14:cap="sq" w14:cmpd="sng">
            <w14:solidFill>
              <w14:srgbClr w14:val="000000"/>
            </w14:solidFill>
            <w14:prstDash w14:val="solid"/>
            <w14:bevel/>
          </w14:textOutline>
        </w:rPr>
        <w:t>（七）评标</w:t>
      </w:r>
    </w:p>
    <w:p w14:paraId="63AE1641">
      <w:pPr>
        <w:spacing w:before="217" w:line="220" w:lineRule="auto"/>
        <w:ind w:left="498"/>
        <w:rPr>
          <w:rFonts w:ascii="宋体" w:hAnsi="宋体" w:eastAsia="宋体" w:cs="宋体"/>
          <w:sz w:val="24"/>
          <w:szCs w:val="24"/>
        </w:rPr>
      </w:pPr>
      <w:r>
        <w:rPr>
          <w:rFonts w:ascii="宋体" w:hAnsi="宋体" w:eastAsia="宋体" w:cs="宋体"/>
          <w:spacing w:val="-7"/>
          <w:sz w:val="24"/>
          <w:szCs w:val="24"/>
          <w14:textOutline w14:w="4358" w14:cap="sq" w14:cmpd="sng">
            <w14:solidFill>
              <w14:srgbClr w14:val="000000"/>
            </w14:solidFill>
            <w14:prstDash w14:val="solid"/>
            <w14:bevel/>
          </w14:textOutline>
        </w:rPr>
        <w:t>1.评标</w:t>
      </w:r>
    </w:p>
    <w:p w14:paraId="68A65B23">
      <w:pPr>
        <w:spacing w:before="182" w:line="220" w:lineRule="auto"/>
        <w:ind w:left="498"/>
        <w:rPr>
          <w:rFonts w:ascii="宋体" w:hAnsi="宋体" w:eastAsia="宋体" w:cs="宋体"/>
          <w:sz w:val="24"/>
          <w:szCs w:val="24"/>
        </w:rPr>
      </w:pPr>
      <w:r>
        <w:rPr>
          <w:rFonts w:ascii="宋体" w:hAnsi="宋体" w:eastAsia="宋体" w:cs="宋体"/>
          <w:spacing w:val="-3"/>
          <w:sz w:val="24"/>
          <w:szCs w:val="24"/>
          <w14:textOutline w14:w="4358" w14:cap="sq" w14:cmpd="sng">
            <w14:solidFill>
              <w14:srgbClr w14:val="000000"/>
            </w14:solidFill>
            <w14:prstDash w14:val="solid"/>
            <w14:bevel/>
          </w14:textOutline>
        </w:rPr>
        <w:t>1.1</w:t>
      </w:r>
      <w:r>
        <w:rPr>
          <w:rFonts w:ascii="宋体" w:hAnsi="宋体" w:eastAsia="宋体" w:cs="宋体"/>
          <w:spacing w:val="-3"/>
          <w:sz w:val="24"/>
          <w:szCs w:val="24"/>
        </w:rPr>
        <w:t xml:space="preserve">  </w:t>
      </w:r>
      <w:r>
        <w:rPr>
          <w:rFonts w:ascii="宋体" w:hAnsi="宋体" w:eastAsia="宋体" w:cs="宋体"/>
          <w:spacing w:val="-3"/>
          <w:sz w:val="24"/>
          <w:szCs w:val="24"/>
          <w14:textOutline w14:w="4358" w14:cap="sq" w14:cmpd="sng">
            <w14:solidFill>
              <w14:srgbClr w14:val="000000"/>
            </w14:solidFill>
            <w14:prstDash w14:val="solid"/>
            <w14:bevel/>
          </w14:textOutline>
        </w:rPr>
        <w:t>磋商小组</w:t>
      </w:r>
    </w:p>
    <w:p w14:paraId="1EEDDA79">
      <w:pPr>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1.1.1  评标由采购人依法组建的磋商小组负责。磋商小组由3人及以上单数评审专家组成，若由于项目供应商数过多可征求监管部门同意后增加磋商小组人数，评标专家从政采云专家库中随机抽取产生。</w:t>
      </w:r>
    </w:p>
    <w:p w14:paraId="01A7071C">
      <w:pPr>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1.1.2  磋商小组成员有下列情形之一的，应当回避；</w:t>
      </w:r>
    </w:p>
    <w:p w14:paraId="6EC64A3B">
      <w:pPr>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（1）采购人或供应商的主要负责人的近亲属；</w:t>
      </w:r>
    </w:p>
    <w:p w14:paraId="07D412A6">
      <w:pPr>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（2）项目主管部门或者行政监督部门的人员；</w:t>
      </w:r>
    </w:p>
    <w:p w14:paraId="0799BEFE">
      <w:pPr>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（3）与供应商有经济利益关系，可能影响对</w:t>
      </w:r>
      <w:r>
        <w:rPr>
          <w:rFonts w:hint="eastAsia" w:ascii="宋体" w:hAnsi="宋体" w:eastAsia="宋体" w:cs="宋体"/>
          <w:spacing w:val="-3"/>
          <w:sz w:val="24"/>
          <w:szCs w:val="24"/>
          <w:lang w:eastAsia="zh-CN"/>
        </w:rPr>
        <w:t>响应</w:t>
      </w:r>
      <w:r>
        <w:rPr>
          <w:rFonts w:ascii="宋体" w:hAnsi="宋体" w:eastAsia="宋体" w:cs="宋体"/>
          <w:spacing w:val="-3"/>
          <w:sz w:val="24"/>
          <w:szCs w:val="24"/>
        </w:rPr>
        <w:t>公正评审的；</w:t>
      </w:r>
    </w:p>
    <w:p w14:paraId="649DF027">
      <w:pPr>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（4）曾因在招标、评标以及其他与招标投标有关活动中从事违法行为而受过行政处罚或刑事处罚的。</w:t>
      </w:r>
    </w:p>
    <w:p w14:paraId="120BF201">
      <w:pPr>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（5）</w:t>
      </w:r>
      <w:r>
        <w:rPr>
          <w:rFonts w:hint="eastAsia" w:ascii="宋体" w:hAnsi="宋体" w:eastAsia="宋体" w:cs="宋体"/>
          <w:spacing w:val="-3"/>
          <w:sz w:val="24"/>
          <w:szCs w:val="24"/>
          <w:lang w:eastAsia="zh-CN"/>
        </w:rPr>
        <w:t>其他可能</w:t>
      </w:r>
      <w:r>
        <w:rPr>
          <w:rFonts w:ascii="宋体" w:hAnsi="宋体" w:eastAsia="宋体" w:cs="宋体"/>
          <w:spacing w:val="-3"/>
          <w:sz w:val="24"/>
          <w:szCs w:val="24"/>
        </w:rPr>
        <w:t>影响公正评标的情形。</w:t>
      </w:r>
    </w:p>
    <w:p w14:paraId="72C8325E">
      <w:pPr>
        <w:spacing w:before="179" w:line="220" w:lineRule="auto"/>
        <w:ind w:left="498"/>
        <w:rPr>
          <w:rFonts w:ascii="宋体" w:hAnsi="宋体" w:eastAsia="宋体" w:cs="宋体"/>
          <w:sz w:val="24"/>
          <w:szCs w:val="24"/>
        </w:rPr>
      </w:pPr>
      <w:r>
        <w:rPr>
          <w:rFonts w:ascii="宋体" w:hAnsi="宋体" w:eastAsia="宋体" w:cs="宋体"/>
          <w:spacing w:val="-3"/>
          <w:sz w:val="24"/>
          <w:szCs w:val="24"/>
          <w14:textOutline w14:w="4358" w14:cap="sq" w14:cmpd="sng">
            <w14:solidFill>
              <w14:srgbClr w14:val="000000"/>
            </w14:solidFill>
            <w14:prstDash w14:val="solid"/>
            <w14:bevel/>
          </w14:textOutline>
        </w:rPr>
        <w:t>1.2</w:t>
      </w:r>
      <w:r>
        <w:rPr>
          <w:rFonts w:ascii="宋体" w:hAnsi="宋体" w:eastAsia="宋体" w:cs="宋体"/>
          <w:spacing w:val="-3"/>
          <w:sz w:val="24"/>
          <w:szCs w:val="24"/>
        </w:rPr>
        <w:t xml:space="preserve">  </w:t>
      </w:r>
      <w:r>
        <w:rPr>
          <w:rFonts w:ascii="宋体" w:hAnsi="宋体" w:eastAsia="宋体" w:cs="宋体"/>
          <w:spacing w:val="-3"/>
          <w:sz w:val="24"/>
          <w:szCs w:val="24"/>
          <w14:textOutline w14:w="4358" w14:cap="sq" w14:cmpd="sng">
            <w14:solidFill>
              <w14:srgbClr w14:val="000000"/>
            </w14:solidFill>
            <w14:prstDash w14:val="solid"/>
            <w14:bevel/>
          </w14:textOutline>
        </w:rPr>
        <w:t>评标原则</w:t>
      </w:r>
    </w:p>
    <w:p w14:paraId="710BC1F7">
      <w:pPr>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评标活动遵循公平、公正、科学和择优的原则。</w:t>
      </w:r>
    </w:p>
    <w:p w14:paraId="0EA56EAA">
      <w:pPr>
        <w:spacing w:before="181" w:line="220" w:lineRule="auto"/>
        <w:ind w:left="498"/>
        <w:rPr>
          <w:rFonts w:ascii="宋体" w:hAnsi="宋体" w:eastAsia="宋体" w:cs="宋体"/>
          <w:sz w:val="24"/>
          <w:szCs w:val="24"/>
        </w:rPr>
      </w:pPr>
      <w:r>
        <w:rPr>
          <w:rFonts w:ascii="宋体" w:hAnsi="宋体" w:eastAsia="宋体" w:cs="宋体"/>
          <w:spacing w:val="-7"/>
          <w:sz w:val="24"/>
          <w:szCs w:val="24"/>
          <w14:textOutline w14:w="4358" w14:cap="sq" w14:cmpd="sng">
            <w14:solidFill>
              <w14:srgbClr w14:val="000000"/>
            </w14:solidFill>
            <w14:prstDash w14:val="solid"/>
            <w14:bevel/>
          </w14:textOutline>
        </w:rPr>
        <w:t>1.3</w:t>
      </w:r>
      <w:r>
        <w:rPr>
          <w:rFonts w:ascii="宋体" w:hAnsi="宋体" w:eastAsia="宋体" w:cs="宋体"/>
          <w:spacing w:val="4"/>
          <w:sz w:val="24"/>
          <w:szCs w:val="24"/>
        </w:rPr>
        <w:t xml:space="preserve">  </w:t>
      </w:r>
      <w:r>
        <w:rPr>
          <w:rFonts w:ascii="宋体" w:hAnsi="宋体" w:eastAsia="宋体" w:cs="宋体"/>
          <w:spacing w:val="-7"/>
          <w:sz w:val="24"/>
          <w:szCs w:val="24"/>
          <w14:textOutline w14:w="4358" w14:cap="sq" w14:cmpd="sng">
            <w14:solidFill>
              <w14:srgbClr w14:val="000000"/>
            </w14:solidFill>
            <w14:prstDash w14:val="solid"/>
            <w14:bevel/>
          </w14:textOutline>
        </w:rPr>
        <w:t>评标</w:t>
      </w:r>
    </w:p>
    <w:p w14:paraId="6DAE65BD">
      <w:pPr>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磋商小组按照磋商文件中规定的方法、评审因素、标准和程序对磋商响应文件进行评审。</w:t>
      </w:r>
    </w:p>
    <w:p w14:paraId="17F465AC">
      <w:pPr>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磋商文件中没有规定的方法、评审因素和标准，不作为评标依据。</w:t>
      </w:r>
    </w:p>
    <w:p w14:paraId="4C6BC6FE">
      <w:pPr>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详见“评标办法 ”内容。</w:t>
      </w:r>
    </w:p>
    <w:p w14:paraId="71784750">
      <w:pPr>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1.4 评标过程严格保密。供应商对评委会的评标过程或合同授予决定施加影响的任何行为都可能导致其</w:t>
      </w:r>
      <w:r>
        <w:rPr>
          <w:rFonts w:hint="eastAsia" w:ascii="宋体" w:hAnsi="宋体" w:eastAsia="宋体" w:cs="宋体"/>
          <w:spacing w:val="-3"/>
          <w:sz w:val="24"/>
          <w:szCs w:val="24"/>
          <w:lang w:eastAsia="zh-CN"/>
        </w:rPr>
        <w:t>响应</w:t>
      </w:r>
      <w:r>
        <w:rPr>
          <w:rFonts w:ascii="宋体" w:hAnsi="宋体" w:eastAsia="宋体" w:cs="宋体"/>
          <w:spacing w:val="-3"/>
          <w:sz w:val="24"/>
          <w:szCs w:val="24"/>
        </w:rPr>
        <w:t>被拒绝。</w:t>
      </w:r>
    </w:p>
    <w:p w14:paraId="276A8D2F">
      <w:pPr>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1.5 在评标期间，评委会可要求供应商对其磋商响应文件中非实质性的有关问题进行澄清、说明或者补正。有关澄清、说明或者补正的要求和答复应以书面形式提交。供应商的澄清、说明或者补正不得超出磋商响应文件的范围或者改变磋商响应文件的实质性内容。</w:t>
      </w:r>
    </w:p>
    <w:p w14:paraId="71A27B69">
      <w:pPr>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1.6 评委会认定实质性响应磋商文件的是磋商响应文件与磋商文件要求的全部条款、条件和规格相符，没有实质性负偏离。评委会评审磋商响应文件的响应性依据是磋商响应文件本身的内容，而不寻求外部的证据。</w:t>
      </w:r>
    </w:p>
    <w:p w14:paraId="00C3B967">
      <w:pPr>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1.7 如果磋商响应文件没有实质性响应磋商文件的要求，评委会将予以拒绝。供应商不得通过修正或</w:t>
      </w:r>
      <w:r>
        <w:rPr>
          <w:rFonts w:hint="eastAsia" w:ascii="宋体" w:hAnsi="宋体" w:eastAsia="宋体" w:cs="宋体"/>
          <w:spacing w:val="-3"/>
          <w:sz w:val="24"/>
          <w:szCs w:val="24"/>
          <w:lang w:eastAsia="zh-CN"/>
        </w:rPr>
        <w:t>撤销</w:t>
      </w:r>
      <w:r>
        <w:rPr>
          <w:rFonts w:ascii="宋体" w:hAnsi="宋体" w:eastAsia="宋体" w:cs="宋体"/>
          <w:spacing w:val="-3"/>
          <w:sz w:val="24"/>
          <w:szCs w:val="24"/>
        </w:rPr>
        <w:t>不合要求的偏离或保留从而使其</w:t>
      </w:r>
      <w:r>
        <w:rPr>
          <w:rFonts w:hint="eastAsia" w:ascii="宋体" w:hAnsi="宋体" w:eastAsia="宋体" w:cs="宋体"/>
          <w:spacing w:val="-3"/>
          <w:sz w:val="24"/>
          <w:szCs w:val="24"/>
          <w:lang w:eastAsia="zh-CN"/>
        </w:rPr>
        <w:t>响应</w:t>
      </w:r>
      <w:r>
        <w:rPr>
          <w:rFonts w:ascii="宋体" w:hAnsi="宋体" w:eastAsia="宋体" w:cs="宋体"/>
          <w:spacing w:val="-3"/>
          <w:sz w:val="24"/>
          <w:szCs w:val="24"/>
        </w:rPr>
        <w:t>成为实质性响应。</w:t>
      </w:r>
    </w:p>
    <w:p w14:paraId="522D4AAA">
      <w:pPr>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1.8 评委会只对确定为实质性响应磋商文件要求的磋商响应文件，根据磋商文件的评审标准采用相同的评标程序、评分办法进行评价和比较。</w:t>
      </w:r>
    </w:p>
    <w:p w14:paraId="1B8667C6">
      <w:pPr>
        <w:pStyle w:val="4"/>
        <w:spacing w:line="333" w:lineRule="auto"/>
      </w:pPr>
    </w:p>
    <w:p w14:paraId="3544E429">
      <w:pPr>
        <w:spacing w:before="98" w:line="220" w:lineRule="auto"/>
        <w:jc w:val="center"/>
        <w:outlineLvl w:val="1"/>
        <w:rPr>
          <w:rFonts w:ascii="宋体" w:hAnsi="宋体" w:eastAsia="宋体" w:cs="宋体"/>
          <w:sz w:val="30"/>
          <w:szCs w:val="30"/>
        </w:rPr>
      </w:pPr>
      <w:r>
        <w:rPr>
          <w:rFonts w:ascii="宋体" w:hAnsi="宋体" w:eastAsia="宋体" w:cs="宋体"/>
          <w:spacing w:val="-5"/>
          <w:sz w:val="30"/>
          <w:szCs w:val="30"/>
          <w14:textOutline w14:w="5448" w14:cap="sq" w14:cmpd="sng">
            <w14:solidFill>
              <w14:srgbClr w14:val="000000"/>
            </w14:solidFill>
            <w14:prstDash w14:val="solid"/>
            <w14:bevel/>
          </w14:textOutline>
        </w:rPr>
        <w:t>（八）定标</w:t>
      </w:r>
    </w:p>
    <w:p w14:paraId="0636343B">
      <w:pPr>
        <w:spacing w:before="217" w:line="220" w:lineRule="auto"/>
        <w:ind w:left="18"/>
        <w:outlineLvl w:val="2"/>
        <w:rPr>
          <w:rFonts w:ascii="宋体" w:hAnsi="宋体" w:eastAsia="宋体" w:cs="宋体"/>
          <w:sz w:val="24"/>
          <w:szCs w:val="24"/>
        </w:rPr>
      </w:pPr>
      <w:r>
        <w:rPr>
          <w:rFonts w:ascii="宋体" w:hAnsi="宋体" w:eastAsia="宋体" w:cs="宋体"/>
          <w:spacing w:val="-6"/>
          <w:sz w:val="24"/>
          <w:szCs w:val="24"/>
          <w14:textOutline w14:w="4358" w14:cap="sq" w14:cmpd="sng">
            <w14:solidFill>
              <w14:srgbClr w14:val="000000"/>
            </w14:solidFill>
            <w14:prstDash w14:val="solid"/>
            <w14:bevel/>
          </w14:textOutline>
        </w:rPr>
        <w:t>1.定标：</w:t>
      </w:r>
    </w:p>
    <w:p w14:paraId="553A4F54">
      <w:pPr>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1.1 定标原则：能够最大限度满足磋商文件中规定的各项综合评价标准得分</w:t>
      </w:r>
      <w:r>
        <w:rPr>
          <w:rFonts w:hint="eastAsia" w:ascii="宋体" w:hAnsi="宋体" w:eastAsia="宋体" w:cs="宋体"/>
          <w:spacing w:val="-3"/>
          <w:sz w:val="24"/>
          <w:szCs w:val="24"/>
          <w:lang w:eastAsia="zh-CN"/>
        </w:rPr>
        <w:t>由高到低</w:t>
      </w:r>
      <w:r>
        <w:rPr>
          <w:rFonts w:ascii="宋体" w:hAnsi="宋体" w:eastAsia="宋体" w:cs="宋体"/>
          <w:spacing w:val="-3"/>
          <w:sz w:val="24"/>
          <w:szCs w:val="24"/>
        </w:rPr>
        <w:t>依序确定。</w:t>
      </w:r>
    </w:p>
    <w:p w14:paraId="74E1F10B">
      <w:pPr>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1.2 定标方法：综合评分法。</w:t>
      </w:r>
    </w:p>
    <w:p w14:paraId="6EEEDFF1">
      <w:pPr>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1.3 定标方式：根据评委会推荐的</w:t>
      </w:r>
      <w:r>
        <w:rPr>
          <w:rFonts w:hint="eastAsia" w:ascii="宋体" w:hAnsi="宋体" w:eastAsia="宋体" w:cs="宋体"/>
          <w:spacing w:val="-3"/>
          <w:sz w:val="24"/>
          <w:szCs w:val="24"/>
          <w:lang w:eastAsia="zh-CN"/>
        </w:rPr>
        <w:t>成交</w:t>
      </w:r>
      <w:r>
        <w:rPr>
          <w:rFonts w:ascii="宋体" w:hAnsi="宋体" w:eastAsia="宋体" w:cs="宋体"/>
          <w:spacing w:val="-3"/>
          <w:sz w:val="24"/>
          <w:szCs w:val="24"/>
        </w:rPr>
        <w:t>候选人名单，按顺序确定</w:t>
      </w:r>
      <w:r>
        <w:rPr>
          <w:rFonts w:hint="eastAsia" w:ascii="宋体" w:hAnsi="宋体" w:eastAsia="宋体" w:cs="宋体"/>
          <w:spacing w:val="-3"/>
          <w:sz w:val="24"/>
          <w:szCs w:val="24"/>
          <w:lang w:eastAsia="zh-CN"/>
        </w:rPr>
        <w:t>成交</w:t>
      </w:r>
      <w:r>
        <w:rPr>
          <w:rFonts w:ascii="宋体" w:hAnsi="宋体" w:eastAsia="宋体" w:cs="宋体"/>
          <w:spacing w:val="-3"/>
          <w:sz w:val="24"/>
          <w:szCs w:val="24"/>
        </w:rPr>
        <w:t>供应商。</w:t>
      </w:r>
    </w:p>
    <w:p w14:paraId="7E3B6842">
      <w:pPr>
        <w:spacing w:before="184" w:line="220" w:lineRule="auto"/>
        <w:ind w:left="3"/>
        <w:outlineLvl w:val="2"/>
        <w:rPr>
          <w:rFonts w:ascii="宋体" w:hAnsi="宋体" w:eastAsia="宋体" w:cs="宋体"/>
          <w:sz w:val="24"/>
          <w:szCs w:val="24"/>
        </w:rPr>
      </w:pPr>
      <w:r>
        <w:rPr>
          <w:rFonts w:ascii="宋体" w:hAnsi="宋体" w:eastAsia="宋体" w:cs="宋体"/>
          <w:spacing w:val="-2"/>
          <w:sz w:val="24"/>
          <w:szCs w:val="24"/>
          <w14:textOutline w14:w="4358" w14:cap="sq" w14:cmpd="sng">
            <w14:solidFill>
              <w14:srgbClr w14:val="000000"/>
            </w14:solidFill>
            <w14:prstDash w14:val="solid"/>
            <w14:bevel/>
          </w14:textOutline>
        </w:rPr>
        <w:t>2.定标程序</w:t>
      </w:r>
    </w:p>
    <w:p w14:paraId="370B9C06">
      <w:pPr>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2.1 磋商小组按照综合评审打分结果由高到低排列顺序。</w:t>
      </w:r>
    </w:p>
    <w:p w14:paraId="2751E393">
      <w:pPr>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2.2 磋商小组根据评审报告和被推荐的</w:t>
      </w:r>
      <w:r>
        <w:rPr>
          <w:rFonts w:hint="eastAsia" w:ascii="宋体" w:hAnsi="宋体" w:eastAsia="宋体" w:cs="宋体"/>
          <w:spacing w:val="-3"/>
          <w:sz w:val="24"/>
          <w:szCs w:val="24"/>
          <w:lang w:eastAsia="zh-CN"/>
        </w:rPr>
        <w:t>成交</w:t>
      </w:r>
      <w:r>
        <w:rPr>
          <w:rFonts w:ascii="宋体" w:hAnsi="宋体" w:eastAsia="宋体" w:cs="宋体"/>
          <w:spacing w:val="-3"/>
          <w:sz w:val="24"/>
          <w:szCs w:val="24"/>
        </w:rPr>
        <w:t>候选人，按综合得分高低排列顺序依序确定</w:t>
      </w:r>
      <w:r>
        <w:rPr>
          <w:rFonts w:hint="eastAsia" w:ascii="宋体" w:hAnsi="宋体" w:eastAsia="宋体" w:cs="宋体"/>
          <w:spacing w:val="-3"/>
          <w:sz w:val="24"/>
          <w:szCs w:val="24"/>
          <w:lang w:eastAsia="zh-CN"/>
        </w:rPr>
        <w:t>成交</w:t>
      </w:r>
      <w:r>
        <w:rPr>
          <w:rFonts w:ascii="宋体" w:hAnsi="宋体" w:eastAsia="宋体" w:cs="宋体"/>
          <w:spacing w:val="-3"/>
          <w:sz w:val="24"/>
          <w:szCs w:val="24"/>
        </w:rPr>
        <w:t>供应商。</w:t>
      </w:r>
    </w:p>
    <w:p w14:paraId="3636021A">
      <w:pPr>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2.3 中标</w:t>
      </w:r>
      <w:r>
        <w:rPr>
          <w:rFonts w:hint="eastAsia" w:ascii="宋体" w:hAnsi="宋体" w:eastAsia="宋体" w:cs="宋体"/>
          <w:spacing w:val="-3"/>
          <w:sz w:val="24"/>
          <w:szCs w:val="24"/>
          <w:lang w:eastAsia="zh-CN"/>
        </w:rPr>
        <w:t>（成交）</w:t>
      </w:r>
      <w:r>
        <w:rPr>
          <w:rFonts w:ascii="宋体" w:hAnsi="宋体" w:eastAsia="宋体" w:cs="宋体"/>
          <w:spacing w:val="-3"/>
          <w:sz w:val="24"/>
          <w:szCs w:val="24"/>
        </w:rPr>
        <w:t>结果在新疆政府采购网公布。同时向</w:t>
      </w:r>
      <w:r>
        <w:rPr>
          <w:rFonts w:hint="eastAsia" w:ascii="宋体" w:hAnsi="宋体" w:eastAsia="宋体" w:cs="宋体"/>
          <w:spacing w:val="-3"/>
          <w:sz w:val="24"/>
          <w:szCs w:val="24"/>
          <w:lang w:eastAsia="zh-CN"/>
        </w:rPr>
        <w:t>成交</w:t>
      </w:r>
      <w:r>
        <w:rPr>
          <w:rFonts w:ascii="宋体" w:hAnsi="宋体" w:eastAsia="宋体" w:cs="宋体"/>
          <w:spacing w:val="-3"/>
          <w:sz w:val="24"/>
          <w:szCs w:val="24"/>
        </w:rPr>
        <w:t>供应商发出《</w:t>
      </w:r>
      <w:r>
        <w:rPr>
          <w:rFonts w:hint="eastAsia" w:ascii="宋体" w:hAnsi="宋体" w:eastAsia="宋体" w:cs="宋体"/>
          <w:spacing w:val="-3"/>
          <w:sz w:val="24"/>
          <w:szCs w:val="24"/>
          <w:lang w:eastAsia="zh-CN"/>
        </w:rPr>
        <w:t>成交</w:t>
      </w:r>
      <w:r>
        <w:rPr>
          <w:rFonts w:ascii="宋体" w:hAnsi="宋体" w:eastAsia="宋体" w:cs="宋体"/>
          <w:spacing w:val="-3"/>
          <w:sz w:val="24"/>
          <w:szCs w:val="24"/>
        </w:rPr>
        <w:t>通知书》。</w:t>
      </w:r>
    </w:p>
    <w:p w14:paraId="464C64F1">
      <w:pPr>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2.4 招标采购单位不解释中标或落标原因。</w:t>
      </w:r>
    </w:p>
    <w:p w14:paraId="3620A806">
      <w:pPr>
        <w:spacing w:before="184" w:line="219" w:lineRule="auto"/>
        <w:ind w:left="5"/>
        <w:outlineLvl w:val="2"/>
        <w:rPr>
          <w:rFonts w:hint="eastAsia" w:ascii="宋体" w:hAnsi="宋体" w:eastAsia="宋体" w:cs="宋体"/>
          <w:sz w:val="24"/>
          <w:szCs w:val="24"/>
          <w:lang w:eastAsia="zh-CN"/>
        </w:rPr>
      </w:pPr>
      <w:r>
        <w:rPr>
          <w:rFonts w:ascii="宋体" w:hAnsi="宋体" w:eastAsia="宋体" w:cs="宋体"/>
          <w:spacing w:val="-6"/>
          <w:sz w:val="24"/>
          <w:szCs w:val="24"/>
          <w14:textOutline w14:w="4358" w14:cap="sq" w14:cmpd="sng">
            <w14:solidFill>
              <w14:srgbClr w14:val="000000"/>
            </w14:solidFill>
            <w14:prstDash w14:val="solid"/>
            <w14:bevel/>
          </w14:textOutline>
        </w:rPr>
        <w:t>3.</w:t>
      </w:r>
      <w:r>
        <w:rPr>
          <w:rFonts w:ascii="宋体" w:hAnsi="宋体" w:eastAsia="宋体" w:cs="宋体"/>
          <w:spacing w:val="31"/>
          <w:sz w:val="24"/>
          <w:szCs w:val="24"/>
        </w:rPr>
        <w:t xml:space="preserve"> </w:t>
      </w:r>
      <w:r>
        <w:rPr>
          <w:rFonts w:hint="eastAsia" w:ascii="宋体" w:hAnsi="宋体" w:eastAsia="宋体" w:cs="宋体"/>
          <w:spacing w:val="-6"/>
          <w:sz w:val="24"/>
          <w:szCs w:val="24"/>
          <w:lang w:eastAsia="zh-CN"/>
          <w14:textOutline w14:w="4358" w14:cap="sq" w14:cmpd="sng">
            <w14:solidFill>
              <w14:srgbClr w14:val="000000"/>
            </w14:solidFill>
            <w14:prstDash w14:val="solid"/>
            <w14:bevel/>
          </w14:textOutline>
        </w:rPr>
        <w:t>成交通知书</w:t>
      </w:r>
    </w:p>
    <w:p w14:paraId="2B1F2A7E">
      <w:pPr>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3.1 招标代理机构将以书面形式《</w:t>
      </w:r>
      <w:r>
        <w:rPr>
          <w:rFonts w:hint="eastAsia" w:ascii="宋体" w:hAnsi="宋体" w:eastAsia="宋体" w:cs="宋体"/>
          <w:spacing w:val="-3"/>
          <w:sz w:val="24"/>
          <w:szCs w:val="24"/>
          <w:lang w:eastAsia="zh-CN"/>
        </w:rPr>
        <w:t>成交通知书</w:t>
      </w:r>
      <w:r>
        <w:rPr>
          <w:rFonts w:ascii="宋体" w:hAnsi="宋体" w:eastAsia="宋体" w:cs="宋体"/>
          <w:spacing w:val="-3"/>
          <w:sz w:val="24"/>
          <w:szCs w:val="24"/>
        </w:rPr>
        <w:t>》通知中标的供应商其</w:t>
      </w:r>
      <w:r>
        <w:rPr>
          <w:rFonts w:hint="eastAsia" w:ascii="宋体" w:hAnsi="宋体" w:eastAsia="宋体" w:cs="宋体"/>
          <w:spacing w:val="-3"/>
          <w:sz w:val="24"/>
          <w:szCs w:val="24"/>
          <w:lang w:eastAsia="zh-CN"/>
        </w:rPr>
        <w:t>响应</w:t>
      </w:r>
      <w:r>
        <w:rPr>
          <w:rFonts w:ascii="宋体" w:hAnsi="宋体" w:eastAsia="宋体" w:cs="宋体"/>
          <w:spacing w:val="-3"/>
          <w:sz w:val="24"/>
          <w:szCs w:val="24"/>
        </w:rPr>
        <w:t>被接受。在该通知书发出十日内，</w:t>
      </w:r>
      <w:r>
        <w:rPr>
          <w:rFonts w:hint="eastAsia" w:ascii="宋体" w:hAnsi="宋体" w:eastAsia="宋体" w:cs="宋体"/>
          <w:spacing w:val="-3"/>
          <w:sz w:val="24"/>
          <w:szCs w:val="24"/>
          <w:lang w:eastAsia="zh-CN"/>
        </w:rPr>
        <w:t>成交</w:t>
      </w:r>
      <w:r>
        <w:rPr>
          <w:rFonts w:ascii="宋体" w:hAnsi="宋体" w:eastAsia="宋体" w:cs="宋体"/>
          <w:spacing w:val="-3"/>
          <w:sz w:val="24"/>
          <w:szCs w:val="24"/>
        </w:rPr>
        <w:t>单位应与采购人签订《合同》。</w:t>
      </w:r>
    </w:p>
    <w:p w14:paraId="661FB6B5">
      <w:pPr>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 xml:space="preserve">3.2 </w:t>
      </w:r>
      <w:r>
        <w:rPr>
          <w:rFonts w:hint="eastAsia" w:ascii="宋体" w:hAnsi="宋体" w:eastAsia="宋体" w:cs="宋体"/>
          <w:spacing w:val="-3"/>
          <w:sz w:val="24"/>
          <w:szCs w:val="24"/>
          <w:lang w:eastAsia="zh-CN"/>
        </w:rPr>
        <w:t>成交</w:t>
      </w:r>
      <w:r>
        <w:rPr>
          <w:rFonts w:ascii="宋体" w:hAnsi="宋体" w:eastAsia="宋体" w:cs="宋体"/>
          <w:spacing w:val="-3"/>
          <w:sz w:val="24"/>
          <w:szCs w:val="24"/>
        </w:rPr>
        <w:t>通知书为签订《合同》的依据，是合同的有效组成部分。</w:t>
      </w:r>
    </w:p>
    <w:p w14:paraId="32EFB73F">
      <w:pPr>
        <w:pStyle w:val="4"/>
        <w:keepNext w:val="0"/>
        <w:keepLines w:val="0"/>
        <w:pageBreakBefore w:val="0"/>
        <w:widowControl/>
        <w:kinsoku w:val="0"/>
        <w:wordWrap/>
        <w:overflowPunct/>
        <w:topLinePunct w:val="0"/>
        <w:autoSpaceDE w:val="0"/>
        <w:autoSpaceDN w:val="0"/>
        <w:bidi w:val="0"/>
        <w:adjustRightInd w:val="0"/>
        <w:snapToGrid w:val="0"/>
        <w:spacing w:line="243" w:lineRule="auto"/>
        <w:ind w:firstLine="468" w:firstLineChars="200"/>
        <w:textAlignment w:val="baseline"/>
      </w:pPr>
      <w:r>
        <w:rPr>
          <w:rFonts w:ascii="宋体" w:hAnsi="宋体" w:eastAsia="宋体" w:cs="宋体"/>
          <w:spacing w:val="-3"/>
          <w:sz w:val="24"/>
          <w:szCs w:val="24"/>
        </w:rPr>
        <w:t xml:space="preserve">3.3 </w:t>
      </w:r>
      <w:r>
        <w:rPr>
          <w:rFonts w:hint="eastAsia" w:ascii="宋体" w:hAnsi="宋体" w:eastAsia="宋体" w:cs="宋体"/>
          <w:spacing w:val="-3"/>
          <w:sz w:val="24"/>
          <w:szCs w:val="24"/>
          <w:lang w:eastAsia="zh-CN"/>
        </w:rPr>
        <w:t>成交</w:t>
      </w:r>
      <w:r>
        <w:rPr>
          <w:rFonts w:ascii="宋体" w:hAnsi="宋体" w:eastAsia="宋体" w:cs="宋体"/>
          <w:spacing w:val="-3"/>
          <w:sz w:val="24"/>
          <w:szCs w:val="24"/>
        </w:rPr>
        <w:t>通知书对采购人和</w:t>
      </w:r>
      <w:r>
        <w:rPr>
          <w:rFonts w:hint="eastAsia" w:ascii="宋体" w:hAnsi="宋体" w:eastAsia="宋体" w:cs="宋体"/>
          <w:spacing w:val="-3"/>
          <w:sz w:val="24"/>
          <w:szCs w:val="24"/>
          <w:lang w:eastAsia="zh-CN"/>
        </w:rPr>
        <w:t>成交</w:t>
      </w:r>
      <w:r>
        <w:rPr>
          <w:rFonts w:ascii="宋体" w:hAnsi="宋体" w:eastAsia="宋体" w:cs="宋体"/>
          <w:spacing w:val="-3"/>
          <w:sz w:val="24"/>
          <w:szCs w:val="24"/>
        </w:rPr>
        <w:t>供应商均具有法律效力。</w:t>
      </w:r>
      <w:r>
        <w:rPr>
          <w:rFonts w:hint="eastAsia" w:ascii="宋体" w:hAnsi="宋体" w:eastAsia="宋体" w:cs="宋体"/>
          <w:spacing w:val="-3"/>
          <w:sz w:val="24"/>
          <w:szCs w:val="24"/>
          <w:lang w:eastAsia="zh-CN"/>
        </w:rPr>
        <w:t>成交</w:t>
      </w:r>
      <w:r>
        <w:rPr>
          <w:rFonts w:ascii="宋体" w:hAnsi="宋体" w:eastAsia="宋体" w:cs="宋体"/>
          <w:spacing w:val="-3"/>
          <w:sz w:val="24"/>
          <w:szCs w:val="24"/>
        </w:rPr>
        <w:t>通知书发出后，采购人改变</w:t>
      </w:r>
      <w:r>
        <w:rPr>
          <w:rFonts w:hint="eastAsia" w:ascii="宋体" w:hAnsi="宋体" w:eastAsia="宋体" w:cs="宋体"/>
          <w:spacing w:val="-3"/>
          <w:sz w:val="24"/>
          <w:szCs w:val="24"/>
          <w:lang w:eastAsia="zh-CN"/>
        </w:rPr>
        <w:t>成交</w:t>
      </w:r>
      <w:r>
        <w:rPr>
          <w:rFonts w:ascii="宋体" w:hAnsi="宋体" w:eastAsia="宋体" w:cs="宋体"/>
          <w:spacing w:val="-3"/>
          <w:sz w:val="24"/>
          <w:szCs w:val="24"/>
        </w:rPr>
        <w:t>结果，或者</w:t>
      </w:r>
      <w:r>
        <w:rPr>
          <w:rFonts w:hint="eastAsia" w:ascii="宋体" w:hAnsi="宋体" w:eastAsia="宋体" w:cs="宋体"/>
          <w:spacing w:val="-3"/>
          <w:sz w:val="24"/>
          <w:szCs w:val="24"/>
          <w:lang w:eastAsia="zh-CN"/>
        </w:rPr>
        <w:t>成交</w:t>
      </w:r>
      <w:r>
        <w:rPr>
          <w:rFonts w:ascii="宋体" w:hAnsi="宋体" w:eastAsia="宋体" w:cs="宋体"/>
          <w:spacing w:val="-3"/>
          <w:sz w:val="24"/>
          <w:szCs w:val="24"/>
        </w:rPr>
        <w:t>供应商无正当理由放弃</w:t>
      </w:r>
      <w:r>
        <w:rPr>
          <w:rFonts w:hint="eastAsia" w:ascii="宋体" w:hAnsi="宋体" w:eastAsia="宋体" w:cs="宋体"/>
          <w:spacing w:val="-3"/>
          <w:sz w:val="24"/>
          <w:szCs w:val="24"/>
          <w:lang w:eastAsia="zh-CN"/>
        </w:rPr>
        <w:t>成交</w:t>
      </w:r>
      <w:r>
        <w:rPr>
          <w:rFonts w:ascii="宋体" w:hAnsi="宋体" w:eastAsia="宋体" w:cs="宋体"/>
          <w:spacing w:val="-3"/>
          <w:sz w:val="24"/>
          <w:szCs w:val="24"/>
        </w:rPr>
        <w:t>的，应当承担相应的法律责任。</w:t>
      </w:r>
    </w:p>
    <w:p w14:paraId="5FE32A0B">
      <w:pPr>
        <w:pStyle w:val="4"/>
        <w:spacing w:line="242" w:lineRule="auto"/>
      </w:pPr>
    </w:p>
    <w:p w14:paraId="1DA8D382">
      <w:pPr>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 xml:space="preserve">3.4 </w:t>
      </w:r>
      <w:r>
        <w:rPr>
          <w:rFonts w:hint="eastAsia" w:ascii="宋体" w:hAnsi="宋体" w:eastAsia="宋体" w:cs="宋体"/>
          <w:spacing w:val="-3"/>
          <w:sz w:val="24"/>
          <w:szCs w:val="24"/>
          <w:lang w:eastAsia="zh-CN"/>
        </w:rPr>
        <w:t>成交</w:t>
      </w:r>
      <w:r>
        <w:rPr>
          <w:rFonts w:ascii="宋体" w:hAnsi="宋体" w:eastAsia="宋体" w:cs="宋体"/>
          <w:spacing w:val="-3"/>
          <w:sz w:val="24"/>
          <w:szCs w:val="24"/>
        </w:rPr>
        <w:t>供应商的磋商响应文件本应作为无效</w:t>
      </w:r>
      <w:r>
        <w:rPr>
          <w:rFonts w:hint="eastAsia" w:ascii="宋体" w:hAnsi="宋体" w:eastAsia="宋体" w:cs="宋体"/>
          <w:spacing w:val="-3"/>
          <w:sz w:val="24"/>
          <w:szCs w:val="24"/>
          <w:lang w:eastAsia="zh-CN"/>
        </w:rPr>
        <w:t>响应</w:t>
      </w:r>
      <w:r>
        <w:rPr>
          <w:rFonts w:ascii="宋体" w:hAnsi="宋体" w:eastAsia="宋体" w:cs="宋体"/>
          <w:spacing w:val="-3"/>
          <w:sz w:val="24"/>
          <w:szCs w:val="24"/>
        </w:rPr>
        <w:t>处理或者有政府采购法律法规规章制度规定的</w:t>
      </w:r>
      <w:r>
        <w:rPr>
          <w:rFonts w:hint="eastAsia" w:ascii="宋体" w:hAnsi="宋体" w:eastAsia="宋体" w:cs="宋体"/>
          <w:spacing w:val="-3"/>
          <w:sz w:val="24"/>
          <w:szCs w:val="24"/>
          <w:lang w:eastAsia="zh-CN"/>
        </w:rPr>
        <w:t>成交</w:t>
      </w:r>
      <w:r>
        <w:rPr>
          <w:rFonts w:ascii="宋体" w:hAnsi="宋体" w:eastAsia="宋体" w:cs="宋体"/>
          <w:spacing w:val="-3"/>
          <w:sz w:val="24"/>
          <w:szCs w:val="24"/>
        </w:rPr>
        <w:t>无效情形的，招标代理机构在取得有权主体的认定以后，应当宣布发出的</w:t>
      </w:r>
      <w:r>
        <w:rPr>
          <w:rFonts w:hint="eastAsia" w:ascii="宋体" w:hAnsi="宋体" w:eastAsia="宋体" w:cs="宋体"/>
          <w:spacing w:val="-3"/>
          <w:sz w:val="24"/>
          <w:szCs w:val="24"/>
          <w:lang w:eastAsia="zh-CN"/>
        </w:rPr>
        <w:t>成交</w:t>
      </w:r>
      <w:r>
        <w:rPr>
          <w:rFonts w:ascii="宋体" w:hAnsi="宋体" w:eastAsia="宋体" w:cs="宋体"/>
          <w:spacing w:val="-3"/>
          <w:sz w:val="24"/>
          <w:szCs w:val="24"/>
        </w:rPr>
        <w:t xml:space="preserve"> 通知书无效，并收回发出的</w:t>
      </w:r>
      <w:r>
        <w:rPr>
          <w:rFonts w:hint="eastAsia" w:ascii="宋体" w:hAnsi="宋体" w:eastAsia="宋体" w:cs="宋体"/>
          <w:spacing w:val="-3"/>
          <w:sz w:val="24"/>
          <w:szCs w:val="24"/>
          <w:lang w:eastAsia="zh-CN"/>
        </w:rPr>
        <w:t>成交</w:t>
      </w:r>
      <w:r>
        <w:rPr>
          <w:rFonts w:ascii="宋体" w:hAnsi="宋体" w:eastAsia="宋体" w:cs="宋体"/>
          <w:spacing w:val="-3"/>
          <w:sz w:val="24"/>
          <w:szCs w:val="24"/>
        </w:rPr>
        <w:t>通知书（</w:t>
      </w:r>
      <w:r>
        <w:rPr>
          <w:rFonts w:hint="eastAsia" w:ascii="宋体" w:hAnsi="宋体" w:eastAsia="宋体" w:cs="宋体"/>
          <w:spacing w:val="-3"/>
          <w:sz w:val="24"/>
          <w:szCs w:val="24"/>
          <w:lang w:eastAsia="zh-CN"/>
        </w:rPr>
        <w:t>成交</w:t>
      </w:r>
      <w:r>
        <w:rPr>
          <w:rFonts w:ascii="宋体" w:hAnsi="宋体" w:eastAsia="宋体" w:cs="宋体"/>
          <w:spacing w:val="-3"/>
          <w:sz w:val="24"/>
          <w:szCs w:val="24"/>
        </w:rPr>
        <w:t>供应商也应当缴回），依法重新确定</w:t>
      </w:r>
      <w:r>
        <w:rPr>
          <w:rFonts w:hint="eastAsia" w:ascii="宋体" w:hAnsi="宋体" w:eastAsia="宋体" w:cs="宋体"/>
          <w:spacing w:val="-3"/>
          <w:sz w:val="24"/>
          <w:szCs w:val="24"/>
          <w:lang w:eastAsia="zh-CN"/>
        </w:rPr>
        <w:t>成交</w:t>
      </w:r>
      <w:r>
        <w:rPr>
          <w:rFonts w:ascii="宋体" w:hAnsi="宋体" w:eastAsia="宋体" w:cs="宋体"/>
          <w:spacing w:val="-3"/>
          <w:sz w:val="24"/>
          <w:szCs w:val="24"/>
        </w:rPr>
        <w:t>供应商或者重新开展采购活动。</w:t>
      </w:r>
    </w:p>
    <w:p w14:paraId="3046C507">
      <w:pPr>
        <w:pStyle w:val="4"/>
        <w:spacing w:line="332" w:lineRule="auto"/>
      </w:pPr>
    </w:p>
    <w:p w14:paraId="1EB19EB3">
      <w:pPr>
        <w:spacing w:before="98" w:line="220" w:lineRule="auto"/>
        <w:ind w:left="3724"/>
        <w:outlineLvl w:val="1"/>
        <w:rPr>
          <w:rFonts w:ascii="宋体" w:hAnsi="宋体" w:eastAsia="宋体" w:cs="宋体"/>
          <w:sz w:val="30"/>
          <w:szCs w:val="30"/>
        </w:rPr>
      </w:pPr>
      <w:r>
        <w:rPr>
          <w:rFonts w:ascii="宋体" w:hAnsi="宋体" w:eastAsia="宋体" w:cs="宋体"/>
          <w:spacing w:val="-3"/>
          <w:sz w:val="30"/>
          <w:szCs w:val="30"/>
          <w14:textOutline w14:w="5448" w14:cap="sq" w14:cmpd="sng">
            <w14:solidFill>
              <w14:srgbClr w14:val="000000"/>
            </w14:solidFill>
            <w14:prstDash w14:val="solid"/>
            <w14:bevel/>
          </w14:textOutline>
        </w:rPr>
        <w:t>（九）重新招标</w:t>
      </w:r>
    </w:p>
    <w:p w14:paraId="4FE2A98A">
      <w:pPr>
        <w:spacing w:before="215" w:line="220" w:lineRule="auto"/>
        <w:ind w:left="18"/>
        <w:outlineLvl w:val="2"/>
        <w:rPr>
          <w:rFonts w:ascii="宋体" w:hAnsi="宋体" w:eastAsia="宋体" w:cs="宋体"/>
          <w:sz w:val="24"/>
          <w:szCs w:val="24"/>
        </w:rPr>
      </w:pPr>
      <w:r>
        <w:rPr>
          <w:rFonts w:ascii="宋体" w:hAnsi="宋体" w:eastAsia="宋体" w:cs="宋体"/>
          <w:spacing w:val="-4"/>
          <w:sz w:val="24"/>
          <w:szCs w:val="24"/>
          <w14:textOutline w14:w="4358" w14:cap="sq" w14:cmpd="sng">
            <w14:solidFill>
              <w14:srgbClr w14:val="000000"/>
            </w14:solidFill>
            <w14:prstDash w14:val="solid"/>
            <w14:bevel/>
          </w14:textOutline>
        </w:rPr>
        <w:t>1．重新招标</w:t>
      </w:r>
    </w:p>
    <w:p w14:paraId="1F4E71E8">
      <w:pPr>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有下列情形之一的，采购人将重新招标：</w:t>
      </w:r>
    </w:p>
    <w:p w14:paraId="5AFF26FD">
      <w:pPr>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（1）</w:t>
      </w:r>
      <w:r>
        <w:rPr>
          <w:rFonts w:hint="eastAsia" w:ascii="宋体" w:hAnsi="宋体" w:eastAsia="宋体" w:cs="宋体"/>
          <w:spacing w:val="-3"/>
          <w:sz w:val="24"/>
          <w:szCs w:val="24"/>
          <w:lang w:eastAsia="zh-CN"/>
        </w:rPr>
        <w:t>响应</w:t>
      </w:r>
      <w:r>
        <w:rPr>
          <w:rFonts w:ascii="宋体" w:hAnsi="宋体" w:eastAsia="宋体" w:cs="宋体"/>
          <w:spacing w:val="-3"/>
          <w:sz w:val="24"/>
          <w:szCs w:val="24"/>
        </w:rPr>
        <w:t>截止时间止，供应商少于3个的；</w:t>
      </w:r>
    </w:p>
    <w:p w14:paraId="02494A08">
      <w:pPr>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（2）经磋商小组评审后否决所有</w:t>
      </w:r>
      <w:r>
        <w:rPr>
          <w:rFonts w:hint="eastAsia" w:ascii="宋体" w:hAnsi="宋体" w:eastAsia="宋体" w:cs="宋体"/>
          <w:spacing w:val="-3"/>
          <w:sz w:val="24"/>
          <w:szCs w:val="24"/>
          <w:lang w:eastAsia="zh-CN"/>
        </w:rPr>
        <w:t>响应</w:t>
      </w:r>
      <w:r>
        <w:rPr>
          <w:rFonts w:ascii="宋体" w:hAnsi="宋体" w:eastAsia="宋体" w:cs="宋体"/>
          <w:spacing w:val="-3"/>
          <w:sz w:val="24"/>
          <w:szCs w:val="24"/>
        </w:rPr>
        <w:t>的。</w:t>
      </w:r>
    </w:p>
    <w:p w14:paraId="2F1F3621">
      <w:pPr>
        <w:pStyle w:val="4"/>
        <w:spacing w:line="332" w:lineRule="auto"/>
      </w:pPr>
    </w:p>
    <w:p w14:paraId="04E2CAF1">
      <w:pPr>
        <w:spacing w:before="98" w:line="219" w:lineRule="auto"/>
        <w:ind w:left="3573"/>
        <w:outlineLvl w:val="1"/>
        <w:rPr>
          <w:rFonts w:ascii="宋体" w:hAnsi="宋体" w:eastAsia="宋体" w:cs="宋体"/>
          <w:sz w:val="30"/>
          <w:szCs w:val="30"/>
        </w:rPr>
      </w:pPr>
      <w:r>
        <w:rPr>
          <w:rFonts w:ascii="宋体" w:hAnsi="宋体" w:eastAsia="宋体" w:cs="宋体"/>
          <w:spacing w:val="-3"/>
          <w:sz w:val="30"/>
          <w:szCs w:val="30"/>
          <w14:textOutline w14:w="5448" w14:cap="sq" w14:cmpd="sng">
            <w14:solidFill>
              <w14:srgbClr w14:val="000000"/>
            </w14:solidFill>
            <w14:prstDash w14:val="solid"/>
            <w14:bevel/>
          </w14:textOutline>
        </w:rPr>
        <w:t>（十）纪律和监督</w:t>
      </w:r>
    </w:p>
    <w:p w14:paraId="270E3C90">
      <w:pPr>
        <w:spacing w:before="218" w:line="219" w:lineRule="auto"/>
        <w:ind w:left="18"/>
        <w:outlineLvl w:val="2"/>
        <w:rPr>
          <w:rFonts w:ascii="宋体" w:hAnsi="宋体" w:eastAsia="宋体" w:cs="宋体"/>
          <w:sz w:val="24"/>
          <w:szCs w:val="24"/>
        </w:rPr>
      </w:pPr>
      <w:r>
        <w:rPr>
          <w:rFonts w:ascii="宋体" w:hAnsi="宋体" w:eastAsia="宋体" w:cs="宋体"/>
          <w:spacing w:val="-2"/>
          <w:sz w:val="24"/>
          <w:szCs w:val="24"/>
          <w14:textOutline w14:w="4358" w14:cap="sq" w14:cmpd="sng">
            <w14:solidFill>
              <w14:srgbClr w14:val="000000"/>
            </w14:solidFill>
            <w14:prstDash w14:val="solid"/>
            <w14:bevel/>
          </w14:textOutline>
        </w:rPr>
        <w:t>1．对采购人的纪律要求</w:t>
      </w:r>
    </w:p>
    <w:p w14:paraId="1FD56FDC">
      <w:pPr>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采购人不得</w:t>
      </w:r>
      <w:r>
        <w:rPr>
          <w:rFonts w:hint="eastAsia" w:ascii="宋体" w:hAnsi="宋体" w:eastAsia="宋体" w:cs="宋体"/>
          <w:spacing w:val="-3"/>
          <w:sz w:val="24"/>
          <w:szCs w:val="24"/>
          <w:lang w:eastAsia="zh-CN"/>
        </w:rPr>
        <w:t>泄露</w:t>
      </w:r>
      <w:r>
        <w:rPr>
          <w:rFonts w:ascii="宋体" w:hAnsi="宋体" w:eastAsia="宋体" w:cs="宋体"/>
          <w:spacing w:val="-3"/>
          <w:sz w:val="24"/>
          <w:szCs w:val="24"/>
        </w:rPr>
        <w:t>招标</w:t>
      </w:r>
      <w:r>
        <w:rPr>
          <w:rFonts w:hint="eastAsia" w:ascii="宋体" w:hAnsi="宋体" w:eastAsia="宋体" w:cs="宋体"/>
          <w:spacing w:val="-3"/>
          <w:sz w:val="24"/>
          <w:szCs w:val="24"/>
          <w:lang w:eastAsia="zh-CN"/>
        </w:rPr>
        <w:t>采购</w:t>
      </w:r>
      <w:r>
        <w:rPr>
          <w:rFonts w:ascii="宋体" w:hAnsi="宋体" w:eastAsia="宋体" w:cs="宋体"/>
          <w:spacing w:val="-3"/>
          <w:sz w:val="24"/>
          <w:szCs w:val="24"/>
        </w:rPr>
        <w:t>活动中应当保密的情况和资料，不得与供应商串通损害国家利益、社会公共利益或者他人合法权益。</w:t>
      </w:r>
    </w:p>
    <w:p w14:paraId="5EE7B95E">
      <w:pPr>
        <w:spacing w:before="184" w:line="219" w:lineRule="auto"/>
        <w:ind w:left="3"/>
        <w:outlineLvl w:val="2"/>
        <w:rPr>
          <w:rFonts w:ascii="宋体" w:hAnsi="宋体" w:eastAsia="宋体" w:cs="宋体"/>
          <w:sz w:val="24"/>
          <w:szCs w:val="24"/>
        </w:rPr>
      </w:pPr>
      <w:r>
        <w:rPr>
          <w:rFonts w:ascii="宋体" w:hAnsi="宋体" w:eastAsia="宋体" w:cs="宋体"/>
          <w:spacing w:val="-1"/>
          <w:sz w:val="24"/>
          <w:szCs w:val="24"/>
          <w14:textOutline w14:w="4358" w14:cap="sq" w14:cmpd="sng">
            <w14:solidFill>
              <w14:srgbClr w14:val="000000"/>
            </w14:solidFill>
            <w14:prstDash w14:val="solid"/>
            <w14:bevel/>
          </w14:textOutline>
        </w:rPr>
        <w:t>2.对供应商的纪律要求</w:t>
      </w:r>
    </w:p>
    <w:p w14:paraId="3FEB912A">
      <w:pPr>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供应商不得相互串通投标或者与采购人串通投标，不得向采购人或者磋商小组成员行贿谋取</w:t>
      </w:r>
      <w:r>
        <w:rPr>
          <w:rFonts w:hint="eastAsia" w:ascii="宋体" w:hAnsi="宋体" w:eastAsia="宋体" w:cs="宋体"/>
          <w:spacing w:val="-3"/>
          <w:sz w:val="24"/>
          <w:szCs w:val="24"/>
          <w:lang w:eastAsia="zh-CN"/>
        </w:rPr>
        <w:t>成交</w:t>
      </w:r>
      <w:r>
        <w:rPr>
          <w:rFonts w:ascii="宋体" w:hAnsi="宋体" w:eastAsia="宋体" w:cs="宋体"/>
          <w:spacing w:val="-3"/>
          <w:sz w:val="24"/>
          <w:szCs w:val="24"/>
        </w:rPr>
        <w:t>，不得以他人名义</w:t>
      </w:r>
      <w:r>
        <w:rPr>
          <w:rFonts w:hint="eastAsia" w:ascii="宋体" w:hAnsi="宋体" w:eastAsia="宋体" w:cs="宋体"/>
          <w:spacing w:val="-3"/>
          <w:sz w:val="24"/>
          <w:szCs w:val="24"/>
          <w:lang w:eastAsia="zh-CN"/>
        </w:rPr>
        <w:t>响应</w:t>
      </w:r>
      <w:r>
        <w:rPr>
          <w:rFonts w:ascii="宋体" w:hAnsi="宋体" w:eastAsia="宋体" w:cs="宋体"/>
          <w:spacing w:val="-3"/>
          <w:sz w:val="24"/>
          <w:szCs w:val="24"/>
        </w:rPr>
        <w:t>或者以其他方式弄虚作假骗取</w:t>
      </w:r>
      <w:r>
        <w:rPr>
          <w:rFonts w:hint="eastAsia" w:ascii="宋体" w:hAnsi="宋体" w:eastAsia="宋体" w:cs="宋体"/>
          <w:spacing w:val="-3"/>
          <w:sz w:val="24"/>
          <w:szCs w:val="24"/>
          <w:lang w:eastAsia="zh-CN"/>
        </w:rPr>
        <w:t>成交</w:t>
      </w:r>
      <w:r>
        <w:rPr>
          <w:rFonts w:ascii="宋体" w:hAnsi="宋体" w:eastAsia="宋体" w:cs="宋体"/>
          <w:spacing w:val="-3"/>
          <w:sz w:val="24"/>
          <w:szCs w:val="24"/>
        </w:rPr>
        <w:t>；供应商不得以任何方式干扰、影响评标工作；不得诋毁、排挤其他供应商；不得在招标过程中与招标采购单位进行协商谈判；不得拒绝有关部门的监督检查或者向监督检查部门提供虚假情况。</w:t>
      </w:r>
    </w:p>
    <w:p w14:paraId="1A658F60">
      <w:pPr>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2.1 下列行为均视为供应商串通投标：</w:t>
      </w:r>
    </w:p>
    <w:p w14:paraId="1FA61846">
      <w:pPr>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2.1.1 供应商串通报价：</w:t>
      </w:r>
    </w:p>
    <w:p w14:paraId="570CD3A0">
      <w:pPr>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a）供应商之间相互约定抬高或压低报价；</w:t>
      </w:r>
    </w:p>
    <w:p w14:paraId="7044829E">
      <w:pPr>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b）供应商之间相互约定，在招标项目中分别以高、中、低价位报价；</w:t>
      </w:r>
    </w:p>
    <w:p w14:paraId="27DB6DD4">
      <w:pPr>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c）供应商之间先进行内部竞价，内定</w:t>
      </w:r>
      <w:r>
        <w:rPr>
          <w:rFonts w:hint="eastAsia" w:ascii="宋体" w:hAnsi="宋体" w:eastAsia="宋体" w:cs="宋体"/>
          <w:spacing w:val="-3"/>
          <w:sz w:val="24"/>
          <w:szCs w:val="24"/>
          <w:lang w:eastAsia="zh-CN"/>
        </w:rPr>
        <w:t>成交</w:t>
      </w:r>
      <w:r>
        <w:rPr>
          <w:rFonts w:ascii="宋体" w:hAnsi="宋体" w:eastAsia="宋体" w:cs="宋体"/>
          <w:spacing w:val="-3"/>
          <w:sz w:val="24"/>
          <w:szCs w:val="24"/>
        </w:rPr>
        <w:t>供应商，然后再参加投标；</w:t>
      </w:r>
    </w:p>
    <w:p w14:paraId="149D92B2">
      <w:pPr>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d）不同供应商的报价或报价组成异常一致的；</w:t>
      </w:r>
    </w:p>
    <w:p w14:paraId="13D7D692">
      <w:pPr>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e）供应商之间</w:t>
      </w:r>
      <w:r>
        <w:rPr>
          <w:rFonts w:hint="eastAsia" w:ascii="宋体" w:hAnsi="宋体" w:eastAsia="宋体" w:cs="宋体"/>
          <w:spacing w:val="-3"/>
          <w:sz w:val="24"/>
          <w:szCs w:val="24"/>
          <w:lang w:eastAsia="zh-CN"/>
        </w:rPr>
        <w:t>其他</w:t>
      </w:r>
      <w:r>
        <w:rPr>
          <w:rFonts w:ascii="宋体" w:hAnsi="宋体" w:eastAsia="宋体" w:cs="宋体"/>
          <w:spacing w:val="-3"/>
          <w:sz w:val="24"/>
          <w:szCs w:val="24"/>
        </w:rPr>
        <w:t>串通报价的行为。</w:t>
      </w:r>
    </w:p>
    <w:p w14:paraId="179859DE">
      <w:pPr>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2.1.2 不同供应商磋商响应文件的编制人或审核人为同一人或同一单位人员的；</w:t>
      </w:r>
    </w:p>
    <w:p w14:paraId="07997A70">
      <w:pPr>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2.1.3 不同供应商磋商响应文件的授权签署人为同一人或同一单位人员的；</w:t>
      </w:r>
    </w:p>
    <w:p w14:paraId="6D9AE201">
      <w:pPr>
        <w:spacing w:before="178" w:line="360" w:lineRule="auto"/>
        <w:ind w:right="59" w:firstLine="498"/>
        <w:rPr>
          <w:rFonts w:ascii="宋体" w:hAnsi="宋体" w:eastAsia="宋体" w:cs="宋体"/>
          <w:spacing w:val="-3"/>
          <w:sz w:val="24"/>
          <w:szCs w:val="24"/>
          <w:lang w:val="en-US" w:eastAsia="en-US"/>
        </w:rPr>
      </w:pPr>
      <w:r>
        <w:rPr>
          <w:rFonts w:ascii="宋体" w:hAnsi="宋体" w:eastAsia="宋体" w:cs="宋体"/>
          <w:spacing w:val="-3"/>
          <w:sz w:val="24"/>
          <w:szCs w:val="24"/>
          <w:lang w:val="en-US" w:eastAsia="en-US"/>
        </w:rPr>
        <w:t>2.1.4 不同供应商委托同一人办理投标事宜的；</w:t>
      </w:r>
    </w:p>
    <w:p w14:paraId="387DF435">
      <w:pPr>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2.1.5 不同供应商的磋商响应文件相互混装的；</w:t>
      </w:r>
    </w:p>
    <w:p w14:paraId="0F1C910B">
      <w:pPr>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2.1.6 不同供应商使用同一单位的资金缴纳</w:t>
      </w:r>
      <w:r>
        <w:rPr>
          <w:rFonts w:hint="eastAsia" w:ascii="宋体" w:hAnsi="宋体" w:eastAsia="宋体" w:cs="宋体"/>
          <w:spacing w:val="-3"/>
          <w:sz w:val="24"/>
          <w:szCs w:val="24"/>
          <w:lang w:eastAsia="zh-CN"/>
        </w:rPr>
        <w:t>磋商保证金</w:t>
      </w:r>
      <w:r>
        <w:rPr>
          <w:rFonts w:ascii="宋体" w:hAnsi="宋体" w:eastAsia="宋体" w:cs="宋体"/>
          <w:spacing w:val="-3"/>
          <w:sz w:val="24"/>
          <w:szCs w:val="24"/>
        </w:rPr>
        <w:t>的；</w:t>
      </w:r>
    </w:p>
    <w:p w14:paraId="0F178AD6">
      <w:pPr>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2.1.7 不同供应商的磋商响应文件载明的项目成员出现相同人员的；</w:t>
      </w:r>
    </w:p>
    <w:p w14:paraId="19CCC766">
      <w:pPr>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2.1.8 不同供应商的磋商响应文件内容存在非正常一致的；</w:t>
      </w:r>
    </w:p>
    <w:p w14:paraId="606BB45B">
      <w:pPr>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2.1.9 不同供应商的服务方案中专门针对本项目的内容基本雷同的；</w:t>
      </w:r>
    </w:p>
    <w:p w14:paraId="09E5B0B9">
      <w:pPr>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2.1.10 不同供应商的磋商响应文件出现磋商小组认为不应当雷同的情况的；</w:t>
      </w:r>
    </w:p>
    <w:p w14:paraId="0B461E97">
      <w:pPr>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2.1.11 法律法规规章规定的其他围标串标行为。</w:t>
      </w:r>
    </w:p>
    <w:p w14:paraId="2DEFBE93">
      <w:pPr>
        <w:spacing w:before="184" w:line="219" w:lineRule="auto"/>
        <w:ind w:left="6"/>
        <w:outlineLvl w:val="2"/>
        <w:rPr>
          <w:rFonts w:ascii="宋体" w:hAnsi="宋体" w:eastAsia="宋体" w:cs="宋体"/>
          <w:sz w:val="24"/>
          <w:szCs w:val="24"/>
        </w:rPr>
      </w:pPr>
      <w:r>
        <w:rPr>
          <w:rFonts w:ascii="宋体" w:hAnsi="宋体" w:eastAsia="宋体" w:cs="宋体"/>
          <w:spacing w:val="-1"/>
          <w:sz w:val="24"/>
          <w:szCs w:val="24"/>
          <w14:textOutline w14:w="4358" w14:cap="sq" w14:cmpd="sng">
            <w14:solidFill>
              <w14:srgbClr w14:val="000000"/>
            </w14:solidFill>
            <w14:prstDash w14:val="solid"/>
            <w14:bevel/>
          </w14:textOutline>
        </w:rPr>
        <w:t>3.对磋商小组成员的纪律要求</w:t>
      </w:r>
    </w:p>
    <w:p w14:paraId="78BC9AD9">
      <w:pPr>
        <w:spacing w:before="178" w:line="360" w:lineRule="auto"/>
        <w:ind w:right="59" w:firstLine="498"/>
        <w:rPr>
          <w:rFonts w:ascii="宋体" w:hAnsi="宋体" w:eastAsia="宋体" w:cs="宋体"/>
          <w:sz w:val="24"/>
          <w:szCs w:val="24"/>
        </w:rPr>
      </w:pPr>
      <w:r>
        <w:rPr>
          <w:rFonts w:ascii="宋体" w:hAnsi="宋体" w:eastAsia="宋体" w:cs="宋体"/>
          <w:spacing w:val="-2"/>
          <w:sz w:val="24"/>
          <w:szCs w:val="24"/>
        </w:rPr>
        <w:t>磋商小组成员不得收受他人的财物或者其他好处，不得向他人</w:t>
      </w:r>
      <w:r>
        <w:rPr>
          <w:rFonts w:hint="eastAsia" w:ascii="宋体" w:hAnsi="宋体" w:eastAsia="宋体" w:cs="宋体"/>
          <w:spacing w:val="-2"/>
          <w:sz w:val="24"/>
          <w:szCs w:val="24"/>
          <w:lang w:eastAsia="zh-CN"/>
        </w:rPr>
        <w:t>透露</w:t>
      </w:r>
      <w:r>
        <w:rPr>
          <w:rFonts w:ascii="宋体" w:hAnsi="宋体" w:eastAsia="宋体" w:cs="宋体"/>
          <w:spacing w:val="-3"/>
          <w:sz w:val="24"/>
          <w:szCs w:val="24"/>
        </w:rPr>
        <w:t>对磋商响应文件的评</w:t>
      </w:r>
      <w:r>
        <w:rPr>
          <w:rFonts w:ascii="宋体" w:hAnsi="宋体" w:eastAsia="宋体" w:cs="宋体"/>
          <w:sz w:val="24"/>
          <w:szCs w:val="24"/>
        </w:rPr>
        <w:t xml:space="preserve"> </w:t>
      </w:r>
      <w:r>
        <w:rPr>
          <w:rFonts w:ascii="宋体" w:hAnsi="宋体" w:eastAsia="宋体" w:cs="宋体"/>
          <w:spacing w:val="-2"/>
          <w:sz w:val="24"/>
          <w:szCs w:val="24"/>
        </w:rPr>
        <w:t>审和比较、</w:t>
      </w:r>
      <w:r>
        <w:rPr>
          <w:rFonts w:hint="eastAsia" w:ascii="宋体" w:hAnsi="宋体" w:eastAsia="宋体" w:cs="宋体"/>
          <w:spacing w:val="-2"/>
          <w:sz w:val="24"/>
          <w:szCs w:val="24"/>
          <w:lang w:eastAsia="zh-CN"/>
        </w:rPr>
        <w:t>成交</w:t>
      </w:r>
      <w:r>
        <w:rPr>
          <w:rFonts w:ascii="宋体" w:hAnsi="宋体" w:eastAsia="宋体" w:cs="宋体"/>
          <w:spacing w:val="-2"/>
          <w:sz w:val="24"/>
          <w:szCs w:val="24"/>
        </w:rPr>
        <w:t>候选人的推荐情况以及评标有关的其他情况。在</w:t>
      </w:r>
      <w:r>
        <w:rPr>
          <w:rFonts w:ascii="宋体" w:hAnsi="宋体" w:eastAsia="宋体" w:cs="宋体"/>
          <w:spacing w:val="-3"/>
          <w:sz w:val="24"/>
          <w:szCs w:val="24"/>
        </w:rPr>
        <w:t>评标活动中，磋商小组成员不得擅离职守，影响评标程序正常进行，不得使用“评标办法</w:t>
      </w:r>
      <w:r>
        <w:rPr>
          <w:rFonts w:ascii="宋体" w:hAnsi="宋体" w:eastAsia="宋体" w:cs="宋体"/>
          <w:spacing w:val="-89"/>
          <w:sz w:val="24"/>
          <w:szCs w:val="24"/>
        </w:rPr>
        <w:t xml:space="preserve"> </w:t>
      </w:r>
      <w:r>
        <w:rPr>
          <w:rFonts w:ascii="宋体" w:hAnsi="宋体" w:eastAsia="宋体" w:cs="宋体"/>
          <w:spacing w:val="-3"/>
          <w:sz w:val="24"/>
          <w:szCs w:val="24"/>
        </w:rPr>
        <w:t>”没有规定的评审因素</w:t>
      </w:r>
      <w:r>
        <w:rPr>
          <w:rFonts w:ascii="宋体" w:hAnsi="宋体" w:eastAsia="宋体" w:cs="宋体"/>
          <w:spacing w:val="-4"/>
          <w:sz w:val="24"/>
          <w:szCs w:val="24"/>
        </w:rPr>
        <w:t>和标准</w:t>
      </w:r>
      <w:r>
        <w:rPr>
          <w:rFonts w:ascii="宋体" w:hAnsi="宋体" w:eastAsia="宋体" w:cs="宋体"/>
          <w:spacing w:val="-2"/>
          <w:sz w:val="24"/>
          <w:szCs w:val="24"/>
        </w:rPr>
        <w:t>进行评标。</w:t>
      </w:r>
    </w:p>
    <w:p w14:paraId="5D982ADC">
      <w:pPr>
        <w:spacing w:before="180" w:line="219" w:lineRule="auto"/>
        <w:outlineLvl w:val="2"/>
        <w:rPr>
          <w:rFonts w:ascii="宋体" w:hAnsi="宋体" w:eastAsia="宋体" w:cs="宋体"/>
          <w:sz w:val="24"/>
          <w:szCs w:val="24"/>
        </w:rPr>
      </w:pPr>
      <w:r>
        <w:rPr>
          <w:rFonts w:ascii="宋体" w:hAnsi="宋体" w:eastAsia="宋体" w:cs="宋体"/>
          <w:sz w:val="24"/>
          <w:szCs w:val="24"/>
          <w14:textOutline w14:w="4358" w14:cap="sq" w14:cmpd="sng">
            <w14:solidFill>
              <w14:srgbClr w14:val="000000"/>
            </w14:solidFill>
            <w14:prstDash w14:val="solid"/>
            <w14:bevel/>
          </w14:textOutline>
        </w:rPr>
        <w:t>4.对与评标活动有关的工作人员的纪律要求</w:t>
      </w:r>
    </w:p>
    <w:p w14:paraId="1C0696F3">
      <w:pPr>
        <w:spacing w:before="178" w:line="360" w:lineRule="auto"/>
        <w:ind w:right="59" w:firstLine="498"/>
        <w:rPr>
          <w:rFonts w:ascii="宋体" w:hAnsi="宋体" w:eastAsia="宋体" w:cs="宋体"/>
          <w:sz w:val="24"/>
          <w:szCs w:val="24"/>
        </w:rPr>
      </w:pPr>
      <w:r>
        <w:rPr>
          <w:rFonts w:ascii="宋体" w:hAnsi="宋体" w:eastAsia="宋体" w:cs="宋体"/>
          <w:spacing w:val="-2"/>
          <w:sz w:val="24"/>
          <w:szCs w:val="24"/>
        </w:rPr>
        <w:t>与评标活动有关的工作人员不得收受他人的财物或</w:t>
      </w:r>
      <w:r>
        <w:rPr>
          <w:rFonts w:ascii="宋体" w:hAnsi="宋体" w:eastAsia="宋体" w:cs="宋体"/>
          <w:spacing w:val="-3"/>
          <w:sz w:val="24"/>
          <w:szCs w:val="24"/>
        </w:rPr>
        <w:t>者其他好处，不得向他人</w:t>
      </w:r>
      <w:r>
        <w:rPr>
          <w:rFonts w:hint="eastAsia" w:ascii="宋体" w:hAnsi="宋体" w:eastAsia="宋体" w:cs="宋体"/>
          <w:spacing w:val="-3"/>
          <w:sz w:val="24"/>
          <w:szCs w:val="24"/>
          <w:lang w:eastAsia="zh-CN"/>
        </w:rPr>
        <w:t>透露</w:t>
      </w:r>
      <w:r>
        <w:rPr>
          <w:rFonts w:ascii="宋体" w:hAnsi="宋体" w:eastAsia="宋体" w:cs="宋体"/>
          <w:spacing w:val="-3"/>
          <w:sz w:val="24"/>
          <w:szCs w:val="24"/>
        </w:rPr>
        <w:t>对磋商</w:t>
      </w:r>
      <w:r>
        <w:rPr>
          <w:rFonts w:ascii="宋体" w:hAnsi="宋体" w:eastAsia="宋体" w:cs="宋体"/>
          <w:spacing w:val="-2"/>
          <w:sz w:val="24"/>
          <w:szCs w:val="24"/>
        </w:rPr>
        <w:t>响应文件的评审和比较、</w:t>
      </w:r>
      <w:r>
        <w:rPr>
          <w:rFonts w:hint="eastAsia" w:ascii="宋体" w:hAnsi="宋体" w:eastAsia="宋体" w:cs="宋体"/>
          <w:spacing w:val="-2"/>
          <w:sz w:val="24"/>
          <w:szCs w:val="24"/>
          <w:lang w:eastAsia="zh-CN"/>
        </w:rPr>
        <w:t>成交</w:t>
      </w:r>
      <w:r>
        <w:rPr>
          <w:rFonts w:ascii="宋体" w:hAnsi="宋体" w:eastAsia="宋体" w:cs="宋体"/>
          <w:spacing w:val="-2"/>
          <w:sz w:val="24"/>
          <w:szCs w:val="24"/>
        </w:rPr>
        <w:t>候选人的推荐情况以及评标有关的其他情况。在评标活动</w:t>
      </w:r>
      <w:r>
        <w:rPr>
          <w:rFonts w:ascii="宋体" w:hAnsi="宋体" w:eastAsia="宋体" w:cs="宋体"/>
          <w:spacing w:val="-3"/>
          <w:sz w:val="24"/>
          <w:szCs w:val="24"/>
        </w:rPr>
        <w:t>中，</w:t>
      </w:r>
      <w:r>
        <w:rPr>
          <w:rFonts w:ascii="宋体" w:hAnsi="宋体" w:eastAsia="宋体" w:cs="宋体"/>
          <w:spacing w:val="-1"/>
          <w:sz w:val="24"/>
          <w:szCs w:val="24"/>
        </w:rPr>
        <w:t>与评标活动有关的工作人员不得擅离职守，影响评标程序正常进行。</w:t>
      </w:r>
    </w:p>
    <w:p w14:paraId="4DC17186">
      <w:pPr>
        <w:pStyle w:val="4"/>
        <w:spacing w:line="331" w:lineRule="auto"/>
      </w:pPr>
    </w:p>
    <w:p w14:paraId="6FBCB839">
      <w:pPr>
        <w:spacing w:before="98" w:line="220" w:lineRule="auto"/>
        <w:ind w:left="3874"/>
        <w:outlineLvl w:val="1"/>
        <w:rPr>
          <w:rFonts w:ascii="宋体" w:hAnsi="宋体" w:eastAsia="宋体" w:cs="宋体"/>
          <w:sz w:val="30"/>
          <w:szCs w:val="30"/>
        </w:rPr>
      </w:pPr>
      <w:r>
        <w:rPr>
          <w:rFonts w:ascii="宋体" w:hAnsi="宋体" w:eastAsia="宋体" w:cs="宋体"/>
          <w:spacing w:val="-3"/>
          <w:sz w:val="30"/>
          <w:szCs w:val="30"/>
          <w14:textOutline w14:w="5448" w14:cap="sq" w14:cmpd="sng">
            <w14:solidFill>
              <w14:srgbClr w14:val="000000"/>
            </w14:solidFill>
            <w14:prstDash w14:val="solid"/>
            <w14:bevel/>
          </w14:textOutline>
        </w:rPr>
        <w:t>（十一）废标</w:t>
      </w:r>
    </w:p>
    <w:p w14:paraId="5F52C329">
      <w:pPr>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招标采购中，出现下列情形之一的，予以废标：</w:t>
      </w:r>
    </w:p>
    <w:p w14:paraId="0EF84020">
      <w:pPr>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（1）符合专业条件的</w:t>
      </w:r>
      <w:r>
        <w:rPr>
          <w:rFonts w:hint="eastAsia" w:ascii="宋体" w:hAnsi="宋体" w:eastAsia="宋体" w:cs="宋体"/>
          <w:spacing w:val="-3"/>
          <w:sz w:val="24"/>
          <w:szCs w:val="24"/>
          <w:lang w:eastAsia="zh-CN"/>
        </w:rPr>
        <w:t>供应商</w:t>
      </w:r>
      <w:r>
        <w:rPr>
          <w:rFonts w:ascii="宋体" w:hAnsi="宋体" w:eastAsia="宋体" w:cs="宋体"/>
          <w:spacing w:val="-3"/>
          <w:sz w:val="24"/>
          <w:szCs w:val="24"/>
        </w:rPr>
        <w:t>或者对磋商文件作实质响应的</w:t>
      </w:r>
      <w:r>
        <w:rPr>
          <w:rFonts w:hint="eastAsia" w:ascii="宋体" w:hAnsi="宋体" w:eastAsia="宋体" w:cs="宋体"/>
          <w:spacing w:val="-3"/>
          <w:sz w:val="24"/>
          <w:szCs w:val="24"/>
          <w:lang w:eastAsia="zh-CN"/>
        </w:rPr>
        <w:t>供应商</w:t>
      </w:r>
      <w:r>
        <w:rPr>
          <w:rFonts w:ascii="宋体" w:hAnsi="宋体" w:eastAsia="宋体" w:cs="宋体"/>
          <w:spacing w:val="-3"/>
          <w:sz w:val="24"/>
          <w:szCs w:val="24"/>
        </w:rPr>
        <w:t>不足三家的；</w:t>
      </w:r>
    </w:p>
    <w:p w14:paraId="490AF8D2">
      <w:pPr>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（2）出现影响采购公正的违法、违规行为的；</w:t>
      </w:r>
    </w:p>
    <w:p w14:paraId="4965FEA5">
      <w:pPr>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（3）供应商的报价均超过了采购预算，采购人不能支付的；</w:t>
      </w:r>
    </w:p>
    <w:p w14:paraId="3360C1D7">
      <w:pPr>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（4）因重大变故，采购任务取消的。</w:t>
      </w:r>
    </w:p>
    <w:p w14:paraId="60C7A56C">
      <w:pPr>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（5）其他不符合磋商文件要求的。</w:t>
      </w:r>
    </w:p>
    <w:p w14:paraId="462DD8FD">
      <w:pPr>
        <w:pStyle w:val="4"/>
        <w:spacing w:line="331" w:lineRule="auto"/>
      </w:pPr>
    </w:p>
    <w:p w14:paraId="59AF5CBC">
      <w:pPr>
        <w:spacing w:before="98" w:line="220" w:lineRule="auto"/>
        <w:ind w:left="3422"/>
        <w:outlineLvl w:val="1"/>
        <w:rPr>
          <w:rFonts w:ascii="宋体" w:hAnsi="宋体" w:eastAsia="宋体" w:cs="宋体"/>
          <w:sz w:val="30"/>
          <w:szCs w:val="30"/>
        </w:rPr>
      </w:pPr>
      <w:r>
        <w:rPr>
          <w:rFonts w:ascii="宋体" w:hAnsi="宋体" w:eastAsia="宋体" w:cs="宋体"/>
          <w:spacing w:val="-2"/>
          <w:sz w:val="30"/>
          <w:szCs w:val="30"/>
          <w14:textOutline w14:w="5448" w14:cap="sq" w14:cmpd="sng">
            <w14:solidFill>
              <w14:srgbClr w14:val="000000"/>
            </w14:solidFill>
            <w14:prstDash w14:val="solid"/>
            <w14:bevel/>
          </w14:textOutline>
        </w:rPr>
        <w:t>（十二）质疑和投诉</w:t>
      </w:r>
    </w:p>
    <w:p w14:paraId="3F9FCE7B">
      <w:pPr>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1.供应商对政府采购活动事项有疑问的，可以向采购人或招标代理机构提出询问。采购人或招标代理机构收到质疑函后7个工作日内作出答复。本次招标供应商如对</w:t>
      </w:r>
      <w:r>
        <w:rPr>
          <w:rFonts w:hint="eastAsia" w:ascii="宋体" w:hAnsi="宋体" w:eastAsia="宋体" w:cs="宋体"/>
          <w:spacing w:val="-3"/>
          <w:sz w:val="24"/>
          <w:szCs w:val="24"/>
          <w:lang w:eastAsia="zh-CN"/>
        </w:rPr>
        <w:t>磋商文件</w:t>
      </w:r>
      <w:r>
        <w:rPr>
          <w:rFonts w:ascii="宋体" w:hAnsi="宋体" w:eastAsia="宋体" w:cs="宋体"/>
          <w:spacing w:val="-3"/>
          <w:sz w:val="24"/>
          <w:szCs w:val="24"/>
        </w:rPr>
        <w:t>或</w:t>
      </w:r>
      <w:r>
        <w:rPr>
          <w:rFonts w:hint="eastAsia" w:ascii="宋体" w:hAnsi="宋体" w:eastAsia="宋体" w:cs="宋体"/>
          <w:spacing w:val="-3"/>
          <w:sz w:val="24"/>
          <w:szCs w:val="24"/>
          <w:lang w:eastAsia="zh-CN"/>
        </w:rPr>
        <w:t>采购</w:t>
      </w:r>
      <w:r>
        <w:rPr>
          <w:rFonts w:ascii="宋体" w:hAnsi="宋体" w:eastAsia="宋体" w:cs="宋体"/>
          <w:spacing w:val="-3"/>
          <w:sz w:val="24"/>
          <w:szCs w:val="24"/>
        </w:rPr>
        <w:t>过程进行质疑，供应商须一次性提出针对同一采购程序环节的所有质疑内容，多次质疑将不予受理。</w:t>
      </w:r>
    </w:p>
    <w:p w14:paraId="73E27617">
      <w:pPr>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2.供应商若认为</w:t>
      </w:r>
      <w:r>
        <w:rPr>
          <w:rFonts w:hint="eastAsia" w:ascii="宋体" w:hAnsi="宋体" w:eastAsia="宋体" w:cs="宋体"/>
          <w:spacing w:val="-3"/>
          <w:sz w:val="24"/>
          <w:szCs w:val="24"/>
          <w:lang w:eastAsia="zh-CN"/>
        </w:rPr>
        <w:t>磋商文件</w:t>
      </w:r>
      <w:r>
        <w:rPr>
          <w:rFonts w:ascii="宋体" w:hAnsi="宋体" w:eastAsia="宋体" w:cs="宋体"/>
          <w:spacing w:val="-3"/>
          <w:sz w:val="24"/>
          <w:szCs w:val="24"/>
        </w:rPr>
        <w:t>、采购过程和</w:t>
      </w:r>
      <w:r>
        <w:rPr>
          <w:rFonts w:hint="eastAsia" w:ascii="宋体" w:hAnsi="宋体" w:eastAsia="宋体" w:cs="宋体"/>
          <w:spacing w:val="-3"/>
          <w:sz w:val="24"/>
          <w:szCs w:val="24"/>
          <w:lang w:eastAsia="zh-CN"/>
        </w:rPr>
        <w:t>成交</w:t>
      </w:r>
      <w:r>
        <w:rPr>
          <w:rFonts w:ascii="宋体" w:hAnsi="宋体" w:eastAsia="宋体" w:cs="宋体"/>
          <w:spacing w:val="-3"/>
          <w:sz w:val="24"/>
          <w:szCs w:val="24"/>
        </w:rPr>
        <w:t>结果使自己的权益受到损害，应当在下列时间内以书面形式向采购人或招标代理机构提出：</w:t>
      </w:r>
    </w:p>
    <w:p w14:paraId="2CEE470E">
      <w:pPr>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（1）关于</w:t>
      </w:r>
      <w:r>
        <w:rPr>
          <w:rFonts w:hint="eastAsia" w:ascii="宋体" w:hAnsi="宋体" w:eastAsia="宋体" w:cs="宋体"/>
          <w:spacing w:val="-3"/>
          <w:sz w:val="24"/>
          <w:szCs w:val="24"/>
          <w:lang w:eastAsia="zh-CN"/>
        </w:rPr>
        <w:t>磋商文件</w:t>
      </w:r>
      <w:r>
        <w:rPr>
          <w:rFonts w:ascii="宋体" w:hAnsi="宋体" w:eastAsia="宋体" w:cs="宋体"/>
          <w:spacing w:val="-3"/>
          <w:sz w:val="24"/>
          <w:szCs w:val="24"/>
        </w:rPr>
        <w:t>的质疑，</w:t>
      </w:r>
      <w:r>
        <w:rPr>
          <w:rFonts w:hint="eastAsia" w:ascii="宋体" w:hAnsi="宋体" w:eastAsia="宋体" w:cs="宋体"/>
          <w:spacing w:val="-3"/>
          <w:sz w:val="24"/>
          <w:szCs w:val="24"/>
          <w:lang w:eastAsia="zh-CN"/>
        </w:rPr>
        <w:t>应在</w:t>
      </w:r>
      <w:r>
        <w:rPr>
          <w:rFonts w:ascii="宋体" w:hAnsi="宋体" w:eastAsia="宋体" w:cs="宋体"/>
          <w:spacing w:val="-3"/>
          <w:sz w:val="24"/>
          <w:szCs w:val="24"/>
        </w:rPr>
        <w:t>获取</w:t>
      </w:r>
      <w:r>
        <w:rPr>
          <w:rFonts w:hint="eastAsia" w:ascii="宋体" w:hAnsi="宋体" w:eastAsia="宋体" w:cs="宋体"/>
          <w:spacing w:val="-3"/>
          <w:sz w:val="24"/>
          <w:szCs w:val="24"/>
          <w:lang w:eastAsia="zh-CN"/>
        </w:rPr>
        <w:t>磋商文件</w:t>
      </w:r>
      <w:r>
        <w:rPr>
          <w:rFonts w:ascii="宋体" w:hAnsi="宋体" w:eastAsia="宋体" w:cs="宋体"/>
          <w:spacing w:val="-3"/>
          <w:sz w:val="24"/>
          <w:szCs w:val="24"/>
        </w:rPr>
        <w:t>之日起7个工作日内提出。</w:t>
      </w:r>
    </w:p>
    <w:p w14:paraId="1A442D31">
      <w:pPr>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（2）关于招标过程的质疑，应在招标程序环节结束之日起7个工作日内提出。</w:t>
      </w:r>
    </w:p>
    <w:p w14:paraId="62F6A09F">
      <w:pPr>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（3）关于</w:t>
      </w:r>
      <w:r>
        <w:rPr>
          <w:rFonts w:hint="eastAsia" w:ascii="宋体" w:hAnsi="宋体" w:eastAsia="宋体" w:cs="宋体"/>
          <w:spacing w:val="-3"/>
          <w:sz w:val="24"/>
          <w:szCs w:val="24"/>
          <w:lang w:eastAsia="zh-CN"/>
        </w:rPr>
        <w:t>成交</w:t>
      </w:r>
      <w:r>
        <w:rPr>
          <w:rFonts w:ascii="宋体" w:hAnsi="宋体" w:eastAsia="宋体" w:cs="宋体"/>
          <w:spacing w:val="-3"/>
          <w:sz w:val="24"/>
          <w:szCs w:val="24"/>
        </w:rPr>
        <w:t>结果的质疑，应在</w:t>
      </w:r>
      <w:r>
        <w:rPr>
          <w:rFonts w:hint="eastAsia" w:ascii="宋体" w:hAnsi="宋体" w:eastAsia="宋体" w:cs="宋体"/>
          <w:spacing w:val="-3"/>
          <w:sz w:val="24"/>
          <w:szCs w:val="24"/>
          <w:lang w:eastAsia="zh-CN"/>
        </w:rPr>
        <w:t>成交</w:t>
      </w:r>
      <w:r>
        <w:rPr>
          <w:rFonts w:ascii="宋体" w:hAnsi="宋体" w:eastAsia="宋体" w:cs="宋体"/>
          <w:spacing w:val="-3"/>
          <w:sz w:val="24"/>
          <w:szCs w:val="24"/>
        </w:rPr>
        <w:t>结果信息发布后7个工作日内提出。</w:t>
      </w:r>
    </w:p>
    <w:p w14:paraId="0ADA0D44">
      <w:pPr>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3.供应商提出质疑的，应提供质疑书原件。采购人或招标代理机构应当向质疑供应商签收回执。</w:t>
      </w:r>
    </w:p>
    <w:p w14:paraId="4C8F6C08">
      <w:pPr>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4.质疑书应当包括下列内容：</w:t>
      </w:r>
    </w:p>
    <w:p w14:paraId="1BABD29B">
      <w:pPr>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（1）供应商的姓名或者名称、地址、邮编、联系人及联系电话；</w:t>
      </w:r>
    </w:p>
    <w:p w14:paraId="7BDF5CC0">
      <w:pPr>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（2）质疑项目的名称、编号；</w:t>
      </w:r>
    </w:p>
    <w:p w14:paraId="602FA9F4">
      <w:pPr>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（3）具体、明确的质疑事项和与质疑事项相关的请求；</w:t>
      </w:r>
    </w:p>
    <w:p w14:paraId="11FC784D">
      <w:pPr>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（4）事实依据；</w:t>
      </w:r>
    </w:p>
    <w:p w14:paraId="69CDED73">
      <w:pPr>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（5）必要的法律依据；</w:t>
      </w:r>
    </w:p>
    <w:p w14:paraId="1B5449BA">
      <w:pPr>
        <w:spacing w:before="153" w:line="220" w:lineRule="auto"/>
        <w:ind w:left="492"/>
        <w:rPr>
          <w:rFonts w:ascii="宋体" w:hAnsi="宋体" w:eastAsia="宋体" w:cs="宋体"/>
          <w:sz w:val="24"/>
          <w:szCs w:val="24"/>
        </w:rPr>
      </w:pPr>
      <w:r>
        <w:rPr>
          <w:rFonts w:ascii="宋体" w:hAnsi="宋体" w:eastAsia="宋体" w:cs="宋体"/>
          <w:spacing w:val="-2"/>
          <w:sz w:val="24"/>
          <w:szCs w:val="24"/>
        </w:rPr>
        <w:t>（6）提出质疑的日期。</w:t>
      </w:r>
    </w:p>
    <w:p w14:paraId="2719D1F5">
      <w:pPr>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5.质疑书应当由供应商法定代表人或其授权委托人签字并加盖供应商单位章，质疑书由授权委托人签字的应附供应商授权委托书。</w:t>
      </w:r>
    </w:p>
    <w:p w14:paraId="52E186F0">
      <w:pPr>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6.采购人或招标代理机构将在签收回执之日起七个工作日内作出书面答复，并以书面形式通知质疑供应商和其他有关的供应商。</w:t>
      </w:r>
    </w:p>
    <w:p w14:paraId="267F383D">
      <w:pPr>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7.供应商对采购人或招标代理机构的答复不满意，或采购人或招标代理机构未在规定的 期限作出答复的，可在答复期满后十五个工作日内，按政府采购相关法律法规规章的规定及程序，向同级财政部门提出投诉。</w:t>
      </w:r>
    </w:p>
    <w:p w14:paraId="0A693F84">
      <w:pPr>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8.投诉情形处罚规定</w:t>
      </w:r>
    </w:p>
    <w:p w14:paraId="244524F7">
      <w:pPr>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《政府采购质疑和投诉办法》（财政部令第 94 号）第三十七条投诉人在全国范围 12 个月内三次以上投诉查无实据的，由财政部门列入不良行为记录名单。投诉人有下列行为之一的，属于虚假、恶意投诉，由财政部门列入不良行为记录名单，禁止其 1 至 3 年内参加政府采购活动：</w:t>
      </w:r>
    </w:p>
    <w:p w14:paraId="4137368A">
      <w:pPr>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（一）捏造事实；</w:t>
      </w:r>
    </w:p>
    <w:p w14:paraId="1E496CFF">
      <w:pPr>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（二）提供虚假材料；</w:t>
      </w:r>
    </w:p>
    <w:p w14:paraId="60E0F200">
      <w:pPr>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（三）以非法手段取得证明材料。</w:t>
      </w:r>
    </w:p>
    <w:p w14:paraId="2127F09F">
      <w:pPr>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证据来源的合法性存在明显疑问，投诉人无法证明其取得方式合法的，视为以非法手段取得证明材料。</w:t>
      </w:r>
    </w:p>
    <w:p w14:paraId="424DE93D">
      <w:pPr>
        <w:pStyle w:val="4"/>
        <w:rPr>
          <w:rFonts w:ascii="宋体" w:hAnsi="宋体" w:eastAsia="宋体" w:cs="宋体"/>
          <w:spacing w:val="-3"/>
          <w:sz w:val="24"/>
          <w:szCs w:val="24"/>
        </w:rPr>
      </w:pPr>
    </w:p>
    <w:p w14:paraId="1A17AC6C">
      <w:pPr>
        <w:rPr>
          <w:rFonts w:ascii="宋体" w:hAnsi="宋体" w:eastAsia="宋体" w:cs="宋体"/>
          <w:spacing w:val="-3"/>
          <w:sz w:val="24"/>
          <w:szCs w:val="24"/>
        </w:rPr>
      </w:pPr>
    </w:p>
    <w:p w14:paraId="37EEC277">
      <w:pPr>
        <w:pStyle w:val="4"/>
        <w:rPr>
          <w:rFonts w:ascii="宋体" w:hAnsi="宋体" w:eastAsia="宋体" w:cs="宋体"/>
          <w:spacing w:val="-3"/>
          <w:sz w:val="24"/>
          <w:szCs w:val="24"/>
        </w:rPr>
      </w:pPr>
    </w:p>
    <w:p w14:paraId="7AFE97CC">
      <w:pPr>
        <w:rPr>
          <w:rFonts w:ascii="宋体" w:hAnsi="宋体" w:eastAsia="宋体" w:cs="宋体"/>
          <w:spacing w:val="-3"/>
          <w:sz w:val="24"/>
          <w:szCs w:val="24"/>
        </w:rPr>
      </w:pPr>
    </w:p>
    <w:p w14:paraId="6DBC9A74">
      <w:pPr>
        <w:pStyle w:val="4"/>
      </w:pPr>
    </w:p>
    <w:p w14:paraId="25D4A14D">
      <w:pPr>
        <w:pStyle w:val="4"/>
      </w:pPr>
    </w:p>
    <w:p w14:paraId="3DBDE3CF">
      <w:pPr>
        <w:pStyle w:val="4"/>
        <w:spacing w:line="257" w:lineRule="auto"/>
      </w:pPr>
      <w:r>
        <w:rPr>
          <w:rFonts w:ascii="宋体" w:hAnsi="宋体" w:eastAsia="宋体" w:cs="宋体"/>
          <w:spacing w:val="-2"/>
          <w:sz w:val="24"/>
          <w:szCs w:val="24"/>
        </w:rPr>
        <w:t>9.质疑函范本：</w:t>
      </w:r>
    </w:p>
    <w:p w14:paraId="638CAA5F">
      <w:pPr>
        <w:pStyle w:val="4"/>
        <w:spacing w:line="257" w:lineRule="auto"/>
      </w:pPr>
    </w:p>
    <w:p w14:paraId="48437ED5">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spacing w:val="7"/>
          <w:sz w:val="21"/>
          <w:szCs w:val="21"/>
        </w:rPr>
      </w:pPr>
      <w:r>
        <w:rPr>
          <w:rFonts w:hint="eastAsia" w:ascii="宋体" w:hAnsi="宋体" w:eastAsia="宋体" w:cs="宋体"/>
          <w:spacing w:val="7"/>
          <w:sz w:val="21"/>
          <w:szCs w:val="21"/>
        </w:rPr>
        <w:t>一、质疑供应商基本信息</w:t>
      </w:r>
    </w:p>
    <w:p w14:paraId="020B7A48">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spacing w:val="7"/>
          <w:sz w:val="21"/>
          <w:szCs w:val="21"/>
        </w:rPr>
      </w:pPr>
      <w:r>
        <w:rPr>
          <w:rFonts w:hint="eastAsia" w:ascii="宋体" w:hAnsi="宋体" w:eastAsia="宋体" w:cs="宋体"/>
          <w:spacing w:val="7"/>
          <w:sz w:val="21"/>
          <w:szCs w:val="21"/>
        </w:rPr>
        <w:t>质疑供应商：</w:t>
      </w:r>
      <w:r>
        <w:rPr>
          <w:rFonts w:hint="eastAsia" w:ascii="宋体" w:hAnsi="宋体" w:eastAsia="宋体" w:cs="宋体"/>
          <w:spacing w:val="7"/>
          <w:sz w:val="21"/>
          <w:szCs w:val="21"/>
        </w:rPr>
        <w:drawing>
          <wp:inline distT="0" distB="0" distL="0" distR="0">
            <wp:extent cx="4133850" cy="5715"/>
            <wp:effectExtent l="0" t="0" r="0" b="0"/>
            <wp:docPr id="72" name="IM 72"/>
            <wp:cNvGraphicFramePr/>
            <a:graphic xmlns:a="http://schemas.openxmlformats.org/drawingml/2006/main">
              <a:graphicData uri="http://schemas.openxmlformats.org/drawingml/2006/picture">
                <pic:pic xmlns:pic="http://schemas.openxmlformats.org/drawingml/2006/picture">
                  <pic:nvPicPr>
                    <pic:cNvPr id="72" name="IM 72"/>
                    <pic:cNvPicPr/>
                  </pic:nvPicPr>
                  <pic:blipFill>
                    <a:blip r:embed="rId19"/>
                    <a:stretch>
                      <a:fillRect/>
                    </a:stretch>
                  </pic:blipFill>
                  <pic:spPr>
                    <a:xfrm>
                      <a:off x="0" y="0"/>
                      <a:ext cx="4134484" cy="6096"/>
                    </a:xfrm>
                    <a:prstGeom prst="rect">
                      <a:avLst/>
                    </a:prstGeom>
                  </pic:spPr>
                </pic:pic>
              </a:graphicData>
            </a:graphic>
          </wp:inline>
        </w:drawing>
      </w:r>
    </w:p>
    <w:p w14:paraId="40D58B16">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spacing w:val="7"/>
          <w:sz w:val="21"/>
          <w:szCs w:val="21"/>
        </w:rPr>
      </w:pPr>
      <w:r>
        <w:rPr>
          <w:rFonts w:hint="eastAsia" w:ascii="宋体" w:hAnsi="宋体" w:eastAsia="宋体" w:cs="宋体"/>
          <w:spacing w:val="7"/>
          <w:sz w:val="21"/>
          <w:szCs w:val="21"/>
        </w:rPr>
        <w:t>地址：</w:t>
      </w:r>
      <w:r>
        <w:rPr>
          <w:rFonts w:hint="eastAsia" w:ascii="宋体" w:hAnsi="宋体" w:eastAsia="宋体" w:cs="宋体"/>
          <w:spacing w:val="7"/>
          <w:sz w:val="21"/>
          <w:szCs w:val="21"/>
        </w:rPr>
        <w:drawing>
          <wp:inline distT="0" distB="0" distL="0" distR="0">
            <wp:extent cx="1931670" cy="5715"/>
            <wp:effectExtent l="0" t="0" r="0" b="0"/>
            <wp:docPr id="74" name="IM 74"/>
            <wp:cNvGraphicFramePr/>
            <a:graphic xmlns:a="http://schemas.openxmlformats.org/drawingml/2006/main">
              <a:graphicData uri="http://schemas.openxmlformats.org/drawingml/2006/picture">
                <pic:pic xmlns:pic="http://schemas.openxmlformats.org/drawingml/2006/picture">
                  <pic:nvPicPr>
                    <pic:cNvPr id="74" name="IM 74"/>
                    <pic:cNvPicPr/>
                  </pic:nvPicPr>
                  <pic:blipFill>
                    <a:blip r:embed="rId20"/>
                    <a:stretch>
                      <a:fillRect/>
                    </a:stretch>
                  </pic:blipFill>
                  <pic:spPr>
                    <a:xfrm>
                      <a:off x="0" y="0"/>
                      <a:ext cx="1932304" cy="6095"/>
                    </a:xfrm>
                    <a:prstGeom prst="rect">
                      <a:avLst/>
                    </a:prstGeom>
                  </pic:spPr>
                </pic:pic>
              </a:graphicData>
            </a:graphic>
          </wp:inline>
        </w:drawing>
      </w:r>
      <w:r>
        <w:rPr>
          <w:rFonts w:hint="eastAsia" w:ascii="宋体" w:hAnsi="宋体" w:eastAsia="宋体" w:cs="宋体"/>
          <w:spacing w:val="7"/>
          <w:sz w:val="21"/>
          <w:szCs w:val="21"/>
        </w:rPr>
        <w:t xml:space="preserve"> 邮编：</w:t>
      </w:r>
      <w:r>
        <w:rPr>
          <w:rFonts w:hint="eastAsia" w:ascii="宋体" w:hAnsi="宋体" w:eastAsia="宋体" w:cs="宋体"/>
          <w:spacing w:val="7"/>
          <w:sz w:val="21"/>
          <w:szCs w:val="21"/>
        </w:rPr>
        <w:drawing>
          <wp:inline distT="0" distB="0" distL="0" distR="0">
            <wp:extent cx="2400300" cy="5715"/>
            <wp:effectExtent l="0" t="0" r="0" b="0"/>
            <wp:docPr id="76" name="IM 76"/>
            <wp:cNvGraphicFramePr/>
            <a:graphic xmlns:a="http://schemas.openxmlformats.org/drawingml/2006/main">
              <a:graphicData uri="http://schemas.openxmlformats.org/drawingml/2006/picture">
                <pic:pic xmlns:pic="http://schemas.openxmlformats.org/drawingml/2006/picture">
                  <pic:nvPicPr>
                    <pic:cNvPr id="76" name="IM 76"/>
                    <pic:cNvPicPr/>
                  </pic:nvPicPr>
                  <pic:blipFill>
                    <a:blip r:embed="rId21"/>
                    <a:stretch>
                      <a:fillRect/>
                    </a:stretch>
                  </pic:blipFill>
                  <pic:spPr>
                    <a:xfrm>
                      <a:off x="0" y="0"/>
                      <a:ext cx="2400300" cy="6095"/>
                    </a:xfrm>
                    <a:prstGeom prst="rect">
                      <a:avLst/>
                    </a:prstGeom>
                  </pic:spPr>
                </pic:pic>
              </a:graphicData>
            </a:graphic>
          </wp:inline>
        </w:drawing>
      </w:r>
    </w:p>
    <w:p w14:paraId="2328F631">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spacing w:val="7"/>
          <w:sz w:val="21"/>
          <w:szCs w:val="21"/>
        </w:rPr>
      </w:pPr>
      <w:r>
        <w:rPr>
          <w:rFonts w:hint="eastAsia" w:ascii="宋体" w:hAnsi="宋体" w:eastAsia="宋体" w:cs="宋体"/>
          <w:spacing w:val="7"/>
          <w:sz w:val="21"/>
          <w:szCs w:val="21"/>
        </w:rPr>
        <w:t>联系人：</w:t>
      </w:r>
      <w:r>
        <w:rPr>
          <w:rFonts w:hint="eastAsia" w:ascii="宋体" w:hAnsi="宋体" w:eastAsia="宋体" w:cs="宋体"/>
          <w:spacing w:val="7"/>
          <w:sz w:val="21"/>
          <w:szCs w:val="21"/>
        </w:rPr>
        <w:drawing>
          <wp:inline distT="0" distB="0" distL="0" distR="0">
            <wp:extent cx="1798955" cy="5715"/>
            <wp:effectExtent l="0" t="0" r="0" b="0"/>
            <wp:docPr id="78" name="IM 78"/>
            <wp:cNvGraphicFramePr/>
            <a:graphic xmlns:a="http://schemas.openxmlformats.org/drawingml/2006/main">
              <a:graphicData uri="http://schemas.openxmlformats.org/drawingml/2006/picture">
                <pic:pic xmlns:pic="http://schemas.openxmlformats.org/drawingml/2006/picture">
                  <pic:nvPicPr>
                    <pic:cNvPr id="78" name="IM 78"/>
                    <pic:cNvPicPr/>
                  </pic:nvPicPr>
                  <pic:blipFill>
                    <a:blip r:embed="rId22"/>
                    <a:stretch>
                      <a:fillRect/>
                    </a:stretch>
                  </pic:blipFill>
                  <pic:spPr>
                    <a:xfrm>
                      <a:off x="0" y="0"/>
                      <a:ext cx="1799589" cy="6095"/>
                    </a:xfrm>
                    <a:prstGeom prst="rect">
                      <a:avLst/>
                    </a:prstGeom>
                  </pic:spPr>
                </pic:pic>
              </a:graphicData>
            </a:graphic>
          </wp:inline>
        </w:drawing>
      </w:r>
      <w:r>
        <w:rPr>
          <w:rFonts w:hint="eastAsia" w:ascii="宋体" w:hAnsi="宋体" w:eastAsia="宋体" w:cs="宋体"/>
          <w:spacing w:val="7"/>
          <w:sz w:val="21"/>
          <w:szCs w:val="21"/>
        </w:rPr>
        <w:t xml:space="preserve"> 联系电话：</w:t>
      </w:r>
      <w:r>
        <w:rPr>
          <w:rFonts w:hint="eastAsia" w:ascii="宋体" w:hAnsi="宋体" w:eastAsia="宋体" w:cs="宋体"/>
          <w:spacing w:val="7"/>
          <w:sz w:val="21"/>
          <w:szCs w:val="21"/>
        </w:rPr>
        <w:drawing>
          <wp:inline distT="0" distB="0" distL="0" distR="0">
            <wp:extent cx="2270760" cy="5715"/>
            <wp:effectExtent l="0" t="0" r="0" b="0"/>
            <wp:docPr id="80" name="IM 80"/>
            <wp:cNvGraphicFramePr/>
            <a:graphic xmlns:a="http://schemas.openxmlformats.org/drawingml/2006/main">
              <a:graphicData uri="http://schemas.openxmlformats.org/drawingml/2006/picture">
                <pic:pic xmlns:pic="http://schemas.openxmlformats.org/drawingml/2006/picture">
                  <pic:nvPicPr>
                    <pic:cNvPr id="80" name="IM 80"/>
                    <pic:cNvPicPr/>
                  </pic:nvPicPr>
                  <pic:blipFill>
                    <a:blip r:embed="rId23"/>
                    <a:stretch>
                      <a:fillRect/>
                    </a:stretch>
                  </pic:blipFill>
                  <pic:spPr>
                    <a:xfrm>
                      <a:off x="0" y="0"/>
                      <a:ext cx="2270760" cy="6095"/>
                    </a:xfrm>
                    <a:prstGeom prst="rect">
                      <a:avLst/>
                    </a:prstGeom>
                  </pic:spPr>
                </pic:pic>
              </a:graphicData>
            </a:graphic>
          </wp:inline>
        </w:drawing>
      </w:r>
    </w:p>
    <w:p w14:paraId="6CD00C45">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spacing w:val="7"/>
          <w:sz w:val="21"/>
          <w:szCs w:val="21"/>
        </w:rPr>
      </w:pPr>
      <w:r>
        <w:rPr>
          <w:rFonts w:hint="eastAsia" w:ascii="宋体" w:hAnsi="宋体" w:eastAsia="宋体" w:cs="宋体"/>
          <w:spacing w:val="7"/>
          <w:sz w:val="21"/>
          <w:szCs w:val="21"/>
        </w:rPr>
        <w:t>授权代表：</w:t>
      </w:r>
      <w:r>
        <w:rPr>
          <w:rFonts w:hint="eastAsia" w:ascii="宋体" w:hAnsi="宋体" w:eastAsia="宋体" w:cs="宋体"/>
          <w:spacing w:val="7"/>
          <w:sz w:val="21"/>
          <w:szCs w:val="21"/>
        </w:rPr>
        <w:drawing>
          <wp:inline distT="0" distB="0" distL="0" distR="0">
            <wp:extent cx="4331970" cy="5715"/>
            <wp:effectExtent l="0" t="0" r="0" b="0"/>
            <wp:docPr id="82" name="IM 82"/>
            <wp:cNvGraphicFramePr/>
            <a:graphic xmlns:a="http://schemas.openxmlformats.org/drawingml/2006/main">
              <a:graphicData uri="http://schemas.openxmlformats.org/drawingml/2006/picture">
                <pic:pic xmlns:pic="http://schemas.openxmlformats.org/drawingml/2006/picture">
                  <pic:nvPicPr>
                    <pic:cNvPr id="82" name="IM 82"/>
                    <pic:cNvPicPr/>
                  </pic:nvPicPr>
                  <pic:blipFill>
                    <a:blip r:embed="rId24"/>
                    <a:stretch>
                      <a:fillRect/>
                    </a:stretch>
                  </pic:blipFill>
                  <pic:spPr>
                    <a:xfrm>
                      <a:off x="0" y="0"/>
                      <a:ext cx="4332604" cy="6095"/>
                    </a:xfrm>
                    <a:prstGeom prst="rect">
                      <a:avLst/>
                    </a:prstGeom>
                  </pic:spPr>
                </pic:pic>
              </a:graphicData>
            </a:graphic>
          </wp:inline>
        </w:drawing>
      </w:r>
    </w:p>
    <w:p w14:paraId="05ADFC4C">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spacing w:val="7"/>
          <w:sz w:val="21"/>
          <w:szCs w:val="21"/>
        </w:rPr>
      </w:pPr>
      <w:r>
        <w:rPr>
          <w:rFonts w:hint="eastAsia" w:ascii="宋体" w:hAnsi="宋体" w:eastAsia="宋体" w:cs="宋体"/>
          <w:spacing w:val="7"/>
          <w:sz w:val="21"/>
          <w:szCs w:val="21"/>
        </w:rPr>
        <w:t>联系电话：</w:t>
      </w:r>
      <w:r>
        <w:rPr>
          <w:rFonts w:hint="eastAsia" w:ascii="宋体" w:hAnsi="宋体" w:eastAsia="宋体" w:cs="宋体"/>
          <w:spacing w:val="7"/>
          <w:sz w:val="21"/>
          <w:szCs w:val="21"/>
        </w:rPr>
        <w:drawing>
          <wp:inline distT="0" distB="0" distL="0" distR="0">
            <wp:extent cx="4267200" cy="5715"/>
            <wp:effectExtent l="0" t="0" r="0" b="0"/>
            <wp:docPr id="84" name="IM 84"/>
            <wp:cNvGraphicFramePr/>
            <a:graphic xmlns:a="http://schemas.openxmlformats.org/drawingml/2006/main">
              <a:graphicData uri="http://schemas.openxmlformats.org/drawingml/2006/picture">
                <pic:pic xmlns:pic="http://schemas.openxmlformats.org/drawingml/2006/picture">
                  <pic:nvPicPr>
                    <pic:cNvPr id="84" name="IM 84"/>
                    <pic:cNvPicPr/>
                  </pic:nvPicPr>
                  <pic:blipFill>
                    <a:blip r:embed="rId25"/>
                    <a:stretch>
                      <a:fillRect/>
                    </a:stretch>
                  </pic:blipFill>
                  <pic:spPr>
                    <a:xfrm>
                      <a:off x="0" y="0"/>
                      <a:ext cx="4267200" cy="6095"/>
                    </a:xfrm>
                    <a:prstGeom prst="rect">
                      <a:avLst/>
                    </a:prstGeom>
                  </pic:spPr>
                </pic:pic>
              </a:graphicData>
            </a:graphic>
          </wp:inline>
        </w:drawing>
      </w:r>
    </w:p>
    <w:p w14:paraId="49ED93CF">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spacing w:val="7"/>
          <w:sz w:val="21"/>
          <w:szCs w:val="21"/>
        </w:rPr>
      </w:pPr>
      <w:r>
        <w:rPr>
          <w:rFonts w:hint="eastAsia" w:ascii="宋体" w:hAnsi="宋体" w:eastAsia="宋体" w:cs="宋体"/>
          <w:spacing w:val="7"/>
          <w:sz w:val="21"/>
          <w:szCs w:val="21"/>
        </w:rPr>
        <w:t xml:space="preserve">地址： </w:t>
      </w:r>
      <w:r>
        <w:rPr>
          <w:rFonts w:hint="eastAsia" w:ascii="宋体" w:hAnsi="宋体" w:eastAsia="宋体" w:cs="宋体"/>
          <w:spacing w:val="7"/>
          <w:sz w:val="21"/>
          <w:szCs w:val="21"/>
        </w:rPr>
        <w:drawing>
          <wp:inline distT="0" distB="0" distL="0" distR="0">
            <wp:extent cx="1934210" cy="5715"/>
            <wp:effectExtent l="0" t="0" r="0" b="0"/>
            <wp:docPr id="86" name="IM 86"/>
            <wp:cNvGraphicFramePr/>
            <a:graphic xmlns:a="http://schemas.openxmlformats.org/drawingml/2006/main">
              <a:graphicData uri="http://schemas.openxmlformats.org/drawingml/2006/picture">
                <pic:pic xmlns:pic="http://schemas.openxmlformats.org/drawingml/2006/picture">
                  <pic:nvPicPr>
                    <pic:cNvPr id="86" name="IM 86"/>
                    <pic:cNvPicPr/>
                  </pic:nvPicPr>
                  <pic:blipFill>
                    <a:blip r:embed="rId26"/>
                    <a:stretch>
                      <a:fillRect/>
                    </a:stretch>
                  </pic:blipFill>
                  <pic:spPr>
                    <a:xfrm>
                      <a:off x="0" y="0"/>
                      <a:ext cx="1934210" cy="6095"/>
                    </a:xfrm>
                    <a:prstGeom prst="rect">
                      <a:avLst/>
                    </a:prstGeom>
                  </pic:spPr>
                </pic:pic>
              </a:graphicData>
            </a:graphic>
          </wp:inline>
        </w:drawing>
      </w:r>
      <w:r>
        <w:rPr>
          <w:rFonts w:hint="eastAsia" w:ascii="宋体" w:hAnsi="宋体" w:eastAsia="宋体" w:cs="宋体"/>
          <w:spacing w:val="7"/>
          <w:sz w:val="21"/>
          <w:szCs w:val="21"/>
        </w:rPr>
        <w:t xml:space="preserve"> 邮编：</w:t>
      </w:r>
      <w:r>
        <w:rPr>
          <w:rFonts w:hint="eastAsia" w:ascii="宋体" w:hAnsi="宋体" w:eastAsia="宋体" w:cs="宋体"/>
          <w:spacing w:val="7"/>
          <w:sz w:val="21"/>
          <w:szCs w:val="21"/>
        </w:rPr>
        <w:drawing>
          <wp:inline distT="0" distB="0" distL="0" distR="0">
            <wp:extent cx="2465070" cy="5715"/>
            <wp:effectExtent l="0" t="0" r="0" b="0"/>
            <wp:docPr id="88" name="IM 88"/>
            <wp:cNvGraphicFramePr/>
            <a:graphic xmlns:a="http://schemas.openxmlformats.org/drawingml/2006/main">
              <a:graphicData uri="http://schemas.openxmlformats.org/drawingml/2006/picture">
                <pic:pic xmlns:pic="http://schemas.openxmlformats.org/drawingml/2006/picture">
                  <pic:nvPicPr>
                    <pic:cNvPr id="88" name="IM 88"/>
                    <pic:cNvPicPr/>
                  </pic:nvPicPr>
                  <pic:blipFill>
                    <a:blip r:embed="rId27"/>
                    <a:stretch>
                      <a:fillRect/>
                    </a:stretch>
                  </pic:blipFill>
                  <pic:spPr>
                    <a:xfrm>
                      <a:off x="0" y="0"/>
                      <a:ext cx="2465704" cy="6095"/>
                    </a:xfrm>
                    <a:prstGeom prst="rect">
                      <a:avLst/>
                    </a:prstGeom>
                  </pic:spPr>
                </pic:pic>
              </a:graphicData>
            </a:graphic>
          </wp:inline>
        </w:drawing>
      </w:r>
    </w:p>
    <w:p w14:paraId="2EF84A03">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spacing w:val="7"/>
          <w:sz w:val="21"/>
          <w:szCs w:val="21"/>
        </w:rPr>
      </w:pPr>
      <w:r>
        <w:rPr>
          <w:rFonts w:hint="eastAsia" w:ascii="宋体" w:hAnsi="宋体" w:eastAsia="宋体" w:cs="宋体"/>
          <w:spacing w:val="7"/>
          <w:sz w:val="21"/>
          <w:szCs w:val="21"/>
        </w:rPr>
        <w:t>二、质疑项目基本情况</w:t>
      </w:r>
    </w:p>
    <w:p w14:paraId="4259167D">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spacing w:val="7"/>
          <w:sz w:val="21"/>
          <w:szCs w:val="21"/>
        </w:rPr>
      </w:pPr>
      <w:r>
        <w:rPr>
          <w:rFonts w:hint="eastAsia" w:ascii="宋体" w:hAnsi="宋体" w:eastAsia="宋体" w:cs="宋体"/>
          <w:spacing w:val="7"/>
          <w:sz w:val="21"/>
          <w:szCs w:val="21"/>
        </w:rPr>
        <w:t>质疑项目的名称：</w:t>
      </w:r>
      <w:r>
        <w:rPr>
          <w:rFonts w:hint="eastAsia" w:ascii="宋体" w:hAnsi="宋体" w:eastAsia="宋体" w:cs="宋体"/>
          <w:spacing w:val="7"/>
          <w:sz w:val="21"/>
          <w:szCs w:val="21"/>
        </w:rPr>
        <w:drawing>
          <wp:inline distT="0" distB="0" distL="0" distR="0">
            <wp:extent cx="3867150" cy="5715"/>
            <wp:effectExtent l="0" t="0" r="0" b="0"/>
            <wp:docPr id="90" name="IM 90"/>
            <wp:cNvGraphicFramePr/>
            <a:graphic xmlns:a="http://schemas.openxmlformats.org/drawingml/2006/main">
              <a:graphicData uri="http://schemas.openxmlformats.org/drawingml/2006/picture">
                <pic:pic xmlns:pic="http://schemas.openxmlformats.org/drawingml/2006/picture">
                  <pic:nvPicPr>
                    <pic:cNvPr id="90" name="IM 90"/>
                    <pic:cNvPicPr/>
                  </pic:nvPicPr>
                  <pic:blipFill>
                    <a:blip r:embed="rId28"/>
                    <a:stretch>
                      <a:fillRect/>
                    </a:stretch>
                  </pic:blipFill>
                  <pic:spPr>
                    <a:xfrm>
                      <a:off x="0" y="0"/>
                      <a:ext cx="3867784" cy="6095"/>
                    </a:xfrm>
                    <a:prstGeom prst="rect">
                      <a:avLst/>
                    </a:prstGeom>
                  </pic:spPr>
                </pic:pic>
              </a:graphicData>
            </a:graphic>
          </wp:inline>
        </w:drawing>
      </w:r>
    </w:p>
    <w:p w14:paraId="78E970D2">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spacing w:val="7"/>
          <w:sz w:val="21"/>
          <w:szCs w:val="21"/>
        </w:rPr>
      </w:pPr>
      <w:r>
        <w:rPr>
          <w:rFonts w:hint="eastAsia" w:ascii="宋体" w:hAnsi="宋体" w:eastAsia="宋体" w:cs="宋体"/>
          <w:spacing w:val="7"/>
          <w:sz w:val="21"/>
          <w:szCs w:val="21"/>
        </w:rPr>
        <w:t>质疑项目的编号：</w:t>
      </w:r>
      <w:r>
        <w:rPr>
          <w:rFonts w:hint="eastAsia" w:ascii="宋体" w:hAnsi="宋体" w:eastAsia="宋体" w:cs="宋体"/>
          <w:spacing w:val="7"/>
          <w:sz w:val="21"/>
          <w:szCs w:val="21"/>
        </w:rPr>
        <w:drawing>
          <wp:inline distT="0" distB="0" distL="0" distR="0">
            <wp:extent cx="1666875" cy="5715"/>
            <wp:effectExtent l="0" t="0" r="0" b="0"/>
            <wp:docPr id="92" name="IM 92"/>
            <wp:cNvGraphicFramePr/>
            <a:graphic xmlns:a="http://schemas.openxmlformats.org/drawingml/2006/main">
              <a:graphicData uri="http://schemas.openxmlformats.org/drawingml/2006/picture">
                <pic:pic xmlns:pic="http://schemas.openxmlformats.org/drawingml/2006/picture">
                  <pic:nvPicPr>
                    <pic:cNvPr id="92" name="IM 92"/>
                    <pic:cNvPicPr/>
                  </pic:nvPicPr>
                  <pic:blipFill>
                    <a:blip r:embed="rId29"/>
                    <a:stretch>
                      <a:fillRect/>
                    </a:stretch>
                  </pic:blipFill>
                  <pic:spPr>
                    <a:xfrm>
                      <a:off x="0" y="0"/>
                      <a:ext cx="1667509" cy="6095"/>
                    </a:xfrm>
                    <a:prstGeom prst="rect">
                      <a:avLst/>
                    </a:prstGeom>
                  </pic:spPr>
                </pic:pic>
              </a:graphicData>
            </a:graphic>
          </wp:inline>
        </w:drawing>
      </w:r>
      <w:r>
        <w:rPr>
          <w:rFonts w:hint="eastAsia" w:ascii="宋体" w:hAnsi="宋体" w:eastAsia="宋体" w:cs="宋体"/>
          <w:spacing w:val="7"/>
          <w:sz w:val="21"/>
          <w:szCs w:val="21"/>
        </w:rPr>
        <w:t xml:space="preserve"> 包号：</w:t>
      </w:r>
      <w:r>
        <w:rPr>
          <w:rFonts w:hint="eastAsia" w:ascii="宋体" w:hAnsi="宋体" w:eastAsia="宋体" w:cs="宋体"/>
          <w:spacing w:val="7"/>
          <w:sz w:val="21"/>
          <w:szCs w:val="21"/>
        </w:rPr>
        <w:drawing>
          <wp:inline distT="0" distB="0" distL="0" distR="0">
            <wp:extent cx="1801495" cy="5715"/>
            <wp:effectExtent l="0" t="0" r="0" b="0"/>
            <wp:docPr id="94" name="IM 94"/>
            <wp:cNvGraphicFramePr/>
            <a:graphic xmlns:a="http://schemas.openxmlformats.org/drawingml/2006/main">
              <a:graphicData uri="http://schemas.openxmlformats.org/drawingml/2006/picture">
                <pic:pic xmlns:pic="http://schemas.openxmlformats.org/drawingml/2006/picture">
                  <pic:nvPicPr>
                    <pic:cNvPr id="94" name="IM 94"/>
                    <pic:cNvPicPr/>
                  </pic:nvPicPr>
                  <pic:blipFill>
                    <a:blip r:embed="rId30"/>
                    <a:stretch>
                      <a:fillRect/>
                    </a:stretch>
                  </pic:blipFill>
                  <pic:spPr>
                    <a:xfrm>
                      <a:off x="0" y="0"/>
                      <a:ext cx="1801495" cy="6095"/>
                    </a:xfrm>
                    <a:prstGeom prst="rect">
                      <a:avLst/>
                    </a:prstGeom>
                  </pic:spPr>
                </pic:pic>
              </a:graphicData>
            </a:graphic>
          </wp:inline>
        </w:drawing>
      </w:r>
    </w:p>
    <w:p w14:paraId="32BAAA17">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spacing w:val="7"/>
          <w:sz w:val="21"/>
          <w:szCs w:val="21"/>
        </w:rPr>
      </w:pPr>
      <w:r>
        <w:rPr>
          <w:rFonts w:hint="eastAsia" w:ascii="宋体" w:hAnsi="宋体" w:eastAsia="宋体" w:cs="宋体"/>
          <w:spacing w:val="7"/>
          <w:sz w:val="21"/>
          <w:szCs w:val="21"/>
        </w:rPr>
        <w:t>采购人名称：</w:t>
      </w:r>
      <w:r>
        <w:rPr>
          <w:rFonts w:hint="eastAsia" w:ascii="宋体" w:hAnsi="宋体" w:eastAsia="宋体" w:cs="宋体"/>
          <w:spacing w:val="7"/>
          <w:sz w:val="21"/>
          <w:szCs w:val="21"/>
        </w:rPr>
        <w:drawing>
          <wp:inline distT="0" distB="0" distL="0" distR="0">
            <wp:extent cx="4133850" cy="5715"/>
            <wp:effectExtent l="0" t="0" r="0" b="0"/>
            <wp:docPr id="96" name="IM 96"/>
            <wp:cNvGraphicFramePr/>
            <a:graphic xmlns:a="http://schemas.openxmlformats.org/drawingml/2006/main">
              <a:graphicData uri="http://schemas.openxmlformats.org/drawingml/2006/picture">
                <pic:pic xmlns:pic="http://schemas.openxmlformats.org/drawingml/2006/picture">
                  <pic:nvPicPr>
                    <pic:cNvPr id="96" name="IM 96"/>
                    <pic:cNvPicPr/>
                  </pic:nvPicPr>
                  <pic:blipFill>
                    <a:blip r:embed="rId19"/>
                    <a:stretch>
                      <a:fillRect/>
                    </a:stretch>
                  </pic:blipFill>
                  <pic:spPr>
                    <a:xfrm>
                      <a:off x="0" y="0"/>
                      <a:ext cx="4134484" cy="6095"/>
                    </a:xfrm>
                    <a:prstGeom prst="rect">
                      <a:avLst/>
                    </a:prstGeom>
                  </pic:spPr>
                </pic:pic>
              </a:graphicData>
            </a:graphic>
          </wp:inline>
        </w:drawing>
      </w:r>
    </w:p>
    <w:p w14:paraId="78C7D570">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spacing w:val="7"/>
          <w:sz w:val="21"/>
          <w:szCs w:val="21"/>
        </w:rPr>
      </w:pPr>
      <w:r>
        <w:rPr>
          <w:rFonts w:hint="eastAsia" w:ascii="宋体" w:hAnsi="宋体" w:eastAsia="宋体" w:cs="宋体"/>
          <w:spacing w:val="7"/>
          <w:sz w:val="21"/>
          <w:szCs w:val="21"/>
          <w:lang w:eastAsia="zh-CN"/>
        </w:rPr>
        <w:t>磋商文件</w:t>
      </w:r>
      <w:r>
        <w:rPr>
          <w:rFonts w:hint="eastAsia" w:ascii="宋体" w:hAnsi="宋体" w:eastAsia="宋体" w:cs="宋体"/>
          <w:spacing w:val="7"/>
          <w:sz w:val="21"/>
          <w:szCs w:val="21"/>
        </w:rPr>
        <w:t>获取日期：</w:t>
      </w:r>
      <w:r>
        <w:rPr>
          <w:rFonts w:hint="eastAsia" w:ascii="宋体" w:hAnsi="宋体" w:eastAsia="宋体" w:cs="宋体"/>
          <w:spacing w:val="7"/>
          <w:sz w:val="21"/>
          <w:szCs w:val="21"/>
        </w:rPr>
        <w:drawing>
          <wp:inline distT="0" distB="0" distL="0" distR="0">
            <wp:extent cx="3733800" cy="5715"/>
            <wp:effectExtent l="0" t="0" r="0" b="0"/>
            <wp:docPr id="98" name="IM 98"/>
            <wp:cNvGraphicFramePr/>
            <a:graphic xmlns:a="http://schemas.openxmlformats.org/drawingml/2006/main">
              <a:graphicData uri="http://schemas.openxmlformats.org/drawingml/2006/picture">
                <pic:pic xmlns:pic="http://schemas.openxmlformats.org/drawingml/2006/picture">
                  <pic:nvPicPr>
                    <pic:cNvPr id="98" name="IM 98"/>
                    <pic:cNvPicPr/>
                  </pic:nvPicPr>
                  <pic:blipFill>
                    <a:blip r:embed="rId31"/>
                    <a:stretch>
                      <a:fillRect/>
                    </a:stretch>
                  </pic:blipFill>
                  <pic:spPr>
                    <a:xfrm>
                      <a:off x="0" y="0"/>
                      <a:ext cx="3733800" cy="6095"/>
                    </a:xfrm>
                    <a:prstGeom prst="rect">
                      <a:avLst/>
                    </a:prstGeom>
                  </pic:spPr>
                </pic:pic>
              </a:graphicData>
            </a:graphic>
          </wp:inline>
        </w:drawing>
      </w:r>
    </w:p>
    <w:sdt>
      <w:sdtPr>
        <w:rPr>
          <w:rFonts w:hint="eastAsia" w:ascii="宋体" w:hAnsi="宋体" w:eastAsia="宋体" w:cs="宋体"/>
          <w:spacing w:val="7"/>
          <w:sz w:val="21"/>
          <w:szCs w:val="21"/>
        </w:rPr>
        <w:id w:val="10"/>
      </w:sdtPr>
      <w:sdtEndPr>
        <w:rPr>
          <w:rFonts w:hint="eastAsia" w:ascii="宋体" w:hAnsi="宋体" w:eastAsia="宋体" w:cs="宋体"/>
          <w:spacing w:val="7"/>
          <w:sz w:val="21"/>
          <w:szCs w:val="21"/>
        </w:rPr>
      </w:sdtEndPr>
      <w:sdtContent>
        <w:p w14:paraId="5D8BBAFD">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spacing w:val="7"/>
              <w:sz w:val="21"/>
              <w:szCs w:val="21"/>
            </w:rPr>
          </w:pPr>
          <w:r>
            <w:rPr>
              <w:rFonts w:hint="eastAsia" w:ascii="宋体" w:hAnsi="宋体" w:eastAsia="宋体" w:cs="宋体"/>
              <w:spacing w:val="7"/>
              <w:sz w:val="21"/>
              <w:szCs w:val="21"/>
            </w:rPr>
            <w:t>三、质疑事项具体内容</w:t>
          </w:r>
        </w:p>
        <w:p w14:paraId="5D9A7B4F">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spacing w:val="7"/>
              <w:sz w:val="21"/>
              <w:szCs w:val="21"/>
            </w:rPr>
          </w:pPr>
          <w:r>
            <w:rPr>
              <w:rFonts w:hint="eastAsia" w:ascii="宋体" w:hAnsi="宋体" w:eastAsia="宋体" w:cs="宋体"/>
              <w:spacing w:val="7"/>
              <w:sz w:val="21"/>
              <w:szCs w:val="21"/>
            </w:rPr>
            <w:t>质疑事项 1：</w:t>
          </w:r>
          <w:r>
            <w:rPr>
              <w:rFonts w:hint="eastAsia" w:ascii="宋体" w:hAnsi="宋体" w:eastAsia="宋体" w:cs="宋体"/>
              <w:spacing w:val="7"/>
              <w:sz w:val="21"/>
              <w:szCs w:val="21"/>
            </w:rPr>
            <w:drawing>
              <wp:inline distT="0" distB="0" distL="0" distR="0">
                <wp:extent cx="4133850" cy="5715"/>
                <wp:effectExtent l="0" t="0" r="0" b="0"/>
                <wp:docPr id="100" name="IM 100"/>
                <wp:cNvGraphicFramePr/>
                <a:graphic xmlns:a="http://schemas.openxmlformats.org/drawingml/2006/main">
                  <a:graphicData uri="http://schemas.openxmlformats.org/drawingml/2006/picture">
                    <pic:pic xmlns:pic="http://schemas.openxmlformats.org/drawingml/2006/picture">
                      <pic:nvPicPr>
                        <pic:cNvPr id="100" name="IM 100"/>
                        <pic:cNvPicPr/>
                      </pic:nvPicPr>
                      <pic:blipFill>
                        <a:blip r:embed="rId32"/>
                        <a:stretch>
                          <a:fillRect/>
                        </a:stretch>
                      </pic:blipFill>
                      <pic:spPr>
                        <a:xfrm>
                          <a:off x="0" y="0"/>
                          <a:ext cx="4134484" cy="6095"/>
                        </a:xfrm>
                        <a:prstGeom prst="rect">
                          <a:avLst/>
                        </a:prstGeom>
                      </pic:spPr>
                    </pic:pic>
                  </a:graphicData>
                </a:graphic>
              </wp:inline>
            </w:drawing>
          </w:r>
        </w:p>
        <w:p w14:paraId="2D763B15">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spacing w:val="7"/>
              <w:sz w:val="21"/>
              <w:szCs w:val="21"/>
            </w:rPr>
          </w:pPr>
          <w:r>
            <w:rPr>
              <w:rFonts w:hint="eastAsia" w:ascii="宋体" w:hAnsi="宋体" w:eastAsia="宋体" w:cs="宋体"/>
              <w:spacing w:val="7"/>
              <w:sz w:val="21"/>
              <w:szCs w:val="21"/>
            </w:rPr>
            <w:t>事实依据：</w:t>
          </w:r>
          <w:r>
            <w:rPr>
              <w:rFonts w:hint="eastAsia" w:ascii="宋体" w:hAnsi="宋体" w:eastAsia="宋体" w:cs="宋体"/>
              <w:spacing w:val="7"/>
              <w:sz w:val="21"/>
              <w:szCs w:val="21"/>
            </w:rPr>
            <w:drawing>
              <wp:inline distT="0" distB="0" distL="0" distR="0">
                <wp:extent cx="4533900" cy="5715"/>
                <wp:effectExtent l="0" t="0" r="0" b="0"/>
                <wp:docPr id="102" name="IM 102"/>
                <wp:cNvGraphicFramePr/>
                <a:graphic xmlns:a="http://schemas.openxmlformats.org/drawingml/2006/main">
                  <a:graphicData uri="http://schemas.openxmlformats.org/drawingml/2006/picture">
                    <pic:pic xmlns:pic="http://schemas.openxmlformats.org/drawingml/2006/picture">
                      <pic:nvPicPr>
                        <pic:cNvPr id="102" name="IM 102"/>
                        <pic:cNvPicPr/>
                      </pic:nvPicPr>
                      <pic:blipFill>
                        <a:blip r:embed="rId33"/>
                        <a:stretch>
                          <a:fillRect/>
                        </a:stretch>
                      </pic:blipFill>
                      <pic:spPr>
                        <a:xfrm>
                          <a:off x="0" y="0"/>
                          <a:ext cx="4533900" cy="6095"/>
                        </a:xfrm>
                        <a:prstGeom prst="rect">
                          <a:avLst/>
                        </a:prstGeom>
                      </pic:spPr>
                    </pic:pic>
                  </a:graphicData>
                </a:graphic>
              </wp:inline>
            </w:drawing>
          </w:r>
        </w:p>
        <w:p w14:paraId="3D696700">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spacing w:val="7"/>
              <w:sz w:val="21"/>
              <w:szCs w:val="21"/>
            </w:rPr>
          </w:pPr>
          <w:r>
            <w:rPr>
              <w:rFonts w:hint="eastAsia" w:ascii="宋体" w:hAnsi="宋体" w:eastAsia="宋体" w:cs="宋体"/>
              <w:spacing w:val="7"/>
              <w:sz w:val="21"/>
              <w:szCs w:val="21"/>
            </w:rPr>
            <w:t>法律依据：</w:t>
          </w:r>
          <w:r>
            <w:rPr>
              <w:rFonts w:hint="eastAsia" w:ascii="宋体" w:hAnsi="宋体" w:eastAsia="宋体" w:cs="宋体"/>
              <w:spacing w:val="7"/>
              <w:sz w:val="21"/>
              <w:szCs w:val="21"/>
            </w:rPr>
            <w:drawing>
              <wp:inline distT="0" distB="0" distL="0" distR="0">
                <wp:extent cx="4533900" cy="5715"/>
                <wp:effectExtent l="0" t="0" r="0" b="0"/>
                <wp:docPr id="104" name="IM 104"/>
                <wp:cNvGraphicFramePr/>
                <a:graphic xmlns:a="http://schemas.openxmlformats.org/drawingml/2006/main">
                  <a:graphicData uri="http://schemas.openxmlformats.org/drawingml/2006/picture">
                    <pic:pic xmlns:pic="http://schemas.openxmlformats.org/drawingml/2006/picture">
                      <pic:nvPicPr>
                        <pic:cNvPr id="104" name="IM 104"/>
                        <pic:cNvPicPr/>
                      </pic:nvPicPr>
                      <pic:blipFill>
                        <a:blip r:embed="rId34"/>
                        <a:stretch>
                          <a:fillRect/>
                        </a:stretch>
                      </pic:blipFill>
                      <pic:spPr>
                        <a:xfrm>
                          <a:off x="0" y="0"/>
                          <a:ext cx="4533900" cy="6095"/>
                        </a:xfrm>
                        <a:prstGeom prst="rect">
                          <a:avLst/>
                        </a:prstGeom>
                      </pic:spPr>
                    </pic:pic>
                  </a:graphicData>
                </a:graphic>
              </wp:inline>
            </w:drawing>
          </w:r>
        </w:p>
      </w:sdtContent>
    </w:sdt>
    <w:p w14:paraId="569927F4">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spacing w:val="7"/>
          <w:sz w:val="21"/>
          <w:szCs w:val="21"/>
        </w:rPr>
      </w:pPr>
      <w:r>
        <w:rPr>
          <w:rFonts w:hint="eastAsia" w:ascii="宋体" w:hAnsi="宋体" w:eastAsia="宋体" w:cs="宋体"/>
          <w:spacing w:val="7"/>
          <w:sz w:val="21"/>
          <w:szCs w:val="21"/>
        </w:rPr>
        <w:t>质疑事项 2</w:t>
      </w:r>
    </w:p>
    <w:p w14:paraId="4B743DE2">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spacing w:val="7"/>
          <w:sz w:val="21"/>
          <w:szCs w:val="21"/>
        </w:rPr>
      </w:pPr>
      <w:r>
        <w:rPr>
          <w:rFonts w:hint="eastAsia" w:ascii="宋体" w:hAnsi="宋体" w:eastAsia="宋体" w:cs="宋体"/>
          <w:spacing w:val="7"/>
          <w:sz w:val="21"/>
          <w:szCs w:val="21"/>
        </w:rPr>
        <w:t>……</w:t>
      </w:r>
    </w:p>
    <w:sdt>
      <w:sdtPr>
        <w:rPr>
          <w:rFonts w:hint="eastAsia" w:ascii="宋体" w:hAnsi="宋体" w:eastAsia="宋体" w:cs="宋体"/>
          <w:sz w:val="21"/>
          <w:szCs w:val="21"/>
        </w:rPr>
        <w:id w:val="11"/>
      </w:sdtPr>
      <w:sdtEndPr>
        <w:rPr>
          <w:rFonts w:hint="eastAsia" w:ascii="宋体" w:hAnsi="宋体" w:eastAsia="宋体" w:cs="宋体"/>
          <w:spacing w:val="7"/>
          <w:sz w:val="21"/>
          <w:szCs w:val="21"/>
        </w:rPr>
      </w:sdtEndPr>
      <w:sdtContent>
        <w:p w14:paraId="0D37D11D">
          <w:pPr>
            <w:spacing w:before="51" w:line="229" w:lineRule="auto"/>
            <w:ind w:left="266"/>
            <w:rPr>
              <w:rFonts w:hint="eastAsia" w:ascii="宋体" w:hAnsi="宋体" w:eastAsia="宋体" w:cs="宋体"/>
              <w:b/>
              <w:bCs/>
              <w:sz w:val="21"/>
              <w:szCs w:val="21"/>
            </w:rPr>
          </w:pPr>
          <w:r>
            <w:rPr>
              <w:rFonts w:hint="eastAsia" w:ascii="宋体" w:hAnsi="宋体" w:eastAsia="宋体" w:cs="宋体"/>
              <w:b/>
              <w:bCs/>
              <w:spacing w:val="7"/>
              <w:sz w:val="21"/>
              <w:szCs w:val="21"/>
            </w:rPr>
            <w:t>四、与质疑事项相关的质疑请求</w:t>
          </w:r>
        </w:p>
        <w:p w14:paraId="02FE1754">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spacing w:val="7"/>
              <w:sz w:val="21"/>
              <w:szCs w:val="21"/>
            </w:rPr>
          </w:pPr>
          <w:r>
            <w:rPr>
              <w:rFonts w:hint="eastAsia" w:ascii="宋体" w:hAnsi="宋体" w:eastAsia="宋体" w:cs="宋体"/>
              <w:spacing w:val="7"/>
              <w:sz w:val="21"/>
              <w:szCs w:val="21"/>
            </w:rPr>
            <w:t>请求：</w:t>
          </w:r>
          <w:r>
            <w:rPr>
              <w:rFonts w:hint="eastAsia" w:ascii="宋体" w:hAnsi="宋体" w:eastAsia="宋体" w:cs="宋体"/>
              <w:spacing w:val="7"/>
              <w:sz w:val="21"/>
              <w:szCs w:val="21"/>
            </w:rPr>
            <w:drawing>
              <wp:inline distT="0" distB="0" distL="0" distR="0">
                <wp:extent cx="4598670" cy="5715"/>
                <wp:effectExtent l="0" t="0" r="0" b="0"/>
                <wp:docPr id="106" name="IM 106"/>
                <wp:cNvGraphicFramePr/>
                <a:graphic xmlns:a="http://schemas.openxmlformats.org/drawingml/2006/main">
                  <a:graphicData uri="http://schemas.openxmlformats.org/drawingml/2006/picture">
                    <pic:pic xmlns:pic="http://schemas.openxmlformats.org/drawingml/2006/picture">
                      <pic:nvPicPr>
                        <pic:cNvPr id="106" name="IM 106"/>
                        <pic:cNvPicPr/>
                      </pic:nvPicPr>
                      <pic:blipFill>
                        <a:blip r:embed="rId35"/>
                        <a:stretch>
                          <a:fillRect/>
                        </a:stretch>
                      </pic:blipFill>
                      <pic:spPr>
                        <a:xfrm>
                          <a:off x="0" y="0"/>
                          <a:ext cx="4599304" cy="6095"/>
                        </a:xfrm>
                        <a:prstGeom prst="rect">
                          <a:avLst/>
                        </a:prstGeom>
                      </pic:spPr>
                    </pic:pic>
                  </a:graphicData>
                </a:graphic>
              </wp:inline>
            </w:drawing>
          </w:r>
        </w:p>
      </w:sdtContent>
    </w:sdt>
    <w:p w14:paraId="77AAEE4A">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spacing w:val="7"/>
          <w:sz w:val="21"/>
          <w:szCs w:val="21"/>
        </w:rPr>
      </w:pPr>
      <w:r>
        <w:rPr>
          <w:rFonts w:hint="eastAsia" w:ascii="宋体" w:hAnsi="宋体" w:eastAsia="宋体" w:cs="宋体"/>
          <w:spacing w:val="7"/>
          <w:sz w:val="21"/>
          <w:szCs w:val="21"/>
        </w:rPr>
        <w:t>签字(签章)：                    公章：</w:t>
      </w:r>
      <w:r>
        <w:rPr>
          <w:rFonts w:hint="eastAsia" w:ascii="宋体" w:hAnsi="宋体" w:eastAsia="宋体" w:cs="宋体"/>
          <w:spacing w:val="7"/>
          <w:sz w:val="21"/>
          <w:szCs w:val="21"/>
          <w:lang w:val="en-US" w:eastAsia="zh-CN"/>
        </w:rPr>
        <w:t xml:space="preserve">              </w:t>
      </w:r>
      <w:r>
        <w:rPr>
          <w:rFonts w:hint="eastAsia" w:ascii="宋体" w:hAnsi="宋体" w:eastAsia="宋体" w:cs="宋体"/>
          <w:spacing w:val="7"/>
          <w:sz w:val="21"/>
          <w:szCs w:val="21"/>
        </w:rPr>
        <w:t>日期：</w:t>
      </w:r>
    </w:p>
    <w:p w14:paraId="4B199F9C">
      <w:pPr>
        <w:spacing w:before="178" w:line="360" w:lineRule="auto"/>
        <w:ind w:right="59" w:firstLine="498"/>
        <w:rPr>
          <w:rFonts w:hint="eastAsia" w:ascii="宋体" w:hAnsi="宋体" w:eastAsia="宋体" w:cs="宋体"/>
          <w:spacing w:val="-3"/>
          <w:sz w:val="24"/>
          <w:szCs w:val="24"/>
        </w:rPr>
      </w:pPr>
      <w:r>
        <w:rPr>
          <w:rFonts w:hint="eastAsia" w:ascii="宋体" w:hAnsi="宋体" w:eastAsia="宋体" w:cs="宋体"/>
          <w:spacing w:val="-3"/>
          <w:sz w:val="24"/>
          <w:szCs w:val="24"/>
          <w:lang w:val="en-US" w:eastAsia="zh-CN"/>
        </w:rPr>
        <w:t>10</w:t>
      </w:r>
      <w:r>
        <w:rPr>
          <w:rFonts w:hint="eastAsia" w:ascii="宋体" w:hAnsi="宋体" w:eastAsia="宋体" w:cs="宋体"/>
          <w:spacing w:val="-3"/>
          <w:sz w:val="24"/>
          <w:szCs w:val="24"/>
        </w:rPr>
        <w:t>.质疑函接收方式：质疑函以书面形式递交或者电子邮件的方式发送。</w:t>
      </w:r>
    </w:p>
    <w:p w14:paraId="63ECB415">
      <w:pPr>
        <w:spacing w:before="178" w:line="360" w:lineRule="auto"/>
        <w:ind w:right="59" w:firstLine="498"/>
        <w:rPr>
          <w:rFonts w:hint="eastAsia" w:ascii="宋体" w:hAnsi="宋体" w:eastAsia="宋体" w:cs="宋体"/>
          <w:spacing w:val="-3"/>
          <w:sz w:val="24"/>
          <w:szCs w:val="24"/>
        </w:rPr>
      </w:pPr>
      <w:r>
        <w:rPr>
          <w:rFonts w:hint="eastAsia" w:ascii="宋体" w:hAnsi="宋体" w:eastAsia="宋体" w:cs="宋体"/>
          <w:spacing w:val="-3"/>
          <w:sz w:val="24"/>
          <w:szCs w:val="24"/>
        </w:rPr>
        <w:t>质疑函接收：</w:t>
      </w:r>
      <w:r>
        <w:rPr>
          <w:rFonts w:hint="eastAsia" w:ascii="宋体" w:hAnsi="宋体" w:eastAsia="宋体" w:cs="宋体"/>
          <w:spacing w:val="-3"/>
          <w:sz w:val="24"/>
          <w:szCs w:val="24"/>
          <w:lang w:eastAsia="zh-CN"/>
        </w:rPr>
        <w:t>阿克苏疆山项目管理有限公司</w:t>
      </w:r>
      <w:r>
        <w:rPr>
          <w:rFonts w:hint="eastAsia" w:ascii="宋体" w:hAnsi="宋体" w:eastAsia="宋体" w:cs="宋体"/>
          <w:spacing w:val="-3"/>
          <w:sz w:val="24"/>
          <w:szCs w:val="24"/>
        </w:rPr>
        <w:t>，地 址：</w:t>
      </w:r>
      <w:r>
        <w:rPr>
          <w:rFonts w:hint="eastAsia" w:ascii="宋体" w:hAnsi="宋体" w:eastAsia="宋体" w:cs="宋体"/>
          <w:spacing w:val="-3"/>
          <w:sz w:val="24"/>
          <w:szCs w:val="24"/>
          <w:lang w:eastAsia="zh-CN"/>
        </w:rPr>
        <w:t>阿克苏市采荷路1号云山悦府12号楼2单元202室</w:t>
      </w:r>
      <w:r>
        <w:rPr>
          <w:rFonts w:hint="eastAsia" w:ascii="宋体" w:hAnsi="宋体" w:eastAsia="宋体" w:cs="宋体"/>
          <w:spacing w:val="-3"/>
          <w:sz w:val="24"/>
          <w:szCs w:val="24"/>
        </w:rPr>
        <w:t>，联系人：</w:t>
      </w:r>
      <w:r>
        <w:rPr>
          <w:rFonts w:hint="eastAsia" w:ascii="宋体" w:hAnsi="宋体" w:eastAsia="宋体" w:cs="宋体"/>
          <w:spacing w:val="-3"/>
          <w:sz w:val="24"/>
          <w:szCs w:val="24"/>
          <w:lang w:eastAsia="zh-CN"/>
        </w:rPr>
        <w:t>刘辉</w:t>
      </w:r>
      <w:r>
        <w:rPr>
          <w:rFonts w:hint="eastAsia" w:ascii="宋体" w:hAnsi="宋体" w:eastAsia="宋体" w:cs="宋体"/>
          <w:spacing w:val="-3"/>
          <w:sz w:val="24"/>
          <w:szCs w:val="24"/>
        </w:rPr>
        <w:t>，联系电话：</w:t>
      </w:r>
      <w:r>
        <w:rPr>
          <w:rFonts w:hint="eastAsia" w:ascii="宋体" w:hAnsi="宋体" w:eastAsia="宋体" w:cs="宋体"/>
          <w:spacing w:val="-3"/>
          <w:sz w:val="24"/>
          <w:szCs w:val="24"/>
          <w:lang w:val="en-US" w:eastAsia="zh-CN"/>
        </w:rPr>
        <w:t>18399561515</w:t>
      </w:r>
      <w:r>
        <w:rPr>
          <w:rFonts w:hint="eastAsia" w:ascii="宋体" w:hAnsi="宋体" w:eastAsia="宋体" w:cs="宋体"/>
          <w:spacing w:val="-3"/>
          <w:sz w:val="24"/>
          <w:szCs w:val="24"/>
        </w:rPr>
        <w:t>， 电子邮箱：</w:t>
      </w:r>
      <w:r>
        <w:rPr>
          <w:rFonts w:hint="eastAsia" w:ascii="宋体" w:hAnsi="宋体" w:eastAsia="宋体" w:cs="宋体"/>
          <w:spacing w:val="-3"/>
          <w:sz w:val="24"/>
          <w:szCs w:val="24"/>
          <w:lang w:val="en-US" w:eastAsia="zh-CN"/>
        </w:rPr>
        <w:t>474729554@qq.com</w:t>
      </w:r>
      <w:r>
        <w:rPr>
          <w:rFonts w:hint="eastAsia" w:ascii="宋体" w:hAnsi="宋体" w:eastAsia="宋体" w:cs="宋体"/>
          <w:spacing w:val="-3"/>
          <w:sz w:val="24"/>
          <w:szCs w:val="24"/>
        </w:rPr>
        <w:t>。</w:t>
      </w:r>
    </w:p>
    <w:p w14:paraId="5B0F7AFB">
      <w:pPr>
        <w:spacing w:before="96" w:line="255" w:lineRule="auto"/>
        <w:ind w:left="4" w:right="2" w:firstLine="871"/>
        <w:rPr>
          <w:rFonts w:ascii="宋体" w:hAnsi="宋体" w:eastAsia="宋体" w:cs="宋体"/>
          <w:sz w:val="24"/>
          <w:szCs w:val="24"/>
        </w:rPr>
      </w:pPr>
      <w:r>
        <w:rPr>
          <w:rFonts w:ascii="宋体" w:hAnsi="宋体" w:eastAsia="宋体" w:cs="宋体"/>
          <w:sz w:val="24"/>
          <w:szCs w:val="24"/>
          <w14:textOutline w14:w="4358" w14:cap="sq" w14:cmpd="sng">
            <w14:solidFill>
              <w14:srgbClr w14:val="000000"/>
            </w14:solidFill>
            <w14:prstDash w14:val="solid"/>
            <w14:bevel/>
          </w14:textOutline>
        </w:rPr>
        <w:t>注：质疑函附件应提供营业执照扫描件、法人身份证扫描件、授权委</w:t>
      </w:r>
      <w:r>
        <w:rPr>
          <w:rFonts w:ascii="宋体" w:hAnsi="宋体" w:eastAsia="宋体" w:cs="宋体"/>
          <w:spacing w:val="-1"/>
          <w:sz w:val="24"/>
          <w:szCs w:val="24"/>
          <w14:textOutline w14:w="4358" w14:cap="sq" w14:cmpd="sng">
            <w14:solidFill>
              <w14:srgbClr w14:val="000000"/>
            </w14:solidFill>
            <w14:prstDash w14:val="solid"/>
            <w14:bevel/>
          </w14:textOutline>
        </w:rPr>
        <w:t>托人应附供应</w:t>
      </w:r>
      <w:r>
        <w:rPr>
          <w:rFonts w:ascii="宋体" w:hAnsi="宋体" w:eastAsia="宋体" w:cs="宋体"/>
          <w:sz w:val="24"/>
          <w:szCs w:val="24"/>
        </w:rPr>
        <w:t xml:space="preserve"> </w:t>
      </w:r>
      <w:r>
        <w:rPr>
          <w:rFonts w:ascii="宋体" w:hAnsi="宋体" w:eastAsia="宋体" w:cs="宋体"/>
          <w:sz w:val="24"/>
          <w:szCs w:val="24"/>
          <w14:textOutline w14:w="4358" w14:cap="sq" w14:cmpd="sng">
            <w14:solidFill>
              <w14:srgbClr w14:val="000000"/>
            </w14:solidFill>
            <w14:prstDash w14:val="solid"/>
            <w14:bevel/>
          </w14:textOutline>
        </w:rPr>
        <w:t>商授权委托书及被委托人身份证扫描件、获取</w:t>
      </w:r>
      <w:r>
        <w:rPr>
          <w:rFonts w:hint="eastAsia" w:ascii="宋体" w:hAnsi="宋体" w:eastAsia="宋体" w:cs="宋体"/>
          <w:sz w:val="24"/>
          <w:szCs w:val="24"/>
          <w:lang w:eastAsia="zh-CN"/>
          <w14:textOutline w14:w="4358" w14:cap="sq" w14:cmpd="sng">
            <w14:solidFill>
              <w14:srgbClr w14:val="000000"/>
            </w14:solidFill>
            <w14:prstDash w14:val="solid"/>
            <w14:bevel/>
          </w14:textOutline>
        </w:rPr>
        <w:t>磋商文件</w:t>
      </w:r>
      <w:r>
        <w:rPr>
          <w:rFonts w:ascii="宋体" w:hAnsi="宋体" w:eastAsia="宋体" w:cs="宋体"/>
          <w:sz w:val="24"/>
          <w:szCs w:val="24"/>
          <w14:textOutline w14:w="4358" w14:cap="sq" w14:cmpd="sng">
            <w14:solidFill>
              <w14:srgbClr w14:val="000000"/>
            </w14:solidFill>
            <w14:prstDash w14:val="solid"/>
            <w14:bevel/>
          </w14:textOutline>
        </w:rPr>
        <w:t>回执单。</w:t>
      </w:r>
    </w:p>
    <w:p w14:paraId="019DC390">
      <w:pPr>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有下列情形之一的，属于无效质疑，被质疑人不予受理，由此产生的影响由供应商自行承担：</w:t>
      </w:r>
    </w:p>
    <w:p w14:paraId="0B75DD6D">
      <w:pPr>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（1）不是参与该政府采购项目活动供应商的；</w:t>
      </w:r>
    </w:p>
    <w:p w14:paraId="3DBCDED4">
      <w:pPr>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（2）被质疑人为采购人或政府采购代理机构之外的；</w:t>
      </w:r>
    </w:p>
    <w:p w14:paraId="2250EF10">
      <w:pPr>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（3）所有质疑事项超过质疑有效期的；</w:t>
      </w:r>
    </w:p>
    <w:p w14:paraId="0DAE910D">
      <w:pPr>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（4）以具有法律效力的文书送达之外方式提出的；</w:t>
      </w:r>
    </w:p>
    <w:p w14:paraId="62E6B00C">
      <w:pPr>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（5）未按上述规定递交澄清或质疑函的；</w:t>
      </w:r>
    </w:p>
    <w:p w14:paraId="3A55C41D">
      <w:pPr>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（6）</w:t>
      </w:r>
      <w:r>
        <w:rPr>
          <w:rFonts w:hint="eastAsia" w:ascii="宋体" w:hAnsi="宋体" w:eastAsia="宋体" w:cs="宋体"/>
          <w:spacing w:val="-3"/>
          <w:sz w:val="24"/>
          <w:szCs w:val="24"/>
          <w:lang w:eastAsia="zh-CN"/>
        </w:rPr>
        <w:t>其他不符合</w:t>
      </w:r>
      <w:r>
        <w:rPr>
          <w:rFonts w:ascii="宋体" w:hAnsi="宋体" w:eastAsia="宋体" w:cs="宋体"/>
          <w:spacing w:val="-3"/>
          <w:sz w:val="24"/>
          <w:szCs w:val="24"/>
        </w:rPr>
        <w:t>受理条件的情形。</w:t>
      </w:r>
    </w:p>
    <w:p w14:paraId="503121B6">
      <w:pPr>
        <w:spacing w:before="149" w:line="219" w:lineRule="auto"/>
        <w:ind w:left="498"/>
        <w:rPr>
          <w:rFonts w:ascii="宋体" w:hAnsi="宋体" w:eastAsia="宋体" w:cs="宋体"/>
          <w:sz w:val="24"/>
          <w:szCs w:val="24"/>
        </w:rPr>
      </w:pPr>
      <w:r>
        <w:rPr>
          <w:rFonts w:ascii="宋体" w:hAnsi="宋体" w:eastAsia="宋体" w:cs="宋体"/>
          <w:spacing w:val="-3"/>
          <w:sz w:val="24"/>
          <w:szCs w:val="24"/>
          <w14:textOutline w14:w="4358" w14:cap="sq" w14:cmpd="sng">
            <w14:solidFill>
              <w14:srgbClr w14:val="000000"/>
            </w14:solidFill>
            <w14:prstDash w14:val="solid"/>
            <w14:bevel/>
          </w14:textOutline>
        </w:rPr>
        <w:t>12.腐败和欺诈行为</w:t>
      </w:r>
    </w:p>
    <w:p w14:paraId="5ED1D0C7">
      <w:pPr>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（1）定义</w:t>
      </w:r>
    </w:p>
    <w:p w14:paraId="12819D03">
      <w:pPr>
        <w:spacing w:before="178" w:line="360" w:lineRule="auto"/>
        <w:ind w:right="59" w:firstLine="498"/>
        <w:rPr>
          <w:rFonts w:ascii="宋体" w:hAnsi="宋体" w:eastAsia="宋体" w:cs="宋体"/>
          <w:color w:val="auto"/>
          <w:spacing w:val="-3"/>
          <w:sz w:val="24"/>
          <w:szCs w:val="24"/>
          <w:highlight w:val="none"/>
        </w:rPr>
      </w:pPr>
      <w:r>
        <w:rPr>
          <w:rFonts w:ascii="宋体" w:hAnsi="宋体" w:eastAsia="宋体" w:cs="宋体"/>
          <w:color w:val="auto"/>
          <w:spacing w:val="-3"/>
          <w:sz w:val="24"/>
          <w:szCs w:val="24"/>
          <w:highlight w:val="none"/>
        </w:rPr>
        <w:t>“腐败行为”系指提供、给予、接受或索取任何有价值的物品来影响招标代理机构/或采购人在采购过程或合同实施过程中的行为。</w:t>
      </w:r>
    </w:p>
    <w:p w14:paraId="60B767FF">
      <w:pPr>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“欺诈行为”系指为了影响采购过程或合同实施过程而谎报事实，损害招标代理机构和 采购人的利益，包括供应商之间串通投标（递交《磋商响应文件》之前和之后），人为地使</w:t>
      </w:r>
      <w:r>
        <w:rPr>
          <w:rFonts w:hint="eastAsia" w:ascii="宋体" w:hAnsi="宋体" w:eastAsia="宋体" w:cs="宋体"/>
          <w:spacing w:val="-3"/>
          <w:sz w:val="24"/>
          <w:szCs w:val="24"/>
          <w:lang w:eastAsia="zh-CN"/>
        </w:rPr>
        <w:t>响应</w:t>
      </w:r>
      <w:r>
        <w:rPr>
          <w:rFonts w:ascii="宋体" w:hAnsi="宋体" w:eastAsia="宋体" w:cs="宋体"/>
          <w:spacing w:val="-3"/>
          <w:sz w:val="24"/>
          <w:szCs w:val="24"/>
        </w:rPr>
        <w:t>丧失竞争性，剥夺采购人从自由公开竞争所能获得的权益。</w:t>
      </w:r>
    </w:p>
    <w:p w14:paraId="04683177">
      <w:pPr>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13.其他</w:t>
      </w:r>
    </w:p>
    <w:p w14:paraId="77B19E8F">
      <w:pPr>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本磋商文件由招标代理机构负责解释。</w:t>
      </w:r>
    </w:p>
    <w:p w14:paraId="166DEBE7">
      <w:pPr>
        <w:pStyle w:val="4"/>
        <w:spacing w:line="295" w:lineRule="auto"/>
      </w:pPr>
    </w:p>
    <w:p w14:paraId="493296A1">
      <w:pPr>
        <w:pStyle w:val="4"/>
        <w:spacing w:line="295" w:lineRule="auto"/>
      </w:pPr>
    </w:p>
    <w:p w14:paraId="0D04F093">
      <w:pPr>
        <w:pStyle w:val="4"/>
        <w:spacing w:line="295" w:lineRule="auto"/>
      </w:pPr>
    </w:p>
    <w:p w14:paraId="0D635912">
      <w:pPr>
        <w:pStyle w:val="4"/>
        <w:spacing w:line="295" w:lineRule="auto"/>
      </w:pPr>
    </w:p>
    <w:p w14:paraId="2AE10C7B">
      <w:pPr>
        <w:pStyle w:val="4"/>
        <w:spacing w:line="295" w:lineRule="auto"/>
      </w:pPr>
    </w:p>
    <w:p w14:paraId="6143E179">
      <w:pPr>
        <w:pStyle w:val="4"/>
        <w:spacing w:line="295" w:lineRule="auto"/>
      </w:pPr>
    </w:p>
    <w:p w14:paraId="15590E50">
      <w:pPr>
        <w:spacing w:before="114" w:line="226" w:lineRule="auto"/>
        <w:ind w:left="3322"/>
        <w:outlineLvl w:val="0"/>
        <w:rPr>
          <w:rFonts w:ascii="黑体" w:hAnsi="黑体" w:eastAsia="黑体" w:cs="黑体"/>
          <w:sz w:val="35"/>
          <w:szCs w:val="35"/>
        </w:rPr>
      </w:pPr>
      <w:bookmarkStart w:id="4" w:name="bookmark3"/>
      <w:bookmarkEnd w:id="4"/>
      <w:r>
        <w:rPr>
          <w:rFonts w:ascii="黑体" w:hAnsi="黑体" w:eastAsia="黑体" w:cs="黑体"/>
          <w:spacing w:val="8"/>
          <w:sz w:val="35"/>
          <w:szCs w:val="35"/>
          <w14:textOutline w14:w="6537" w14:cap="sq" w14:cmpd="sng">
            <w14:solidFill>
              <w14:srgbClr w14:val="000000"/>
            </w14:solidFill>
            <w14:prstDash w14:val="solid"/>
            <w14:bevel/>
          </w14:textOutline>
        </w:rPr>
        <w:t>第三章</w:t>
      </w:r>
      <w:r>
        <w:rPr>
          <w:rFonts w:ascii="黑体" w:hAnsi="黑体" w:eastAsia="黑体" w:cs="黑体"/>
          <w:spacing w:val="8"/>
          <w:sz w:val="35"/>
          <w:szCs w:val="35"/>
        </w:rPr>
        <w:t xml:space="preserve">  </w:t>
      </w:r>
      <w:r>
        <w:rPr>
          <w:rFonts w:ascii="黑体" w:hAnsi="黑体" w:eastAsia="黑体" w:cs="黑体"/>
          <w:spacing w:val="8"/>
          <w:sz w:val="35"/>
          <w:szCs w:val="35"/>
          <w14:textOutline w14:w="6537" w14:cap="sq" w14:cmpd="sng">
            <w14:solidFill>
              <w14:srgbClr w14:val="000000"/>
            </w14:solidFill>
            <w14:prstDash w14:val="solid"/>
            <w14:bevel/>
          </w14:textOutline>
        </w:rPr>
        <w:t>评标办法</w:t>
      </w:r>
    </w:p>
    <w:p w14:paraId="0B301D2B">
      <w:pPr>
        <w:spacing w:before="20" w:line="221" w:lineRule="auto"/>
        <w:ind w:left="4207"/>
        <w:outlineLvl w:val="1"/>
        <w:rPr>
          <w:rFonts w:ascii="宋体" w:hAnsi="宋体" w:eastAsia="宋体" w:cs="宋体"/>
          <w:sz w:val="28"/>
          <w:szCs w:val="28"/>
        </w:rPr>
      </w:pPr>
      <w:r>
        <w:rPr>
          <w:rFonts w:ascii="宋体" w:hAnsi="宋体" w:eastAsia="宋体" w:cs="宋体"/>
          <w:spacing w:val="-4"/>
          <w:sz w:val="28"/>
          <w:szCs w:val="28"/>
          <w14:textOutline w14:w="5103" w14:cap="sq" w14:cmpd="sng">
            <w14:solidFill>
              <w14:srgbClr w14:val="000000"/>
            </w14:solidFill>
            <w14:prstDash w14:val="solid"/>
            <w14:bevel/>
          </w14:textOutline>
        </w:rPr>
        <w:t>一、总则</w:t>
      </w:r>
    </w:p>
    <w:p w14:paraId="12F234A2">
      <w:pPr>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1.根据《中华人民共和国政府采购法》、《中华人民共和国政府采购法实施条例》、《政府采购竞争性磋商采购方式管理暂行办法》及《政府采购货物和服务招标投标管理办法》（财政部第87号令）等法律规章，结合采购项目特点制定本评标办法。</w:t>
      </w:r>
    </w:p>
    <w:p w14:paraId="205D69E0">
      <w:pPr>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2.评标工作由招标代理机构负责组织，具体评标事务由招标代理机构依法组建的磋商小组负责。磋商小组由3人及以上单数评审专家组成。</w:t>
      </w:r>
    </w:p>
    <w:p w14:paraId="249340FE">
      <w:pPr>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3.评标工作应遵循公平、公正、科学及择优的原则，并以相同的评标程序和标准对待所有的供应商。</w:t>
      </w:r>
    </w:p>
    <w:p w14:paraId="59BB70F4">
      <w:pPr>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4.磋商小组按照磋商文件规定的评标方法和标准进行评标，并独立履行下列职责：</w:t>
      </w:r>
    </w:p>
    <w:p w14:paraId="410EEFD7">
      <w:pPr>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（1）审查磋商响应文件是否符合磋商文件要求，并</w:t>
      </w:r>
      <w:r>
        <w:rPr>
          <w:rFonts w:hint="eastAsia" w:ascii="宋体" w:hAnsi="宋体" w:eastAsia="宋体" w:cs="宋体"/>
          <w:spacing w:val="-3"/>
          <w:sz w:val="24"/>
          <w:szCs w:val="24"/>
          <w:lang w:eastAsia="zh-CN"/>
        </w:rPr>
        <w:t>作出评价</w:t>
      </w:r>
      <w:r>
        <w:rPr>
          <w:rFonts w:ascii="宋体" w:hAnsi="宋体" w:eastAsia="宋体" w:cs="宋体"/>
          <w:spacing w:val="-3"/>
          <w:sz w:val="24"/>
          <w:szCs w:val="24"/>
        </w:rPr>
        <w:t>；</w:t>
      </w:r>
    </w:p>
    <w:p w14:paraId="1386F34D">
      <w:pPr>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（2）要求供应商对磋商响应文件有关事项</w:t>
      </w:r>
      <w:r>
        <w:rPr>
          <w:rFonts w:hint="eastAsia" w:ascii="宋体" w:hAnsi="宋体" w:eastAsia="宋体" w:cs="宋体"/>
          <w:spacing w:val="-3"/>
          <w:sz w:val="24"/>
          <w:szCs w:val="24"/>
          <w:lang w:eastAsia="zh-CN"/>
        </w:rPr>
        <w:t>作出解释</w:t>
      </w:r>
      <w:r>
        <w:rPr>
          <w:rFonts w:ascii="宋体" w:hAnsi="宋体" w:eastAsia="宋体" w:cs="宋体"/>
          <w:spacing w:val="-3"/>
          <w:sz w:val="24"/>
          <w:szCs w:val="24"/>
        </w:rPr>
        <w:t>或者澄清；</w:t>
      </w:r>
    </w:p>
    <w:p w14:paraId="1EEF9077">
      <w:pPr>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（3）推荐</w:t>
      </w:r>
      <w:r>
        <w:rPr>
          <w:rFonts w:hint="eastAsia" w:ascii="宋体" w:hAnsi="宋体" w:eastAsia="宋体" w:cs="宋体"/>
          <w:spacing w:val="-3"/>
          <w:sz w:val="24"/>
          <w:szCs w:val="24"/>
          <w:lang w:eastAsia="zh-CN"/>
        </w:rPr>
        <w:t>成交</w:t>
      </w:r>
      <w:r>
        <w:rPr>
          <w:rFonts w:ascii="宋体" w:hAnsi="宋体" w:eastAsia="宋体" w:cs="宋体"/>
          <w:spacing w:val="-3"/>
          <w:sz w:val="24"/>
          <w:szCs w:val="24"/>
        </w:rPr>
        <w:t>候选供应商名单，或者受采购人委托按照事先确定的办法直接确定</w:t>
      </w:r>
      <w:r>
        <w:rPr>
          <w:rFonts w:hint="eastAsia" w:ascii="宋体" w:hAnsi="宋体" w:eastAsia="宋体" w:cs="宋体"/>
          <w:spacing w:val="-3"/>
          <w:sz w:val="24"/>
          <w:szCs w:val="24"/>
          <w:lang w:eastAsia="zh-CN"/>
        </w:rPr>
        <w:t>成交</w:t>
      </w:r>
      <w:r>
        <w:rPr>
          <w:rFonts w:ascii="宋体" w:hAnsi="宋体" w:eastAsia="宋体" w:cs="宋体"/>
          <w:spacing w:val="-3"/>
          <w:sz w:val="24"/>
          <w:szCs w:val="24"/>
        </w:rPr>
        <w:t>单位；</w:t>
      </w:r>
    </w:p>
    <w:p w14:paraId="5589B9EC">
      <w:pPr>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（4）向招标采购单位或者有关部门报告非法干预评标工作的行为。</w:t>
      </w:r>
    </w:p>
    <w:p w14:paraId="4EA73C7A">
      <w:pPr>
        <w:pStyle w:val="4"/>
        <w:spacing w:line="334" w:lineRule="auto"/>
      </w:pPr>
    </w:p>
    <w:p w14:paraId="35CB0FC2">
      <w:pPr>
        <w:spacing w:before="92" w:line="221" w:lineRule="auto"/>
        <w:ind w:left="3923"/>
        <w:outlineLvl w:val="1"/>
        <w:rPr>
          <w:rFonts w:ascii="宋体" w:hAnsi="宋体" w:eastAsia="宋体" w:cs="宋体"/>
          <w:sz w:val="28"/>
          <w:szCs w:val="28"/>
        </w:rPr>
      </w:pPr>
      <w:r>
        <w:rPr>
          <w:rFonts w:ascii="宋体" w:hAnsi="宋体" w:eastAsia="宋体" w:cs="宋体"/>
          <w:spacing w:val="-2"/>
          <w:sz w:val="28"/>
          <w:szCs w:val="28"/>
          <w14:textOutline w14:w="5103" w14:cap="sq" w14:cmpd="sng">
            <w14:solidFill>
              <w14:srgbClr w14:val="000000"/>
            </w14:solidFill>
            <w14:prstDash w14:val="solid"/>
            <w14:bevel/>
          </w14:textOutline>
        </w:rPr>
        <w:t>二、评标原则</w:t>
      </w:r>
    </w:p>
    <w:p w14:paraId="51CFF998">
      <w:pPr>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1.磋商小组按照公开、公平、公正、科学、择优的原则对待所有的供应商。</w:t>
      </w:r>
    </w:p>
    <w:p w14:paraId="01475F5B">
      <w:pPr>
        <w:spacing w:before="178" w:line="360" w:lineRule="auto"/>
        <w:ind w:right="59" w:firstLine="498"/>
        <w:rPr>
          <w:rFonts w:ascii="宋体" w:hAnsi="宋体" w:eastAsia="宋体" w:cs="宋体"/>
          <w:spacing w:val="-3"/>
          <w:sz w:val="24"/>
          <w:szCs w:val="24"/>
          <w:lang w:val="en-US" w:eastAsia="en-US"/>
        </w:rPr>
      </w:pPr>
      <w:r>
        <w:rPr>
          <w:rFonts w:ascii="宋体" w:hAnsi="宋体" w:eastAsia="宋体" w:cs="宋体"/>
          <w:spacing w:val="-3"/>
          <w:sz w:val="24"/>
          <w:szCs w:val="24"/>
          <w:lang w:val="en-US" w:eastAsia="en-US"/>
        </w:rPr>
        <w:t>2.磋商小组成员应当客观、公正地履行职责，遵守职业道德，对所提出的评审意见承担个人责任；磋商小组成员实行主动回避制度；磋商小组成员及工作人员对整个评标活动保密。</w:t>
      </w:r>
    </w:p>
    <w:p w14:paraId="47B3E08F">
      <w:pPr>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3.磋商小组审查磋商响应文件是否符合磋商文件的所有条款、条件和规定。</w:t>
      </w:r>
    </w:p>
    <w:p w14:paraId="3CCB4FF1">
      <w:pPr>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4.评标只对实质上响应磋商文件要求的有效磋商响应文件进行评审，响应的依据是磋商响应文件本身的内容，而不寻求</w:t>
      </w:r>
      <w:r>
        <w:rPr>
          <w:rFonts w:hint="eastAsia" w:ascii="宋体" w:hAnsi="宋体" w:eastAsia="宋体" w:cs="宋体"/>
          <w:spacing w:val="-3"/>
          <w:sz w:val="24"/>
          <w:szCs w:val="24"/>
          <w:lang w:eastAsia="zh-CN"/>
        </w:rPr>
        <w:t>其他证据</w:t>
      </w:r>
      <w:r>
        <w:rPr>
          <w:rFonts w:ascii="宋体" w:hAnsi="宋体" w:eastAsia="宋体" w:cs="宋体"/>
          <w:spacing w:val="-3"/>
          <w:sz w:val="24"/>
          <w:szCs w:val="24"/>
        </w:rPr>
        <w:t>。</w:t>
      </w:r>
    </w:p>
    <w:p w14:paraId="69B40EF8">
      <w:pPr>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5.评标将依据磋商文件确定的标准和方法，结合磋商响应文件及其补充文件进行，不得忽视磋商响应文件的实质性内容进行评标。</w:t>
      </w:r>
    </w:p>
    <w:p w14:paraId="47D80B5A">
      <w:pPr>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6.评标活动依法进行，任何单位和个人不得非法干预、阻挠采购人采购代理机构的正常工作或者影响评标过程和结果。</w:t>
      </w:r>
    </w:p>
    <w:p w14:paraId="1A7B9269">
      <w:pPr>
        <w:pStyle w:val="4"/>
        <w:spacing w:line="334" w:lineRule="auto"/>
      </w:pPr>
    </w:p>
    <w:p w14:paraId="3C4622ED">
      <w:pPr>
        <w:spacing w:before="91" w:line="221" w:lineRule="auto"/>
        <w:ind w:left="3920"/>
        <w:outlineLvl w:val="1"/>
        <w:rPr>
          <w:rFonts w:ascii="宋体" w:hAnsi="宋体" w:eastAsia="宋体" w:cs="宋体"/>
          <w:sz w:val="28"/>
          <w:szCs w:val="28"/>
        </w:rPr>
      </w:pPr>
      <w:r>
        <w:rPr>
          <w:rFonts w:ascii="宋体" w:hAnsi="宋体" w:eastAsia="宋体" w:cs="宋体"/>
          <w:spacing w:val="-1"/>
          <w:sz w:val="28"/>
          <w:szCs w:val="28"/>
          <w14:textOutline w14:w="5103" w14:cap="sq" w14:cmpd="sng">
            <w14:solidFill>
              <w14:srgbClr w14:val="000000"/>
            </w14:solidFill>
            <w14:prstDash w14:val="solid"/>
            <w14:bevel/>
          </w14:textOutline>
        </w:rPr>
        <w:t>三、评标方法</w:t>
      </w:r>
    </w:p>
    <w:p w14:paraId="47352962">
      <w:pPr>
        <w:spacing w:before="205" w:line="219" w:lineRule="auto"/>
        <w:ind w:left="19"/>
        <w:outlineLvl w:val="2"/>
        <w:rPr>
          <w:rFonts w:ascii="宋体" w:hAnsi="宋体" w:eastAsia="宋体" w:cs="宋体"/>
          <w:sz w:val="24"/>
          <w:szCs w:val="24"/>
        </w:rPr>
      </w:pPr>
      <w:r>
        <w:rPr>
          <w:rFonts w:ascii="宋体" w:hAnsi="宋体" w:eastAsia="宋体" w:cs="宋体"/>
          <w:spacing w:val="-3"/>
          <w:sz w:val="24"/>
          <w:szCs w:val="24"/>
          <w14:textOutline w14:w="4358" w14:cap="sq" w14:cmpd="sng">
            <w14:solidFill>
              <w14:srgbClr w14:val="000000"/>
            </w14:solidFill>
            <w14:prstDash w14:val="solid"/>
            <w14:bevel/>
          </w14:textOutline>
        </w:rPr>
        <w:t>1、竞争性磋商要求</w:t>
      </w:r>
    </w:p>
    <w:p w14:paraId="42C9879B">
      <w:pPr>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1.1 招标代理机构将在“竞争性磋商须知前附表 ”规定的时间、地点组织竞争性磋商。供应商应委派代表参加。</w:t>
      </w:r>
    </w:p>
    <w:p w14:paraId="623BF890">
      <w:pPr>
        <w:spacing w:before="185" w:line="219" w:lineRule="auto"/>
        <w:ind w:left="4"/>
        <w:outlineLvl w:val="2"/>
        <w:rPr>
          <w:rFonts w:ascii="宋体" w:hAnsi="宋体" w:eastAsia="宋体" w:cs="宋体"/>
          <w:sz w:val="24"/>
          <w:szCs w:val="24"/>
        </w:rPr>
      </w:pPr>
      <w:r>
        <w:rPr>
          <w:rFonts w:ascii="宋体" w:hAnsi="宋体" w:eastAsia="宋体" w:cs="宋体"/>
          <w:spacing w:val="-1"/>
          <w:sz w:val="24"/>
          <w:szCs w:val="24"/>
          <w14:textOutline w14:w="4358" w14:cap="sq" w14:cmpd="sng">
            <w14:solidFill>
              <w14:srgbClr w14:val="000000"/>
            </w14:solidFill>
            <w14:prstDash w14:val="solid"/>
            <w14:bevel/>
          </w14:textOutline>
        </w:rPr>
        <w:t>2、竞争性磋商小组组建及工作</w:t>
      </w:r>
    </w:p>
    <w:p w14:paraId="414DA959">
      <w:pPr>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2.1 招标机构将按照《中华人民共和国政府采购法》及有关规定组建磋商小组。</w:t>
      </w:r>
    </w:p>
    <w:p w14:paraId="470776C8">
      <w:pPr>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2.2 磋商小组由 3 人及以上单数评审专家组成，采购代理机构人员不得参加本机构代理的采 购项目的评审。</w:t>
      </w:r>
    </w:p>
    <w:p w14:paraId="021A3B88">
      <w:pPr>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采用竞争性磋商方式的政府采购项目，评审专家应当从政府采购评审专家库内相关专业的专家名单中随机抽取。符合本办法第三条第四项规定情形的项目，以及情况特殊、通过随机方式难以确定合适的评审专家的项目，经主管预算单位同意，可以自行选定评审专家。技术复杂、专业性强的采购项目，评审专家中应当包含 1 名法律专家。</w:t>
      </w:r>
    </w:p>
    <w:p w14:paraId="02AC19CA">
      <w:pPr>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2.3 磋商小组所有成员应当集中与单一供应商分别进行磋商，并给予所有参加磋商的供应商平等的磋商机会。在磋商中，磋商的任何一方不得透露与磋商有关的其他供应商的技术资料、价格和其他信息。磋商文件有实质性变动的，磋商小组应当以书面形式通知所有参加磋商的供应商。</w:t>
      </w:r>
    </w:p>
    <w:p w14:paraId="672C3DF7">
      <w:pPr>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2.4 磋商结束后，磋商小组应当要求所有实质性响应的供应商在规定时间内提交最后报价，经磋商确定最终采购需求和提交最后报价的供应商后，由磋商小组采用综合评分法对提交最后报价的供应商的响应文件和最后报价进行综合评分。</w:t>
      </w:r>
    </w:p>
    <w:p w14:paraId="08A57D96">
      <w:pPr>
        <w:pStyle w:val="4"/>
        <w:keepNext w:val="0"/>
        <w:keepLines w:val="0"/>
        <w:pageBreakBefore w:val="0"/>
        <w:widowControl/>
        <w:kinsoku w:val="0"/>
        <w:wordWrap/>
        <w:overflowPunct/>
        <w:topLinePunct w:val="0"/>
        <w:autoSpaceDE w:val="0"/>
        <w:autoSpaceDN w:val="0"/>
        <w:bidi w:val="0"/>
        <w:adjustRightInd w:val="0"/>
        <w:snapToGrid w:val="0"/>
        <w:spacing w:line="242" w:lineRule="auto"/>
        <w:ind w:firstLine="468" w:firstLineChars="200"/>
        <w:textAlignment w:val="baseline"/>
        <w:rPr>
          <w:rFonts w:ascii="宋体" w:hAnsi="宋体" w:eastAsia="宋体" w:cs="宋体"/>
          <w:snapToGrid w:val="0"/>
          <w:color w:val="000000"/>
          <w:spacing w:val="-3"/>
          <w:kern w:val="0"/>
          <w:sz w:val="24"/>
          <w:szCs w:val="24"/>
          <w:lang w:val="en-US" w:eastAsia="en-US" w:bidi="ar-SA"/>
        </w:rPr>
      </w:pPr>
      <w:r>
        <w:rPr>
          <w:rFonts w:ascii="宋体" w:hAnsi="宋体" w:eastAsia="宋体" w:cs="宋体"/>
          <w:spacing w:val="-3"/>
          <w:sz w:val="24"/>
          <w:szCs w:val="24"/>
        </w:rPr>
        <w:t>2.5 在磋商期间，响应文件中有不满足竞争性磋商文件资质要求的或不符合竞争性磋商文件 带“★ ”要求的内容的，将视为无效</w:t>
      </w:r>
      <w:r>
        <w:rPr>
          <w:rFonts w:hint="eastAsia" w:ascii="宋体" w:hAnsi="宋体" w:eastAsia="宋体" w:cs="宋体"/>
          <w:spacing w:val="-3"/>
          <w:sz w:val="24"/>
          <w:szCs w:val="24"/>
          <w:lang w:eastAsia="zh-CN"/>
        </w:rPr>
        <w:t>响应</w:t>
      </w:r>
      <w:r>
        <w:rPr>
          <w:rFonts w:ascii="宋体" w:hAnsi="宋体" w:eastAsia="宋体" w:cs="宋体"/>
          <w:spacing w:val="-3"/>
          <w:sz w:val="24"/>
          <w:szCs w:val="24"/>
        </w:rPr>
        <w:t>；磋商小组可要求供应</w:t>
      </w:r>
      <w:r>
        <w:rPr>
          <w:rFonts w:ascii="宋体" w:hAnsi="宋体" w:eastAsia="宋体" w:cs="宋体"/>
          <w:snapToGrid w:val="0"/>
          <w:color w:val="000000"/>
          <w:spacing w:val="-3"/>
          <w:kern w:val="0"/>
          <w:sz w:val="24"/>
          <w:szCs w:val="24"/>
          <w:lang w:val="en-US" w:eastAsia="en-US" w:bidi="ar-SA"/>
        </w:rPr>
        <w:t>商对其磋商响应文件中含义不明确的内容作必要的澄清或说明，但澄清或说明不得超出磋商响应文件的范围或改变磋商响应文件实质性内容。有关澄清的要求和答复均应以书面形式提交，澄清的内容为磋商响应文件的组成部分。</w:t>
      </w:r>
    </w:p>
    <w:p w14:paraId="75C1A137">
      <w:pPr>
        <w:keepNext w:val="0"/>
        <w:keepLines w:val="0"/>
        <w:pageBreakBefore w:val="0"/>
        <w:widowControl/>
        <w:kinsoku w:val="0"/>
        <w:wordWrap/>
        <w:overflowPunct/>
        <w:topLinePunct w:val="0"/>
        <w:autoSpaceDE w:val="0"/>
        <w:autoSpaceDN w:val="0"/>
        <w:bidi w:val="0"/>
        <w:adjustRightInd w:val="0"/>
        <w:snapToGrid w:val="0"/>
        <w:spacing w:before="182" w:line="466" w:lineRule="exact"/>
        <w:ind w:left="4" w:firstLine="468" w:firstLineChars="200"/>
        <w:textAlignment w:val="baseline"/>
        <w:rPr>
          <w:rFonts w:ascii="宋体" w:hAnsi="宋体" w:eastAsia="宋体" w:cs="宋体"/>
          <w:snapToGrid w:val="0"/>
          <w:color w:val="000000"/>
          <w:spacing w:val="-3"/>
          <w:kern w:val="0"/>
          <w:sz w:val="24"/>
          <w:szCs w:val="24"/>
          <w:lang w:val="en-US" w:eastAsia="en-US" w:bidi="ar-SA"/>
        </w:rPr>
      </w:pPr>
      <w:r>
        <w:rPr>
          <w:rFonts w:ascii="宋体" w:hAnsi="宋体" w:eastAsia="宋体" w:cs="宋体"/>
          <w:snapToGrid w:val="0"/>
          <w:color w:val="000000"/>
          <w:spacing w:val="-3"/>
          <w:kern w:val="0"/>
          <w:sz w:val="24"/>
          <w:szCs w:val="24"/>
          <w:lang w:val="en-US" w:eastAsia="en-US" w:bidi="ar-SA"/>
        </w:rPr>
        <w:t>2.6 参加磋商的供应商应当对磋商的承诺和最后报价以书面形式确认，并由全权代表签字或盖章。</w:t>
      </w:r>
    </w:p>
    <w:p w14:paraId="3C76F243">
      <w:pPr>
        <w:spacing w:before="185" w:line="219" w:lineRule="auto"/>
        <w:ind w:left="6"/>
        <w:outlineLvl w:val="2"/>
        <w:rPr>
          <w:rFonts w:ascii="宋体" w:hAnsi="宋体" w:eastAsia="宋体" w:cs="宋体"/>
          <w:sz w:val="24"/>
          <w:szCs w:val="24"/>
        </w:rPr>
      </w:pPr>
      <w:r>
        <w:rPr>
          <w:rFonts w:ascii="宋体" w:hAnsi="宋体" w:eastAsia="宋体" w:cs="宋体"/>
          <w:spacing w:val="-1"/>
          <w:sz w:val="24"/>
          <w:szCs w:val="24"/>
          <w14:textOutline w14:w="4358" w14:cap="sq" w14:cmpd="sng">
            <w14:solidFill>
              <w14:srgbClr w14:val="000000"/>
            </w14:solidFill>
            <w14:prstDash w14:val="solid"/>
            <w14:bevel/>
          </w14:textOutline>
        </w:rPr>
        <w:t>3、竞争性磋商过程的保密性</w:t>
      </w:r>
    </w:p>
    <w:p w14:paraId="247EC3B5">
      <w:pPr>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3.1 从开始竞争性磋商，直到向成交的供应商授予合同时止，凡与审查、澄清、评价和比较报价有关资料以及评审意见等，均不得向供应商及与竞争性磋商无关的其他人透露。</w:t>
      </w:r>
    </w:p>
    <w:p w14:paraId="3CB7AFAF">
      <w:pPr>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3.2 在竞争性磋商过程中，如果供应商试图在响应文件审查、澄清、比较及授予合同方面向采购人施加任何影响，其报价将被拒绝。</w:t>
      </w:r>
    </w:p>
    <w:p w14:paraId="10D0361B">
      <w:pPr>
        <w:spacing w:before="183" w:line="219" w:lineRule="auto"/>
        <w:outlineLvl w:val="2"/>
        <w:rPr>
          <w:rFonts w:ascii="宋体" w:hAnsi="宋体" w:eastAsia="宋体" w:cs="宋体"/>
          <w:sz w:val="24"/>
          <w:szCs w:val="24"/>
        </w:rPr>
      </w:pPr>
      <w:r>
        <w:rPr>
          <w:rFonts w:ascii="宋体" w:hAnsi="宋体" w:eastAsia="宋体" w:cs="宋体"/>
          <w:spacing w:val="-1"/>
          <w:sz w:val="24"/>
          <w:szCs w:val="24"/>
          <w14:textOutline w14:w="4358" w14:cap="sq" w14:cmpd="sng">
            <w14:solidFill>
              <w14:srgbClr w14:val="000000"/>
            </w14:solidFill>
            <w14:prstDash w14:val="solid"/>
            <w14:bevel/>
          </w14:textOutline>
        </w:rPr>
        <w:t>4.竞争性磋商程序</w:t>
      </w:r>
    </w:p>
    <w:p w14:paraId="14464BC5">
      <w:pPr>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4.1 竞争性磋商程序：初步审查、竞争性磋商（包括澄清、符合性评审）、磋商报价、详细评审、推荐成交供应商。其中，竞争性磋商按本章第 9.1 款情形进行。</w:t>
      </w:r>
    </w:p>
    <w:p w14:paraId="170DDF2A">
      <w:pPr>
        <w:spacing w:before="184" w:line="219" w:lineRule="auto"/>
        <w:ind w:left="6"/>
        <w:outlineLvl w:val="2"/>
        <w:rPr>
          <w:rFonts w:ascii="宋体" w:hAnsi="宋体" w:eastAsia="宋体" w:cs="宋体"/>
          <w:sz w:val="24"/>
          <w:szCs w:val="24"/>
        </w:rPr>
      </w:pPr>
      <w:r>
        <w:rPr>
          <w:rFonts w:ascii="宋体" w:hAnsi="宋体" w:eastAsia="宋体" w:cs="宋体"/>
          <w:spacing w:val="-2"/>
          <w:sz w:val="24"/>
          <w:szCs w:val="24"/>
          <w14:textOutline w14:w="4358" w14:cap="sq" w14:cmpd="sng">
            <w14:solidFill>
              <w14:srgbClr w14:val="000000"/>
            </w14:solidFill>
            <w14:prstDash w14:val="solid"/>
            <w14:bevel/>
          </w14:textOutline>
        </w:rPr>
        <w:t>5.初步审查</w:t>
      </w:r>
    </w:p>
    <w:p w14:paraId="65CF03D5">
      <w:pPr>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5.1 磋商小组将审查磋商响应文件是否完整、资格证明文件是否齐全、合格，保证金是否足额、有无计算上的错误等。</w:t>
      </w:r>
    </w:p>
    <w:p w14:paraId="04892ADB">
      <w:pPr>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5.2 算术错误将按以下方法更正：若单价计算的结果与总价不一致，以单价为准修改总价；若用文字表示的数值与数字表示的数值不一致，以文字表示的数值为准。如果供应商不接受 对其错误的更正，其响应文件将被拒绝。</w:t>
      </w:r>
    </w:p>
    <w:p w14:paraId="18E46D4E">
      <w:pPr>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5.3 在详细磋商响应之前，根据本须知的规定，磋商小组要审查每份磋商响应文件是否实质上响应了</w:t>
      </w:r>
      <w:r>
        <w:rPr>
          <w:rFonts w:hint="eastAsia" w:ascii="宋体" w:hAnsi="宋体" w:eastAsia="宋体" w:cs="宋体"/>
          <w:spacing w:val="-3"/>
          <w:sz w:val="24"/>
          <w:szCs w:val="24"/>
          <w:lang w:eastAsia="zh-CN"/>
        </w:rPr>
        <w:t>磋商文件</w:t>
      </w:r>
      <w:r>
        <w:rPr>
          <w:rFonts w:ascii="宋体" w:hAnsi="宋体" w:eastAsia="宋体" w:cs="宋体"/>
          <w:spacing w:val="-3"/>
          <w:sz w:val="24"/>
          <w:szCs w:val="24"/>
        </w:rPr>
        <w:t>的要求。实质上响应的磋商响应文件应该是与</w:t>
      </w:r>
      <w:r>
        <w:rPr>
          <w:rFonts w:hint="eastAsia" w:ascii="宋体" w:hAnsi="宋体" w:eastAsia="宋体" w:cs="宋体"/>
          <w:spacing w:val="-3"/>
          <w:sz w:val="24"/>
          <w:szCs w:val="24"/>
          <w:lang w:eastAsia="zh-CN"/>
        </w:rPr>
        <w:t>磋商文件</w:t>
      </w:r>
      <w:r>
        <w:rPr>
          <w:rFonts w:ascii="宋体" w:hAnsi="宋体" w:eastAsia="宋体" w:cs="宋体"/>
          <w:spacing w:val="-3"/>
          <w:sz w:val="24"/>
          <w:szCs w:val="24"/>
        </w:rPr>
        <w:t>要求的全部条款、条件和技术参数相符，没有重大偏离的磋商响应文件。对关键条文的偏离、保留或反对将被认为是实质上的偏离。磋商小组决定磋商的响应性只根据磋商响应文件本身的内容，而不寻求外部的证据。</w:t>
      </w:r>
    </w:p>
    <w:p w14:paraId="5BCEE704">
      <w:pPr>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5.4 实质上没有响应</w:t>
      </w:r>
      <w:r>
        <w:rPr>
          <w:rFonts w:hint="eastAsia" w:ascii="宋体" w:hAnsi="宋体" w:eastAsia="宋体" w:cs="宋体"/>
          <w:spacing w:val="-3"/>
          <w:sz w:val="24"/>
          <w:szCs w:val="24"/>
          <w:lang w:eastAsia="zh-CN"/>
        </w:rPr>
        <w:t>磋商文件</w:t>
      </w:r>
      <w:r>
        <w:rPr>
          <w:rFonts w:ascii="宋体" w:hAnsi="宋体" w:eastAsia="宋体" w:cs="宋体"/>
          <w:spacing w:val="-3"/>
          <w:sz w:val="24"/>
          <w:szCs w:val="24"/>
        </w:rPr>
        <w:t>要求的磋商响应文件将被拒绝。</w:t>
      </w:r>
    </w:p>
    <w:p w14:paraId="67A4F7C2">
      <w:pPr>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5.5 如果磋商响应文件实质性没有响应</w:t>
      </w:r>
      <w:r>
        <w:rPr>
          <w:rFonts w:hint="eastAsia" w:ascii="宋体" w:hAnsi="宋体" w:eastAsia="宋体" w:cs="宋体"/>
          <w:spacing w:val="-3"/>
          <w:sz w:val="24"/>
          <w:szCs w:val="24"/>
          <w:lang w:eastAsia="zh-CN"/>
        </w:rPr>
        <w:t>磋商文件</w:t>
      </w:r>
      <w:r>
        <w:rPr>
          <w:rFonts w:ascii="宋体" w:hAnsi="宋体" w:eastAsia="宋体" w:cs="宋体"/>
          <w:spacing w:val="-3"/>
          <w:sz w:val="24"/>
          <w:szCs w:val="24"/>
        </w:rPr>
        <w:t>的要求，其</w:t>
      </w:r>
      <w:r>
        <w:rPr>
          <w:rFonts w:hint="eastAsia" w:ascii="宋体" w:hAnsi="宋体" w:eastAsia="宋体" w:cs="宋体"/>
          <w:spacing w:val="-3"/>
          <w:sz w:val="24"/>
          <w:szCs w:val="24"/>
          <w:lang w:eastAsia="zh-CN"/>
        </w:rPr>
        <w:t>响应</w:t>
      </w:r>
      <w:r>
        <w:rPr>
          <w:rFonts w:ascii="宋体" w:hAnsi="宋体" w:eastAsia="宋体" w:cs="宋体"/>
          <w:spacing w:val="-3"/>
          <w:sz w:val="24"/>
          <w:szCs w:val="24"/>
        </w:rPr>
        <w:t>将被拒绝。供应商不得通 过修正或</w:t>
      </w:r>
      <w:r>
        <w:rPr>
          <w:rFonts w:hint="eastAsia" w:ascii="宋体" w:hAnsi="宋体" w:eastAsia="宋体" w:cs="宋体"/>
          <w:spacing w:val="-3"/>
          <w:sz w:val="24"/>
          <w:szCs w:val="24"/>
          <w:lang w:eastAsia="zh-CN"/>
        </w:rPr>
        <w:t>撤销</w:t>
      </w:r>
      <w:r>
        <w:rPr>
          <w:rFonts w:ascii="宋体" w:hAnsi="宋体" w:eastAsia="宋体" w:cs="宋体"/>
          <w:spacing w:val="-3"/>
          <w:sz w:val="24"/>
          <w:szCs w:val="24"/>
        </w:rPr>
        <w:t>不符合要求的偏离或保留从而使其磋商响应文件成为实质上响应。</w:t>
      </w:r>
    </w:p>
    <w:p w14:paraId="34F3D17C">
      <w:pPr>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5.6 采购人只对在初审中确定为实质性响应的磋商响应文件进行进一步的详细商务和技术评审。</w:t>
      </w:r>
    </w:p>
    <w:p w14:paraId="37A5C43A">
      <w:pPr>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5.7 结合节能环保产品报价占总项目的比例，给予相应的加分。调整后的价格作为供应商的</w:t>
      </w:r>
      <w:r>
        <w:rPr>
          <w:rFonts w:ascii="宋体" w:hAnsi="宋体" w:eastAsia="宋体" w:cs="宋体"/>
          <w:spacing w:val="-3"/>
          <w:sz w:val="24"/>
          <w:szCs w:val="24"/>
          <w:lang w:val="en-US" w:eastAsia="en-US"/>
        </w:rPr>
        <w:t>评标价。根据评标价按下述方法测算各供应商的价格分值。</w:t>
      </w:r>
      <w:r>
        <w:rPr>
          <w:rFonts w:ascii="宋体" w:hAnsi="宋体" w:eastAsia="宋体" w:cs="宋体"/>
          <w:spacing w:val="-3"/>
          <w:sz w:val="24"/>
          <w:szCs w:val="24"/>
        </w:rPr>
        <w:t>调整后的价格作为供应商的评标价。根据评标价按下述方法测算各供应商的价格分值。</w:t>
      </w:r>
    </w:p>
    <w:p w14:paraId="7710E245">
      <w:pPr>
        <w:spacing w:before="184" w:line="220" w:lineRule="auto"/>
        <w:ind w:left="2"/>
        <w:outlineLvl w:val="2"/>
        <w:rPr>
          <w:rFonts w:ascii="宋体" w:hAnsi="宋体" w:eastAsia="宋体" w:cs="宋体"/>
          <w:sz w:val="24"/>
          <w:szCs w:val="24"/>
        </w:rPr>
      </w:pPr>
      <w:r>
        <w:rPr>
          <w:rFonts w:ascii="宋体" w:hAnsi="宋体" w:eastAsia="宋体" w:cs="宋体"/>
          <w:spacing w:val="-1"/>
          <w:sz w:val="24"/>
          <w:szCs w:val="24"/>
          <w14:textOutline w14:w="4358" w14:cap="sq" w14:cmpd="sng">
            <w14:solidFill>
              <w14:srgbClr w14:val="000000"/>
            </w14:solidFill>
            <w14:prstDash w14:val="solid"/>
            <w14:bevel/>
          </w14:textOutline>
        </w:rPr>
        <w:t>6.实质性响应</w:t>
      </w:r>
    </w:p>
    <w:p w14:paraId="0BDF0790">
      <w:pPr>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6.1 实质性响应是指响应文件与竞争性磋商文件要求的所有条款、条件和规格相符，没有偏离。偏离指不满足</w:t>
      </w:r>
      <w:r>
        <w:rPr>
          <w:rFonts w:hint="eastAsia" w:ascii="宋体" w:hAnsi="宋体" w:eastAsia="宋体" w:cs="宋体"/>
          <w:spacing w:val="-3"/>
          <w:sz w:val="24"/>
          <w:szCs w:val="24"/>
          <w:lang w:eastAsia="zh-CN"/>
        </w:rPr>
        <w:t>或</w:t>
      </w:r>
      <w:r>
        <w:rPr>
          <w:rFonts w:ascii="宋体" w:hAnsi="宋体" w:eastAsia="宋体" w:cs="宋体"/>
          <w:spacing w:val="-3"/>
          <w:sz w:val="24"/>
          <w:szCs w:val="24"/>
        </w:rPr>
        <w:t>不响应竞争性磋商文件的要求。</w:t>
      </w:r>
    </w:p>
    <w:p w14:paraId="0E0B76FB">
      <w:pPr>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6.2 响应文件是否实质性响应竞争性磋商文件要求由竞争性磋商小组依据竞争性磋商文件规 定认定。竞争性磋商小组决定响应文件的响应性只根据响应文件本身的真实无误的内容，而不依据外部的证据。</w:t>
      </w:r>
    </w:p>
    <w:p w14:paraId="0243C40B">
      <w:pPr>
        <w:spacing w:before="181" w:line="220" w:lineRule="auto"/>
        <w:ind w:left="6"/>
        <w:outlineLvl w:val="2"/>
        <w:rPr>
          <w:rFonts w:ascii="宋体" w:hAnsi="宋体" w:eastAsia="宋体" w:cs="宋体"/>
          <w:sz w:val="24"/>
          <w:szCs w:val="24"/>
        </w:rPr>
      </w:pPr>
      <w:r>
        <w:rPr>
          <w:rFonts w:ascii="宋体" w:hAnsi="宋体" w:eastAsia="宋体" w:cs="宋体"/>
          <w:spacing w:val="-4"/>
          <w:sz w:val="24"/>
          <w:szCs w:val="24"/>
          <w14:textOutline w14:w="4358" w14:cap="sq" w14:cmpd="sng">
            <w14:solidFill>
              <w14:srgbClr w14:val="000000"/>
            </w14:solidFill>
            <w14:prstDash w14:val="solid"/>
            <w14:bevel/>
          </w14:textOutline>
        </w:rPr>
        <w:t>7.澄清</w:t>
      </w:r>
    </w:p>
    <w:p w14:paraId="302EDBE5">
      <w:pPr>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7.1 磋商小组在对响应文件的有效性、完整性和响应程度进行审查时，可以要求供应商对响应文件中含义不明确、同类问题表述不一致或者有明显文字和计算错误的内容澄清、说明或者更正。供应商的澄清、说明或者更正不得超出响应文件的范围或者改变响应文件的实质性内容。</w:t>
      </w:r>
    </w:p>
    <w:p w14:paraId="452B1A96">
      <w:pPr>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029E12FC">
      <w:pPr>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7.2 最后报价计算错误修正的原则：最后报价的大写金额和小写金额不一致的，以大写金额为准；总价金额与按单价汇总金额不一致的，以单价金额计算结果为准；单价金额小数点有明显错位的，应以总价为准，并修改单价。</w:t>
      </w:r>
    </w:p>
    <w:p w14:paraId="00159B37">
      <w:pPr>
        <w:spacing w:before="184" w:line="219" w:lineRule="auto"/>
        <w:ind w:left="1"/>
        <w:outlineLvl w:val="2"/>
        <w:rPr>
          <w:rFonts w:ascii="宋体" w:hAnsi="宋体" w:eastAsia="宋体" w:cs="宋体"/>
          <w:sz w:val="24"/>
          <w:szCs w:val="24"/>
        </w:rPr>
      </w:pPr>
      <w:r>
        <w:rPr>
          <w:rFonts w:ascii="宋体" w:hAnsi="宋体" w:eastAsia="宋体" w:cs="宋体"/>
          <w:spacing w:val="-1"/>
          <w:sz w:val="24"/>
          <w:szCs w:val="24"/>
          <w14:textOutline w14:w="4358" w14:cap="sq" w14:cmpd="sng">
            <w14:solidFill>
              <w14:srgbClr w14:val="000000"/>
            </w14:solidFill>
            <w14:prstDash w14:val="solid"/>
            <w14:bevel/>
          </w14:textOutline>
        </w:rPr>
        <w:t>8.供应商家数计算</w:t>
      </w:r>
    </w:p>
    <w:p w14:paraId="65D61F98">
      <w:pPr>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产品为同一品牌同一型号的视为一家，如果有多家供应商以同一品牌同一型号产品参加竞争性磋商的，应作为一个供应商计算，以符合竞争性磋商文件要求的最低报价者为该品牌及型号产品的唯一有效供应商。</w:t>
      </w:r>
    </w:p>
    <w:p w14:paraId="6F44B409">
      <w:pPr>
        <w:spacing w:before="182" w:line="219" w:lineRule="auto"/>
        <w:ind w:left="1"/>
        <w:outlineLvl w:val="2"/>
        <w:rPr>
          <w:rFonts w:ascii="宋体" w:hAnsi="宋体" w:eastAsia="宋体" w:cs="宋体"/>
          <w:sz w:val="24"/>
          <w:szCs w:val="24"/>
        </w:rPr>
      </w:pPr>
      <w:r>
        <w:rPr>
          <w:rFonts w:ascii="宋体" w:hAnsi="宋体" w:eastAsia="宋体" w:cs="宋体"/>
          <w:spacing w:val="-1"/>
          <w:sz w:val="24"/>
          <w:szCs w:val="24"/>
          <w14:textOutline w14:w="4358" w14:cap="sq" w14:cmpd="sng">
            <w14:solidFill>
              <w14:srgbClr w14:val="000000"/>
            </w14:solidFill>
            <w14:prstDash w14:val="solid"/>
            <w14:bevel/>
          </w14:textOutline>
        </w:rPr>
        <w:t>9.竞争性磋商</w:t>
      </w:r>
    </w:p>
    <w:p w14:paraId="28F43592">
      <w:pPr>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9.1 在磋商过程中，磋商小组可以根据磋商文件和磋商情况实质性变动采购需求中的技术、服务要求以及合同草案条款，但不得变动磋商文件中的其他内容。实质性变动的内容，须经采购人代表确认。</w:t>
      </w:r>
    </w:p>
    <w:p w14:paraId="6CD4DFA2">
      <w:pPr>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9.2 对磋商文件作出的实质性变动是磋商文件的有效组成部分，磋商小组应当及时以书面形式同时通知所有参加磋商的供应商。</w:t>
      </w:r>
    </w:p>
    <w:p w14:paraId="770E07A1">
      <w:pPr>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9.3 供应商应当按照磋商文件的变动情况和磋商小组的要求重新提交响应文件，并由其法定代表人或授权代表签字或者加盖公章。由授权代表签字的，应当附法定代表人授权书。供应商为自然人的，应当由本人签字并附身份证明。</w:t>
      </w:r>
    </w:p>
    <w:p w14:paraId="67FD0E51">
      <w:pPr>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9.4 磋商文件能够详细列明采购标的的技术、服务要求的，磋商结束后，磋商小组应当要 求所有实质性响应的供应商在规定时间内提交最后报价，提交最后报价的供应商不得少于 3家。</w:t>
      </w:r>
    </w:p>
    <w:p w14:paraId="6F5CFD93">
      <w:pPr>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9.5 磋商文件不能详细列明采购标的的技术、服务要求，需经磋商由供应商提供最终设计 方案或解决方案的，磋商结束后，磋商小组应当按照少数服从多数的原则投票推荐 3 家以上供应商的设计方案或者解决方案，并要求其在规定时间内提交最后报价。</w:t>
      </w:r>
    </w:p>
    <w:p w14:paraId="1D855906">
      <w:pPr>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9.6 已提交响应文件的供应商，在提交最后报价之前，可以根据磋商情况退出磋商。采购人、采购代理机构应当退还退出磋商的供应商的保证金。</w:t>
      </w:r>
    </w:p>
    <w:p w14:paraId="3F547DE3">
      <w:pPr>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9.7 经磋商确定最终采购需求和提交最后报价的供应商后，由磋商小组采用综合评分法对提交最后报价的供应商的响应文件和最后报价进行综合评分。</w:t>
      </w:r>
    </w:p>
    <w:p w14:paraId="00631314">
      <w:pPr>
        <w:spacing w:before="183" w:line="219" w:lineRule="auto"/>
        <w:ind w:left="18"/>
        <w:outlineLvl w:val="2"/>
        <w:rPr>
          <w:rFonts w:ascii="宋体" w:hAnsi="宋体" w:eastAsia="宋体" w:cs="宋体"/>
          <w:sz w:val="24"/>
          <w:szCs w:val="24"/>
        </w:rPr>
      </w:pPr>
      <w:r>
        <w:rPr>
          <w:rFonts w:ascii="宋体" w:hAnsi="宋体" w:eastAsia="宋体" w:cs="宋体"/>
          <w:spacing w:val="-2"/>
          <w:sz w:val="24"/>
          <w:szCs w:val="24"/>
          <w14:textOutline w14:w="4358" w14:cap="sq" w14:cmpd="sng">
            <w14:solidFill>
              <w14:srgbClr w14:val="000000"/>
            </w14:solidFill>
            <w14:prstDash w14:val="solid"/>
            <w14:bevel/>
          </w14:textOutline>
        </w:rPr>
        <w:t>10、磋商响应文件的详细评审</w:t>
      </w:r>
    </w:p>
    <w:p w14:paraId="5FB096B3">
      <w:pPr>
        <w:spacing w:before="182" w:line="219" w:lineRule="auto"/>
        <w:ind w:left="18"/>
        <w:rPr>
          <w:rFonts w:ascii="宋体" w:hAnsi="宋体" w:eastAsia="宋体" w:cs="宋体"/>
          <w:sz w:val="24"/>
          <w:szCs w:val="24"/>
        </w:rPr>
      </w:pPr>
      <w:r>
        <w:rPr>
          <w:rFonts w:ascii="宋体" w:hAnsi="宋体" w:eastAsia="宋体" w:cs="宋体"/>
          <w:spacing w:val="-1"/>
          <w:sz w:val="24"/>
          <w:szCs w:val="24"/>
        </w:rPr>
        <w:t>10.1</w:t>
      </w:r>
      <w:r>
        <w:rPr>
          <w:rFonts w:ascii="宋体" w:hAnsi="宋体" w:eastAsia="宋体" w:cs="宋体"/>
          <w:spacing w:val="-52"/>
          <w:sz w:val="24"/>
          <w:szCs w:val="24"/>
        </w:rPr>
        <w:t xml:space="preserve"> </w:t>
      </w:r>
      <w:r>
        <w:rPr>
          <w:rFonts w:ascii="宋体" w:hAnsi="宋体" w:eastAsia="宋体" w:cs="宋体"/>
          <w:spacing w:val="-1"/>
          <w:sz w:val="24"/>
          <w:szCs w:val="24"/>
        </w:rPr>
        <w:t>磋商小组将只对确定为实质上响应</w:t>
      </w:r>
      <w:r>
        <w:rPr>
          <w:rFonts w:hint="eastAsia" w:ascii="宋体" w:hAnsi="宋体" w:eastAsia="宋体" w:cs="宋体"/>
          <w:spacing w:val="-1"/>
          <w:sz w:val="24"/>
          <w:szCs w:val="24"/>
          <w:lang w:eastAsia="zh-CN"/>
        </w:rPr>
        <w:t>磋商文件</w:t>
      </w:r>
      <w:r>
        <w:rPr>
          <w:rFonts w:ascii="宋体" w:hAnsi="宋体" w:eastAsia="宋体" w:cs="宋体"/>
          <w:spacing w:val="-1"/>
          <w:sz w:val="24"/>
          <w:szCs w:val="24"/>
        </w:rPr>
        <w:t>要求的磋商进行详细磋</w:t>
      </w:r>
      <w:r>
        <w:rPr>
          <w:rFonts w:ascii="宋体" w:hAnsi="宋体" w:eastAsia="宋体" w:cs="宋体"/>
          <w:spacing w:val="-2"/>
          <w:sz w:val="24"/>
          <w:szCs w:val="24"/>
        </w:rPr>
        <w:t>商。</w:t>
      </w:r>
    </w:p>
    <w:p w14:paraId="174D861F">
      <w:pPr>
        <w:spacing w:before="184" w:line="220" w:lineRule="auto"/>
        <w:ind w:left="18"/>
        <w:rPr>
          <w:rFonts w:ascii="宋体" w:hAnsi="宋体" w:eastAsia="宋体" w:cs="宋体"/>
          <w:sz w:val="24"/>
          <w:szCs w:val="24"/>
        </w:rPr>
      </w:pPr>
      <w:r>
        <w:rPr>
          <w:rFonts w:ascii="宋体" w:hAnsi="宋体" w:eastAsia="宋体" w:cs="宋体"/>
          <w:spacing w:val="-4"/>
          <w:sz w:val="24"/>
          <w:szCs w:val="24"/>
        </w:rPr>
        <w:t>10.2</w:t>
      </w:r>
      <w:r>
        <w:rPr>
          <w:rFonts w:ascii="宋体" w:hAnsi="宋体" w:eastAsia="宋体" w:cs="宋体"/>
          <w:spacing w:val="-48"/>
          <w:sz w:val="24"/>
          <w:szCs w:val="24"/>
        </w:rPr>
        <w:t xml:space="preserve"> </w:t>
      </w:r>
      <w:r>
        <w:rPr>
          <w:rFonts w:ascii="宋体" w:hAnsi="宋体" w:eastAsia="宋体" w:cs="宋体"/>
          <w:spacing w:val="-4"/>
          <w:sz w:val="24"/>
          <w:szCs w:val="24"/>
        </w:rPr>
        <w:t>综合评分法</w:t>
      </w:r>
    </w:p>
    <w:p w14:paraId="28738D6A">
      <w:pPr>
        <w:pStyle w:val="4"/>
        <w:spacing w:line="331" w:lineRule="auto"/>
      </w:pPr>
    </w:p>
    <w:p w14:paraId="3F971C85">
      <w:pPr>
        <w:spacing w:before="92" w:line="221" w:lineRule="auto"/>
        <w:ind w:left="3384"/>
        <w:outlineLvl w:val="1"/>
        <w:rPr>
          <w:rFonts w:ascii="宋体" w:hAnsi="宋体" w:eastAsia="宋体" w:cs="宋体"/>
          <w:sz w:val="28"/>
          <w:szCs w:val="28"/>
        </w:rPr>
      </w:pPr>
      <w:r>
        <w:rPr>
          <w:rFonts w:ascii="宋体" w:hAnsi="宋体" w:eastAsia="宋体" w:cs="宋体"/>
          <w:spacing w:val="-3"/>
          <w:sz w:val="28"/>
          <w:szCs w:val="28"/>
          <w14:textOutline w14:w="5103" w14:cap="sq" w14:cmpd="sng">
            <w14:solidFill>
              <w14:srgbClr w14:val="000000"/>
            </w14:solidFill>
            <w14:prstDash w14:val="solid"/>
            <w14:bevel/>
          </w14:textOutline>
        </w:rPr>
        <w:t>四、评标过程的保密性</w:t>
      </w:r>
    </w:p>
    <w:p w14:paraId="1BC56162">
      <w:pPr>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1.开标后，</w:t>
      </w:r>
      <w:r>
        <w:rPr>
          <w:rFonts w:hint="eastAsia" w:ascii="宋体" w:hAnsi="宋体" w:eastAsia="宋体" w:cs="宋体"/>
          <w:spacing w:val="-3"/>
          <w:sz w:val="24"/>
          <w:szCs w:val="24"/>
          <w:lang w:eastAsia="zh-CN"/>
        </w:rPr>
        <w:t>直到</w:t>
      </w:r>
      <w:r>
        <w:rPr>
          <w:rFonts w:ascii="宋体" w:hAnsi="宋体" w:eastAsia="宋体" w:cs="宋体"/>
          <w:spacing w:val="-3"/>
          <w:sz w:val="24"/>
          <w:szCs w:val="24"/>
        </w:rPr>
        <w:t>向</w:t>
      </w:r>
      <w:r>
        <w:rPr>
          <w:rFonts w:hint="eastAsia" w:ascii="宋体" w:hAnsi="宋体" w:eastAsia="宋体" w:cs="宋体"/>
          <w:spacing w:val="-3"/>
          <w:sz w:val="24"/>
          <w:szCs w:val="24"/>
          <w:lang w:eastAsia="zh-CN"/>
        </w:rPr>
        <w:t>成交</w:t>
      </w:r>
      <w:r>
        <w:rPr>
          <w:rFonts w:ascii="宋体" w:hAnsi="宋体" w:eastAsia="宋体" w:cs="宋体"/>
          <w:spacing w:val="-3"/>
          <w:sz w:val="24"/>
          <w:szCs w:val="24"/>
        </w:rPr>
        <w:t>供应商授予合同时止，凡与审查、澄清、评价和比较</w:t>
      </w:r>
      <w:r>
        <w:rPr>
          <w:rFonts w:hint="eastAsia" w:ascii="宋体" w:hAnsi="宋体" w:eastAsia="宋体" w:cs="宋体"/>
          <w:spacing w:val="-3"/>
          <w:sz w:val="24"/>
          <w:szCs w:val="24"/>
          <w:lang w:eastAsia="zh-CN"/>
        </w:rPr>
        <w:t>响应</w:t>
      </w:r>
      <w:r>
        <w:rPr>
          <w:rFonts w:ascii="宋体" w:hAnsi="宋体" w:eastAsia="宋体" w:cs="宋体"/>
          <w:spacing w:val="-3"/>
          <w:sz w:val="24"/>
          <w:szCs w:val="24"/>
        </w:rPr>
        <w:t>的有关资料以及授标意见等，均不得向供应商及与评标无关的其他人透露。</w:t>
      </w:r>
    </w:p>
    <w:p w14:paraId="1B005750">
      <w:pPr>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2.在评标过程中，如果供应商试图在磋商响应文件审查、澄清、比较及授予合同方面向采购人施加任何影响，其</w:t>
      </w:r>
      <w:r>
        <w:rPr>
          <w:rFonts w:hint="eastAsia" w:ascii="宋体" w:hAnsi="宋体" w:eastAsia="宋体" w:cs="宋体"/>
          <w:spacing w:val="-3"/>
          <w:sz w:val="24"/>
          <w:szCs w:val="24"/>
          <w:lang w:eastAsia="zh-CN"/>
        </w:rPr>
        <w:t>响应</w:t>
      </w:r>
      <w:r>
        <w:rPr>
          <w:rFonts w:ascii="宋体" w:hAnsi="宋体" w:eastAsia="宋体" w:cs="宋体"/>
          <w:spacing w:val="-3"/>
          <w:sz w:val="24"/>
          <w:szCs w:val="24"/>
        </w:rPr>
        <w:t>将被拒绝。</w:t>
      </w:r>
    </w:p>
    <w:p w14:paraId="73B5653A">
      <w:pPr>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3.评标人员严格遵守国家的有关保密</w:t>
      </w:r>
      <w:r>
        <w:rPr>
          <w:rFonts w:hint="eastAsia" w:ascii="宋体" w:hAnsi="宋体" w:eastAsia="宋体" w:cs="宋体"/>
          <w:spacing w:val="-3"/>
          <w:sz w:val="24"/>
          <w:szCs w:val="24"/>
          <w:lang w:eastAsia="zh-CN"/>
        </w:rPr>
        <w:t>法律法规</w:t>
      </w:r>
      <w:r>
        <w:rPr>
          <w:rFonts w:ascii="宋体" w:hAnsi="宋体" w:eastAsia="宋体" w:cs="宋体"/>
          <w:spacing w:val="-3"/>
          <w:sz w:val="24"/>
          <w:szCs w:val="24"/>
        </w:rPr>
        <w:t>的规定，严格自律，同时接受有关部门的监督、审查。</w:t>
      </w:r>
    </w:p>
    <w:p w14:paraId="0357B405">
      <w:pPr>
        <w:spacing w:before="91" w:line="221" w:lineRule="auto"/>
        <w:ind w:left="3923"/>
        <w:outlineLvl w:val="1"/>
        <w:rPr>
          <w:rFonts w:ascii="宋体" w:hAnsi="宋体" w:eastAsia="宋体" w:cs="宋体"/>
          <w:sz w:val="28"/>
          <w:szCs w:val="28"/>
        </w:rPr>
      </w:pPr>
      <w:r>
        <w:rPr>
          <w:rFonts w:ascii="宋体" w:hAnsi="宋体" w:eastAsia="宋体" w:cs="宋体"/>
          <w:spacing w:val="-2"/>
          <w:sz w:val="28"/>
          <w:szCs w:val="28"/>
          <w14:textOutline w14:w="5103" w14:cap="sq" w14:cmpd="sng">
            <w14:solidFill>
              <w14:srgbClr w14:val="000000"/>
            </w14:solidFill>
            <w14:prstDash w14:val="solid"/>
            <w14:bevel/>
          </w14:textOutline>
        </w:rPr>
        <w:t>五、定标方法</w:t>
      </w:r>
    </w:p>
    <w:p w14:paraId="34342FD5">
      <w:pPr>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1.磋商小组以开标、评标情况为基本依据，对符合条件的《磋商响应文件》及供应商进行综合评审打分，总分值设定为 100 分。</w:t>
      </w:r>
    </w:p>
    <w:p w14:paraId="7C495D23">
      <w:pPr>
        <w:spacing w:before="178" w:line="360" w:lineRule="auto"/>
        <w:ind w:right="59" w:firstLine="498"/>
        <w:rPr>
          <w:rFonts w:ascii="宋体" w:hAnsi="宋体" w:eastAsia="宋体" w:cs="宋体"/>
          <w:spacing w:val="-3"/>
          <w:sz w:val="24"/>
          <w:szCs w:val="24"/>
          <w:lang w:val="en-US" w:eastAsia="en-US"/>
        </w:rPr>
      </w:pPr>
      <w:r>
        <w:rPr>
          <w:rFonts w:ascii="宋体" w:hAnsi="宋体" w:eastAsia="宋体" w:cs="宋体"/>
          <w:spacing w:val="-3"/>
          <w:sz w:val="24"/>
          <w:szCs w:val="24"/>
          <w:lang w:val="en-US" w:eastAsia="en-US"/>
        </w:rPr>
        <w:t>2.本项目采用“综合评分法 ”定标，即指在最大限度地满足磋商文件实质性要求前提下， 按照磋商文件中规定的各项因素进行综合评审后，按照评标总得分由高到低进行排名顺序确定</w:t>
      </w:r>
      <w:r>
        <w:rPr>
          <w:rFonts w:hint="eastAsia" w:ascii="宋体" w:hAnsi="宋体" w:eastAsia="宋体" w:cs="宋体"/>
          <w:spacing w:val="-3"/>
          <w:sz w:val="24"/>
          <w:szCs w:val="24"/>
          <w:lang w:val="en-US" w:eastAsia="zh-CN"/>
        </w:rPr>
        <w:t>成交</w:t>
      </w:r>
      <w:r>
        <w:rPr>
          <w:rFonts w:ascii="宋体" w:hAnsi="宋体" w:eastAsia="宋体" w:cs="宋体"/>
          <w:spacing w:val="-3"/>
          <w:sz w:val="24"/>
          <w:szCs w:val="24"/>
          <w:lang w:val="en-US" w:eastAsia="en-US"/>
        </w:rPr>
        <w:t>供应商，本项目不保证最低价</w:t>
      </w:r>
      <w:r>
        <w:rPr>
          <w:rFonts w:hint="eastAsia" w:ascii="宋体" w:hAnsi="宋体" w:eastAsia="宋体" w:cs="宋体"/>
          <w:spacing w:val="-3"/>
          <w:sz w:val="24"/>
          <w:szCs w:val="24"/>
          <w:lang w:val="en-US" w:eastAsia="zh-CN"/>
        </w:rPr>
        <w:t>成交</w:t>
      </w:r>
      <w:r>
        <w:rPr>
          <w:rFonts w:ascii="宋体" w:hAnsi="宋体" w:eastAsia="宋体" w:cs="宋体"/>
          <w:spacing w:val="-3"/>
          <w:sz w:val="24"/>
          <w:szCs w:val="24"/>
          <w:lang w:val="en-US" w:eastAsia="en-US"/>
        </w:rPr>
        <w:t>。</w:t>
      </w:r>
    </w:p>
    <w:p w14:paraId="644ACB45">
      <w:pPr>
        <w:pStyle w:val="4"/>
        <w:spacing w:line="241" w:lineRule="auto"/>
      </w:pPr>
    </w:p>
    <w:p w14:paraId="7E2E47AF">
      <w:pPr>
        <w:spacing w:before="91" w:line="221" w:lineRule="auto"/>
        <w:ind w:left="2548"/>
        <w:outlineLvl w:val="1"/>
        <w:rPr>
          <w:rFonts w:ascii="宋体" w:hAnsi="宋体" w:eastAsia="宋体" w:cs="宋体"/>
          <w:sz w:val="28"/>
          <w:szCs w:val="28"/>
        </w:rPr>
      </w:pPr>
      <w:r>
        <w:rPr>
          <w:rFonts w:ascii="宋体" w:hAnsi="宋体" w:eastAsia="宋体" w:cs="宋体"/>
          <w:sz w:val="28"/>
          <w:szCs w:val="28"/>
          <w14:textOutline w14:w="5103" w14:cap="sq" w14:cmpd="sng">
            <w14:solidFill>
              <w14:srgbClr w14:val="000000"/>
            </w14:solidFill>
            <w14:prstDash w14:val="solid"/>
            <w14:bevel/>
          </w14:textOutline>
        </w:rPr>
        <w:t>六、评标程序及标准（综合评分法）</w:t>
      </w:r>
    </w:p>
    <w:p w14:paraId="6A77F8F6">
      <w:pPr>
        <w:spacing w:before="204" w:line="220" w:lineRule="auto"/>
        <w:ind w:left="529"/>
        <w:outlineLvl w:val="2"/>
        <w:rPr>
          <w:rFonts w:ascii="宋体" w:hAnsi="宋体" w:eastAsia="宋体" w:cs="宋体"/>
          <w:sz w:val="24"/>
          <w:szCs w:val="24"/>
        </w:rPr>
      </w:pPr>
      <w:r>
        <w:rPr>
          <w:rFonts w:ascii="宋体" w:hAnsi="宋体" w:eastAsia="宋体" w:cs="宋体"/>
          <w:spacing w:val="-3"/>
          <w:sz w:val="24"/>
          <w:szCs w:val="24"/>
          <w14:textOutline w14:w="4358" w14:cap="sq" w14:cmpd="sng">
            <w14:solidFill>
              <w14:srgbClr w14:val="000000"/>
            </w14:solidFill>
            <w14:prstDash w14:val="solid"/>
            <w14:bevel/>
          </w14:textOutline>
        </w:rPr>
        <w:t>1.评标准备工作</w:t>
      </w:r>
    </w:p>
    <w:p w14:paraId="06A7600F">
      <w:pPr>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磋商小组成员应当认真阅读磋商文件，全面正确地理解和掌握以下内容：</w:t>
      </w:r>
    </w:p>
    <w:p w14:paraId="1595C7DE">
      <w:pPr>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①招标的目的；</w:t>
      </w:r>
    </w:p>
    <w:p w14:paraId="7E668FBF">
      <w:pPr>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②招标的范围和性质；</w:t>
      </w:r>
    </w:p>
    <w:p w14:paraId="311005CB">
      <w:pPr>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③磋商文件的主要商务、技术条款要求；</w:t>
      </w:r>
    </w:p>
    <w:p w14:paraId="4EB061C9">
      <w:pPr>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④磋商文件规定的评标标准、评标方法和在评标过程中要考虑的因素。</w:t>
      </w:r>
    </w:p>
    <w:p w14:paraId="3C845C03">
      <w:pPr>
        <w:spacing w:before="183" w:line="219" w:lineRule="auto"/>
        <w:ind w:left="515"/>
        <w:outlineLvl w:val="2"/>
        <w:rPr>
          <w:rFonts w:ascii="宋体" w:hAnsi="宋体" w:eastAsia="宋体" w:cs="宋体"/>
          <w:sz w:val="24"/>
          <w:szCs w:val="24"/>
        </w:rPr>
      </w:pPr>
      <w:r>
        <w:rPr>
          <w:rFonts w:ascii="宋体" w:hAnsi="宋体" w:eastAsia="宋体" w:cs="宋体"/>
          <w:spacing w:val="-1"/>
          <w:sz w:val="24"/>
          <w:szCs w:val="24"/>
          <w14:textOutline w14:w="4358" w14:cap="sq" w14:cmpd="sng">
            <w14:solidFill>
              <w14:srgbClr w14:val="000000"/>
            </w14:solidFill>
            <w14:prstDash w14:val="solid"/>
            <w14:bevel/>
          </w14:textOutline>
        </w:rPr>
        <w:t>2.初步评审（资格后审</w:t>
      </w:r>
      <w:r>
        <w:rPr>
          <w:rFonts w:ascii="宋体" w:hAnsi="宋体" w:eastAsia="宋体" w:cs="宋体"/>
          <w:spacing w:val="2"/>
          <w:sz w:val="24"/>
          <w:szCs w:val="24"/>
          <w14:textOutline w14:w="4358" w14:cap="sq" w14:cmpd="sng">
            <w14:solidFill>
              <w14:srgbClr w14:val="000000"/>
            </w14:solidFill>
            <w14:prstDash w14:val="solid"/>
            <w14:bevel/>
          </w14:textOutline>
        </w:rPr>
        <w:t>）</w:t>
      </w:r>
      <w:r>
        <w:rPr>
          <w:rFonts w:ascii="宋体" w:hAnsi="宋体" w:eastAsia="宋体" w:cs="宋体"/>
          <w:spacing w:val="2"/>
          <w:sz w:val="24"/>
          <w:szCs w:val="24"/>
        </w:rPr>
        <w:t>：</w:t>
      </w:r>
    </w:p>
    <w:p w14:paraId="701A78CB">
      <w:pPr>
        <w:keepNext w:val="0"/>
        <w:keepLines w:val="0"/>
        <w:pageBreakBefore w:val="0"/>
        <w:widowControl/>
        <w:kinsoku w:val="0"/>
        <w:wordWrap/>
        <w:overflowPunct/>
        <w:topLinePunct w:val="0"/>
        <w:autoSpaceDE w:val="0"/>
        <w:autoSpaceDN w:val="0"/>
        <w:bidi w:val="0"/>
        <w:adjustRightInd w:val="0"/>
        <w:snapToGrid w:val="0"/>
        <w:spacing w:line="400" w:lineRule="exact"/>
        <w:ind w:right="0" w:firstLine="498"/>
        <w:textAlignment w:val="baseline"/>
        <w:rPr>
          <w:rFonts w:ascii="宋体" w:hAnsi="宋体" w:eastAsia="宋体" w:cs="宋体"/>
          <w:spacing w:val="-3"/>
          <w:sz w:val="24"/>
          <w:szCs w:val="24"/>
        </w:rPr>
      </w:pPr>
      <w:r>
        <w:rPr>
          <w:rFonts w:ascii="宋体" w:hAnsi="宋体" w:eastAsia="宋体" w:cs="宋体"/>
          <w:b/>
          <w:bCs/>
          <w:spacing w:val="-3"/>
          <w:sz w:val="24"/>
          <w:szCs w:val="24"/>
        </w:rPr>
        <w:t>2.1 资格性审查：</w:t>
      </w:r>
      <w:r>
        <w:rPr>
          <w:rFonts w:ascii="宋体" w:hAnsi="宋体" w:eastAsia="宋体" w:cs="宋体"/>
          <w:spacing w:val="-3"/>
          <w:sz w:val="24"/>
          <w:szCs w:val="24"/>
        </w:rPr>
        <w:t>依据法律法规和《磋商文件》的规定，对《磋商响应文件》中的资格证明、</w:t>
      </w:r>
      <w:r>
        <w:rPr>
          <w:rFonts w:hint="eastAsia" w:ascii="宋体" w:hAnsi="宋体" w:eastAsia="宋体" w:cs="宋体"/>
          <w:spacing w:val="-3"/>
          <w:sz w:val="24"/>
          <w:szCs w:val="24"/>
          <w:lang w:eastAsia="zh-CN"/>
        </w:rPr>
        <w:t>磋商保证金</w:t>
      </w:r>
      <w:r>
        <w:rPr>
          <w:rFonts w:ascii="宋体" w:hAnsi="宋体" w:eastAsia="宋体" w:cs="宋体"/>
          <w:spacing w:val="-3"/>
          <w:sz w:val="24"/>
          <w:szCs w:val="24"/>
        </w:rPr>
        <w:t>等进行审查，以确定供应商是否具备</w:t>
      </w:r>
      <w:r>
        <w:rPr>
          <w:rFonts w:hint="eastAsia" w:ascii="宋体" w:hAnsi="宋体" w:eastAsia="宋体" w:cs="宋体"/>
          <w:spacing w:val="-3"/>
          <w:sz w:val="24"/>
          <w:szCs w:val="24"/>
          <w:lang w:eastAsia="zh-CN"/>
        </w:rPr>
        <w:t>响应</w:t>
      </w:r>
      <w:r>
        <w:rPr>
          <w:rFonts w:ascii="宋体" w:hAnsi="宋体" w:eastAsia="宋体" w:cs="宋体"/>
          <w:spacing w:val="-3"/>
          <w:sz w:val="24"/>
          <w:szCs w:val="24"/>
        </w:rPr>
        <w:t>资格。</w:t>
      </w:r>
    </w:p>
    <w:p w14:paraId="73173C18">
      <w:pPr>
        <w:keepNext w:val="0"/>
        <w:keepLines w:val="0"/>
        <w:pageBreakBefore w:val="0"/>
        <w:widowControl/>
        <w:kinsoku w:val="0"/>
        <w:wordWrap/>
        <w:overflowPunct/>
        <w:topLinePunct w:val="0"/>
        <w:autoSpaceDE w:val="0"/>
        <w:autoSpaceDN w:val="0"/>
        <w:bidi w:val="0"/>
        <w:adjustRightInd w:val="0"/>
        <w:snapToGrid w:val="0"/>
        <w:spacing w:line="400" w:lineRule="exact"/>
        <w:ind w:right="0"/>
        <w:textAlignment w:val="baseline"/>
      </w:pPr>
      <w:r>
        <w:rPr>
          <w:rFonts w:ascii="宋体" w:hAnsi="宋体" w:eastAsia="宋体" w:cs="宋体"/>
          <w:spacing w:val="-3"/>
          <w:sz w:val="24"/>
          <w:szCs w:val="24"/>
        </w:rPr>
        <w:t>资格性审查有一项不符合的，由磋商小组按无效</w:t>
      </w:r>
      <w:r>
        <w:rPr>
          <w:rFonts w:hint="eastAsia" w:ascii="宋体" w:hAnsi="宋体" w:eastAsia="宋体" w:cs="宋体"/>
          <w:spacing w:val="-3"/>
          <w:sz w:val="24"/>
          <w:szCs w:val="24"/>
          <w:lang w:eastAsia="zh-CN"/>
        </w:rPr>
        <w:t>响应</w:t>
      </w:r>
      <w:r>
        <w:rPr>
          <w:rFonts w:ascii="宋体" w:hAnsi="宋体" w:eastAsia="宋体" w:cs="宋体"/>
          <w:spacing w:val="-3"/>
          <w:sz w:val="24"/>
          <w:szCs w:val="24"/>
        </w:rPr>
        <w:t>处理</w:t>
      </w:r>
    </w:p>
    <w:tbl>
      <w:tblPr>
        <w:tblStyle w:val="14"/>
        <w:tblW w:w="900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30"/>
        <w:gridCol w:w="7374"/>
      </w:tblGrid>
      <w:tr w14:paraId="52B926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9" w:hRule="atLeast"/>
          <w:jc w:val="center"/>
        </w:trPr>
        <w:tc>
          <w:tcPr>
            <w:tcW w:w="1630" w:type="dxa"/>
            <w:vAlign w:val="top"/>
          </w:tcPr>
          <w:p w14:paraId="1602F147">
            <w:pPr>
              <w:spacing w:before="119" w:line="219" w:lineRule="auto"/>
              <w:jc w:val="center"/>
              <w:rPr>
                <w:rFonts w:ascii="宋体" w:hAnsi="宋体" w:eastAsia="宋体" w:cs="宋体"/>
                <w:sz w:val="24"/>
                <w:szCs w:val="24"/>
              </w:rPr>
            </w:pPr>
            <w:r>
              <w:rPr>
                <w:rFonts w:ascii="宋体" w:hAnsi="宋体" w:eastAsia="宋体" w:cs="宋体"/>
                <w:spacing w:val="-3"/>
                <w:sz w:val="24"/>
                <w:szCs w:val="24"/>
              </w:rPr>
              <w:t>评审内容</w:t>
            </w:r>
          </w:p>
        </w:tc>
        <w:tc>
          <w:tcPr>
            <w:tcW w:w="7374" w:type="dxa"/>
            <w:vAlign w:val="top"/>
          </w:tcPr>
          <w:p w14:paraId="78E3A6A7">
            <w:pPr>
              <w:spacing w:before="118" w:line="220" w:lineRule="auto"/>
              <w:ind w:left="3296"/>
              <w:rPr>
                <w:rFonts w:ascii="宋体" w:hAnsi="宋体" w:eastAsia="宋体" w:cs="宋体"/>
                <w:sz w:val="24"/>
                <w:szCs w:val="24"/>
              </w:rPr>
            </w:pPr>
            <w:r>
              <w:rPr>
                <w:rFonts w:ascii="宋体" w:hAnsi="宋体" w:eastAsia="宋体" w:cs="宋体"/>
                <w:spacing w:val="-3"/>
                <w:sz w:val="24"/>
                <w:szCs w:val="24"/>
              </w:rPr>
              <w:t>评审标准</w:t>
            </w:r>
          </w:p>
        </w:tc>
      </w:tr>
      <w:tr w14:paraId="179CE1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2" w:hRule="atLeast"/>
          <w:jc w:val="center"/>
        </w:trPr>
        <w:tc>
          <w:tcPr>
            <w:tcW w:w="1630" w:type="dxa"/>
            <w:vMerge w:val="restart"/>
            <w:vAlign w:val="center"/>
          </w:tcPr>
          <w:p w14:paraId="4D87A86B">
            <w:pPr>
              <w:spacing w:before="80" w:line="206" w:lineRule="auto"/>
              <w:jc w:val="center"/>
              <w:rPr>
                <w:rFonts w:ascii="宋体" w:hAnsi="宋体" w:eastAsia="宋体" w:cs="宋体"/>
                <w:sz w:val="24"/>
                <w:szCs w:val="24"/>
              </w:rPr>
            </w:pPr>
            <w:r>
              <w:rPr>
                <w:rFonts w:ascii="宋体" w:hAnsi="宋体" w:eastAsia="宋体" w:cs="宋体"/>
                <w:spacing w:val="-3"/>
                <w:sz w:val="24"/>
                <w:szCs w:val="24"/>
              </w:rPr>
              <w:t>资格性审查</w:t>
            </w:r>
          </w:p>
        </w:tc>
        <w:tc>
          <w:tcPr>
            <w:tcW w:w="7374" w:type="dxa"/>
            <w:vAlign w:val="top"/>
          </w:tcPr>
          <w:p w14:paraId="613FF6B2">
            <w:pPr>
              <w:spacing w:before="51" w:line="264" w:lineRule="auto"/>
              <w:ind w:left="112" w:right="49" w:firstLine="4"/>
              <w:jc w:val="both"/>
              <w:rPr>
                <w:rFonts w:ascii="宋体" w:hAnsi="宋体" w:eastAsia="宋体" w:cs="宋体"/>
                <w:sz w:val="24"/>
                <w:szCs w:val="24"/>
              </w:rPr>
            </w:pPr>
            <w:r>
              <w:rPr>
                <w:rFonts w:hint="eastAsia" w:ascii="宋体" w:hAnsi="宋体" w:eastAsia="宋体" w:cs="宋体"/>
                <w:color w:val="auto"/>
                <w:spacing w:val="-5"/>
                <w:sz w:val="24"/>
                <w:szCs w:val="24"/>
                <w:lang w:val="en-US" w:eastAsia="zh-CN"/>
              </w:rPr>
              <w:t>具有独立承担民事责任的能力：提供有效的营业执照，供应商基本情况说明（供应商需提供主要股东或出资人信息格式自拟）；</w:t>
            </w:r>
          </w:p>
        </w:tc>
      </w:tr>
      <w:tr w14:paraId="31C651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8" w:hRule="atLeast"/>
          <w:jc w:val="center"/>
        </w:trPr>
        <w:tc>
          <w:tcPr>
            <w:tcW w:w="1630" w:type="dxa"/>
            <w:vMerge w:val="continue"/>
            <w:textDirection w:val="tbRlV"/>
            <w:vAlign w:val="top"/>
          </w:tcPr>
          <w:p w14:paraId="17758F17">
            <w:pPr>
              <w:rPr>
                <w:rFonts w:ascii="Arial"/>
                <w:sz w:val="21"/>
              </w:rPr>
            </w:pPr>
          </w:p>
        </w:tc>
        <w:tc>
          <w:tcPr>
            <w:tcW w:w="7374" w:type="dxa"/>
            <w:vAlign w:val="top"/>
          </w:tcPr>
          <w:p w14:paraId="54B44D20">
            <w:pPr>
              <w:spacing w:before="101" w:line="261" w:lineRule="auto"/>
              <w:ind w:left="112" w:right="108" w:firstLine="4"/>
              <w:rPr>
                <w:rFonts w:ascii="宋体" w:hAnsi="宋体" w:eastAsia="宋体" w:cs="宋体"/>
                <w:sz w:val="24"/>
                <w:szCs w:val="24"/>
              </w:rPr>
            </w:pPr>
            <w:r>
              <w:rPr>
                <w:rFonts w:hint="eastAsia" w:ascii="宋体" w:hAnsi="宋体" w:eastAsia="宋体" w:cs="宋体"/>
                <w:color w:val="auto"/>
                <w:sz w:val="24"/>
                <w:szCs w:val="24"/>
                <w:lang w:val="en-US" w:eastAsia="zh-CN"/>
              </w:rPr>
              <w:t>具有良好的商业信誉和健全的财务会计制度：供应商没有处于被责令停业、财产被接管、冻结、破产状态；供应商提供2023年的财务审计报告（成立时间至提交磋商响应文件截止时间不足一年的可提供成立后任意时段的资产负债表），或其开标前三个月内基本存款账户开户银行出具的资信证明及基本存款账户开户许可证</w:t>
            </w:r>
            <w:r>
              <w:rPr>
                <w:rFonts w:ascii="宋体" w:hAnsi="宋体" w:eastAsia="宋体" w:cs="宋体"/>
                <w:color w:val="auto"/>
                <w:spacing w:val="3"/>
                <w:sz w:val="24"/>
                <w:szCs w:val="24"/>
              </w:rPr>
              <w:t>；</w:t>
            </w:r>
          </w:p>
        </w:tc>
      </w:tr>
      <w:tr w14:paraId="79B188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0" w:hRule="atLeast"/>
          <w:jc w:val="center"/>
        </w:trPr>
        <w:tc>
          <w:tcPr>
            <w:tcW w:w="1630" w:type="dxa"/>
            <w:vMerge w:val="continue"/>
            <w:textDirection w:val="tbRlV"/>
            <w:vAlign w:val="top"/>
          </w:tcPr>
          <w:p w14:paraId="2028D768">
            <w:pPr>
              <w:rPr>
                <w:rFonts w:ascii="Arial"/>
                <w:sz w:val="21"/>
              </w:rPr>
            </w:pPr>
          </w:p>
        </w:tc>
        <w:tc>
          <w:tcPr>
            <w:tcW w:w="7374" w:type="dxa"/>
            <w:vAlign w:val="top"/>
          </w:tcPr>
          <w:p w14:paraId="45D61C9F">
            <w:pPr>
              <w:spacing w:before="147" w:line="263" w:lineRule="auto"/>
              <w:ind w:left="112" w:right="108" w:firstLine="1"/>
              <w:jc w:val="both"/>
              <w:rPr>
                <w:rFonts w:ascii="宋体" w:hAnsi="宋体" w:eastAsia="宋体" w:cs="宋体"/>
                <w:sz w:val="24"/>
                <w:szCs w:val="24"/>
              </w:rPr>
            </w:pPr>
            <w:r>
              <w:rPr>
                <w:rFonts w:hint="eastAsia" w:ascii="宋体" w:hAnsi="宋体" w:eastAsia="宋体" w:cs="宋体"/>
                <w:color w:val="auto"/>
                <w:sz w:val="24"/>
                <w:szCs w:val="24"/>
                <w:lang w:val="en-US" w:eastAsia="zh-CN"/>
              </w:rPr>
              <w:t>具有履行合同所必需的保障药品质量安全的仓储条件、设备和专业技术能力（供应商必须在《承诺函》中说明）</w:t>
            </w:r>
            <w:r>
              <w:rPr>
                <w:rFonts w:hint="eastAsia" w:ascii="宋体" w:hAnsi="宋体" w:eastAsia="宋体" w:cs="宋体"/>
                <w:color w:val="auto"/>
                <w:spacing w:val="-5"/>
                <w:sz w:val="24"/>
                <w:szCs w:val="24"/>
                <w:lang w:eastAsia="zh-CN"/>
              </w:rPr>
              <w:t>；</w:t>
            </w:r>
          </w:p>
        </w:tc>
      </w:tr>
      <w:tr w14:paraId="3B7F68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84" w:hRule="atLeast"/>
          <w:jc w:val="center"/>
        </w:trPr>
        <w:tc>
          <w:tcPr>
            <w:tcW w:w="1630" w:type="dxa"/>
            <w:vMerge w:val="continue"/>
            <w:textDirection w:val="tbRlV"/>
            <w:vAlign w:val="top"/>
          </w:tcPr>
          <w:p w14:paraId="5B9E2D8E">
            <w:pPr>
              <w:rPr>
                <w:rFonts w:ascii="Arial"/>
                <w:sz w:val="21"/>
              </w:rPr>
            </w:pPr>
          </w:p>
        </w:tc>
        <w:tc>
          <w:tcPr>
            <w:tcW w:w="7374" w:type="dxa"/>
            <w:vAlign w:val="top"/>
          </w:tcPr>
          <w:p w14:paraId="6696F2A5">
            <w:pPr>
              <w:spacing w:before="72" w:line="247" w:lineRule="auto"/>
              <w:ind w:left="134" w:right="133" w:hanging="20"/>
              <w:rPr>
                <w:rFonts w:ascii="宋体" w:hAnsi="宋体" w:eastAsia="宋体" w:cs="宋体"/>
                <w:sz w:val="24"/>
                <w:szCs w:val="24"/>
              </w:rPr>
            </w:pPr>
            <w:r>
              <w:rPr>
                <w:rFonts w:hint="eastAsia" w:ascii="宋体" w:hAnsi="宋体" w:eastAsia="宋体" w:cs="宋体"/>
                <w:color w:val="auto"/>
                <w:spacing w:val="-7"/>
                <w:sz w:val="24"/>
                <w:szCs w:val="24"/>
                <w:lang w:val="en-US" w:eastAsia="zh-CN"/>
              </w:rPr>
              <w:t>有依法缴纳税收和社会保障资金的良好记录：供应商须提供 2024年7月至今任意一个月的纳税及社保缴纳的证明材料（如依法免税的，应提供相应文件证明其依法免税；如依法不需要缴纳社会保险费的，应提供相应文件证明其不需要缴纳社会保险费）；(①法人参加响应的需提供法人个人与单位的社保证明材料，授权委托人参加的需提供授权委托人个人与单位的社保证明；②证明材料需提供：社会保障资金缴存单据或社保机构开具的社会保险参保缴费情况证明，依法不需要缴纳社会保障资金的供应商应提供相关文件证明）</w:t>
            </w:r>
            <w:r>
              <w:rPr>
                <w:rFonts w:hint="eastAsia" w:ascii="宋体" w:hAnsi="宋体" w:eastAsia="宋体" w:cs="宋体"/>
                <w:color w:val="auto"/>
                <w:spacing w:val="-7"/>
                <w:sz w:val="24"/>
                <w:szCs w:val="24"/>
                <w:lang w:eastAsia="zh-CN"/>
              </w:rPr>
              <w:t>；</w:t>
            </w:r>
          </w:p>
        </w:tc>
      </w:tr>
      <w:tr w14:paraId="1A866B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2" w:hRule="atLeast"/>
          <w:jc w:val="center"/>
        </w:trPr>
        <w:tc>
          <w:tcPr>
            <w:tcW w:w="1630" w:type="dxa"/>
            <w:vMerge w:val="continue"/>
            <w:vAlign w:val="top"/>
          </w:tcPr>
          <w:p w14:paraId="6394DF8D">
            <w:pPr>
              <w:rPr>
                <w:rFonts w:ascii="Arial"/>
                <w:sz w:val="21"/>
              </w:rPr>
            </w:pPr>
          </w:p>
        </w:tc>
        <w:tc>
          <w:tcPr>
            <w:tcW w:w="7374" w:type="dxa"/>
            <w:vAlign w:val="top"/>
          </w:tcPr>
          <w:p w14:paraId="25C0138D">
            <w:pPr>
              <w:spacing w:before="73" w:line="247" w:lineRule="auto"/>
              <w:ind w:left="115" w:right="118" w:firstLine="8"/>
              <w:rPr>
                <w:rFonts w:hint="eastAsia" w:ascii="宋体" w:hAnsi="宋体" w:eastAsia="宋体" w:cs="宋体"/>
                <w:spacing w:val="-7"/>
                <w:sz w:val="24"/>
                <w:szCs w:val="24"/>
                <w:lang w:eastAsia="zh-CN"/>
              </w:rPr>
            </w:pPr>
            <w:r>
              <w:rPr>
                <w:rFonts w:hint="eastAsia" w:ascii="宋体" w:hAnsi="宋体" w:eastAsia="宋体" w:cs="宋体"/>
                <w:color w:val="auto"/>
                <w:spacing w:val="-5"/>
                <w:sz w:val="24"/>
                <w:szCs w:val="24"/>
                <w:lang w:eastAsia="zh-CN"/>
              </w:rPr>
              <w:t>法定代表人参加应上传法定代表人身份证明和本人身份证；</w:t>
            </w:r>
            <w:r>
              <w:rPr>
                <w:rFonts w:hint="eastAsia" w:ascii="宋体" w:hAnsi="宋体" w:eastAsia="宋体" w:cs="宋体"/>
                <w:color w:val="auto"/>
                <w:spacing w:val="-5"/>
                <w:sz w:val="24"/>
                <w:szCs w:val="24"/>
                <w:lang w:val="en-US" w:eastAsia="zh-CN"/>
              </w:rPr>
              <w:t>委托代理人参加应上传法定代表人身份证明、授权委托书、本人身份证；</w:t>
            </w:r>
          </w:p>
        </w:tc>
      </w:tr>
      <w:tr w14:paraId="711207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1" w:hRule="atLeast"/>
          <w:jc w:val="center"/>
        </w:trPr>
        <w:tc>
          <w:tcPr>
            <w:tcW w:w="1630" w:type="dxa"/>
            <w:vMerge w:val="continue"/>
            <w:vAlign w:val="top"/>
          </w:tcPr>
          <w:p w14:paraId="1D8CF66F">
            <w:pPr>
              <w:rPr>
                <w:rFonts w:ascii="Arial"/>
                <w:sz w:val="21"/>
              </w:rPr>
            </w:pPr>
          </w:p>
        </w:tc>
        <w:tc>
          <w:tcPr>
            <w:tcW w:w="7374" w:type="dxa"/>
            <w:vAlign w:val="top"/>
          </w:tcPr>
          <w:p w14:paraId="41886CA3">
            <w:pPr>
              <w:spacing w:before="72" w:line="257" w:lineRule="auto"/>
              <w:ind w:left="114" w:right="133"/>
              <w:rPr>
                <w:rFonts w:ascii="宋体" w:hAnsi="宋体" w:eastAsia="宋体" w:cs="宋体"/>
                <w:sz w:val="24"/>
                <w:szCs w:val="24"/>
              </w:rPr>
            </w:pPr>
            <w:r>
              <w:rPr>
                <w:rFonts w:hint="eastAsia" w:ascii="宋体" w:hAnsi="宋体" w:eastAsia="宋体" w:cs="宋体"/>
                <w:color w:val="auto"/>
                <w:spacing w:val="-5"/>
                <w:sz w:val="24"/>
                <w:szCs w:val="24"/>
                <w:lang w:val="en-US" w:eastAsia="zh-CN"/>
              </w:rPr>
              <w:t>供应商如在“信用中国”网站、中国政府采购网被列入严重违法失信行为记录名单的（尚在处罚期内的），将拒绝其参加本次政府采购活动。（代理公司现场查询）</w:t>
            </w:r>
          </w:p>
        </w:tc>
      </w:tr>
      <w:tr w14:paraId="17163B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jc w:val="center"/>
        </w:trPr>
        <w:tc>
          <w:tcPr>
            <w:tcW w:w="1630" w:type="dxa"/>
            <w:vMerge w:val="continue"/>
            <w:vAlign w:val="top"/>
          </w:tcPr>
          <w:p w14:paraId="79622639">
            <w:pPr>
              <w:rPr>
                <w:rFonts w:ascii="Arial"/>
                <w:sz w:val="21"/>
              </w:rPr>
            </w:pPr>
          </w:p>
        </w:tc>
        <w:tc>
          <w:tcPr>
            <w:tcW w:w="7374" w:type="dxa"/>
            <w:vAlign w:val="top"/>
          </w:tcPr>
          <w:p w14:paraId="0CD38BEB">
            <w:pPr>
              <w:spacing w:before="72" w:line="264" w:lineRule="auto"/>
              <w:ind w:right="27"/>
              <w:rPr>
                <w:rFonts w:hint="eastAsia" w:ascii="Arial" w:hAnsi="Arial" w:eastAsia="宋体" w:cs="Arial"/>
                <w:snapToGrid w:val="0"/>
                <w:color w:val="000000"/>
                <w:kern w:val="0"/>
                <w:sz w:val="21"/>
                <w:szCs w:val="21"/>
                <w:lang w:val="en-US" w:eastAsia="zh-CN" w:bidi="ar-SA"/>
              </w:rPr>
            </w:pPr>
            <w:r>
              <w:rPr>
                <w:rFonts w:hint="eastAsia" w:ascii="宋体" w:hAnsi="宋体" w:eastAsia="宋体" w:cs="宋体"/>
                <w:spacing w:val="-5"/>
                <w:sz w:val="24"/>
                <w:szCs w:val="24"/>
                <w:lang w:val="en-US" w:eastAsia="zh-CN"/>
              </w:rPr>
              <w:t>本项目专门面向中小企业，按磋商文件格式提供《中小企业声明函》；</w:t>
            </w:r>
          </w:p>
        </w:tc>
      </w:tr>
      <w:tr w14:paraId="0402CB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jc w:val="center"/>
        </w:trPr>
        <w:tc>
          <w:tcPr>
            <w:tcW w:w="1630" w:type="dxa"/>
            <w:vMerge w:val="continue"/>
            <w:vAlign w:val="top"/>
          </w:tcPr>
          <w:p w14:paraId="389DEEC2">
            <w:pPr>
              <w:rPr>
                <w:rFonts w:ascii="Arial"/>
                <w:sz w:val="21"/>
              </w:rPr>
            </w:pPr>
          </w:p>
        </w:tc>
        <w:tc>
          <w:tcPr>
            <w:tcW w:w="7374" w:type="dxa"/>
            <w:vAlign w:val="top"/>
          </w:tcPr>
          <w:p w14:paraId="074C031B">
            <w:pPr>
              <w:spacing w:before="72" w:line="264" w:lineRule="auto"/>
              <w:ind w:right="27"/>
              <w:rPr>
                <w:rFonts w:hint="eastAsia" w:ascii="宋体" w:hAnsi="宋体" w:eastAsia="宋体" w:cs="宋体"/>
                <w:spacing w:val="-5"/>
                <w:sz w:val="24"/>
                <w:szCs w:val="24"/>
                <w:lang w:val="en-US" w:eastAsia="zh-CN"/>
              </w:rPr>
            </w:pPr>
            <w:r>
              <w:rPr>
                <w:rFonts w:hint="eastAsia" w:ascii="宋体" w:hAnsi="宋体" w:eastAsia="宋体" w:cs="宋体"/>
                <w:snapToGrid w:val="0"/>
                <w:color w:val="auto"/>
                <w:spacing w:val="-5"/>
                <w:kern w:val="0"/>
                <w:sz w:val="24"/>
                <w:szCs w:val="24"/>
                <w:lang w:val="en-US" w:eastAsia="zh-CN" w:bidi="ar-SA"/>
              </w:rPr>
              <w:t>参加政府采购活动前三年内，在经营活动中没有重大违法记录：提供无重大违法记录声明函。(受行政主管部门的处罚不能参加本项目)。</w:t>
            </w:r>
          </w:p>
        </w:tc>
      </w:tr>
      <w:tr w14:paraId="188047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jc w:val="center"/>
        </w:trPr>
        <w:tc>
          <w:tcPr>
            <w:tcW w:w="1630" w:type="dxa"/>
            <w:vMerge w:val="continue"/>
            <w:vAlign w:val="top"/>
          </w:tcPr>
          <w:p w14:paraId="0A55C4D8">
            <w:pPr>
              <w:rPr>
                <w:rFonts w:ascii="Arial"/>
                <w:sz w:val="21"/>
              </w:rPr>
            </w:pPr>
          </w:p>
        </w:tc>
        <w:tc>
          <w:tcPr>
            <w:tcW w:w="7374" w:type="dxa"/>
            <w:vAlign w:val="top"/>
          </w:tcPr>
          <w:p w14:paraId="7053FA19">
            <w:pPr>
              <w:spacing w:before="69" w:line="219" w:lineRule="auto"/>
              <w:ind w:left="111"/>
              <w:rPr>
                <w:rFonts w:hint="eastAsia" w:ascii="宋体" w:hAnsi="宋体" w:eastAsia="宋体" w:cs="宋体"/>
                <w:snapToGrid w:val="0"/>
                <w:color w:val="auto"/>
                <w:spacing w:val="-5"/>
                <w:kern w:val="0"/>
                <w:sz w:val="24"/>
                <w:szCs w:val="24"/>
                <w:lang w:val="en-US" w:eastAsia="zh-CN" w:bidi="ar-SA"/>
              </w:rPr>
            </w:pPr>
            <w:r>
              <w:rPr>
                <w:rFonts w:hint="eastAsia" w:ascii="宋体" w:hAnsi="宋体" w:eastAsia="宋体" w:cs="宋体"/>
                <w:b w:val="0"/>
                <w:bCs w:val="0"/>
                <w:color w:val="auto"/>
                <w:spacing w:val="-1"/>
                <w:sz w:val="24"/>
                <w:szCs w:val="24"/>
                <w:lang w:val="en-US" w:eastAsia="zh-CN"/>
              </w:rPr>
              <w:t>供应商为生产企业的需具备有效期内的《药品生产许可证》及《药品GMP 认证证书》，供应商为药品经营企业或代理商的需具备有效期内的《药品经营许可证》(注:根据国家药监局关于贯彻实施《中华人民共和国药品管理法》有关事项的公告(2019年103号)，如 GMP证书为2019年12月1日及以后到期的，须提供到期前的GMP证书，如2019年12月1日以后新成立的生产企业或经营企业则无须提供GMP证书。）投标产品中含麻黄的，另需提供生产企业《麻黄收购许可证》。</w:t>
            </w:r>
          </w:p>
        </w:tc>
      </w:tr>
    </w:tbl>
    <w:p w14:paraId="454F2142">
      <w:pPr>
        <w:spacing w:before="178" w:line="360" w:lineRule="auto"/>
        <w:ind w:right="59" w:firstLine="498"/>
        <w:rPr>
          <w:rFonts w:ascii="宋体" w:hAnsi="宋体" w:eastAsia="宋体" w:cs="宋体"/>
          <w:spacing w:val="-3"/>
          <w:sz w:val="24"/>
          <w:szCs w:val="24"/>
        </w:rPr>
      </w:pPr>
      <w:r>
        <w:rPr>
          <w:rFonts w:ascii="宋体" w:hAnsi="宋体" w:eastAsia="宋体" w:cs="宋体"/>
          <w:b/>
          <w:bCs/>
          <w:spacing w:val="-3"/>
          <w:sz w:val="24"/>
          <w:szCs w:val="24"/>
        </w:rPr>
        <w:t>2.2 符合性审查：</w:t>
      </w:r>
      <w:r>
        <w:rPr>
          <w:rFonts w:ascii="宋体" w:hAnsi="宋体" w:eastAsia="宋体" w:cs="宋体"/>
          <w:spacing w:val="-3"/>
          <w:sz w:val="24"/>
          <w:szCs w:val="24"/>
        </w:rPr>
        <w:t>依据《磋商文件》的规定，从《磋商响应文件》的有效性、完整性和对《磋商文件》的响应程度进行审查，以确定是否对《磋商文件》的实质性要求做出响应。</w:t>
      </w:r>
    </w:p>
    <w:p w14:paraId="73EC5D06">
      <w:pPr>
        <w:keepNext w:val="0"/>
        <w:keepLines w:val="0"/>
        <w:pageBreakBefore w:val="0"/>
        <w:widowControl/>
        <w:kinsoku w:val="0"/>
        <w:wordWrap/>
        <w:overflowPunct/>
        <w:topLinePunct w:val="0"/>
        <w:autoSpaceDE w:val="0"/>
        <w:autoSpaceDN w:val="0"/>
        <w:bidi w:val="0"/>
        <w:adjustRightInd w:val="0"/>
        <w:snapToGrid w:val="0"/>
        <w:spacing w:before="178" w:line="360" w:lineRule="exact"/>
        <w:ind w:right="59" w:firstLine="498"/>
        <w:textAlignment w:val="baseline"/>
        <w:rPr>
          <w:rFonts w:ascii="宋体" w:hAnsi="宋体" w:eastAsia="宋体" w:cs="宋体"/>
          <w:spacing w:val="-3"/>
          <w:sz w:val="24"/>
          <w:szCs w:val="24"/>
        </w:rPr>
      </w:pPr>
      <w:r>
        <w:rPr>
          <w:rFonts w:ascii="宋体" w:hAnsi="宋体" w:eastAsia="宋体" w:cs="宋体"/>
          <w:spacing w:val="-3"/>
          <w:sz w:val="24"/>
          <w:szCs w:val="24"/>
        </w:rPr>
        <w:t>符合性审查时有下列情形之一的，由磋商小组按无效《磋商响应文件》处理：</w:t>
      </w:r>
    </w:p>
    <w:p w14:paraId="7857F4FF">
      <w:pPr>
        <w:keepNext w:val="0"/>
        <w:keepLines w:val="0"/>
        <w:pageBreakBefore w:val="0"/>
        <w:widowControl/>
        <w:kinsoku w:val="0"/>
        <w:wordWrap/>
        <w:overflowPunct/>
        <w:topLinePunct w:val="0"/>
        <w:autoSpaceDE w:val="0"/>
        <w:autoSpaceDN w:val="0"/>
        <w:bidi w:val="0"/>
        <w:adjustRightInd w:val="0"/>
        <w:snapToGrid w:val="0"/>
        <w:spacing w:before="180" w:line="360" w:lineRule="exact"/>
        <w:ind w:left="605"/>
        <w:textAlignment w:val="baseline"/>
        <w:rPr>
          <w:rFonts w:ascii="宋体" w:hAnsi="宋体" w:eastAsia="宋体" w:cs="宋体"/>
          <w:spacing w:val="-2"/>
          <w:sz w:val="24"/>
          <w:szCs w:val="24"/>
        </w:rPr>
      </w:pPr>
      <w:r>
        <w:rPr>
          <w:rFonts w:ascii="宋体" w:hAnsi="宋体" w:eastAsia="宋体" w:cs="宋体"/>
          <w:spacing w:val="-2"/>
          <w:sz w:val="24"/>
          <w:szCs w:val="24"/>
        </w:rPr>
        <w:t>符合性审查表：</w:t>
      </w:r>
    </w:p>
    <w:p w14:paraId="02BB0692">
      <w:pPr>
        <w:keepNext w:val="0"/>
        <w:keepLines w:val="0"/>
        <w:pageBreakBefore w:val="0"/>
        <w:widowControl/>
        <w:kinsoku w:val="0"/>
        <w:wordWrap/>
        <w:overflowPunct/>
        <w:topLinePunct w:val="0"/>
        <w:autoSpaceDE w:val="0"/>
        <w:autoSpaceDN w:val="0"/>
        <w:bidi w:val="0"/>
        <w:adjustRightInd w:val="0"/>
        <w:snapToGrid w:val="0"/>
        <w:spacing w:before="180" w:line="360" w:lineRule="exact"/>
        <w:ind w:left="605"/>
        <w:textAlignment w:val="baseline"/>
        <w:rPr>
          <w:rFonts w:ascii="宋体" w:hAnsi="宋体" w:eastAsia="宋体" w:cs="宋体"/>
          <w:spacing w:val="-2"/>
          <w:sz w:val="24"/>
          <w:szCs w:val="24"/>
        </w:rPr>
      </w:pPr>
    </w:p>
    <w:tbl>
      <w:tblPr>
        <w:tblStyle w:val="14"/>
        <w:tblW w:w="921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32"/>
        <w:gridCol w:w="7587"/>
      </w:tblGrid>
      <w:tr w14:paraId="6FA8F6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7" w:hRule="atLeast"/>
        </w:trPr>
        <w:tc>
          <w:tcPr>
            <w:tcW w:w="1632" w:type="dxa"/>
            <w:vAlign w:val="top"/>
          </w:tcPr>
          <w:p w14:paraId="7ED78E6E">
            <w:pPr>
              <w:keepNext w:val="0"/>
              <w:keepLines w:val="0"/>
              <w:pageBreakBefore w:val="0"/>
              <w:widowControl/>
              <w:kinsoku w:val="0"/>
              <w:wordWrap/>
              <w:overflowPunct/>
              <w:topLinePunct w:val="0"/>
              <w:autoSpaceDE w:val="0"/>
              <w:autoSpaceDN w:val="0"/>
              <w:bidi w:val="0"/>
              <w:adjustRightInd w:val="0"/>
              <w:snapToGrid w:val="0"/>
              <w:spacing w:before="128" w:line="360" w:lineRule="exact"/>
              <w:ind w:left="429"/>
              <w:textAlignment w:val="baseline"/>
              <w:rPr>
                <w:rFonts w:ascii="宋体" w:hAnsi="宋体" w:eastAsia="宋体" w:cs="宋体"/>
                <w:sz w:val="24"/>
                <w:szCs w:val="24"/>
              </w:rPr>
            </w:pPr>
            <w:r>
              <w:rPr>
                <w:rFonts w:ascii="宋体" w:hAnsi="宋体" w:eastAsia="宋体" w:cs="宋体"/>
                <w:spacing w:val="-3"/>
                <w:sz w:val="24"/>
                <w:szCs w:val="24"/>
              </w:rPr>
              <w:t>评审内容</w:t>
            </w:r>
          </w:p>
        </w:tc>
        <w:tc>
          <w:tcPr>
            <w:tcW w:w="7587" w:type="dxa"/>
            <w:vAlign w:val="top"/>
          </w:tcPr>
          <w:p w14:paraId="3F5DCAA7">
            <w:pPr>
              <w:keepNext w:val="0"/>
              <w:keepLines w:val="0"/>
              <w:pageBreakBefore w:val="0"/>
              <w:widowControl/>
              <w:kinsoku w:val="0"/>
              <w:wordWrap/>
              <w:overflowPunct/>
              <w:topLinePunct w:val="0"/>
              <w:autoSpaceDE w:val="0"/>
              <w:autoSpaceDN w:val="0"/>
              <w:bidi w:val="0"/>
              <w:adjustRightInd w:val="0"/>
              <w:snapToGrid w:val="0"/>
              <w:spacing w:before="128" w:line="360" w:lineRule="exact"/>
              <w:jc w:val="center"/>
              <w:textAlignment w:val="baseline"/>
              <w:rPr>
                <w:rFonts w:ascii="宋体" w:hAnsi="宋体" w:eastAsia="宋体" w:cs="宋体"/>
                <w:sz w:val="24"/>
                <w:szCs w:val="24"/>
              </w:rPr>
            </w:pPr>
            <w:r>
              <w:rPr>
                <w:rFonts w:hint="eastAsia" w:ascii="宋体" w:hAnsi="宋体" w:eastAsia="宋体" w:cs="宋体"/>
                <w:b/>
                <w:bCs/>
                <w:spacing w:val="-3"/>
                <w:sz w:val="24"/>
                <w:szCs w:val="24"/>
                <w:lang w:eastAsia="zh-CN"/>
              </w:rPr>
              <w:t>商务</w:t>
            </w:r>
            <w:r>
              <w:rPr>
                <w:rFonts w:ascii="宋体" w:hAnsi="宋体" w:eastAsia="宋体" w:cs="宋体"/>
                <w:b/>
                <w:bCs/>
                <w:spacing w:val="-3"/>
                <w:sz w:val="24"/>
                <w:szCs w:val="24"/>
              </w:rPr>
              <w:t>评审</w:t>
            </w:r>
          </w:p>
        </w:tc>
      </w:tr>
      <w:tr w14:paraId="069850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8" w:hRule="atLeast"/>
        </w:trPr>
        <w:tc>
          <w:tcPr>
            <w:tcW w:w="1632" w:type="dxa"/>
            <w:vMerge w:val="restart"/>
            <w:vAlign w:val="center"/>
          </w:tcPr>
          <w:p w14:paraId="3D253FE1">
            <w:pPr>
              <w:keepNext w:val="0"/>
              <w:keepLines w:val="0"/>
              <w:pageBreakBefore w:val="0"/>
              <w:widowControl/>
              <w:kinsoku w:val="0"/>
              <w:wordWrap/>
              <w:overflowPunct/>
              <w:topLinePunct w:val="0"/>
              <w:autoSpaceDE w:val="0"/>
              <w:autoSpaceDN w:val="0"/>
              <w:bidi w:val="0"/>
              <w:adjustRightInd w:val="0"/>
              <w:snapToGrid w:val="0"/>
              <w:spacing w:before="78" w:line="360" w:lineRule="exact"/>
              <w:jc w:val="center"/>
              <w:textAlignment w:val="baseline"/>
              <w:rPr>
                <w:rFonts w:ascii="宋体" w:hAnsi="宋体" w:eastAsia="宋体" w:cs="宋体"/>
                <w:sz w:val="24"/>
                <w:szCs w:val="24"/>
              </w:rPr>
            </w:pPr>
            <w:r>
              <w:rPr>
                <w:rFonts w:ascii="宋体" w:hAnsi="宋体" w:eastAsia="宋体" w:cs="宋体"/>
                <w:spacing w:val="-4"/>
                <w:sz w:val="24"/>
                <w:szCs w:val="24"/>
              </w:rPr>
              <w:t>符合性</w:t>
            </w:r>
            <w:r>
              <w:rPr>
                <w:rFonts w:ascii="宋体" w:hAnsi="宋体" w:eastAsia="宋体" w:cs="宋体"/>
                <w:spacing w:val="-5"/>
                <w:sz w:val="24"/>
                <w:szCs w:val="24"/>
              </w:rPr>
              <w:t>检查</w:t>
            </w:r>
          </w:p>
        </w:tc>
        <w:tc>
          <w:tcPr>
            <w:tcW w:w="7587" w:type="dxa"/>
            <w:vAlign w:val="top"/>
          </w:tcPr>
          <w:p w14:paraId="0D59BBBC">
            <w:pPr>
              <w:spacing w:before="182" w:line="359" w:lineRule="auto"/>
              <w:jc w:val="both"/>
              <w:rPr>
                <w:rFonts w:hint="eastAsia" w:ascii="宋体" w:hAnsi="宋体" w:eastAsia="宋体" w:cs="宋体"/>
                <w:spacing w:val="1"/>
                <w:sz w:val="24"/>
                <w:szCs w:val="24"/>
              </w:rPr>
            </w:pPr>
            <w:r>
              <w:rPr>
                <w:rFonts w:hint="eastAsia" w:ascii="宋体" w:hAnsi="宋体" w:eastAsia="宋体" w:cs="宋体"/>
                <w:spacing w:val="1"/>
                <w:sz w:val="24"/>
                <w:szCs w:val="24"/>
                <w:lang w:val="en-US" w:eastAsia="zh-CN"/>
              </w:rPr>
              <w:t>应有法人代表或授权代表签署意见的文件、证明等，未经本人签署的；应加盖公章的证照、函件，而未加盖公章的;磋商响应文件未按采购文件要求签署、盖章的;</w:t>
            </w:r>
          </w:p>
        </w:tc>
      </w:tr>
      <w:tr w14:paraId="7F688F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2" w:hRule="atLeast"/>
        </w:trPr>
        <w:tc>
          <w:tcPr>
            <w:tcW w:w="1632" w:type="dxa"/>
            <w:vMerge w:val="continue"/>
            <w:vAlign w:val="top"/>
          </w:tcPr>
          <w:p w14:paraId="28D87DB6">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sz w:val="21"/>
              </w:rPr>
            </w:pPr>
          </w:p>
        </w:tc>
        <w:tc>
          <w:tcPr>
            <w:tcW w:w="7587" w:type="dxa"/>
            <w:vAlign w:val="top"/>
          </w:tcPr>
          <w:p w14:paraId="6D64414E">
            <w:pPr>
              <w:spacing w:before="182" w:line="359" w:lineRule="auto"/>
              <w:jc w:val="both"/>
              <w:rPr>
                <w:rFonts w:hint="eastAsia" w:ascii="宋体" w:hAnsi="宋体" w:eastAsia="宋体" w:cs="宋体"/>
                <w:spacing w:val="1"/>
                <w:sz w:val="24"/>
                <w:szCs w:val="24"/>
              </w:rPr>
            </w:pPr>
            <w:r>
              <w:rPr>
                <w:rFonts w:hint="eastAsia" w:ascii="宋体" w:hAnsi="宋体" w:eastAsia="宋体" w:cs="宋体"/>
                <w:spacing w:val="1"/>
                <w:sz w:val="24"/>
                <w:szCs w:val="24"/>
              </w:rPr>
              <w:t>对于有</w:t>
            </w:r>
            <w:r>
              <w:rPr>
                <w:rFonts w:hint="eastAsia" w:ascii="宋体" w:hAnsi="宋体" w:eastAsia="宋体" w:cs="宋体"/>
                <w:spacing w:val="1"/>
                <w:sz w:val="24"/>
                <w:szCs w:val="24"/>
                <w:lang w:eastAsia="zh-CN"/>
              </w:rPr>
              <w:t>特定</w:t>
            </w:r>
            <w:r>
              <w:rPr>
                <w:rFonts w:hint="eastAsia" w:ascii="宋体" w:hAnsi="宋体" w:eastAsia="宋体" w:cs="宋体"/>
                <w:spacing w:val="1"/>
                <w:sz w:val="24"/>
                <w:szCs w:val="24"/>
              </w:rPr>
              <w:t>格式要求的，不允许改动其内容</w:t>
            </w:r>
            <w:r>
              <w:rPr>
                <w:rFonts w:hint="eastAsia" w:ascii="宋体" w:hAnsi="宋体" w:eastAsia="宋体" w:cs="宋体"/>
                <w:spacing w:val="1"/>
                <w:sz w:val="24"/>
                <w:szCs w:val="24"/>
                <w:lang w:val="en-US" w:eastAsia="zh-CN"/>
              </w:rPr>
              <w:t>;</w:t>
            </w:r>
          </w:p>
        </w:tc>
      </w:tr>
      <w:tr w14:paraId="4FA353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8" w:hRule="atLeast"/>
        </w:trPr>
        <w:tc>
          <w:tcPr>
            <w:tcW w:w="1632" w:type="dxa"/>
            <w:vMerge w:val="continue"/>
            <w:vAlign w:val="top"/>
          </w:tcPr>
          <w:p w14:paraId="31726CD7">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sz w:val="21"/>
              </w:rPr>
            </w:pPr>
          </w:p>
        </w:tc>
        <w:tc>
          <w:tcPr>
            <w:tcW w:w="7587" w:type="dxa"/>
            <w:vAlign w:val="top"/>
          </w:tcPr>
          <w:p w14:paraId="3F8A4C85">
            <w:pPr>
              <w:spacing w:before="182" w:line="359" w:lineRule="auto"/>
              <w:jc w:val="both"/>
              <w:rPr>
                <w:rFonts w:hint="eastAsia" w:ascii="宋体" w:hAnsi="宋体" w:eastAsia="宋体" w:cs="宋体"/>
                <w:spacing w:val="1"/>
                <w:sz w:val="24"/>
                <w:szCs w:val="24"/>
              </w:rPr>
            </w:pPr>
            <w:r>
              <w:rPr>
                <w:rFonts w:hint="eastAsia" w:ascii="宋体" w:hAnsi="宋体" w:eastAsia="宋体" w:cs="宋体"/>
                <w:spacing w:val="1"/>
                <w:sz w:val="24"/>
                <w:szCs w:val="24"/>
              </w:rPr>
              <w:t>超出</w:t>
            </w:r>
            <w:r>
              <w:rPr>
                <w:rFonts w:hint="eastAsia" w:ascii="宋体" w:hAnsi="宋体" w:eastAsia="宋体" w:cs="宋体"/>
                <w:spacing w:val="1"/>
                <w:sz w:val="24"/>
                <w:szCs w:val="24"/>
                <w:lang w:eastAsia="zh-CN"/>
              </w:rPr>
              <w:t>采购文件</w:t>
            </w:r>
            <w:r>
              <w:rPr>
                <w:rFonts w:hint="eastAsia" w:ascii="宋体" w:hAnsi="宋体" w:eastAsia="宋体" w:cs="宋体"/>
                <w:spacing w:val="1"/>
                <w:sz w:val="24"/>
                <w:szCs w:val="24"/>
              </w:rPr>
              <w:t>要求的</w:t>
            </w:r>
            <w:r>
              <w:rPr>
                <w:rFonts w:hint="eastAsia" w:ascii="宋体" w:hAnsi="宋体" w:eastAsia="宋体" w:cs="宋体"/>
                <w:spacing w:val="1"/>
                <w:sz w:val="24"/>
                <w:szCs w:val="24"/>
                <w:lang w:eastAsia="zh-CN"/>
              </w:rPr>
              <w:t>服务</w:t>
            </w:r>
            <w:r>
              <w:rPr>
                <w:rFonts w:hint="eastAsia" w:ascii="宋体" w:hAnsi="宋体" w:eastAsia="宋体" w:cs="宋体"/>
                <w:spacing w:val="1"/>
                <w:sz w:val="24"/>
                <w:szCs w:val="24"/>
              </w:rPr>
              <w:t>期限时间的</w:t>
            </w:r>
            <w:r>
              <w:rPr>
                <w:rFonts w:hint="eastAsia" w:ascii="宋体" w:hAnsi="宋体" w:eastAsia="宋体" w:cs="宋体"/>
                <w:spacing w:val="1"/>
                <w:sz w:val="24"/>
                <w:szCs w:val="24"/>
                <w:lang w:val="en-US" w:eastAsia="zh-CN"/>
              </w:rPr>
              <w:t>;</w:t>
            </w:r>
          </w:p>
        </w:tc>
      </w:tr>
      <w:tr w14:paraId="32F8CD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1" w:hRule="atLeast"/>
        </w:trPr>
        <w:tc>
          <w:tcPr>
            <w:tcW w:w="1632" w:type="dxa"/>
            <w:vMerge w:val="continue"/>
            <w:vAlign w:val="top"/>
          </w:tcPr>
          <w:p w14:paraId="437DA866">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sz w:val="21"/>
              </w:rPr>
            </w:pPr>
          </w:p>
        </w:tc>
        <w:tc>
          <w:tcPr>
            <w:tcW w:w="7587" w:type="dxa"/>
            <w:vAlign w:val="top"/>
          </w:tcPr>
          <w:p w14:paraId="689C1237">
            <w:pPr>
              <w:keepNext w:val="0"/>
              <w:keepLines w:val="0"/>
              <w:pageBreakBefore w:val="0"/>
              <w:widowControl/>
              <w:kinsoku w:val="0"/>
              <w:wordWrap/>
              <w:overflowPunct/>
              <w:topLinePunct w:val="0"/>
              <w:autoSpaceDE w:val="0"/>
              <w:autoSpaceDN w:val="0"/>
              <w:bidi w:val="0"/>
              <w:adjustRightInd w:val="0"/>
              <w:snapToGrid w:val="0"/>
              <w:spacing w:before="178" w:line="360" w:lineRule="exact"/>
              <w:ind w:right="59"/>
              <w:jc w:val="center"/>
              <w:textAlignment w:val="baseline"/>
              <w:rPr>
                <w:rFonts w:hint="eastAsia" w:ascii="宋体" w:hAnsi="宋体" w:eastAsia="宋体" w:cs="宋体"/>
                <w:spacing w:val="-3"/>
                <w:sz w:val="24"/>
                <w:szCs w:val="24"/>
                <w:lang w:eastAsia="zh-CN"/>
              </w:rPr>
            </w:pPr>
            <w:r>
              <w:rPr>
                <w:rFonts w:hint="eastAsia" w:ascii="宋体" w:hAnsi="宋体" w:eastAsia="宋体" w:cs="宋体"/>
                <w:b/>
                <w:bCs/>
                <w:spacing w:val="-3"/>
                <w:sz w:val="24"/>
                <w:szCs w:val="24"/>
                <w:lang w:eastAsia="zh-CN"/>
              </w:rPr>
              <w:t>技术审查</w:t>
            </w:r>
          </w:p>
        </w:tc>
      </w:tr>
      <w:tr w14:paraId="77BFF1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0" w:hRule="atLeast"/>
        </w:trPr>
        <w:tc>
          <w:tcPr>
            <w:tcW w:w="1632" w:type="dxa"/>
            <w:vMerge w:val="continue"/>
            <w:vAlign w:val="top"/>
          </w:tcPr>
          <w:p w14:paraId="64CC5863">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sz w:val="21"/>
              </w:rPr>
            </w:pPr>
          </w:p>
        </w:tc>
        <w:tc>
          <w:tcPr>
            <w:tcW w:w="7587" w:type="dxa"/>
            <w:vAlign w:val="top"/>
          </w:tcPr>
          <w:p w14:paraId="4CCE1C29">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leftChars="0" w:right="17" w:rightChars="0" w:firstLine="0" w:firstLineChars="0"/>
              <w:textAlignment w:val="baseline"/>
              <w:rPr>
                <w:rFonts w:ascii="宋体" w:hAnsi="宋体" w:eastAsia="宋体" w:cs="宋体"/>
                <w:sz w:val="24"/>
                <w:szCs w:val="24"/>
              </w:rPr>
            </w:pPr>
            <w:r>
              <w:rPr>
                <w:rFonts w:hint="eastAsia" w:ascii="宋体" w:hAnsi="宋体" w:eastAsia="宋体" w:cs="宋体"/>
                <w:spacing w:val="1"/>
                <w:sz w:val="24"/>
                <w:szCs w:val="24"/>
                <w:lang w:eastAsia="zh-CN"/>
              </w:rPr>
              <w:t>磋商响应文件是否</w:t>
            </w:r>
            <w:r>
              <w:rPr>
                <w:rFonts w:hint="eastAsia" w:ascii="宋体" w:hAnsi="宋体" w:eastAsia="宋体" w:cs="宋体"/>
                <w:spacing w:val="1"/>
                <w:sz w:val="24"/>
                <w:szCs w:val="24"/>
              </w:rPr>
              <w:t>对</w:t>
            </w:r>
            <w:r>
              <w:rPr>
                <w:rFonts w:hint="eastAsia" w:ascii="宋体" w:hAnsi="宋体" w:eastAsia="宋体" w:cs="宋体"/>
                <w:spacing w:val="1"/>
                <w:sz w:val="24"/>
                <w:szCs w:val="24"/>
                <w:lang w:eastAsia="zh-CN"/>
              </w:rPr>
              <w:t>采购文件</w:t>
            </w:r>
            <w:r>
              <w:rPr>
                <w:rFonts w:hint="eastAsia" w:ascii="宋体" w:hAnsi="宋体" w:eastAsia="宋体" w:cs="宋体"/>
                <w:spacing w:val="1"/>
                <w:sz w:val="24"/>
                <w:szCs w:val="24"/>
              </w:rPr>
              <w:t>中的内容做出实质性和完整的响应</w:t>
            </w:r>
            <w:r>
              <w:rPr>
                <w:rFonts w:hint="eastAsia" w:ascii="宋体" w:hAnsi="宋体" w:eastAsia="宋体" w:cs="宋体"/>
                <w:spacing w:val="1"/>
                <w:sz w:val="24"/>
                <w:szCs w:val="24"/>
                <w:lang w:eastAsia="zh-CN"/>
              </w:rPr>
              <w:t>，是否做出错误响应</w:t>
            </w:r>
            <w:r>
              <w:rPr>
                <w:rFonts w:hint="eastAsia" w:ascii="宋体" w:hAnsi="宋体" w:eastAsia="宋体" w:cs="宋体"/>
                <w:spacing w:val="1"/>
                <w:sz w:val="24"/>
                <w:szCs w:val="24"/>
                <w:lang w:val="en-US" w:eastAsia="zh-CN"/>
              </w:rPr>
              <w:t>;</w:t>
            </w:r>
          </w:p>
        </w:tc>
      </w:tr>
      <w:tr w14:paraId="58899B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3" w:hRule="atLeast"/>
        </w:trPr>
        <w:tc>
          <w:tcPr>
            <w:tcW w:w="1632" w:type="dxa"/>
            <w:vMerge w:val="continue"/>
            <w:vAlign w:val="top"/>
          </w:tcPr>
          <w:p w14:paraId="7AABEC4F">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sz w:val="21"/>
              </w:rPr>
            </w:pPr>
          </w:p>
        </w:tc>
        <w:tc>
          <w:tcPr>
            <w:tcW w:w="7587" w:type="dxa"/>
            <w:vAlign w:val="top"/>
          </w:tcPr>
          <w:p w14:paraId="4F0845A4">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leftChars="0" w:right="17" w:rightChars="0" w:firstLine="0" w:firstLineChars="0"/>
              <w:textAlignment w:val="baseline"/>
              <w:rPr>
                <w:rFonts w:ascii="宋体" w:hAnsi="宋体" w:eastAsia="宋体" w:cs="宋体"/>
                <w:sz w:val="24"/>
                <w:szCs w:val="24"/>
              </w:rPr>
            </w:pPr>
            <w:r>
              <w:rPr>
                <w:rFonts w:hint="eastAsia" w:ascii="宋体" w:hAnsi="宋体" w:eastAsia="宋体" w:cs="宋体"/>
                <w:spacing w:val="1"/>
                <w:sz w:val="24"/>
                <w:szCs w:val="24"/>
              </w:rPr>
              <w:t>不符合法律、法规和</w:t>
            </w:r>
            <w:r>
              <w:rPr>
                <w:rFonts w:hint="eastAsia" w:ascii="宋体" w:hAnsi="宋体" w:eastAsia="宋体" w:cs="宋体"/>
                <w:spacing w:val="1"/>
                <w:sz w:val="24"/>
                <w:szCs w:val="24"/>
                <w:lang w:eastAsia="zh-CN"/>
              </w:rPr>
              <w:t>采购文件</w:t>
            </w:r>
            <w:r>
              <w:rPr>
                <w:rFonts w:hint="eastAsia" w:ascii="宋体" w:hAnsi="宋体" w:eastAsia="宋体" w:cs="宋体"/>
                <w:spacing w:val="1"/>
                <w:sz w:val="24"/>
                <w:szCs w:val="24"/>
              </w:rPr>
              <w:t>中规定的其他要求的</w:t>
            </w:r>
            <w:r>
              <w:rPr>
                <w:rFonts w:hint="eastAsia" w:ascii="宋体" w:hAnsi="宋体" w:eastAsia="宋体" w:cs="宋体"/>
                <w:spacing w:val="1"/>
                <w:sz w:val="24"/>
                <w:szCs w:val="24"/>
                <w:lang w:val="en-US" w:eastAsia="zh-CN"/>
              </w:rPr>
              <w:t>;</w:t>
            </w:r>
          </w:p>
        </w:tc>
      </w:tr>
      <w:tr w14:paraId="1BED79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2" w:hRule="atLeast"/>
        </w:trPr>
        <w:tc>
          <w:tcPr>
            <w:tcW w:w="1632" w:type="dxa"/>
            <w:vMerge w:val="continue"/>
            <w:vAlign w:val="top"/>
          </w:tcPr>
          <w:p w14:paraId="6B979DF8">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sz w:val="21"/>
              </w:rPr>
            </w:pPr>
          </w:p>
        </w:tc>
        <w:tc>
          <w:tcPr>
            <w:tcW w:w="7587" w:type="dxa"/>
            <w:vAlign w:val="top"/>
          </w:tcPr>
          <w:p w14:paraId="0FE8015C">
            <w:pPr>
              <w:keepNext w:val="0"/>
              <w:keepLines w:val="0"/>
              <w:pageBreakBefore w:val="0"/>
              <w:widowControl/>
              <w:kinsoku w:val="0"/>
              <w:wordWrap/>
              <w:overflowPunct/>
              <w:topLinePunct w:val="0"/>
              <w:autoSpaceDE w:val="0"/>
              <w:autoSpaceDN w:val="0"/>
              <w:bidi w:val="0"/>
              <w:adjustRightInd w:val="0"/>
              <w:snapToGrid w:val="0"/>
              <w:spacing w:before="166" w:line="360" w:lineRule="exact"/>
              <w:ind w:left="114"/>
              <w:jc w:val="center"/>
              <w:textAlignment w:val="baseline"/>
              <w:rPr>
                <w:rFonts w:hint="eastAsia" w:ascii="宋体" w:hAnsi="宋体" w:eastAsia="宋体" w:cs="宋体"/>
                <w:spacing w:val="-3"/>
                <w:sz w:val="24"/>
                <w:szCs w:val="24"/>
                <w:lang w:eastAsia="zh-CN"/>
              </w:rPr>
            </w:pPr>
            <w:r>
              <w:rPr>
                <w:rFonts w:hint="eastAsia" w:ascii="宋体" w:hAnsi="宋体" w:eastAsia="宋体" w:cs="宋体"/>
                <w:b/>
                <w:bCs/>
                <w:spacing w:val="-3"/>
                <w:sz w:val="24"/>
                <w:szCs w:val="24"/>
                <w:lang w:eastAsia="zh-CN"/>
              </w:rPr>
              <w:t>报价审查</w:t>
            </w:r>
          </w:p>
        </w:tc>
      </w:tr>
      <w:tr w14:paraId="3DFB1A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2" w:hRule="atLeast"/>
        </w:trPr>
        <w:tc>
          <w:tcPr>
            <w:tcW w:w="1632" w:type="dxa"/>
            <w:vMerge w:val="continue"/>
          </w:tcPr>
          <w:p w14:paraId="49E15215">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sz w:val="21"/>
              </w:rPr>
            </w:pPr>
          </w:p>
        </w:tc>
        <w:tc>
          <w:tcPr>
            <w:tcW w:w="0" w:type="auto"/>
            <w:vAlign w:val="top"/>
          </w:tcPr>
          <w:p w14:paraId="2615EA08">
            <w:pPr>
              <w:spacing w:before="182" w:line="359" w:lineRule="auto"/>
              <w:jc w:val="both"/>
              <w:rPr>
                <w:rFonts w:hint="eastAsia" w:ascii="宋体" w:hAnsi="宋体" w:eastAsia="宋体" w:cs="宋体"/>
                <w:spacing w:val="1"/>
                <w:sz w:val="24"/>
                <w:szCs w:val="24"/>
                <w:lang w:val="en-US" w:eastAsia="zh-CN"/>
              </w:rPr>
            </w:pPr>
            <w:r>
              <w:rPr>
                <w:rFonts w:hint="eastAsia" w:ascii="宋体" w:hAnsi="宋体" w:eastAsia="宋体" w:cs="宋体"/>
                <w:spacing w:val="1"/>
                <w:sz w:val="24"/>
                <w:szCs w:val="24"/>
                <w:lang w:eastAsia="zh-CN"/>
              </w:rPr>
              <w:t>供应商</w:t>
            </w:r>
            <w:r>
              <w:rPr>
                <w:rFonts w:hint="eastAsia" w:ascii="宋体" w:hAnsi="宋体" w:eastAsia="宋体" w:cs="宋体"/>
                <w:spacing w:val="1"/>
                <w:sz w:val="24"/>
                <w:szCs w:val="24"/>
              </w:rPr>
              <w:t>对每种货物及服务只允许有一个报价，不接受选择性报价</w:t>
            </w:r>
            <w:r>
              <w:rPr>
                <w:rFonts w:hint="eastAsia" w:ascii="宋体" w:hAnsi="宋体" w:eastAsia="宋体" w:cs="宋体"/>
                <w:spacing w:val="1"/>
                <w:sz w:val="24"/>
                <w:szCs w:val="24"/>
                <w:lang w:eastAsia="zh-CN"/>
              </w:rPr>
              <w:t>。</w:t>
            </w:r>
          </w:p>
        </w:tc>
      </w:tr>
    </w:tbl>
    <w:p w14:paraId="624073C4">
      <w:pPr>
        <w:spacing w:before="34" w:line="220" w:lineRule="auto"/>
        <w:ind w:left="607"/>
        <w:outlineLvl w:val="9"/>
        <w:rPr>
          <w:rFonts w:ascii="宋体" w:hAnsi="宋体" w:eastAsia="宋体" w:cs="宋体"/>
          <w:spacing w:val="-2"/>
          <w:sz w:val="24"/>
          <w:szCs w:val="24"/>
          <w14:textOutline w14:w="4358" w14:cap="sq" w14:cmpd="sng">
            <w14:solidFill>
              <w14:srgbClr w14:val="000000"/>
            </w14:solidFill>
            <w14:prstDash w14:val="solid"/>
            <w14:bevel/>
          </w14:textOutline>
        </w:rPr>
      </w:pPr>
    </w:p>
    <w:p w14:paraId="65ED01DB">
      <w:pPr>
        <w:spacing w:before="34" w:line="220" w:lineRule="auto"/>
        <w:ind w:left="607"/>
        <w:outlineLvl w:val="2"/>
        <w:rPr>
          <w:rFonts w:ascii="宋体" w:hAnsi="宋体" w:eastAsia="宋体" w:cs="宋体"/>
          <w:sz w:val="24"/>
          <w:szCs w:val="24"/>
        </w:rPr>
      </w:pPr>
      <w:r>
        <w:rPr>
          <w:rFonts w:ascii="宋体" w:hAnsi="宋体" w:eastAsia="宋体" w:cs="宋体"/>
          <w:spacing w:val="-2"/>
          <w:sz w:val="24"/>
          <w:szCs w:val="24"/>
          <w14:textOutline w14:w="4358" w14:cap="sq" w14:cmpd="sng">
            <w14:solidFill>
              <w14:srgbClr w14:val="000000"/>
            </w14:solidFill>
            <w14:prstDash w14:val="solid"/>
            <w14:bevel/>
          </w14:textOutline>
        </w:rPr>
        <w:t>3.详细评审：</w:t>
      </w:r>
    </w:p>
    <w:p w14:paraId="048A87DF">
      <w:pPr>
        <w:spacing w:before="182" w:line="359" w:lineRule="auto"/>
        <w:ind w:left="122" w:firstLine="485"/>
        <w:jc w:val="both"/>
        <w:rPr>
          <w:rFonts w:ascii="宋体" w:hAnsi="宋体" w:eastAsia="宋体" w:cs="宋体"/>
          <w:sz w:val="24"/>
          <w:szCs w:val="24"/>
        </w:rPr>
      </w:pPr>
      <w:r>
        <w:rPr>
          <w:rFonts w:ascii="宋体" w:hAnsi="宋体" w:eastAsia="宋体" w:cs="宋体"/>
          <w:spacing w:val="1"/>
          <w:sz w:val="24"/>
          <w:szCs w:val="24"/>
        </w:rPr>
        <w:t>3.1</w:t>
      </w:r>
      <w:r>
        <w:rPr>
          <w:rFonts w:ascii="宋体" w:hAnsi="宋体" w:eastAsia="宋体" w:cs="宋体"/>
          <w:spacing w:val="-46"/>
          <w:sz w:val="24"/>
          <w:szCs w:val="24"/>
        </w:rPr>
        <w:t xml:space="preserve"> </w:t>
      </w:r>
      <w:r>
        <w:rPr>
          <w:rFonts w:ascii="宋体" w:hAnsi="宋体" w:eastAsia="宋体" w:cs="宋体"/>
          <w:spacing w:val="1"/>
          <w:sz w:val="24"/>
          <w:szCs w:val="24"/>
        </w:rPr>
        <w:t>磋商小组将只要求通过了“资格性检查和符合性检查</w:t>
      </w:r>
      <w:r>
        <w:rPr>
          <w:rFonts w:ascii="宋体" w:hAnsi="宋体" w:eastAsia="宋体" w:cs="宋体"/>
          <w:spacing w:val="-85"/>
          <w:sz w:val="24"/>
          <w:szCs w:val="24"/>
        </w:rPr>
        <w:t xml:space="preserve"> </w:t>
      </w:r>
      <w:r>
        <w:rPr>
          <w:rFonts w:ascii="宋体" w:hAnsi="宋体" w:eastAsia="宋体" w:cs="宋体"/>
          <w:spacing w:val="1"/>
          <w:sz w:val="24"/>
          <w:szCs w:val="24"/>
        </w:rPr>
        <w:t>”的供应商进行磋商报价(现</w:t>
      </w:r>
      <w:r>
        <w:rPr>
          <w:rFonts w:ascii="宋体" w:hAnsi="宋体" w:eastAsia="宋体" w:cs="宋体"/>
          <w:sz w:val="24"/>
          <w:szCs w:val="24"/>
        </w:rPr>
        <w:t xml:space="preserve"> </w:t>
      </w:r>
      <w:r>
        <w:rPr>
          <w:rFonts w:ascii="宋体" w:hAnsi="宋体" w:eastAsia="宋体" w:cs="宋体"/>
          <w:spacing w:val="1"/>
          <w:sz w:val="24"/>
          <w:szCs w:val="24"/>
        </w:rPr>
        <w:t>场磋商报价原则上为一轮报价，若采购人有要求可增加轮次)，确定为实质</w:t>
      </w:r>
      <w:r>
        <w:rPr>
          <w:rFonts w:ascii="宋体" w:hAnsi="宋体" w:eastAsia="宋体" w:cs="宋体"/>
          <w:sz w:val="24"/>
          <w:szCs w:val="24"/>
        </w:rPr>
        <w:t>上响应《磋商文</w:t>
      </w:r>
      <w:r>
        <w:rPr>
          <w:rFonts w:ascii="宋体" w:hAnsi="宋体" w:eastAsia="宋体" w:cs="宋体"/>
          <w:spacing w:val="-1"/>
          <w:sz w:val="24"/>
          <w:szCs w:val="24"/>
        </w:rPr>
        <w:t>件》要求的《磋商响应文件》进行详细评审（综合评审评分</w:t>
      </w:r>
      <w:r>
        <w:rPr>
          <w:rFonts w:ascii="宋体" w:hAnsi="宋体" w:eastAsia="宋体" w:cs="宋体"/>
          <w:spacing w:val="13"/>
          <w:sz w:val="24"/>
          <w:szCs w:val="24"/>
        </w:rPr>
        <w:t>），</w:t>
      </w:r>
      <w:r>
        <w:rPr>
          <w:rFonts w:ascii="宋体" w:hAnsi="宋体" w:eastAsia="宋体" w:cs="宋体"/>
          <w:spacing w:val="-1"/>
          <w:sz w:val="24"/>
          <w:szCs w:val="24"/>
        </w:rPr>
        <w:t>详见《综合评分表》。</w:t>
      </w:r>
    </w:p>
    <w:p w14:paraId="0ECD7685">
      <w:pPr>
        <w:spacing w:before="182" w:line="359" w:lineRule="auto"/>
        <w:ind w:left="122" w:firstLine="485"/>
        <w:jc w:val="both"/>
        <w:rPr>
          <w:rFonts w:ascii="宋体" w:hAnsi="宋体" w:eastAsia="宋体" w:cs="宋体"/>
          <w:spacing w:val="1"/>
          <w:sz w:val="24"/>
          <w:szCs w:val="24"/>
        </w:rPr>
      </w:pPr>
      <w:r>
        <w:rPr>
          <w:rFonts w:ascii="宋体" w:hAnsi="宋体" w:eastAsia="宋体" w:cs="宋体"/>
          <w:spacing w:val="1"/>
          <w:sz w:val="24"/>
          <w:szCs w:val="24"/>
        </w:rPr>
        <w:t>3.2 磋商小组要审查每份《磋商响应文件》是否实质上响应了《磋商文件》的要求。实质上响应的磋商响应文件应该是与磋商文件要求的全部条款、条件和技术参数相符。对关键条款的偏离、保留或反对将被认为是实质上的偏离。磋商小组决定评标的响应性只根据《磋商响应文件》本身的内容，而不寻求外部的任何证据。</w:t>
      </w:r>
    </w:p>
    <w:p w14:paraId="19509D6E">
      <w:pPr>
        <w:spacing w:before="182" w:line="359" w:lineRule="auto"/>
        <w:ind w:left="122" w:firstLine="485"/>
        <w:jc w:val="both"/>
        <w:rPr>
          <w:rFonts w:ascii="宋体" w:hAnsi="宋体" w:eastAsia="宋体" w:cs="宋体"/>
          <w:spacing w:val="1"/>
          <w:sz w:val="24"/>
          <w:szCs w:val="24"/>
        </w:rPr>
      </w:pPr>
      <w:r>
        <w:rPr>
          <w:rFonts w:ascii="宋体" w:hAnsi="宋体" w:eastAsia="宋体" w:cs="宋体"/>
          <w:spacing w:val="1"/>
          <w:sz w:val="24"/>
          <w:szCs w:val="24"/>
        </w:rPr>
        <w:t>《磋商响应文件》的大写金额和小写金额不一致的，以大写金额为准；总价金额与单项单价汇总金额不一致的，以单价金额计算结果为准；单价金额小数点有明显错位的，应以总 价为准，并修改单价；对不同文字文本《磋商响应文件》的解释发生异议的，以中文文本为准。</w:t>
      </w:r>
    </w:p>
    <w:p w14:paraId="764F3DA5">
      <w:pPr>
        <w:pStyle w:val="2"/>
        <w:rPr>
          <w:rFonts w:ascii="宋体" w:hAnsi="宋体" w:eastAsia="宋体" w:cs="宋体"/>
          <w:spacing w:val="1"/>
          <w:sz w:val="24"/>
          <w:szCs w:val="24"/>
        </w:rPr>
      </w:pPr>
    </w:p>
    <w:p w14:paraId="44479624">
      <w:pPr>
        <w:pStyle w:val="3"/>
        <w:rPr>
          <w:rFonts w:ascii="宋体" w:hAnsi="宋体" w:eastAsia="宋体" w:cs="宋体"/>
          <w:spacing w:val="1"/>
          <w:sz w:val="24"/>
          <w:szCs w:val="24"/>
        </w:rPr>
      </w:pPr>
    </w:p>
    <w:p w14:paraId="5BA6386D">
      <w:pPr>
        <w:rPr>
          <w:rFonts w:ascii="宋体" w:hAnsi="宋体" w:eastAsia="宋体" w:cs="宋体"/>
          <w:spacing w:val="1"/>
          <w:sz w:val="24"/>
          <w:szCs w:val="24"/>
        </w:rPr>
      </w:pPr>
    </w:p>
    <w:p w14:paraId="41691DFD">
      <w:pPr>
        <w:pStyle w:val="2"/>
      </w:pPr>
    </w:p>
    <w:p w14:paraId="22BD0155">
      <w:pPr>
        <w:spacing w:before="181" w:line="220" w:lineRule="auto"/>
        <w:ind w:left="602"/>
        <w:jc w:val="center"/>
        <w:outlineLvl w:val="2"/>
        <w:rPr>
          <w:rFonts w:ascii="宋体" w:hAnsi="宋体" w:eastAsia="宋体" w:cs="宋体"/>
          <w:spacing w:val="1"/>
          <w:sz w:val="24"/>
          <w:szCs w:val="24"/>
        </w:rPr>
      </w:pPr>
      <w:r>
        <w:rPr>
          <w:rFonts w:ascii="宋体" w:hAnsi="宋体" w:eastAsia="宋体" w:cs="宋体"/>
          <w:spacing w:val="-1"/>
          <w:sz w:val="24"/>
          <w:szCs w:val="24"/>
          <w14:textOutline w14:w="4358" w14:cap="sq" w14:cmpd="sng">
            <w14:solidFill>
              <w14:srgbClr w14:val="000000"/>
            </w14:solidFill>
            <w14:prstDash w14:val="solid"/>
            <w14:bevel/>
          </w14:textOutline>
        </w:rPr>
        <w:t>4.</w:t>
      </w:r>
      <w:r>
        <w:rPr>
          <w:rFonts w:ascii="宋体" w:hAnsi="宋体" w:eastAsia="宋体" w:cs="宋体"/>
          <w:spacing w:val="-1"/>
          <w:sz w:val="24"/>
          <w:szCs w:val="24"/>
        </w:rPr>
        <w:t xml:space="preserve"> </w:t>
      </w:r>
      <w:r>
        <w:rPr>
          <w:rFonts w:ascii="宋体" w:hAnsi="宋体" w:eastAsia="宋体" w:cs="宋体"/>
          <w:spacing w:val="-1"/>
          <w:sz w:val="24"/>
          <w:szCs w:val="24"/>
          <w14:textOutline w14:w="4358" w14:cap="sq" w14:cmpd="sng">
            <w14:solidFill>
              <w14:srgbClr w14:val="000000"/>
            </w14:solidFill>
            <w14:prstDash w14:val="solid"/>
            <w14:bevel/>
          </w14:textOutline>
        </w:rPr>
        <w:t>综合评分表</w:t>
      </w:r>
      <w:r>
        <w:rPr>
          <w:rFonts w:hint="eastAsia" w:ascii="宋体" w:hAnsi="宋体" w:eastAsia="宋体" w:cs="宋体"/>
          <w:spacing w:val="-1"/>
          <w:sz w:val="24"/>
          <w:szCs w:val="24"/>
          <w14:textOutline w14:w="4358" w14:cap="sq" w14:cmpd="sng">
            <w14:solidFill>
              <w14:srgbClr w14:val="000000"/>
            </w14:solidFill>
            <w14:prstDash w14:val="solid"/>
            <w14:bevel/>
          </w14:textOutline>
        </w:rPr>
        <w:t>评分表</w:t>
      </w:r>
      <w:r>
        <w:rPr>
          <w:rFonts w:hint="eastAsia" w:ascii="宋体" w:hAnsi="宋体" w:eastAsia="宋体" w:cs="宋体"/>
          <w:spacing w:val="-1"/>
          <w:sz w:val="24"/>
          <w:szCs w:val="24"/>
          <w:lang w:val="en-US" w:eastAsia="zh-CN"/>
          <w14:textOutline w14:w="4358" w14:cap="sq" w14:cmpd="sng">
            <w14:solidFill>
              <w14:srgbClr w14:val="000000"/>
            </w14:solidFill>
            <w14:prstDash w14:val="solid"/>
            <w14:bevel/>
          </w14:textOutline>
        </w:rPr>
        <w:t>（标项一、标项二、标项三、标项四）</w:t>
      </w:r>
      <w:r>
        <w:rPr>
          <w:rFonts w:ascii="宋体" w:hAnsi="宋体" w:eastAsia="宋体" w:cs="宋体"/>
          <w:spacing w:val="-1"/>
          <w:sz w:val="24"/>
          <w:szCs w:val="24"/>
          <w14:textOutline w14:w="4358" w14:cap="sq" w14:cmpd="sng">
            <w14:solidFill>
              <w14:srgbClr w14:val="000000"/>
            </w14:solidFill>
            <w14:prstDash w14:val="solid"/>
            <w14:bevel/>
          </w14:textOutline>
        </w:rPr>
        <w:t>：</w:t>
      </w:r>
    </w:p>
    <w:tbl>
      <w:tblPr>
        <w:tblStyle w:val="14"/>
        <w:tblW w:w="965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90"/>
        <w:gridCol w:w="870"/>
        <w:gridCol w:w="6900"/>
        <w:gridCol w:w="1198"/>
      </w:tblGrid>
      <w:tr w14:paraId="14C429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1560" w:type="dxa"/>
            <w:gridSpan w:val="2"/>
            <w:vAlign w:val="top"/>
          </w:tcPr>
          <w:p w14:paraId="1CC01A7F">
            <w:pPr>
              <w:pStyle w:val="15"/>
              <w:spacing w:before="244" w:line="222" w:lineRule="auto"/>
              <w:ind w:left="303"/>
              <w:rPr>
                <w:sz w:val="21"/>
                <w:szCs w:val="21"/>
              </w:rPr>
            </w:pPr>
            <w:r>
              <w:rPr>
                <w:b/>
                <w:bCs/>
                <w:spacing w:val="-7"/>
                <w:sz w:val="21"/>
                <w:szCs w:val="21"/>
              </w:rPr>
              <w:t>评审因素</w:t>
            </w:r>
          </w:p>
        </w:tc>
        <w:tc>
          <w:tcPr>
            <w:tcW w:w="6900" w:type="dxa"/>
            <w:vAlign w:val="top"/>
          </w:tcPr>
          <w:p w14:paraId="08EA8146">
            <w:pPr>
              <w:pStyle w:val="15"/>
              <w:spacing w:before="244" w:line="222" w:lineRule="auto"/>
              <w:ind w:left="2987"/>
              <w:rPr>
                <w:sz w:val="21"/>
                <w:szCs w:val="21"/>
              </w:rPr>
            </w:pPr>
            <w:r>
              <w:rPr>
                <w:b/>
                <w:bCs/>
                <w:spacing w:val="-7"/>
                <w:sz w:val="21"/>
                <w:szCs w:val="21"/>
              </w:rPr>
              <w:t>评分细则</w:t>
            </w:r>
          </w:p>
        </w:tc>
        <w:tc>
          <w:tcPr>
            <w:tcW w:w="1198" w:type="dxa"/>
            <w:vAlign w:val="top"/>
          </w:tcPr>
          <w:p w14:paraId="09DD1539">
            <w:pPr>
              <w:pStyle w:val="15"/>
              <w:spacing w:before="243" w:line="223" w:lineRule="auto"/>
              <w:jc w:val="center"/>
              <w:rPr>
                <w:sz w:val="21"/>
                <w:szCs w:val="21"/>
              </w:rPr>
            </w:pPr>
            <w:r>
              <w:rPr>
                <w:b/>
                <w:bCs/>
                <w:spacing w:val="-12"/>
                <w:sz w:val="21"/>
                <w:szCs w:val="21"/>
              </w:rPr>
              <w:t>分值</w:t>
            </w:r>
          </w:p>
        </w:tc>
      </w:tr>
      <w:tr w14:paraId="6480CE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79" w:hRule="atLeast"/>
        </w:trPr>
        <w:tc>
          <w:tcPr>
            <w:tcW w:w="690" w:type="dxa"/>
            <w:vAlign w:val="center"/>
          </w:tcPr>
          <w:p w14:paraId="12A7CEE8">
            <w:pPr>
              <w:pStyle w:val="15"/>
              <w:spacing w:before="98" w:line="235" w:lineRule="auto"/>
              <w:ind w:left="107" w:right="92"/>
              <w:jc w:val="center"/>
              <w:rPr>
                <w:rFonts w:ascii="宋体" w:hAnsi="宋体" w:eastAsia="宋体" w:cs="宋体"/>
                <w:snapToGrid w:val="0"/>
                <w:color w:val="000000"/>
                <w:spacing w:val="1"/>
                <w:kern w:val="0"/>
                <w:sz w:val="24"/>
                <w:szCs w:val="24"/>
                <w:lang w:val="en-US" w:eastAsia="en-US" w:bidi="ar-SA"/>
              </w:rPr>
            </w:pPr>
            <w:r>
              <w:rPr>
                <w:rFonts w:ascii="宋体" w:hAnsi="宋体" w:eastAsia="宋体" w:cs="宋体"/>
                <w:snapToGrid w:val="0"/>
                <w:color w:val="000000"/>
                <w:spacing w:val="1"/>
                <w:kern w:val="0"/>
                <w:sz w:val="24"/>
                <w:szCs w:val="24"/>
                <w:lang w:val="en-US" w:eastAsia="en-US" w:bidi="ar-SA"/>
              </w:rPr>
              <w:t>报价 部分 （10 分）</w:t>
            </w:r>
          </w:p>
        </w:tc>
        <w:tc>
          <w:tcPr>
            <w:tcW w:w="870" w:type="dxa"/>
            <w:vAlign w:val="center"/>
          </w:tcPr>
          <w:p w14:paraId="232DBA17">
            <w:pPr>
              <w:spacing w:line="253" w:lineRule="auto"/>
              <w:jc w:val="center"/>
              <w:rPr>
                <w:rFonts w:ascii="宋体" w:hAnsi="宋体" w:eastAsia="宋体" w:cs="宋体"/>
                <w:snapToGrid w:val="0"/>
                <w:color w:val="000000"/>
                <w:spacing w:val="1"/>
                <w:kern w:val="0"/>
                <w:sz w:val="24"/>
                <w:szCs w:val="24"/>
                <w:lang w:val="en-US" w:eastAsia="en-US" w:bidi="ar-SA"/>
              </w:rPr>
            </w:pPr>
          </w:p>
          <w:p w14:paraId="1AE59842">
            <w:pPr>
              <w:spacing w:line="254" w:lineRule="auto"/>
              <w:jc w:val="center"/>
              <w:rPr>
                <w:rFonts w:ascii="宋体" w:hAnsi="宋体" w:eastAsia="宋体" w:cs="宋体"/>
                <w:snapToGrid w:val="0"/>
                <w:color w:val="000000"/>
                <w:spacing w:val="1"/>
                <w:kern w:val="0"/>
                <w:sz w:val="24"/>
                <w:szCs w:val="24"/>
                <w:lang w:val="en-US" w:eastAsia="en-US" w:bidi="ar-SA"/>
              </w:rPr>
            </w:pPr>
          </w:p>
          <w:p w14:paraId="0FD418D0">
            <w:pPr>
              <w:pStyle w:val="15"/>
              <w:spacing w:before="65" w:line="231" w:lineRule="auto"/>
              <w:ind w:left="233"/>
              <w:jc w:val="center"/>
              <w:rPr>
                <w:rFonts w:ascii="宋体" w:hAnsi="宋体" w:eastAsia="宋体" w:cs="宋体"/>
                <w:snapToGrid w:val="0"/>
                <w:color w:val="000000"/>
                <w:spacing w:val="1"/>
                <w:kern w:val="0"/>
                <w:sz w:val="24"/>
                <w:szCs w:val="24"/>
                <w:lang w:val="en-US" w:eastAsia="en-US" w:bidi="ar-SA"/>
              </w:rPr>
            </w:pPr>
            <w:r>
              <w:rPr>
                <w:rFonts w:ascii="宋体" w:hAnsi="宋体" w:eastAsia="宋体" w:cs="宋体"/>
                <w:snapToGrid w:val="0"/>
                <w:color w:val="000000"/>
                <w:spacing w:val="1"/>
                <w:kern w:val="0"/>
                <w:sz w:val="24"/>
                <w:szCs w:val="24"/>
                <w:lang w:val="en-US" w:eastAsia="en-US" w:bidi="ar-SA"/>
              </w:rPr>
              <w:t>报价</w:t>
            </w:r>
          </w:p>
        </w:tc>
        <w:tc>
          <w:tcPr>
            <w:tcW w:w="6900" w:type="dxa"/>
            <w:vAlign w:val="top"/>
          </w:tcPr>
          <w:p w14:paraId="36A37AC4">
            <w:pPr>
              <w:pStyle w:val="15"/>
              <w:spacing w:before="157" w:line="408" w:lineRule="exact"/>
              <w:ind w:left="30"/>
              <w:rPr>
                <w:rFonts w:hint="default" w:ascii="宋体" w:hAnsi="宋体" w:eastAsia="宋体" w:cs="宋体"/>
                <w:snapToGrid w:val="0"/>
                <w:color w:val="000000"/>
                <w:spacing w:val="1"/>
                <w:kern w:val="0"/>
                <w:sz w:val="24"/>
                <w:szCs w:val="24"/>
                <w:lang w:val="en-US" w:eastAsia="en-US" w:bidi="ar-SA"/>
              </w:rPr>
            </w:pPr>
            <w:r>
              <w:rPr>
                <w:rFonts w:hint="eastAsia" w:ascii="宋体" w:hAnsi="宋体" w:eastAsia="宋体" w:cs="宋体"/>
                <w:snapToGrid w:val="0"/>
                <w:color w:val="000000"/>
                <w:spacing w:val="1"/>
                <w:kern w:val="0"/>
                <w:sz w:val="24"/>
                <w:szCs w:val="24"/>
                <w:lang w:val="en-US" w:eastAsia="en-US" w:bidi="ar-SA"/>
              </w:rPr>
              <w:t>综合评分法中的价格分统一采用低价优先法计算，即满足</w:t>
            </w:r>
            <w:r>
              <w:rPr>
                <w:rFonts w:hint="eastAsia" w:ascii="宋体" w:hAnsi="宋体" w:eastAsia="宋体" w:cs="宋体"/>
                <w:snapToGrid w:val="0"/>
                <w:color w:val="000000"/>
                <w:spacing w:val="1"/>
                <w:kern w:val="0"/>
                <w:sz w:val="24"/>
                <w:szCs w:val="24"/>
                <w:lang w:val="en-US" w:eastAsia="zh-CN" w:bidi="ar-SA"/>
              </w:rPr>
              <w:t>采购文件</w:t>
            </w:r>
            <w:r>
              <w:rPr>
                <w:rFonts w:hint="eastAsia" w:ascii="宋体" w:hAnsi="宋体" w:eastAsia="宋体" w:cs="宋体"/>
                <w:snapToGrid w:val="0"/>
                <w:color w:val="000000"/>
                <w:spacing w:val="1"/>
                <w:kern w:val="0"/>
                <w:sz w:val="24"/>
                <w:szCs w:val="24"/>
                <w:lang w:val="en-US" w:eastAsia="en-US" w:bidi="ar-SA"/>
              </w:rPr>
              <w:t>要求且</w:t>
            </w:r>
            <w:r>
              <w:rPr>
                <w:rFonts w:hint="eastAsia" w:ascii="宋体" w:hAnsi="宋体" w:eastAsia="宋体" w:cs="宋体"/>
                <w:snapToGrid w:val="0"/>
                <w:color w:val="000000"/>
                <w:spacing w:val="1"/>
                <w:kern w:val="0"/>
                <w:sz w:val="24"/>
                <w:szCs w:val="24"/>
                <w:lang w:val="en-US" w:eastAsia="zh-CN" w:bidi="ar-SA"/>
              </w:rPr>
              <w:t>报价</w:t>
            </w:r>
            <w:r>
              <w:rPr>
                <w:rFonts w:hint="eastAsia" w:ascii="宋体" w:hAnsi="宋体" w:eastAsia="宋体" w:cs="宋体"/>
                <w:snapToGrid w:val="0"/>
                <w:color w:val="000000"/>
                <w:spacing w:val="1"/>
                <w:kern w:val="0"/>
                <w:sz w:val="24"/>
                <w:szCs w:val="24"/>
                <w:lang w:val="en-US" w:eastAsia="en-US" w:bidi="ar-SA"/>
              </w:rPr>
              <w:t>价格最低的报价为评标基准价，其价格分为满分。其他</w:t>
            </w:r>
            <w:r>
              <w:rPr>
                <w:rFonts w:hint="eastAsia" w:ascii="宋体" w:hAnsi="宋体" w:eastAsia="宋体" w:cs="宋体"/>
                <w:snapToGrid w:val="0"/>
                <w:color w:val="000000"/>
                <w:spacing w:val="1"/>
                <w:kern w:val="0"/>
                <w:sz w:val="24"/>
                <w:szCs w:val="24"/>
                <w:lang w:val="en-US" w:eastAsia="zh-CN" w:bidi="ar-SA"/>
              </w:rPr>
              <w:t>供应商</w:t>
            </w:r>
            <w:r>
              <w:rPr>
                <w:rFonts w:hint="eastAsia" w:ascii="宋体" w:hAnsi="宋体" w:eastAsia="宋体" w:cs="宋体"/>
                <w:snapToGrid w:val="0"/>
                <w:color w:val="000000"/>
                <w:spacing w:val="1"/>
                <w:kern w:val="0"/>
                <w:sz w:val="24"/>
                <w:szCs w:val="24"/>
                <w:lang w:val="en-US" w:eastAsia="en-US" w:bidi="ar-SA"/>
              </w:rPr>
              <w:t>的价格分统一按照下列公式计算：报价得分=（评标基准价/有效报价）×10</w:t>
            </w:r>
          </w:p>
          <w:p w14:paraId="6EA0D4F0">
            <w:pPr>
              <w:pStyle w:val="15"/>
              <w:spacing w:before="157" w:line="408" w:lineRule="exact"/>
              <w:ind w:left="30"/>
              <w:rPr>
                <w:rFonts w:hint="default" w:ascii="宋体" w:hAnsi="宋体" w:eastAsia="宋体" w:cs="宋体"/>
                <w:snapToGrid w:val="0"/>
                <w:color w:val="000000"/>
                <w:spacing w:val="1"/>
                <w:kern w:val="0"/>
                <w:sz w:val="24"/>
                <w:szCs w:val="24"/>
                <w:lang w:val="en-US" w:eastAsia="en-US" w:bidi="ar-SA"/>
              </w:rPr>
            </w:pPr>
            <w:r>
              <w:rPr>
                <w:rFonts w:hint="eastAsia" w:ascii="宋体" w:hAnsi="宋体" w:eastAsia="宋体" w:cs="宋体"/>
                <w:snapToGrid w:val="0"/>
                <w:color w:val="000000"/>
                <w:spacing w:val="1"/>
                <w:kern w:val="0"/>
                <w:sz w:val="24"/>
                <w:szCs w:val="24"/>
                <w:lang w:val="en-US" w:eastAsia="en-US" w:bidi="ar-SA"/>
              </w:rPr>
              <w:t>其中：评标基准价=1-有效最高报价</w:t>
            </w:r>
          </w:p>
          <w:p w14:paraId="38E25AB2">
            <w:pPr>
              <w:pStyle w:val="15"/>
              <w:spacing w:before="157" w:line="408" w:lineRule="exact"/>
              <w:ind w:left="30"/>
              <w:rPr>
                <w:rFonts w:ascii="宋体" w:hAnsi="宋体" w:eastAsia="宋体" w:cs="宋体"/>
                <w:snapToGrid w:val="0"/>
                <w:color w:val="000000"/>
                <w:spacing w:val="1"/>
                <w:kern w:val="0"/>
                <w:sz w:val="24"/>
                <w:szCs w:val="24"/>
                <w:lang w:val="en-US" w:eastAsia="en-US" w:bidi="ar-SA"/>
              </w:rPr>
            </w:pPr>
            <w:r>
              <w:rPr>
                <w:rFonts w:hint="eastAsia" w:ascii="宋体" w:hAnsi="宋体" w:eastAsia="宋体" w:cs="宋体"/>
                <w:snapToGrid w:val="0"/>
                <w:color w:val="000000"/>
                <w:spacing w:val="1"/>
                <w:kern w:val="0"/>
                <w:sz w:val="24"/>
                <w:szCs w:val="24"/>
                <w:lang w:val="en-US" w:eastAsia="en-US" w:bidi="ar-SA"/>
              </w:rPr>
              <w:t>报价=1-有效报价</w:t>
            </w:r>
          </w:p>
        </w:tc>
        <w:tc>
          <w:tcPr>
            <w:tcW w:w="1198" w:type="dxa"/>
            <w:vAlign w:val="center"/>
          </w:tcPr>
          <w:p w14:paraId="5E569C6C">
            <w:pPr>
              <w:pStyle w:val="15"/>
              <w:spacing w:before="65" w:line="232" w:lineRule="auto"/>
              <w:jc w:val="center"/>
              <w:rPr>
                <w:rFonts w:ascii="宋体" w:hAnsi="宋体" w:eastAsia="宋体" w:cs="宋体"/>
                <w:snapToGrid w:val="0"/>
                <w:color w:val="000000"/>
                <w:spacing w:val="1"/>
                <w:kern w:val="0"/>
                <w:sz w:val="24"/>
                <w:szCs w:val="24"/>
                <w:lang w:val="en-US" w:eastAsia="en-US" w:bidi="ar-SA"/>
              </w:rPr>
            </w:pPr>
            <w:r>
              <w:rPr>
                <w:rFonts w:ascii="宋体" w:hAnsi="宋体" w:eastAsia="宋体" w:cs="宋体"/>
                <w:snapToGrid w:val="0"/>
                <w:color w:val="000000"/>
                <w:spacing w:val="1"/>
                <w:kern w:val="0"/>
                <w:sz w:val="24"/>
                <w:szCs w:val="24"/>
                <w:lang w:val="en-US" w:eastAsia="en-US" w:bidi="ar-SA"/>
              </w:rPr>
              <w:t>10 分</w:t>
            </w:r>
          </w:p>
        </w:tc>
      </w:tr>
      <w:tr w14:paraId="0A2EE0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79" w:hRule="atLeast"/>
        </w:trPr>
        <w:tc>
          <w:tcPr>
            <w:tcW w:w="690" w:type="dxa"/>
            <w:vMerge w:val="restart"/>
            <w:vAlign w:val="center"/>
          </w:tcPr>
          <w:p w14:paraId="14FEEAB6">
            <w:pPr>
              <w:pStyle w:val="15"/>
              <w:spacing w:before="98" w:line="235" w:lineRule="auto"/>
              <w:ind w:left="107" w:right="92"/>
              <w:jc w:val="center"/>
              <w:rPr>
                <w:rFonts w:hint="eastAsia" w:ascii="宋体" w:hAnsi="宋体" w:eastAsia="宋体" w:cs="宋体"/>
                <w:snapToGrid w:val="0"/>
                <w:color w:val="000000"/>
                <w:spacing w:val="1"/>
                <w:kern w:val="0"/>
                <w:sz w:val="24"/>
                <w:szCs w:val="24"/>
                <w:lang w:val="en-US" w:eastAsia="zh-Hans" w:bidi="ar-SA"/>
              </w:rPr>
            </w:pPr>
            <w:r>
              <w:rPr>
                <w:rFonts w:hint="eastAsia" w:ascii="宋体" w:hAnsi="宋体" w:eastAsia="宋体" w:cs="宋体"/>
                <w:snapToGrid w:val="0"/>
                <w:color w:val="000000"/>
                <w:spacing w:val="1"/>
                <w:kern w:val="0"/>
                <w:sz w:val="24"/>
                <w:szCs w:val="24"/>
                <w:lang w:val="en-US" w:eastAsia="zh-Hans" w:bidi="ar-SA"/>
              </w:rPr>
              <w:t>技术</w:t>
            </w:r>
          </w:p>
        </w:tc>
        <w:tc>
          <w:tcPr>
            <w:tcW w:w="870" w:type="dxa"/>
            <w:vAlign w:val="center"/>
          </w:tcPr>
          <w:p w14:paraId="306AD1EC">
            <w:pPr>
              <w:pStyle w:val="15"/>
              <w:spacing w:before="65" w:line="231" w:lineRule="auto"/>
              <w:jc w:val="center"/>
              <w:rPr>
                <w:rFonts w:hint="eastAsia" w:ascii="宋体" w:hAnsi="宋体" w:eastAsia="宋体" w:cs="宋体"/>
                <w:snapToGrid w:val="0"/>
                <w:color w:val="000000"/>
                <w:spacing w:val="1"/>
                <w:kern w:val="0"/>
                <w:sz w:val="24"/>
                <w:szCs w:val="24"/>
                <w:lang w:val="en-US" w:eastAsia="zh-CN" w:bidi="ar-SA"/>
              </w:rPr>
            </w:pPr>
            <w:r>
              <w:rPr>
                <w:rFonts w:hint="eastAsia" w:ascii="宋体" w:hAnsi="宋体" w:eastAsia="宋体" w:cs="宋体"/>
                <w:snapToGrid w:val="0"/>
                <w:color w:val="000000"/>
                <w:spacing w:val="1"/>
                <w:kern w:val="0"/>
                <w:sz w:val="24"/>
                <w:szCs w:val="24"/>
                <w:lang w:val="en-US" w:eastAsia="zh-CN" w:bidi="ar-SA"/>
              </w:rPr>
              <w:t>技术方案</w:t>
            </w:r>
          </w:p>
        </w:tc>
        <w:tc>
          <w:tcPr>
            <w:tcW w:w="6900" w:type="dxa"/>
            <w:vAlign w:val="top"/>
          </w:tcPr>
          <w:p w14:paraId="2B8348FB">
            <w:pPr>
              <w:pStyle w:val="15"/>
              <w:spacing w:before="157" w:line="408" w:lineRule="exact"/>
              <w:ind w:left="30"/>
              <w:jc w:val="left"/>
              <w:rPr>
                <w:rFonts w:hint="eastAsia" w:ascii="宋体" w:hAnsi="宋体" w:eastAsia="宋体" w:cs="宋体"/>
                <w:snapToGrid w:val="0"/>
                <w:color w:val="auto"/>
                <w:spacing w:val="-2"/>
                <w:kern w:val="0"/>
                <w:sz w:val="24"/>
                <w:szCs w:val="24"/>
                <w:highlight w:val="none"/>
                <w:lang w:val="en-US" w:eastAsia="zh-CN" w:bidi="ar-SA"/>
              </w:rPr>
            </w:pPr>
            <w:r>
              <w:rPr>
                <w:rFonts w:hint="eastAsia" w:ascii="宋体" w:hAnsi="宋体" w:eastAsia="宋体" w:cs="宋体"/>
                <w:snapToGrid w:val="0"/>
                <w:color w:val="auto"/>
                <w:spacing w:val="-2"/>
                <w:kern w:val="0"/>
                <w:sz w:val="24"/>
                <w:szCs w:val="24"/>
                <w:highlight w:val="none"/>
                <w:lang w:val="en-US" w:eastAsia="en-US" w:bidi="ar-SA"/>
              </w:rPr>
              <w:t>供应商结合本项目实际情况及特点，提供针对本项目的项目实施方案，包括：（1）工作流程具体安排计划；（2）拟投入本项目使用的设备及人员保障措施；（3）服务内容管理规范；（4）配送方案</w:t>
            </w:r>
            <w:r>
              <w:rPr>
                <w:rFonts w:hint="eastAsia" w:ascii="宋体" w:hAnsi="宋体" w:eastAsia="宋体" w:cs="宋体"/>
                <w:snapToGrid w:val="0"/>
                <w:color w:val="auto"/>
                <w:spacing w:val="-2"/>
                <w:kern w:val="0"/>
                <w:sz w:val="24"/>
                <w:szCs w:val="24"/>
                <w:highlight w:val="none"/>
                <w:lang w:val="en-US" w:eastAsia="zh-CN" w:bidi="ar-SA"/>
              </w:rPr>
              <w:t>；（5）出入库管理；（6）货物交接；（7）药品的质量管控。</w:t>
            </w:r>
          </w:p>
          <w:p w14:paraId="549DE633">
            <w:pPr>
              <w:pStyle w:val="15"/>
              <w:spacing w:before="157" w:line="408" w:lineRule="exact"/>
              <w:ind w:left="30"/>
              <w:jc w:val="left"/>
              <w:rPr>
                <w:rFonts w:hint="eastAsia" w:ascii="宋体" w:hAnsi="宋体" w:eastAsia="宋体" w:cs="宋体"/>
                <w:snapToGrid w:val="0"/>
                <w:color w:val="000000"/>
                <w:spacing w:val="1"/>
                <w:kern w:val="0"/>
                <w:sz w:val="24"/>
                <w:szCs w:val="24"/>
                <w:lang w:val="en-US" w:eastAsia="zh-Hans" w:bidi="ar-SA"/>
              </w:rPr>
            </w:pPr>
            <w:r>
              <w:rPr>
                <w:rFonts w:hint="eastAsia" w:ascii="宋体" w:hAnsi="宋体" w:eastAsia="宋体" w:cs="宋体"/>
                <w:snapToGrid w:val="0"/>
                <w:color w:val="000000"/>
                <w:spacing w:val="1"/>
                <w:kern w:val="0"/>
                <w:sz w:val="24"/>
                <w:szCs w:val="24"/>
                <w:lang w:val="en-US" w:eastAsia="zh-Hans" w:bidi="ar-SA"/>
              </w:rPr>
              <w:t>以上内容每项</w:t>
            </w:r>
            <w:r>
              <w:rPr>
                <w:rFonts w:hint="eastAsia" w:ascii="宋体" w:hAnsi="宋体" w:eastAsia="宋体" w:cs="宋体"/>
                <w:snapToGrid w:val="0"/>
                <w:color w:val="000000"/>
                <w:spacing w:val="1"/>
                <w:kern w:val="0"/>
                <w:sz w:val="24"/>
                <w:szCs w:val="24"/>
                <w:lang w:val="en-US" w:eastAsia="zh-CN" w:bidi="ar-SA"/>
              </w:rPr>
              <w:t>满分</w:t>
            </w:r>
            <w:r>
              <w:rPr>
                <w:rFonts w:hint="default" w:ascii="宋体" w:hAnsi="宋体" w:eastAsia="宋体" w:cs="宋体"/>
                <w:snapToGrid w:val="0"/>
                <w:color w:val="000000"/>
                <w:spacing w:val="1"/>
                <w:kern w:val="0"/>
                <w:sz w:val="24"/>
                <w:szCs w:val="24"/>
                <w:lang w:val="en-US" w:eastAsia="zh-Hans" w:bidi="ar-SA"/>
              </w:rPr>
              <w:t>5</w:t>
            </w:r>
            <w:r>
              <w:rPr>
                <w:rFonts w:hint="eastAsia" w:ascii="宋体" w:hAnsi="宋体" w:eastAsia="宋体" w:cs="宋体"/>
                <w:snapToGrid w:val="0"/>
                <w:color w:val="000000"/>
                <w:spacing w:val="1"/>
                <w:kern w:val="0"/>
                <w:sz w:val="24"/>
                <w:szCs w:val="24"/>
                <w:lang w:val="en-US" w:eastAsia="zh-Hans" w:bidi="ar-SA"/>
              </w:rPr>
              <w:t>分</w:t>
            </w:r>
            <w:r>
              <w:rPr>
                <w:rFonts w:hint="default" w:ascii="宋体" w:hAnsi="宋体" w:eastAsia="宋体" w:cs="宋体"/>
                <w:snapToGrid w:val="0"/>
                <w:color w:val="000000"/>
                <w:spacing w:val="1"/>
                <w:kern w:val="0"/>
                <w:sz w:val="24"/>
                <w:szCs w:val="24"/>
                <w:lang w:val="en-US" w:eastAsia="zh-Hans" w:bidi="ar-SA"/>
              </w:rPr>
              <w:t>，</w:t>
            </w:r>
            <w:r>
              <w:rPr>
                <w:rFonts w:hint="eastAsia" w:ascii="宋体" w:hAnsi="宋体" w:eastAsia="宋体" w:cs="宋体"/>
                <w:snapToGrid w:val="0"/>
                <w:color w:val="000000"/>
                <w:spacing w:val="1"/>
                <w:kern w:val="0"/>
                <w:sz w:val="24"/>
                <w:szCs w:val="24"/>
                <w:lang w:val="en-US" w:eastAsia="zh-Hans" w:bidi="ar-SA"/>
              </w:rPr>
              <w:t>未提供不得分</w:t>
            </w:r>
            <w:r>
              <w:rPr>
                <w:rFonts w:hint="default" w:ascii="宋体" w:hAnsi="宋体" w:eastAsia="宋体" w:cs="宋体"/>
                <w:snapToGrid w:val="0"/>
                <w:color w:val="000000"/>
                <w:spacing w:val="1"/>
                <w:kern w:val="0"/>
                <w:sz w:val="24"/>
                <w:szCs w:val="24"/>
                <w:lang w:val="en-US" w:eastAsia="zh-Hans" w:bidi="ar-SA"/>
              </w:rPr>
              <w:t>。</w:t>
            </w:r>
          </w:p>
        </w:tc>
        <w:tc>
          <w:tcPr>
            <w:tcW w:w="1198" w:type="dxa"/>
            <w:vAlign w:val="center"/>
          </w:tcPr>
          <w:p w14:paraId="6772E1B5">
            <w:pPr>
              <w:pStyle w:val="15"/>
              <w:spacing w:before="65" w:line="232" w:lineRule="auto"/>
              <w:ind w:left="100"/>
              <w:jc w:val="center"/>
              <w:rPr>
                <w:rFonts w:ascii="宋体" w:hAnsi="宋体" w:eastAsia="宋体" w:cs="宋体"/>
                <w:snapToGrid w:val="0"/>
                <w:color w:val="000000"/>
                <w:spacing w:val="1"/>
                <w:kern w:val="0"/>
                <w:sz w:val="24"/>
                <w:szCs w:val="24"/>
                <w:lang w:val="en-US" w:eastAsia="en-US" w:bidi="ar-SA"/>
              </w:rPr>
            </w:pPr>
            <w:r>
              <w:rPr>
                <w:rFonts w:hint="eastAsia" w:ascii="宋体" w:hAnsi="宋体" w:eastAsia="宋体" w:cs="宋体"/>
                <w:snapToGrid w:val="0"/>
                <w:color w:val="000000"/>
                <w:spacing w:val="1"/>
                <w:kern w:val="0"/>
                <w:sz w:val="24"/>
                <w:szCs w:val="24"/>
                <w:lang w:val="en-US" w:eastAsia="zh-CN" w:bidi="ar-SA"/>
              </w:rPr>
              <w:t>35</w:t>
            </w:r>
            <w:r>
              <w:rPr>
                <w:rFonts w:hint="eastAsia" w:ascii="宋体" w:hAnsi="宋体" w:eastAsia="宋体" w:cs="宋体"/>
                <w:snapToGrid w:val="0"/>
                <w:color w:val="000000"/>
                <w:spacing w:val="1"/>
                <w:kern w:val="0"/>
                <w:sz w:val="24"/>
                <w:szCs w:val="24"/>
                <w:lang w:val="en-US" w:eastAsia="zh-Hans" w:bidi="ar-SA"/>
              </w:rPr>
              <w:t>分</w:t>
            </w:r>
          </w:p>
        </w:tc>
      </w:tr>
      <w:tr w14:paraId="26E704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79" w:hRule="atLeast"/>
        </w:trPr>
        <w:tc>
          <w:tcPr>
            <w:tcW w:w="690" w:type="dxa"/>
            <w:vMerge w:val="continue"/>
            <w:vAlign w:val="center"/>
          </w:tcPr>
          <w:p w14:paraId="50A8CEE8">
            <w:pPr>
              <w:pStyle w:val="15"/>
              <w:spacing w:before="98" w:line="235" w:lineRule="auto"/>
              <w:ind w:left="107" w:right="92"/>
              <w:jc w:val="center"/>
              <w:rPr>
                <w:rFonts w:hint="eastAsia" w:ascii="宋体" w:hAnsi="宋体" w:eastAsia="宋体" w:cs="宋体"/>
                <w:snapToGrid w:val="0"/>
                <w:color w:val="000000"/>
                <w:spacing w:val="1"/>
                <w:kern w:val="0"/>
                <w:sz w:val="24"/>
                <w:szCs w:val="24"/>
                <w:lang w:val="en-US" w:eastAsia="zh-Hans" w:bidi="ar-SA"/>
              </w:rPr>
            </w:pPr>
          </w:p>
        </w:tc>
        <w:tc>
          <w:tcPr>
            <w:tcW w:w="870" w:type="dxa"/>
            <w:vAlign w:val="center"/>
          </w:tcPr>
          <w:p w14:paraId="6F9A3ABB">
            <w:pPr>
              <w:pStyle w:val="15"/>
              <w:spacing w:before="65" w:line="231" w:lineRule="auto"/>
              <w:jc w:val="center"/>
              <w:rPr>
                <w:rFonts w:hint="eastAsia" w:ascii="宋体" w:hAnsi="宋体" w:eastAsia="宋体" w:cs="宋体"/>
                <w:snapToGrid w:val="0"/>
                <w:color w:val="000000"/>
                <w:spacing w:val="1"/>
                <w:kern w:val="0"/>
                <w:sz w:val="24"/>
                <w:szCs w:val="24"/>
                <w:lang w:val="en-US" w:eastAsia="zh-CN" w:bidi="ar-SA"/>
              </w:rPr>
            </w:pPr>
            <w:r>
              <w:rPr>
                <w:rFonts w:hint="default" w:ascii="宋体" w:hAnsi="宋体" w:eastAsia="宋体" w:cs="宋体"/>
                <w:snapToGrid w:val="0"/>
                <w:color w:val="000000"/>
                <w:spacing w:val="1"/>
                <w:kern w:val="0"/>
                <w:sz w:val="24"/>
                <w:szCs w:val="24"/>
                <w:lang w:val="en-US" w:eastAsia="zh-CN" w:bidi="ar-SA"/>
              </w:rPr>
              <w:t>装卸的方案</w:t>
            </w:r>
          </w:p>
        </w:tc>
        <w:tc>
          <w:tcPr>
            <w:tcW w:w="6900" w:type="dxa"/>
            <w:vAlign w:val="top"/>
          </w:tcPr>
          <w:p w14:paraId="2EA1823D">
            <w:pPr>
              <w:pStyle w:val="15"/>
              <w:spacing w:before="157" w:line="408" w:lineRule="exact"/>
              <w:jc w:val="left"/>
              <w:rPr>
                <w:rFonts w:hint="eastAsia" w:ascii="宋体" w:hAnsi="宋体" w:eastAsia="宋体" w:cs="宋体"/>
                <w:snapToGrid w:val="0"/>
                <w:color w:val="000000"/>
                <w:spacing w:val="1"/>
                <w:kern w:val="0"/>
                <w:sz w:val="24"/>
                <w:szCs w:val="24"/>
                <w:lang w:val="en-US" w:eastAsia="zh-Hans" w:bidi="ar-SA"/>
              </w:rPr>
            </w:pPr>
            <w:r>
              <w:rPr>
                <w:rFonts w:hint="eastAsia" w:ascii="宋体" w:hAnsi="宋体" w:eastAsia="宋体" w:cs="宋体"/>
                <w:snapToGrid w:val="0"/>
                <w:color w:val="000000"/>
                <w:spacing w:val="1"/>
                <w:kern w:val="0"/>
                <w:sz w:val="24"/>
                <w:szCs w:val="24"/>
                <w:lang w:val="en-US" w:eastAsia="zh-CN" w:bidi="ar-SA"/>
              </w:rPr>
              <w:t>供应商</w:t>
            </w:r>
            <w:r>
              <w:rPr>
                <w:rFonts w:hint="eastAsia" w:ascii="宋体" w:hAnsi="宋体" w:eastAsia="宋体" w:cs="宋体"/>
                <w:snapToGrid w:val="0"/>
                <w:color w:val="000000"/>
                <w:spacing w:val="1"/>
                <w:kern w:val="0"/>
                <w:sz w:val="24"/>
                <w:szCs w:val="24"/>
                <w:lang w:val="en-US" w:eastAsia="zh-Hans" w:bidi="ar-SA"/>
              </w:rPr>
              <w:t>对货物装卸的方案内容包括但不限于：</w:t>
            </w:r>
          </w:p>
          <w:p w14:paraId="3A800E92">
            <w:pPr>
              <w:pStyle w:val="15"/>
              <w:spacing w:before="157" w:line="408" w:lineRule="exact"/>
              <w:jc w:val="left"/>
              <w:rPr>
                <w:rFonts w:hint="eastAsia" w:ascii="宋体" w:hAnsi="宋体" w:eastAsia="宋体" w:cs="宋体"/>
                <w:snapToGrid w:val="0"/>
                <w:color w:val="000000"/>
                <w:spacing w:val="1"/>
                <w:kern w:val="0"/>
                <w:sz w:val="24"/>
                <w:szCs w:val="24"/>
                <w:lang w:val="en-US" w:eastAsia="zh-Hans" w:bidi="ar-SA"/>
              </w:rPr>
            </w:pPr>
            <w:r>
              <w:rPr>
                <w:rFonts w:hint="eastAsia" w:ascii="宋体" w:hAnsi="宋体" w:eastAsia="宋体" w:cs="宋体"/>
                <w:snapToGrid w:val="0"/>
                <w:color w:val="000000"/>
                <w:spacing w:val="1"/>
                <w:kern w:val="0"/>
                <w:sz w:val="24"/>
                <w:szCs w:val="24"/>
                <w:lang w:val="en-US" w:eastAsia="zh-Hans" w:bidi="ar-SA"/>
              </w:rPr>
              <w:t>①货物装卸管理及流程；</w:t>
            </w:r>
          </w:p>
          <w:p w14:paraId="3FDDEE4C">
            <w:pPr>
              <w:pStyle w:val="15"/>
              <w:spacing w:before="157" w:line="408" w:lineRule="exact"/>
              <w:jc w:val="left"/>
              <w:rPr>
                <w:rFonts w:hint="eastAsia" w:ascii="宋体" w:hAnsi="宋体" w:eastAsia="宋体" w:cs="宋体"/>
                <w:snapToGrid w:val="0"/>
                <w:color w:val="000000"/>
                <w:spacing w:val="1"/>
                <w:kern w:val="0"/>
                <w:sz w:val="24"/>
                <w:szCs w:val="24"/>
                <w:lang w:val="en-US" w:eastAsia="zh-Hans" w:bidi="ar-SA"/>
              </w:rPr>
            </w:pPr>
            <w:r>
              <w:rPr>
                <w:rFonts w:hint="eastAsia" w:ascii="宋体" w:hAnsi="宋体" w:eastAsia="宋体" w:cs="宋体"/>
                <w:snapToGrid w:val="0"/>
                <w:color w:val="000000"/>
                <w:spacing w:val="1"/>
                <w:kern w:val="0"/>
                <w:sz w:val="24"/>
                <w:szCs w:val="24"/>
                <w:lang w:val="en-US" w:eastAsia="zh-Hans" w:bidi="ar-SA"/>
              </w:rPr>
              <w:t>②货物装卸对</w:t>
            </w:r>
            <w:r>
              <w:rPr>
                <w:rFonts w:hint="eastAsia" w:ascii="宋体" w:hAnsi="宋体" w:eastAsia="宋体" w:cs="宋体"/>
                <w:snapToGrid w:val="0"/>
                <w:color w:val="000000"/>
                <w:spacing w:val="1"/>
                <w:kern w:val="0"/>
                <w:sz w:val="24"/>
                <w:szCs w:val="24"/>
                <w:lang w:val="en-US" w:eastAsia="zh-CN" w:bidi="ar-SA"/>
              </w:rPr>
              <w:t>药品</w:t>
            </w:r>
            <w:r>
              <w:rPr>
                <w:rFonts w:hint="eastAsia" w:ascii="宋体" w:hAnsi="宋体" w:eastAsia="宋体" w:cs="宋体"/>
                <w:snapToGrid w:val="0"/>
                <w:color w:val="000000"/>
                <w:spacing w:val="1"/>
                <w:kern w:val="0"/>
                <w:sz w:val="24"/>
                <w:szCs w:val="24"/>
                <w:lang w:val="en-US" w:eastAsia="zh-Hans" w:bidi="ar-SA"/>
              </w:rPr>
              <w:t>的保护。</w:t>
            </w:r>
          </w:p>
          <w:p w14:paraId="262D28F6">
            <w:pPr>
              <w:pStyle w:val="15"/>
              <w:spacing w:before="157" w:line="408" w:lineRule="exact"/>
              <w:ind w:left="30"/>
              <w:jc w:val="left"/>
              <w:rPr>
                <w:rFonts w:hint="eastAsia" w:ascii="宋体" w:hAnsi="宋体" w:eastAsia="宋体" w:cs="宋体"/>
                <w:snapToGrid w:val="0"/>
                <w:color w:val="000000"/>
                <w:spacing w:val="1"/>
                <w:kern w:val="0"/>
                <w:sz w:val="24"/>
                <w:szCs w:val="24"/>
                <w:lang w:val="en-US" w:eastAsia="en-US" w:bidi="ar-SA"/>
              </w:rPr>
            </w:pPr>
            <w:r>
              <w:rPr>
                <w:rFonts w:hint="eastAsia" w:ascii="宋体" w:hAnsi="宋体" w:eastAsia="宋体" w:cs="宋体"/>
                <w:snapToGrid w:val="0"/>
                <w:color w:val="000000"/>
                <w:spacing w:val="1"/>
                <w:kern w:val="0"/>
                <w:sz w:val="24"/>
                <w:szCs w:val="24"/>
                <w:lang w:val="en-US" w:eastAsia="zh-Hans" w:bidi="ar-SA"/>
              </w:rPr>
              <w:t>以上内容每项</w:t>
            </w:r>
            <w:r>
              <w:rPr>
                <w:rFonts w:hint="eastAsia" w:ascii="宋体" w:hAnsi="宋体" w:eastAsia="宋体" w:cs="宋体"/>
                <w:snapToGrid w:val="0"/>
                <w:color w:val="000000"/>
                <w:spacing w:val="1"/>
                <w:kern w:val="0"/>
                <w:sz w:val="24"/>
                <w:szCs w:val="24"/>
                <w:lang w:val="en-US" w:eastAsia="zh-CN" w:bidi="ar-SA"/>
              </w:rPr>
              <w:t>满分4</w:t>
            </w:r>
            <w:r>
              <w:rPr>
                <w:rFonts w:hint="eastAsia" w:ascii="宋体" w:hAnsi="宋体" w:eastAsia="宋体" w:cs="宋体"/>
                <w:snapToGrid w:val="0"/>
                <w:color w:val="000000"/>
                <w:spacing w:val="1"/>
                <w:kern w:val="0"/>
                <w:sz w:val="24"/>
                <w:szCs w:val="24"/>
                <w:lang w:val="en-US" w:eastAsia="zh-Hans" w:bidi="ar-SA"/>
              </w:rPr>
              <w:t>分</w:t>
            </w:r>
            <w:r>
              <w:rPr>
                <w:rFonts w:hint="default" w:ascii="宋体" w:hAnsi="宋体" w:eastAsia="宋体" w:cs="宋体"/>
                <w:snapToGrid w:val="0"/>
                <w:color w:val="000000"/>
                <w:spacing w:val="1"/>
                <w:kern w:val="0"/>
                <w:sz w:val="24"/>
                <w:szCs w:val="24"/>
                <w:lang w:val="en-US" w:eastAsia="zh-Hans" w:bidi="ar-SA"/>
              </w:rPr>
              <w:t>，</w:t>
            </w:r>
            <w:r>
              <w:rPr>
                <w:rFonts w:hint="eastAsia" w:ascii="宋体" w:hAnsi="宋体" w:eastAsia="宋体" w:cs="宋体"/>
                <w:snapToGrid w:val="0"/>
                <w:color w:val="000000"/>
                <w:spacing w:val="1"/>
                <w:kern w:val="0"/>
                <w:sz w:val="24"/>
                <w:szCs w:val="24"/>
                <w:lang w:val="en-US" w:eastAsia="zh-Hans" w:bidi="ar-SA"/>
              </w:rPr>
              <w:t>未提供不得分</w:t>
            </w:r>
            <w:r>
              <w:rPr>
                <w:rFonts w:hint="default" w:ascii="宋体" w:hAnsi="宋体" w:eastAsia="宋体" w:cs="宋体"/>
                <w:snapToGrid w:val="0"/>
                <w:color w:val="000000"/>
                <w:spacing w:val="1"/>
                <w:kern w:val="0"/>
                <w:sz w:val="24"/>
                <w:szCs w:val="24"/>
                <w:lang w:val="en-US" w:eastAsia="zh-Hans" w:bidi="ar-SA"/>
              </w:rPr>
              <w:t>。</w:t>
            </w:r>
          </w:p>
        </w:tc>
        <w:tc>
          <w:tcPr>
            <w:tcW w:w="1198" w:type="dxa"/>
            <w:vAlign w:val="center"/>
          </w:tcPr>
          <w:p w14:paraId="7564AA3E">
            <w:pPr>
              <w:pStyle w:val="15"/>
              <w:spacing w:before="65" w:line="232" w:lineRule="auto"/>
              <w:ind w:left="100"/>
              <w:jc w:val="center"/>
              <w:rPr>
                <w:rFonts w:ascii="宋体" w:hAnsi="宋体" w:eastAsia="宋体" w:cs="宋体"/>
                <w:snapToGrid w:val="0"/>
                <w:color w:val="000000"/>
                <w:spacing w:val="1"/>
                <w:kern w:val="0"/>
                <w:sz w:val="24"/>
                <w:szCs w:val="24"/>
                <w:lang w:val="en-US" w:eastAsia="en-US" w:bidi="ar-SA"/>
              </w:rPr>
            </w:pPr>
            <w:r>
              <w:rPr>
                <w:rFonts w:hint="eastAsia" w:ascii="宋体" w:hAnsi="宋体" w:eastAsia="宋体" w:cs="宋体"/>
                <w:snapToGrid w:val="0"/>
                <w:color w:val="000000"/>
                <w:spacing w:val="1"/>
                <w:kern w:val="0"/>
                <w:sz w:val="24"/>
                <w:szCs w:val="24"/>
                <w:lang w:val="en-US" w:eastAsia="zh-CN" w:bidi="ar-SA"/>
              </w:rPr>
              <w:t>8</w:t>
            </w:r>
            <w:r>
              <w:rPr>
                <w:rFonts w:hint="eastAsia" w:ascii="宋体" w:hAnsi="宋体" w:eastAsia="宋体" w:cs="宋体"/>
                <w:snapToGrid w:val="0"/>
                <w:color w:val="000000"/>
                <w:spacing w:val="1"/>
                <w:kern w:val="0"/>
                <w:sz w:val="24"/>
                <w:szCs w:val="24"/>
                <w:lang w:val="en-US" w:eastAsia="zh-Hans" w:bidi="ar-SA"/>
              </w:rPr>
              <w:t>分</w:t>
            </w:r>
          </w:p>
        </w:tc>
      </w:tr>
      <w:tr w14:paraId="10375F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2" w:hRule="atLeast"/>
        </w:trPr>
        <w:tc>
          <w:tcPr>
            <w:tcW w:w="690" w:type="dxa"/>
            <w:vMerge w:val="continue"/>
            <w:vAlign w:val="center"/>
          </w:tcPr>
          <w:p w14:paraId="5916DB95">
            <w:pPr>
              <w:pStyle w:val="15"/>
              <w:spacing w:before="98" w:line="235" w:lineRule="auto"/>
              <w:ind w:left="107" w:right="92"/>
              <w:jc w:val="center"/>
              <w:rPr>
                <w:rFonts w:hint="eastAsia" w:ascii="宋体" w:hAnsi="宋体" w:eastAsia="宋体" w:cs="宋体"/>
                <w:snapToGrid w:val="0"/>
                <w:color w:val="000000"/>
                <w:spacing w:val="1"/>
                <w:kern w:val="0"/>
                <w:sz w:val="24"/>
                <w:szCs w:val="24"/>
                <w:lang w:val="en-US" w:eastAsia="zh-Hans" w:bidi="ar-SA"/>
              </w:rPr>
            </w:pPr>
          </w:p>
        </w:tc>
        <w:tc>
          <w:tcPr>
            <w:tcW w:w="870" w:type="dxa"/>
            <w:vAlign w:val="center"/>
          </w:tcPr>
          <w:p w14:paraId="7D166BD4">
            <w:pPr>
              <w:pStyle w:val="15"/>
              <w:spacing w:before="65" w:line="231" w:lineRule="auto"/>
              <w:jc w:val="center"/>
              <w:rPr>
                <w:rFonts w:hint="eastAsia" w:ascii="宋体" w:hAnsi="宋体" w:eastAsia="宋体" w:cs="宋体"/>
                <w:snapToGrid w:val="0"/>
                <w:color w:val="000000"/>
                <w:spacing w:val="1"/>
                <w:kern w:val="0"/>
                <w:sz w:val="24"/>
                <w:szCs w:val="24"/>
                <w:lang w:val="en-US" w:eastAsia="zh-CN" w:bidi="ar-SA"/>
              </w:rPr>
            </w:pPr>
            <w:r>
              <w:rPr>
                <w:rFonts w:hint="eastAsia" w:ascii="宋体" w:hAnsi="宋体" w:eastAsia="宋体" w:cs="宋体"/>
                <w:snapToGrid w:val="0"/>
                <w:color w:val="auto"/>
                <w:spacing w:val="-2"/>
                <w:kern w:val="0"/>
                <w:sz w:val="24"/>
                <w:szCs w:val="24"/>
                <w:highlight w:val="none"/>
                <w:lang w:val="en-US" w:eastAsia="en-US" w:bidi="ar-SA"/>
              </w:rPr>
              <w:t>应急处理方案</w:t>
            </w:r>
          </w:p>
        </w:tc>
        <w:tc>
          <w:tcPr>
            <w:tcW w:w="6900" w:type="dxa"/>
            <w:vAlign w:val="top"/>
          </w:tcPr>
          <w:p w14:paraId="40A6A28F">
            <w:pPr>
              <w:pStyle w:val="15"/>
              <w:spacing w:before="157" w:line="408" w:lineRule="exact"/>
              <w:ind w:left="30"/>
              <w:jc w:val="left"/>
              <w:rPr>
                <w:rFonts w:hint="eastAsia" w:ascii="宋体" w:hAnsi="宋体" w:eastAsia="宋体" w:cs="宋体"/>
                <w:snapToGrid w:val="0"/>
                <w:color w:val="000000"/>
                <w:spacing w:val="1"/>
                <w:kern w:val="0"/>
                <w:sz w:val="24"/>
                <w:szCs w:val="24"/>
                <w:lang w:val="en-US" w:eastAsia="en-US" w:bidi="ar-SA"/>
              </w:rPr>
            </w:pPr>
            <w:r>
              <w:rPr>
                <w:rFonts w:hint="eastAsia" w:ascii="宋体" w:hAnsi="宋体" w:eastAsia="宋体" w:cs="宋体"/>
                <w:snapToGrid w:val="0"/>
                <w:color w:val="000000"/>
                <w:spacing w:val="1"/>
                <w:kern w:val="0"/>
                <w:sz w:val="24"/>
                <w:szCs w:val="24"/>
                <w:lang w:val="en-US" w:eastAsia="en-US" w:bidi="ar-SA"/>
              </w:rPr>
              <w:t>提供发生药品不良反应、重大医疗事件等紧急情况时的应急处理方案。</w:t>
            </w:r>
          </w:p>
          <w:p w14:paraId="2DFFE346">
            <w:pPr>
              <w:pStyle w:val="15"/>
              <w:spacing w:before="157" w:line="408" w:lineRule="exact"/>
              <w:ind w:left="30"/>
              <w:jc w:val="left"/>
              <w:rPr>
                <w:rFonts w:hint="eastAsia" w:ascii="宋体" w:hAnsi="宋体" w:eastAsia="宋体" w:cs="宋体"/>
                <w:snapToGrid w:val="0"/>
                <w:color w:val="000000"/>
                <w:spacing w:val="1"/>
                <w:kern w:val="0"/>
                <w:sz w:val="24"/>
                <w:szCs w:val="24"/>
                <w:lang w:val="en-US" w:eastAsia="en-US" w:bidi="ar-SA"/>
              </w:rPr>
            </w:pPr>
            <w:r>
              <w:rPr>
                <w:rFonts w:hint="eastAsia" w:ascii="宋体" w:hAnsi="宋体" w:eastAsia="宋体" w:cs="宋体"/>
                <w:snapToGrid w:val="0"/>
                <w:color w:val="000000"/>
                <w:spacing w:val="1"/>
                <w:kern w:val="0"/>
                <w:sz w:val="24"/>
                <w:szCs w:val="24"/>
                <w:lang w:val="en-US" w:eastAsia="en-US" w:bidi="ar-SA"/>
              </w:rPr>
              <w:t>方案包含：①应急预案（针对可能发生的药品不良反应、重大隐患事故、突发公共卫生事件等）；②中药饮片种植源头和各生产环节的追溯能力介绍；③滞销药品的处理方案；④备品备件库情况；⑤临时急用药品送达</w:t>
            </w:r>
            <w:r>
              <w:rPr>
                <w:rFonts w:hint="eastAsia" w:ascii="宋体" w:hAnsi="宋体" w:eastAsia="宋体" w:cs="宋体"/>
                <w:snapToGrid w:val="0"/>
                <w:color w:val="000000"/>
                <w:spacing w:val="1"/>
                <w:kern w:val="0"/>
                <w:sz w:val="24"/>
                <w:szCs w:val="24"/>
                <w:lang w:val="en-US" w:eastAsia="zh-CN" w:bidi="ar-SA"/>
              </w:rPr>
              <w:t>实施方案</w:t>
            </w:r>
            <w:r>
              <w:rPr>
                <w:rFonts w:hint="eastAsia" w:ascii="宋体" w:hAnsi="宋体" w:eastAsia="宋体" w:cs="宋体"/>
                <w:snapToGrid w:val="0"/>
                <w:color w:val="000000"/>
                <w:spacing w:val="1"/>
                <w:kern w:val="0"/>
                <w:sz w:val="24"/>
                <w:szCs w:val="24"/>
                <w:lang w:val="en-US" w:eastAsia="en-US" w:bidi="ar-SA"/>
              </w:rPr>
              <w:t>。</w:t>
            </w:r>
          </w:p>
          <w:p w14:paraId="1FC1D9AA">
            <w:pPr>
              <w:pStyle w:val="15"/>
              <w:spacing w:before="157" w:line="408" w:lineRule="exact"/>
              <w:ind w:left="30" w:leftChars="0"/>
              <w:jc w:val="left"/>
              <w:rPr>
                <w:rFonts w:hint="eastAsia" w:ascii="宋体" w:hAnsi="宋体" w:eastAsia="宋体" w:cs="宋体"/>
                <w:snapToGrid w:val="0"/>
                <w:color w:val="000000"/>
                <w:spacing w:val="1"/>
                <w:kern w:val="0"/>
                <w:sz w:val="24"/>
                <w:szCs w:val="24"/>
                <w:lang w:val="en-US" w:eastAsia="en-US" w:bidi="ar-SA"/>
              </w:rPr>
            </w:pPr>
            <w:r>
              <w:rPr>
                <w:rFonts w:hint="eastAsia" w:ascii="宋体" w:hAnsi="宋体" w:eastAsia="宋体" w:cs="宋体"/>
                <w:snapToGrid w:val="0"/>
                <w:color w:val="000000"/>
                <w:spacing w:val="1"/>
                <w:kern w:val="0"/>
                <w:sz w:val="24"/>
                <w:szCs w:val="24"/>
                <w:lang w:val="en-US" w:eastAsia="zh-Hans" w:bidi="ar-SA"/>
              </w:rPr>
              <w:t>以上内容每项</w:t>
            </w:r>
            <w:r>
              <w:rPr>
                <w:rFonts w:hint="eastAsia" w:ascii="宋体" w:hAnsi="宋体" w:eastAsia="宋体" w:cs="宋体"/>
                <w:snapToGrid w:val="0"/>
                <w:color w:val="000000"/>
                <w:spacing w:val="1"/>
                <w:kern w:val="0"/>
                <w:sz w:val="24"/>
                <w:szCs w:val="24"/>
                <w:lang w:val="en-US" w:eastAsia="zh-CN" w:bidi="ar-SA"/>
              </w:rPr>
              <w:t>满分4</w:t>
            </w:r>
            <w:r>
              <w:rPr>
                <w:rFonts w:hint="eastAsia" w:ascii="宋体" w:hAnsi="宋体" w:eastAsia="宋体" w:cs="宋体"/>
                <w:snapToGrid w:val="0"/>
                <w:color w:val="000000"/>
                <w:spacing w:val="1"/>
                <w:kern w:val="0"/>
                <w:sz w:val="24"/>
                <w:szCs w:val="24"/>
                <w:lang w:val="en-US" w:eastAsia="zh-Hans" w:bidi="ar-SA"/>
              </w:rPr>
              <w:t>分</w:t>
            </w:r>
            <w:r>
              <w:rPr>
                <w:rFonts w:hint="default" w:ascii="宋体" w:hAnsi="宋体" w:eastAsia="宋体" w:cs="宋体"/>
                <w:snapToGrid w:val="0"/>
                <w:color w:val="000000"/>
                <w:spacing w:val="1"/>
                <w:kern w:val="0"/>
                <w:sz w:val="24"/>
                <w:szCs w:val="24"/>
                <w:lang w:val="en-US" w:eastAsia="zh-Hans" w:bidi="ar-SA"/>
              </w:rPr>
              <w:t>，</w:t>
            </w:r>
            <w:r>
              <w:rPr>
                <w:rFonts w:hint="eastAsia" w:ascii="宋体" w:hAnsi="宋体" w:eastAsia="宋体" w:cs="宋体"/>
                <w:snapToGrid w:val="0"/>
                <w:color w:val="000000"/>
                <w:spacing w:val="1"/>
                <w:kern w:val="0"/>
                <w:sz w:val="24"/>
                <w:szCs w:val="24"/>
                <w:lang w:val="en-US" w:eastAsia="zh-Hans" w:bidi="ar-SA"/>
              </w:rPr>
              <w:t>未提供不得分</w:t>
            </w:r>
            <w:r>
              <w:rPr>
                <w:rFonts w:hint="default" w:ascii="宋体" w:hAnsi="宋体" w:eastAsia="宋体" w:cs="宋体"/>
                <w:snapToGrid w:val="0"/>
                <w:color w:val="000000"/>
                <w:spacing w:val="1"/>
                <w:kern w:val="0"/>
                <w:sz w:val="24"/>
                <w:szCs w:val="24"/>
                <w:lang w:val="en-US" w:eastAsia="zh-Hans" w:bidi="ar-SA"/>
              </w:rPr>
              <w:t>。</w:t>
            </w:r>
          </w:p>
        </w:tc>
        <w:tc>
          <w:tcPr>
            <w:tcW w:w="1198" w:type="dxa"/>
            <w:vAlign w:val="center"/>
          </w:tcPr>
          <w:p w14:paraId="6A8437C5">
            <w:pPr>
              <w:pStyle w:val="15"/>
              <w:spacing w:before="65" w:line="232" w:lineRule="auto"/>
              <w:ind w:left="100"/>
              <w:jc w:val="center"/>
              <w:rPr>
                <w:rFonts w:ascii="宋体" w:hAnsi="宋体" w:eastAsia="宋体" w:cs="宋体"/>
                <w:snapToGrid w:val="0"/>
                <w:color w:val="000000"/>
                <w:spacing w:val="1"/>
                <w:kern w:val="0"/>
                <w:sz w:val="24"/>
                <w:szCs w:val="24"/>
                <w:lang w:val="en-US" w:eastAsia="en-US" w:bidi="ar-SA"/>
              </w:rPr>
            </w:pPr>
            <w:r>
              <w:rPr>
                <w:rFonts w:ascii="宋体" w:hAnsi="宋体" w:eastAsia="宋体" w:cs="宋体"/>
                <w:snapToGrid w:val="0"/>
                <w:color w:val="000000"/>
                <w:spacing w:val="1"/>
                <w:kern w:val="0"/>
                <w:sz w:val="24"/>
                <w:szCs w:val="24"/>
                <w:lang w:val="en-US" w:eastAsia="en-US" w:bidi="ar-SA"/>
              </w:rPr>
              <w:t>20</w:t>
            </w:r>
            <w:r>
              <w:rPr>
                <w:rFonts w:hint="eastAsia" w:ascii="宋体" w:hAnsi="宋体" w:eastAsia="宋体" w:cs="宋体"/>
                <w:snapToGrid w:val="0"/>
                <w:color w:val="000000"/>
                <w:spacing w:val="1"/>
                <w:kern w:val="0"/>
                <w:sz w:val="24"/>
                <w:szCs w:val="24"/>
                <w:lang w:val="en-US" w:eastAsia="zh-Hans" w:bidi="ar-SA"/>
              </w:rPr>
              <w:t>分</w:t>
            </w:r>
          </w:p>
        </w:tc>
      </w:tr>
      <w:tr w14:paraId="138E76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79" w:hRule="atLeast"/>
        </w:trPr>
        <w:tc>
          <w:tcPr>
            <w:tcW w:w="690" w:type="dxa"/>
            <w:vMerge w:val="continue"/>
            <w:vAlign w:val="center"/>
          </w:tcPr>
          <w:p w14:paraId="06160FD4">
            <w:pPr>
              <w:pStyle w:val="15"/>
              <w:spacing w:before="98" w:line="235" w:lineRule="auto"/>
              <w:ind w:left="107" w:right="92"/>
              <w:jc w:val="center"/>
              <w:rPr>
                <w:rFonts w:hint="eastAsia" w:ascii="宋体" w:hAnsi="宋体" w:eastAsia="宋体" w:cs="宋体"/>
                <w:snapToGrid w:val="0"/>
                <w:color w:val="000000"/>
                <w:spacing w:val="1"/>
                <w:kern w:val="0"/>
                <w:sz w:val="24"/>
                <w:szCs w:val="24"/>
                <w:lang w:val="en-US" w:eastAsia="zh-Hans" w:bidi="ar-SA"/>
              </w:rPr>
            </w:pPr>
          </w:p>
        </w:tc>
        <w:tc>
          <w:tcPr>
            <w:tcW w:w="870" w:type="dxa"/>
            <w:vAlign w:val="center"/>
          </w:tcPr>
          <w:p w14:paraId="639EC93C">
            <w:pPr>
              <w:pStyle w:val="15"/>
              <w:spacing w:before="65" w:line="231" w:lineRule="auto"/>
              <w:jc w:val="center"/>
              <w:rPr>
                <w:rFonts w:hint="eastAsia" w:ascii="宋体" w:hAnsi="宋体" w:eastAsia="宋体" w:cs="宋体"/>
                <w:snapToGrid w:val="0"/>
                <w:color w:val="000000"/>
                <w:spacing w:val="1"/>
                <w:kern w:val="0"/>
                <w:sz w:val="24"/>
                <w:szCs w:val="24"/>
                <w:lang w:val="en-US" w:eastAsia="zh-CN" w:bidi="ar-SA"/>
              </w:rPr>
            </w:pPr>
            <w:r>
              <w:rPr>
                <w:rFonts w:hint="eastAsia" w:ascii="宋体" w:hAnsi="宋体" w:eastAsia="宋体" w:cs="宋体"/>
                <w:snapToGrid w:val="0"/>
                <w:color w:val="000000"/>
                <w:spacing w:val="1"/>
                <w:kern w:val="0"/>
                <w:sz w:val="24"/>
                <w:szCs w:val="24"/>
                <w:lang w:val="en-US" w:eastAsia="zh-CN" w:bidi="ar-SA"/>
              </w:rPr>
              <w:t>服务管控</w:t>
            </w:r>
          </w:p>
        </w:tc>
        <w:tc>
          <w:tcPr>
            <w:tcW w:w="6900" w:type="dxa"/>
            <w:vAlign w:val="top"/>
          </w:tcPr>
          <w:p w14:paraId="106B7887">
            <w:pPr>
              <w:pStyle w:val="15"/>
              <w:numPr>
                <w:ilvl w:val="0"/>
                <w:numId w:val="0"/>
              </w:numPr>
              <w:spacing w:before="157" w:line="408" w:lineRule="exact"/>
              <w:jc w:val="left"/>
              <w:rPr>
                <w:rFonts w:hint="eastAsia" w:ascii="宋体" w:hAnsi="宋体" w:eastAsia="宋体" w:cs="宋体"/>
                <w:snapToGrid w:val="0"/>
                <w:color w:val="000000"/>
                <w:spacing w:val="1"/>
                <w:kern w:val="0"/>
                <w:sz w:val="24"/>
                <w:szCs w:val="24"/>
                <w:lang w:val="en-US" w:eastAsia="zh-Hans" w:bidi="ar-SA"/>
              </w:rPr>
            </w:pPr>
            <w:r>
              <w:rPr>
                <w:rFonts w:hint="eastAsia" w:ascii="宋体" w:hAnsi="宋体" w:eastAsia="宋体" w:cs="宋体"/>
                <w:snapToGrid w:val="0"/>
                <w:color w:val="000000"/>
                <w:spacing w:val="1"/>
                <w:kern w:val="0"/>
                <w:sz w:val="24"/>
                <w:szCs w:val="24"/>
                <w:lang w:val="en-US" w:eastAsia="zh-Hans" w:bidi="ar-SA"/>
              </w:rPr>
              <w:t>服务管控应包括：</w:t>
            </w:r>
          </w:p>
          <w:p w14:paraId="1AFE54B5">
            <w:pPr>
              <w:pStyle w:val="15"/>
              <w:numPr>
                <w:ilvl w:val="0"/>
                <w:numId w:val="0"/>
              </w:numPr>
              <w:spacing w:before="157" w:line="408" w:lineRule="exact"/>
              <w:jc w:val="left"/>
              <w:rPr>
                <w:rFonts w:hint="eastAsia" w:ascii="宋体" w:hAnsi="宋体" w:eastAsia="宋体" w:cs="宋体"/>
                <w:snapToGrid w:val="0"/>
                <w:color w:val="000000"/>
                <w:spacing w:val="1"/>
                <w:kern w:val="0"/>
                <w:sz w:val="24"/>
                <w:szCs w:val="24"/>
                <w:lang w:val="en-US" w:eastAsia="zh-Hans" w:bidi="ar-SA"/>
              </w:rPr>
            </w:pPr>
            <w:r>
              <w:rPr>
                <w:rFonts w:hint="eastAsia" w:ascii="宋体" w:hAnsi="宋体" w:eastAsia="宋体" w:cs="宋体"/>
                <w:snapToGrid w:val="0"/>
                <w:color w:val="000000"/>
                <w:spacing w:val="1"/>
                <w:kern w:val="0"/>
                <w:sz w:val="24"/>
                <w:szCs w:val="24"/>
                <w:lang w:val="en-US" w:eastAsia="zh-Hans" w:bidi="ar-SA"/>
              </w:rPr>
              <w:t>①</w:t>
            </w:r>
            <w:r>
              <w:rPr>
                <w:rFonts w:hint="eastAsia" w:ascii="宋体" w:hAnsi="宋体" w:eastAsia="宋体" w:cs="宋体"/>
                <w:snapToGrid w:val="0"/>
                <w:color w:val="000000"/>
                <w:spacing w:val="1"/>
                <w:kern w:val="0"/>
                <w:sz w:val="24"/>
                <w:szCs w:val="24"/>
                <w:lang w:val="en-US" w:eastAsia="zh-CN" w:bidi="ar-SA"/>
              </w:rPr>
              <w:t>供应商</w:t>
            </w:r>
            <w:r>
              <w:rPr>
                <w:rFonts w:hint="eastAsia" w:ascii="宋体" w:hAnsi="宋体" w:eastAsia="宋体" w:cs="宋体"/>
                <w:snapToGrid w:val="0"/>
                <w:color w:val="000000"/>
                <w:spacing w:val="1"/>
                <w:kern w:val="0"/>
                <w:sz w:val="24"/>
                <w:szCs w:val="24"/>
                <w:lang w:val="en-US" w:eastAsia="zh-Hans" w:bidi="ar-SA"/>
              </w:rPr>
              <w:t>按项目理解制定详细服务方案，如每个环节安排专职人员推进各项工作有序开展，保证项目按计划交付的基本承诺内容，包括不限于：订单、到货、退换、报账。</w:t>
            </w:r>
            <w:r>
              <w:rPr>
                <w:rFonts w:hint="eastAsia" w:ascii="宋体" w:hAnsi="宋体" w:eastAsia="宋体" w:cs="宋体"/>
                <w:snapToGrid w:val="0"/>
                <w:color w:val="000000"/>
                <w:spacing w:val="1"/>
                <w:kern w:val="0"/>
                <w:sz w:val="24"/>
                <w:szCs w:val="24"/>
                <w:lang w:val="en-US" w:eastAsia="zh-CN" w:bidi="ar-SA"/>
              </w:rPr>
              <w:t>供应商</w:t>
            </w:r>
            <w:r>
              <w:rPr>
                <w:rFonts w:hint="eastAsia" w:ascii="宋体" w:hAnsi="宋体" w:eastAsia="宋体" w:cs="宋体"/>
                <w:snapToGrid w:val="0"/>
                <w:color w:val="000000"/>
                <w:spacing w:val="1"/>
                <w:kern w:val="0"/>
                <w:sz w:val="24"/>
                <w:szCs w:val="24"/>
                <w:lang w:val="en-US" w:eastAsia="zh-Hans" w:bidi="ar-SA"/>
              </w:rPr>
              <w:t>须提供整个环节的流程图；</w:t>
            </w:r>
          </w:p>
          <w:p w14:paraId="0518D3C2">
            <w:pPr>
              <w:pStyle w:val="15"/>
              <w:numPr>
                <w:ilvl w:val="0"/>
                <w:numId w:val="0"/>
              </w:numPr>
              <w:spacing w:before="157" w:line="408" w:lineRule="exact"/>
              <w:jc w:val="left"/>
              <w:rPr>
                <w:rFonts w:hint="eastAsia" w:ascii="宋体" w:hAnsi="宋体" w:eastAsia="宋体" w:cs="宋体"/>
                <w:snapToGrid w:val="0"/>
                <w:color w:val="000000"/>
                <w:spacing w:val="1"/>
                <w:kern w:val="0"/>
                <w:sz w:val="24"/>
                <w:szCs w:val="24"/>
                <w:lang w:val="en-US" w:eastAsia="zh-Hans" w:bidi="ar-SA"/>
              </w:rPr>
            </w:pPr>
            <w:r>
              <w:rPr>
                <w:rFonts w:hint="eastAsia" w:ascii="宋体" w:hAnsi="宋体" w:eastAsia="宋体" w:cs="宋体"/>
                <w:snapToGrid w:val="0"/>
                <w:color w:val="000000"/>
                <w:spacing w:val="1"/>
                <w:kern w:val="0"/>
                <w:sz w:val="24"/>
                <w:szCs w:val="24"/>
                <w:lang w:val="en-US" w:eastAsia="zh-Hans" w:bidi="ar-SA"/>
              </w:rPr>
              <w:t>②</w:t>
            </w:r>
            <w:r>
              <w:rPr>
                <w:rFonts w:hint="eastAsia" w:ascii="宋体" w:hAnsi="宋体" w:eastAsia="宋体" w:cs="宋体"/>
                <w:snapToGrid w:val="0"/>
                <w:color w:val="000000"/>
                <w:spacing w:val="1"/>
                <w:kern w:val="0"/>
                <w:sz w:val="24"/>
                <w:szCs w:val="24"/>
                <w:lang w:val="en-US" w:eastAsia="zh-CN" w:bidi="ar-SA"/>
              </w:rPr>
              <w:t>供应商</w:t>
            </w:r>
            <w:r>
              <w:rPr>
                <w:rFonts w:hint="eastAsia" w:ascii="宋体" w:hAnsi="宋体" w:eastAsia="宋体" w:cs="宋体"/>
                <w:snapToGrid w:val="0"/>
                <w:color w:val="000000"/>
                <w:spacing w:val="1"/>
                <w:kern w:val="0"/>
                <w:sz w:val="24"/>
                <w:szCs w:val="24"/>
                <w:lang w:val="en-US" w:eastAsia="zh-Hans" w:bidi="ar-SA"/>
              </w:rPr>
              <w:t xml:space="preserve">对整个流程时间节点设置合理，提供时间节点计划； </w:t>
            </w:r>
          </w:p>
          <w:p w14:paraId="3D87F78D">
            <w:pPr>
              <w:pStyle w:val="15"/>
              <w:numPr>
                <w:ilvl w:val="0"/>
                <w:numId w:val="0"/>
              </w:numPr>
              <w:spacing w:before="157" w:line="408" w:lineRule="exact"/>
              <w:jc w:val="left"/>
              <w:rPr>
                <w:rFonts w:hint="eastAsia" w:ascii="宋体" w:hAnsi="宋体" w:eastAsia="宋体" w:cs="宋体"/>
                <w:snapToGrid w:val="0"/>
                <w:color w:val="000000"/>
                <w:spacing w:val="1"/>
                <w:kern w:val="0"/>
                <w:sz w:val="24"/>
                <w:szCs w:val="24"/>
                <w:lang w:val="en-US" w:eastAsia="zh-Hans" w:bidi="ar-SA"/>
              </w:rPr>
            </w:pPr>
            <w:r>
              <w:rPr>
                <w:rFonts w:hint="eastAsia" w:ascii="宋体" w:hAnsi="宋体" w:eastAsia="宋体" w:cs="宋体"/>
                <w:snapToGrid w:val="0"/>
                <w:color w:val="000000"/>
                <w:spacing w:val="1"/>
                <w:kern w:val="0"/>
                <w:sz w:val="24"/>
                <w:szCs w:val="24"/>
                <w:lang w:val="en-US" w:eastAsia="zh-Hans" w:bidi="ar-SA"/>
              </w:rPr>
              <w:t xml:space="preserve">③每个环节服务人员的操作流程。 </w:t>
            </w:r>
          </w:p>
          <w:p w14:paraId="2C37EF0B">
            <w:pPr>
              <w:pStyle w:val="15"/>
              <w:numPr>
                <w:ilvl w:val="0"/>
                <w:numId w:val="0"/>
              </w:numPr>
              <w:spacing w:before="157" w:line="408" w:lineRule="exact"/>
              <w:jc w:val="left"/>
              <w:rPr>
                <w:rFonts w:hint="eastAsia" w:ascii="宋体" w:hAnsi="宋体" w:eastAsia="宋体" w:cs="宋体"/>
                <w:snapToGrid w:val="0"/>
                <w:color w:val="000000"/>
                <w:spacing w:val="1"/>
                <w:kern w:val="0"/>
                <w:sz w:val="24"/>
                <w:szCs w:val="24"/>
                <w:lang w:val="en-US" w:eastAsia="zh-Hans" w:bidi="ar-SA"/>
              </w:rPr>
            </w:pPr>
            <w:r>
              <w:rPr>
                <w:rFonts w:hint="eastAsia" w:ascii="宋体" w:hAnsi="宋体" w:eastAsia="宋体" w:cs="宋体"/>
                <w:snapToGrid w:val="0"/>
                <w:color w:val="000000"/>
                <w:spacing w:val="1"/>
                <w:kern w:val="0"/>
                <w:sz w:val="24"/>
                <w:szCs w:val="24"/>
                <w:lang w:val="en-US" w:eastAsia="zh-Hans" w:bidi="ar-SA"/>
              </w:rPr>
              <w:t>以上内容每项</w:t>
            </w:r>
            <w:r>
              <w:rPr>
                <w:rFonts w:hint="eastAsia" w:ascii="宋体" w:hAnsi="宋体" w:eastAsia="宋体" w:cs="宋体"/>
                <w:snapToGrid w:val="0"/>
                <w:color w:val="000000"/>
                <w:spacing w:val="1"/>
                <w:kern w:val="0"/>
                <w:sz w:val="24"/>
                <w:szCs w:val="24"/>
                <w:lang w:val="en-US" w:eastAsia="zh-CN" w:bidi="ar-SA"/>
              </w:rPr>
              <w:t>满分4</w:t>
            </w:r>
            <w:r>
              <w:rPr>
                <w:rFonts w:hint="eastAsia" w:ascii="宋体" w:hAnsi="宋体" w:eastAsia="宋体" w:cs="宋体"/>
                <w:snapToGrid w:val="0"/>
                <w:color w:val="000000"/>
                <w:spacing w:val="1"/>
                <w:kern w:val="0"/>
                <w:sz w:val="24"/>
                <w:szCs w:val="24"/>
                <w:lang w:val="en-US" w:eastAsia="zh-Hans" w:bidi="ar-SA"/>
              </w:rPr>
              <w:t>分</w:t>
            </w:r>
            <w:r>
              <w:rPr>
                <w:rFonts w:hint="default" w:ascii="宋体" w:hAnsi="宋体" w:eastAsia="宋体" w:cs="宋体"/>
                <w:snapToGrid w:val="0"/>
                <w:color w:val="000000"/>
                <w:spacing w:val="1"/>
                <w:kern w:val="0"/>
                <w:sz w:val="24"/>
                <w:szCs w:val="24"/>
                <w:lang w:val="en-US" w:eastAsia="zh-Hans" w:bidi="ar-SA"/>
              </w:rPr>
              <w:t>，</w:t>
            </w:r>
            <w:r>
              <w:rPr>
                <w:rFonts w:hint="eastAsia" w:ascii="宋体" w:hAnsi="宋体" w:eastAsia="宋体" w:cs="宋体"/>
                <w:snapToGrid w:val="0"/>
                <w:color w:val="000000"/>
                <w:spacing w:val="1"/>
                <w:kern w:val="0"/>
                <w:sz w:val="24"/>
                <w:szCs w:val="24"/>
                <w:lang w:val="en-US" w:eastAsia="zh-Hans" w:bidi="ar-SA"/>
              </w:rPr>
              <w:t>未提供不得分</w:t>
            </w:r>
            <w:r>
              <w:rPr>
                <w:rFonts w:hint="default" w:ascii="宋体" w:hAnsi="宋体" w:eastAsia="宋体" w:cs="宋体"/>
                <w:snapToGrid w:val="0"/>
                <w:color w:val="000000"/>
                <w:spacing w:val="1"/>
                <w:kern w:val="0"/>
                <w:sz w:val="24"/>
                <w:szCs w:val="24"/>
                <w:lang w:val="en-US" w:eastAsia="zh-Hans" w:bidi="ar-SA"/>
              </w:rPr>
              <w:t>。</w:t>
            </w:r>
            <w:r>
              <w:rPr>
                <w:rFonts w:hint="eastAsia" w:ascii="宋体" w:hAnsi="宋体" w:eastAsia="宋体" w:cs="宋体"/>
                <w:snapToGrid w:val="0"/>
                <w:color w:val="000000"/>
                <w:spacing w:val="1"/>
                <w:kern w:val="0"/>
                <w:sz w:val="24"/>
                <w:szCs w:val="24"/>
                <w:lang w:val="en-US" w:eastAsia="zh-Hans" w:bidi="ar-SA"/>
              </w:rPr>
              <w:t xml:space="preserve"> </w:t>
            </w:r>
          </w:p>
        </w:tc>
        <w:tc>
          <w:tcPr>
            <w:tcW w:w="1198" w:type="dxa"/>
            <w:vAlign w:val="center"/>
          </w:tcPr>
          <w:p w14:paraId="71D8D689">
            <w:pPr>
              <w:pStyle w:val="15"/>
              <w:spacing w:before="65" w:line="232" w:lineRule="auto"/>
              <w:ind w:left="100"/>
              <w:jc w:val="center"/>
              <w:rPr>
                <w:rFonts w:ascii="宋体" w:hAnsi="宋体" w:eastAsia="宋体" w:cs="宋体"/>
                <w:snapToGrid w:val="0"/>
                <w:color w:val="000000"/>
                <w:spacing w:val="1"/>
                <w:kern w:val="0"/>
                <w:sz w:val="24"/>
                <w:szCs w:val="24"/>
                <w:lang w:val="en-US" w:eastAsia="en-US" w:bidi="ar-SA"/>
              </w:rPr>
            </w:pPr>
            <w:r>
              <w:rPr>
                <w:rFonts w:hint="eastAsia" w:ascii="宋体" w:hAnsi="宋体" w:eastAsia="宋体" w:cs="宋体"/>
                <w:snapToGrid w:val="0"/>
                <w:color w:val="000000"/>
                <w:spacing w:val="1"/>
                <w:kern w:val="0"/>
                <w:sz w:val="24"/>
                <w:szCs w:val="24"/>
                <w:lang w:val="en-US" w:eastAsia="zh-CN" w:bidi="ar-SA"/>
              </w:rPr>
              <w:t>12</w:t>
            </w:r>
            <w:r>
              <w:rPr>
                <w:rFonts w:hint="eastAsia" w:ascii="宋体" w:hAnsi="宋体" w:eastAsia="宋体" w:cs="宋体"/>
                <w:snapToGrid w:val="0"/>
                <w:color w:val="000000"/>
                <w:spacing w:val="1"/>
                <w:kern w:val="0"/>
                <w:sz w:val="24"/>
                <w:szCs w:val="24"/>
                <w:lang w:val="en-US" w:eastAsia="zh-Hans" w:bidi="ar-SA"/>
              </w:rPr>
              <w:t>分</w:t>
            </w:r>
          </w:p>
        </w:tc>
      </w:tr>
      <w:tr w14:paraId="4A3334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79" w:hRule="atLeast"/>
        </w:trPr>
        <w:tc>
          <w:tcPr>
            <w:tcW w:w="690" w:type="dxa"/>
            <w:vMerge w:val="continue"/>
            <w:vAlign w:val="center"/>
          </w:tcPr>
          <w:p w14:paraId="18DEE322">
            <w:pPr>
              <w:pStyle w:val="15"/>
              <w:spacing w:before="98" w:line="235" w:lineRule="auto"/>
              <w:ind w:left="107" w:right="92"/>
              <w:jc w:val="center"/>
              <w:rPr>
                <w:rFonts w:hint="eastAsia" w:ascii="宋体" w:hAnsi="宋体" w:eastAsia="宋体" w:cs="宋体"/>
                <w:snapToGrid w:val="0"/>
                <w:color w:val="000000"/>
                <w:spacing w:val="1"/>
                <w:kern w:val="0"/>
                <w:sz w:val="24"/>
                <w:szCs w:val="24"/>
                <w:lang w:val="en-US" w:eastAsia="zh-Hans" w:bidi="ar-SA"/>
              </w:rPr>
            </w:pPr>
          </w:p>
        </w:tc>
        <w:tc>
          <w:tcPr>
            <w:tcW w:w="870" w:type="dxa"/>
            <w:vAlign w:val="center"/>
          </w:tcPr>
          <w:p w14:paraId="43341E7D">
            <w:pPr>
              <w:pStyle w:val="15"/>
              <w:spacing w:before="65" w:line="231" w:lineRule="auto"/>
              <w:jc w:val="center"/>
              <w:rPr>
                <w:rFonts w:hint="eastAsia" w:ascii="宋体" w:hAnsi="宋体" w:eastAsia="宋体" w:cs="宋体"/>
                <w:snapToGrid w:val="0"/>
                <w:color w:val="000000"/>
                <w:spacing w:val="1"/>
                <w:kern w:val="0"/>
                <w:sz w:val="24"/>
                <w:szCs w:val="24"/>
                <w:lang w:val="en-US" w:eastAsia="zh-CN" w:bidi="ar-SA"/>
              </w:rPr>
            </w:pPr>
            <w:r>
              <w:rPr>
                <w:rFonts w:hint="eastAsia" w:ascii="宋体" w:hAnsi="宋体" w:eastAsia="宋体" w:cs="宋体"/>
                <w:snapToGrid w:val="0"/>
                <w:color w:val="000000"/>
                <w:spacing w:val="1"/>
                <w:kern w:val="0"/>
                <w:sz w:val="24"/>
                <w:szCs w:val="24"/>
                <w:lang w:val="en-US" w:eastAsia="zh-CN" w:bidi="ar-SA"/>
              </w:rPr>
              <w:t>样品</w:t>
            </w:r>
          </w:p>
        </w:tc>
        <w:tc>
          <w:tcPr>
            <w:tcW w:w="6900" w:type="dxa"/>
            <w:vAlign w:val="top"/>
          </w:tcPr>
          <w:p w14:paraId="4AF19956">
            <w:pPr>
              <w:pStyle w:val="15"/>
              <w:numPr>
                <w:ilvl w:val="0"/>
                <w:numId w:val="0"/>
              </w:numPr>
              <w:spacing w:before="157" w:line="408" w:lineRule="exact"/>
              <w:jc w:val="left"/>
              <w:rPr>
                <w:rFonts w:hint="eastAsia" w:ascii="宋体" w:hAnsi="宋体" w:eastAsia="宋体" w:cs="宋体"/>
                <w:snapToGrid w:val="0"/>
                <w:color w:val="000000"/>
                <w:spacing w:val="1"/>
                <w:kern w:val="0"/>
                <w:sz w:val="24"/>
                <w:szCs w:val="24"/>
                <w:lang w:val="en-US" w:eastAsia="zh-Hans" w:bidi="ar-SA"/>
              </w:rPr>
            </w:pPr>
            <w:r>
              <w:rPr>
                <w:rFonts w:hint="eastAsia" w:ascii="宋体" w:hAnsi="宋体" w:eastAsia="宋体" w:cs="宋体"/>
                <w:snapToGrid w:val="0"/>
                <w:color w:val="000000"/>
                <w:spacing w:val="1"/>
                <w:kern w:val="0"/>
                <w:sz w:val="24"/>
                <w:szCs w:val="24"/>
                <w:lang w:val="en-US" w:eastAsia="zh-Hans" w:bidi="ar-SA"/>
              </w:rPr>
              <w:t>专家依据传统经验鉴别方式（看、摸、 闻、尝等）对每种样品的外观、气味、触觉、味觉、颜色、纹理、药材的轻重质感、断面的光滑与粗糙程度等进行评审，满分1</w:t>
            </w:r>
            <w:r>
              <w:rPr>
                <w:rFonts w:hint="eastAsia" w:ascii="宋体" w:hAnsi="宋体" w:eastAsia="宋体" w:cs="宋体"/>
                <w:snapToGrid w:val="0"/>
                <w:color w:val="000000"/>
                <w:spacing w:val="1"/>
                <w:kern w:val="0"/>
                <w:sz w:val="24"/>
                <w:szCs w:val="24"/>
                <w:lang w:val="en-US" w:eastAsia="zh-CN" w:bidi="ar-SA"/>
              </w:rPr>
              <w:t>0</w:t>
            </w:r>
            <w:r>
              <w:rPr>
                <w:rFonts w:hint="eastAsia" w:ascii="宋体" w:hAnsi="宋体" w:eastAsia="宋体" w:cs="宋体"/>
                <w:snapToGrid w:val="0"/>
                <w:color w:val="000000"/>
                <w:spacing w:val="1"/>
                <w:kern w:val="0"/>
                <w:sz w:val="24"/>
                <w:szCs w:val="24"/>
                <w:lang w:val="en-US" w:eastAsia="zh-Hans" w:bidi="ar-SA"/>
              </w:rPr>
              <w:t>分：</w:t>
            </w:r>
          </w:p>
          <w:p w14:paraId="2DFB6280">
            <w:pPr>
              <w:pStyle w:val="15"/>
              <w:numPr>
                <w:ilvl w:val="0"/>
                <w:numId w:val="0"/>
              </w:numPr>
              <w:spacing w:before="157" w:line="408" w:lineRule="exact"/>
              <w:jc w:val="left"/>
              <w:rPr>
                <w:rFonts w:hint="eastAsia" w:ascii="宋体" w:hAnsi="宋体" w:eastAsia="宋体" w:cs="宋体"/>
                <w:snapToGrid w:val="0"/>
                <w:color w:val="000000"/>
                <w:spacing w:val="1"/>
                <w:kern w:val="0"/>
                <w:sz w:val="24"/>
                <w:szCs w:val="24"/>
                <w:lang w:val="en-US" w:eastAsia="zh-Hans" w:bidi="ar-SA"/>
              </w:rPr>
            </w:pPr>
            <w:r>
              <w:rPr>
                <w:rFonts w:hint="eastAsia" w:ascii="宋体" w:hAnsi="宋体" w:eastAsia="宋体" w:cs="宋体"/>
                <w:snapToGrid w:val="0"/>
                <w:color w:val="auto"/>
                <w:spacing w:val="-2"/>
                <w:kern w:val="0"/>
                <w:sz w:val="24"/>
                <w:szCs w:val="24"/>
                <w:highlight w:val="none"/>
                <w:lang w:val="en-US" w:eastAsia="en-US" w:bidi="ar-SA"/>
              </w:rPr>
              <w:t>注：未完整提供所有样品或未按要求提供外包装及内部标注的，该项不计分；出现1种以上假劣药品样品，该项不计分。</w:t>
            </w:r>
          </w:p>
        </w:tc>
        <w:tc>
          <w:tcPr>
            <w:tcW w:w="1198" w:type="dxa"/>
            <w:vAlign w:val="center"/>
          </w:tcPr>
          <w:p w14:paraId="0F3A1E7F">
            <w:pPr>
              <w:pStyle w:val="15"/>
              <w:spacing w:before="65" w:line="232" w:lineRule="auto"/>
              <w:ind w:left="100"/>
              <w:jc w:val="center"/>
              <w:rPr>
                <w:rFonts w:hint="default" w:ascii="宋体" w:hAnsi="宋体" w:eastAsia="宋体" w:cs="宋体"/>
                <w:snapToGrid w:val="0"/>
                <w:color w:val="000000"/>
                <w:spacing w:val="1"/>
                <w:kern w:val="0"/>
                <w:sz w:val="24"/>
                <w:szCs w:val="24"/>
                <w:lang w:val="en-US" w:eastAsia="zh-CN" w:bidi="ar-SA"/>
              </w:rPr>
            </w:pPr>
            <w:r>
              <w:rPr>
                <w:rFonts w:hint="eastAsia" w:ascii="宋体" w:hAnsi="宋体" w:eastAsia="宋体" w:cs="宋体"/>
                <w:snapToGrid w:val="0"/>
                <w:color w:val="000000"/>
                <w:spacing w:val="1"/>
                <w:kern w:val="0"/>
                <w:sz w:val="24"/>
                <w:szCs w:val="24"/>
                <w:lang w:val="en-US" w:eastAsia="zh-CN" w:bidi="ar-SA"/>
              </w:rPr>
              <w:t>10分</w:t>
            </w:r>
          </w:p>
        </w:tc>
      </w:tr>
      <w:tr w14:paraId="022288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690" w:type="dxa"/>
            <w:vMerge w:val="restart"/>
            <w:vAlign w:val="center"/>
          </w:tcPr>
          <w:p w14:paraId="694E9502">
            <w:pPr>
              <w:pStyle w:val="15"/>
              <w:spacing w:before="98" w:line="235" w:lineRule="auto"/>
              <w:ind w:left="107" w:right="92"/>
              <w:jc w:val="center"/>
              <w:rPr>
                <w:rFonts w:hint="eastAsia" w:ascii="宋体" w:hAnsi="宋体" w:eastAsia="宋体" w:cs="宋体"/>
                <w:snapToGrid w:val="0"/>
                <w:color w:val="000000"/>
                <w:spacing w:val="1"/>
                <w:kern w:val="0"/>
                <w:sz w:val="24"/>
                <w:szCs w:val="24"/>
                <w:lang w:val="en-US" w:eastAsia="zh-Hans" w:bidi="ar-SA"/>
              </w:rPr>
            </w:pPr>
            <w:r>
              <w:rPr>
                <w:rFonts w:hint="eastAsia" w:ascii="宋体" w:hAnsi="宋体" w:eastAsia="宋体" w:cs="宋体"/>
                <w:snapToGrid w:val="0"/>
                <w:color w:val="000000"/>
                <w:spacing w:val="1"/>
                <w:kern w:val="0"/>
                <w:sz w:val="24"/>
                <w:szCs w:val="24"/>
                <w:lang w:val="en-US" w:eastAsia="zh-Hans" w:bidi="ar-SA"/>
              </w:rPr>
              <w:t>商务</w:t>
            </w:r>
          </w:p>
        </w:tc>
        <w:tc>
          <w:tcPr>
            <w:tcW w:w="870" w:type="dxa"/>
            <w:vAlign w:val="center"/>
          </w:tcPr>
          <w:p w14:paraId="4B253586">
            <w:pPr>
              <w:pStyle w:val="15"/>
              <w:spacing w:before="65" w:line="231" w:lineRule="auto"/>
              <w:jc w:val="center"/>
              <w:rPr>
                <w:rFonts w:hint="eastAsia" w:ascii="宋体" w:hAnsi="宋体" w:eastAsia="宋体" w:cs="宋体"/>
                <w:snapToGrid w:val="0"/>
                <w:color w:val="000000"/>
                <w:spacing w:val="1"/>
                <w:kern w:val="0"/>
                <w:sz w:val="24"/>
                <w:szCs w:val="24"/>
                <w:lang w:val="en-US" w:eastAsia="zh-CN" w:bidi="ar-SA"/>
              </w:rPr>
            </w:pPr>
            <w:r>
              <w:rPr>
                <w:rFonts w:hint="eastAsia" w:ascii="宋体" w:hAnsi="宋体" w:eastAsia="宋体" w:cs="宋体"/>
                <w:snapToGrid w:val="0"/>
                <w:color w:val="000000"/>
                <w:spacing w:val="1"/>
                <w:kern w:val="0"/>
                <w:sz w:val="24"/>
                <w:szCs w:val="24"/>
                <w:lang w:val="en-US" w:eastAsia="zh-CN" w:bidi="ar-SA"/>
              </w:rPr>
              <w:t>业绩</w:t>
            </w:r>
          </w:p>
        </w:tc>
        <w:tc>
          <w:tcPr>
            <w:tcW w:w="6900" w:type="dxa"/>
            <w:vAlign w:val="top"/>
          </w:tcPr>
          <w:p w14:paraId="3F7BBC37">
            <w:pPr>
              <w:pStyle w:val="15"/>
              <w:numPr>
                <w:ilvl w:val="0"/>
                <w:numId w:val="0"/>
              </w:numPr>
              <w:spacing w:before="157" w:line="408" w:lineRule="exact"/>
              <w:jc w:val="left"/>
              <w:rPr>
                <w:rFonts w:hint="default" w:ascii="宋体" w:hAnsi="宋体" w:eastAsia="宋体" w:cs="宋体"/>
                <w:snapToGrid w:val="0"/>
                <w:color w:val="000000"/>
                <w:spacing w:val="1"/>
                <w:kern w:val="0"/>
                <w:sz w:val="24"/>
                <w:szCs w:val="24"/>
                <w:lang w:val="en-US" w:eastAsia="zh-CN" w:bidi="ar-SA"/>
              </w:rPr>
            </w:pPr>
            <w:r>
              <w:rPr>
                <w:rFonts w:hint="eastAsia" w:ascii="宋体" w:hAnsi="宋体" w:eastAsia="宋体" w:cs="宋体"/>
                <w:snapToGrid w:val="0"/>
                <w:color w:val="000000"/>
                <w:spacing w:val="1"/>
                <w:kern w:val="0"/>
                <w:sz w:val="24"/>
                <w:szCs w:val="24"/>
                <w:lang w:val="en-US" w:eastAsia="zh-CN" w:bidi="ar-SA"/>
              </w:rPr>
              <w:t>供应商提供2021年至今类似业绩，每提供一个得1分。（本项满分2分）</w:t>
            </w:r>
          </w:p>
        </w:tc>
        <w:tc>
          <w:tcPr>
            <w:tcW w:w="1198" w:type="dxa"/>
            <w:vAlign w:val="center"/>
          </w:tcPr>
          <w:p w14:paraId="109618DD">
            <w:pPr>
              <w:pStyle w:val="15"/>
              <w:spacing w:before="65" w:line="232" w:lineRule="auto"/>
              <w:ind w:left="100"/>
              <w:jc w:val="center"/>
              <w:rPr>
                <w:rFonts w:hint="eastAsia" w:ascii="宋体" w:hAnsi="宋体" w:eastAsia="宋体" w:cs="宋体"/>
                <w:snapToGrid w:val="0"/>
                <w:color w:val="000000"/>
                <w:spacing w:val="1"/>
                <w:kern w:val="0"/>
                <w:sz w:val="24"/>
                <w:szCs w:val="24"/>
                <w:lang w:val="en-US" w:eastAsia="zh-CN" w:bidi="ar-SA"/>
              </w:rPr>
            </w:pPr>
            <w:r>
              <w:rPr>
                <w:rFonts w:hint="eastAsia" w:ascii="宋体" w:hAnsi="宋体" w:eastAsia="宋体" w:cs="宋体"/>
                <w:snapToGrid w:val="0"/>
                <w:color w:val="000000"/>
                <w:spacing w:val="1"/>
                <w:kern w:val="0"/>
                <w:sz w:val="24"/>
                <w:szCs w:val="24"/>
                <w:lang w:val="en-US" w:eastAsia="zh-CN" w:bidi="ar-SA"/>
              </w:rPr>
              <w:t>2分</w:t>
            </w:r>
          </w:p>
        </w:tc>
      </w:tr>
      <w:tr w14:paraId="56404F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79" w:hRule="atLeast"/>
        </w:trPr>
        <w:tc>
          <w:tcPr>
            <w:tcW w:w="690" w:type="dxa"/>
            <w:vMerge w:val="continue"/>
            <w:vAlign w:val="center"/>
          </w:tcPr>
          <w:p w14:paraId="1D35DE51">
            <w:pPr>
              <w:pStyle w:val="15"/>
              <w:spacing w:before="98" w:line="235" w:lineRule="auto"/>
              <w:ind w:left="107" w:right="92"/>
              <w:jc w:val="center"/>
              <w:rPr>
                <w:rFonts w:hint="eastAsia" w:ascii="宋体" w:hAnsi="宋体" w:eastAsia="宋体" w:cs="宋体"/>
                <w:snapToGrid w:val="0"/>
                <w:color w:val="000000"/>
                <w:spacing w:val="1"/>
                <w:kern w:val="0"/>
                <w:sz w:val="24"/>
                <w:szCs w:val="24"/>
                <w:lang w:val="en-US" w:eastAsia="zh-Hans" w:bidi="ar-SA"/>
              </w:rPr>
            </w:pPr>
          </w:p>
        </w:tc>
        <w:tc>
          <w:tcPr>
            <w:tcW w:w="870" w:type="dxa"/>
            <w:vAlign w:val="center"/>
          </w:tcPr>
          <w:p w14:paraId="110ED13B">
            <w:pPr>
              <w:pStyle w:val="15"/>
              <w:spacing w:before="65" w:line="231" w:lineRule="auto"/>
              <w:jc w:val="center"/>
              <w:rPr>
                <w:rFonts w:hint="eastAsia" w:ascii="宋体" w:hAnsi="宋体" w:eastAsia="宋体" w:cs="宋体"/>
                <w:snapToGrid w:val="0"/>
                <w:color w:val="000000"/>
                <w:spacing w:val="1"/>
                <w:kern w:val="0"/>
                <w:sz w:val="24"/>
                <w:szCs w:val="24"/>
                <w:lang w:val="en-US" w:eastAsia="zh-CN" w:bidi="ar-SA"/>
              </w:rPr>
            </w:pPr>
            <w:r>
              <w:rPr>
                <w:rFonts w:hint="eastAsia" w:ascii="宋体" w:hAnsi="宋体" w:eastAsia="宋体" w:cs="宋体"/>
                <w:snapToGrid w:val="0"/>
                <w:color w:val="000000"/>
                <w:spacing w:val="1"/>
                <w:kern w:val="0"/>
                <w:sz w:val="24"/>
                <w:szCs w:val="24"/>
                <w:lang w:val="en-US" w:eastAsia="zh-CN" w:bidi="ar-SA"/>
              </w:rPr>
              <w:t xml:space="preserve">拟投入本项目 </w:t>
            </w:r>
          </w:p>
          <w:p w14:paraId="535D6D42">
            <w:pPr>
              <w:pStyle w:val="15"/>
              <w:spacing w:before="65" w:line="231" w:lineRule="auto"/>
              <w:jc w:val="center"/>
              <w:rPr>
                <w:rFonts w:hint="eastAsia" w:ascii="宋体" w:hAnsi="宋体" w:eastAsia="宋体" w:cs="宋体"/>
                <w:snapToGrid w:val="0"/>
                <w:color w:val="000000"/>
                <w:spacing w:val="1"/>
                <w:kern w:val="0"/>
                <w:sz w:val="24"/>
                <w:szCs w:val="24"/>
                <w:lang w:val="en-US" w:eastAsia="zh-CN" w:bidi="ar-SA"/>
              </w:rPr>
            </w:pPr>
            <w:r>
              <w:rPr>
                <w:rFonts w:hint="eastAsia" w:ascii="宋体" w:hAnsi="宋体" w:eastAsia="宋体" w:cs="宋体"/>
                <w:snapToGrid w:val="0"/>
                <w:color w:val="000000"/>
                <w:spacing w:val="1"/>
                <w:kern w:val="0"/>
                <w:sz w:val="24"/>
                <w:szCs w:val="24"/>
                <w:lang w:val="en-US" w:eastAsia="zh-CN" w:bidi="ar-SA"/>
              </w:rPr>
              <w:t>管理服务人员</w:t>
            </w:r>
          </w:p>
        </w:tc>
        <w:tc>
          <w:tcPr>
            <w:tcW w:w="6900" w:type="dxa"/>
            <w:vAlign w:val="top"/>
          </w:tcPr>
          <w:p w14:paraId="7FC1E8A3">
            <w:pPr>
              <w:pStyle w:val="15"/>
              <w:keepNext w:val="0"/>
              <w:keepLines w:val="0"/>
              <w:pageBreakBefore w:val="0"/>
              <w:widowControl/>
              <w:numPr>
                <w:ilvl w:val="0"/>
                <w:numId w:val="0"/>
              </w:numPr>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snapToGrid w:val="0"/>
                <w:color w:val="auto"/>
                <w:spacing w:val="-2"/>
                <w:kern w:val="0"/>
                <w:sz w:val="24"/>
                <w:szCs w:val="24"/>
                <w:highlight w:val="none"/>
                <w:lang w:val="en-US" w:eastAsia="en-US" w:bidi="ar-SA"/>
              </w:rPr>
            </w:pPr>
            <w:r>
              <w:rPr>
                <w:rFonts w:hint="eastAsia" w:ascii="宋体" w:hAnsi="宋体" w:eastAsia="宋体" w:cs="宋体"/>
                <w:snapToGrid w:val="0"/>
                <w:color w:val="auto"/>
                <w:spacing w:val="-2"/>
                <w:kern w:val="0"/>
                <w:sz w:val="24"/>
                <w:szCs w:val="24"/>
                <w:highlight w:val="none"/>
                <w:lang w:val="en-US" w:eastAsia="en-US" w:bidi="ar-SA"/>
              </w:rPr>
              <w:t>供应商拟投入本项目服务团队人员：包括但不限于项目负责人、质量管控人员（需具有执业中药师资格证）、调度人员、配送人员、售后服务人员等6人或以上；满足得3分；每缺少一人扣</w:t>
            </w:r>
            <w:r>
              <w:rPr>
                <w:rFonts w:hint="eastAsia" w:ascii="宋体" w:hAnsi="宋体" w:eastAsia="宋体" w:cs="宋体"/>
                <w:snapToGrid w:val="0"/>
                <w:color w:val="auto"/>
                <w:spacing w:val="-2"/>
                <w:kern w:val="0"/>
                <w:sz w:val="24"/>
                <w:szCs w:val="24"/>
                <w:highlight w:val="none"/>
                <w:lang w:val="en-US" w:eastAsia="zh-CN" w:bidi="ar-SA"/>
              </w:rPr>
              <w:t>0.5</w:t>
            </w:r>
            <w:r>
              <w:rPr>
                <w:rFonts w:hint="eastAsia" w:ascii="宋体" w:hAnsi="宋体" w:eastAsia="宋体" w:cs="宋体"/>
                <w:snapToGrid w:val="0"/>
                <w:color w:val="auto"/>
                <w:spacing w:val="-2"/>
                <w:kern w:val="0"/>
                <w:sz w:val="24"/>
                <w:szCs w:val="24"/>
                <w:highlight w:val="none"/>
                <w:lang w:val="en-US" w:eastAsia="en-US" w:bidi="ar-SA"/>
              </w:rPr>
              <w:t>分。</w:t>
            </w:r>
          </w:p>
          <w:p w14:paraId="7230907F">
            <w:pPr>
              <w:pStyle w:val="15"/>
              <w:spacing w:before="157" w:line="408" w:lineRule="exact"/>
              <w:ind w:left="30"/>
              <w:jc w:val="left"/>
              <w:rPr>
                <w:rFonts w:hint="eastAsia" w:ascii="宋体" w:hAnsi="宋体" w:eastAsia="宋体" w:cs="宋体"/>
                <w:snapToGrid w:val="0"/>
                <w:color w:val="000000"/>
                <w:spacing w:val="1"/>
                <w:kern w:val="0"/>
                <w:sz w:val="24"/>
                <w:szCs w:val="24"/>
                <w:lang w:val="en-US" w:eastAsia="en-US" w:bidi="ar-SA"/>
              </w:rPr>
            </w:pPr>
            <w:r>
              <w:rPr>
                <w:rFonts w:hint="eastAsia" w:ascii="宋体" w:hAnsi="宋体" w:eastAsia="宋体" w:cs="宋体"/>
                <w:snapToGrid w:val="0"/>
                <w:color w:val="auto"/>
                <w:spacing w:val="-2"/>
                <w:kern w:val="0"/>
                <w:sz w:val="24"/>
                <w:szCs w:val="24"/>
                <w:highlight w:val="none"/>
                <w:lang w:val="en-US" w:eastAsia="en-US" w:bidi="ar-SA"/>
              </w:rPr>
              <w:t>注：提供专业人员资格证明扫描件、提供拟派专职人员本单位缴纳社保证明，未提供不得分。</w:t>
            </w:r>
          </w:p>
        </w:tc>
        <w:tc>
          <w:tcPr>
            <w:tcW w:w="1198" w:type="dxa"/>
            <w:vAlign w:val="center"/>
          </w:tcPr>
          <w:p w14:paraId="638694E7">
            <w:pPr>
              <w:pStyle w:val="15"/>
              <w:spacing w:before="65" w:line="232" w:lineRule="auto"/>
              <w:ind w:left="100"/>
              <w:jc w:val="center"/>
              <w:rPr>
                <w:rFonts w:ascii="宋体" w:hAnsi="宋体" w:eastAsia="宋体" w:cs="宋体"/>
                <w:snapToGrid w:val="0"/>
                <w:color w:val="000000"/>
                <w:spacing w:val="1"/>
                <w:kern w:val="0"/>
                <w:sz w:val="24"/>
                <w:szCs w:val="24"/>
                <w:lang w:val="en-US" w:eastAsia="en-US" w:bidi="ar-SA"/>
              </w:rPr>
            </w:pPr>
            <w:r>
              <w:rPr>
                <w:rFonts w:hint="eastAsia" w:ascii="宋体" w:hAnsi="宋体" w:eastAsia="宋体" w:cs="宋体"/>
                <w:snapToGrid w:val="0"/>
                <w:color w:val="000000"/>
                <w:spacing w:val="1"/>
                <w:kern w:val="0"/>
                <w:sz w:val="24"/>
                <w:szCs w:val="24"/>
                <w:lang w:val="en-US" w:eastAsia="zh-CN" w:bidi="ar-SA"/>
              </w:rPr>
              <w:t>3</w:t>
            </w:r>
            <w:r>
              <w:rPr>
                <w:rFonts w:hint="eastAsia" w:ascii="宋体" w:hAnsi="宋体" w:eastAsia="宋体" w:cs="宋体"/>
                <w:snapToGrid w:val="0"/>
                <w:color w:val="000000"/>
                <w:spacing w:val="1"/>
                <w:kern w:val="0"/>
                <w:sz w:val="24"/>
                <w:szCs w:val="24"/>
                <w:lang w:val="en-US" w:eastAsia="zh-Hans" w:bidi="ar-SA"/>
              </w:rPr>
              <w:t>分</w:t>
            </w:r>
          </w:p>
        </w:tc>
      </w:tr>
    </w:tbl>
    <w:p w14:paraId="07C5B15F">
      <w:pPr>
        <w:pStyle w:val="4"/>
        <w:spacing w:line="421" w:lineRule="auto"/>
      </w:pPr>
    </w:p>
    <w:p w14:paraId="5D6F765C">
      <w:pPr>
        <w:spacing w:before="78" w:line="220" w:lineRule="auto"/>
        <w:ind w:left="1"/>
        <w:rPr>
          <w:rFonts w:ascii="宋体" w:hAnsi="宋体" w:eastAsia="宋体" w:cs="宋体"/>
          <w:sz w:val="24"/>
          <w:szCs w:val="24"/>
        </w:rPr>
      </w:pPr>
      <w:r>
        <w:rPr>
          <w:rFonts w:ascii="宋体" w:hAnsi="宋体" w:eastAsia="宋体" w:cs="宋体"/>
          <w:spacing w:val="-1"/>
          <w:sz w:val="24"/>
          <w:szCs w:val="24"/>
          <w14:textOutline w14:w="4358" w14:cap="sq" w14:cmpd="sng">
            <w14:solidFill>
              <w14:srgbClr w14:val="000000"/>
            </w14:solidFill>
            <w14:prstDash w14:val="solid"/>
            <w14:bevel/>
          </w14:textOutline>
        </w:rPr>
        <w:t>注：计分原则：</w:t>
      </w:r>
    </w:p>
    <w:p w14:paraId="2B09935B">
      <w:pPr>
        <w:spacing w:before="182" w:line="359" w:lineRule="auto"/>
        <w:ind w:left="122" w:firstLine="485"/>
        <w:jc w:val="both"/>
        <w:rPr>
          <w:rFonts w:ascii="宋体" w:hAnsi="宋体" w:eastAsia="宋体" w:cs="宋体"/>
          <w:spacing w:val="1"/>
          <w:sz w:val="24"/>
          <w:szCs w:val="24"/>
        </w:rPr>
      </w:pPr>
      <w:r>
        <w:rPr>
          <w:rFonts w:ascii="宋体" w:hAnsi="宋体" w:eastAsia="宋体" w:cs="宋体"/>
          <w:spacing w:val="1"/>
          <w:sz w:val="24"/>
          <w:szCs w:val="24"/>
        </w:rPr>
        <w:t>（1）技术部分由磋商小组专家分别打分后，取平均分作为技术分最后得分。</w:t>
      </w:r>
    </w:p>
    <w:p w14:paraId="01ED6E28">
      <w:pPr>
        <w:spacing w:before="182" w:line="359" w:lineRule="auto"/>
        <w:ind w:left="122" w:firstLine="485"/>
        <w:jc w:val="both"/>
        <w:rPr>
          <w:rFonts w:ascii="宋体" w:hAnsi="宋体" w:eastAsia="宋体" w:cs="宋体"/>
          <w:spacing w:val="1"/>
          <w:sz w:val="24"/>
          <w:szCs w:val="24"/>
        </w:rPr>
      </w:pPr>
      <w:r>
        <w:rPr>
          <w:rFonts w:ascii="宋体" w:hAnsi="宋体" w:eastAsia="宋体" w:cs="宋体"/>
          <w:spacing w:val="1"/>
          <w:sz w:val="24"/>
          <w:szCs w:val="24"/>
        </w:rPr>
        <w:t>（2）磋商小组委员评分的算术平均值为供应商的最终得分。评分计算保留 2 位小数，第三位小数四舍五入。</w:t>
      </w:r>
    </w:p>
    <w:p w14:paraId="10F7D0BB">
      <w:pPr>
        <w:spacing w:before="182" w:line="359" w:lineRule="auto"/>
        <w:ind w:left="122" w:firstLine="485"/>
        <w:jc w:val="both"/>
        <w:rPr>
          <w:rFonts w:ascii="宋体" w:hAnsi="宋体" w:eastAsia="宋体" w:cs="宋体"/>
          <w:spacing w:val="1"/>
          <w:sz w:val="24"/>
          <w:szCs w:val="24"/>
        </w:rPr>
      </w:pPr>
      <w:r>
        <w:rPr>
          <w:rFonts w:ascii="宋体" w:hAnsi="宋体" w:eastAsia="宋体" w:cs="宋体"/>
          <w:spacing w:val="1"/>
          <w:sz w:val="24"/>
          <w:szCs w:val="24"/>
        </w:rPr>
        <w:t>（3）得分相同的，按技术指标优劣顺序排列。</w:t>
      </w:r>
    </w:p>
    <w:p w14:paraId="55537EC4">
      <w:pPr>
        <w:spacing w:before="182" w:line="359" w:lineRule="auto"/>
        <w:ind w:left="122" w:firstLine="485"/>
        <w:jc w:val="both"/>
        <w:rPr>
          <w:rFonts w:ascii="宋体" w:hAnsi="宋体" w:eastAsia="宋体" w:cs="宋体"/>
          <w:spacing w:val="1"/>
          <w:sz w:val="24"/>
          <w:szCs w:val="24"/>
        </w:rPr>
      </w:pPr>
      <w:r>
        <w:rPr>
          <w:rFonts w:ascii="宋体" w:hAnsi="宋体" w:eastAsia="宋体" w:cs="宋体"/>
          <w:spacing w:val="1"/>
          <w:sz w:val="24"/>
          <w:szCs w:val="24"/>
        </w:rPr>
        <w:t>（4）磋商小组按评分排序确定</w:t>
      </w:r>
      <w:r>
        <w:rPr>
          <w:rFonts w:hint="eastAsia" w:ascii="宋体" w:hAnsi="宋体" w:eastAsia="宋体" w:cs="宋体"/>
          <w:spacing w:val="1"/>
          <w:sz w:val="24"/>
          <w:szCs w:val="24"/>
          <w:lang w:eastAsia="zh-CN"/>
        </w:rPr>
        <w:t>成交</w:t>
      </w:r>
      <w:r>
        <w:rPr>
          <w:rFonts w:ascii="宋体" w:hAnsi="宋体" w:eastAsia="宋体" w:cs="宋体"/>
          <w:spacing w:val="1"/>
          <w:sz w:val="24"/>
          <w:szCs w:val="24"/>
        </w:rPr>
        <w:t>供应商，同时提交评标报告，由磋商小组成员集体签名。</w:t>
      </w:r>
    </w:p>
    <w:p w14:paraId="17A90613">
      <w:pPr>
        <w:spacing w:before="182" w:line="359" w:lineRule="auto"/>
        <w:ind w:left="122" w:firstLine="485"/>
        <w:jc w:val="both"/>
        <w:rPr>
          <w:rFonts w:ascii="宋体" w:hAnsi="宋体" w:eastAsia="宋体" w:cs="宋体"/>
          <w:spacing w:val="1"/>
          <w:sz w:val="24"/>
          <w:szCs w:val="24"/>
        </w:rPr>
      </w:pPr>
      <w:r>
        <w:rPr>
          <w:rFonts w:ascii="宋体" w:hAnsi="宋体" w:eastAsia="宋体" w:cs="宋体"/>
          <w:spacing w:val="1"/>
          <w:sz w:val="24"/>
          <w:szCs w:val="24"/>
        </w:rPr>
        <w:t>（5）评标中如遇未考虑到的问题，由磋商小组成员集体研究处理决定。</w:t>
      </w:r>
    </w:p>
    <w:p w14:paraId="6759A30F">
      <w:pPr>
        <w:spacing w:before="182" w:line="220" w:lineRule="auto"/>
        <w:ind w:left="527"/>
        <w:outlineLvl w:val="2"/>
        <w:rPr>
          <w:rFonts w:ascii="宋体" w:hAnsi="宋体" w:eastAsia="宋体" w:cs="宋体"/>
          <w:sz w:val="24"/>
          <w:szCs w:val="24"/>
        </w:rPr>
      </w:pPr>
      <w:r>
        <w:rPr>
          <w:rFonts w:ascii="宋体" w:hAnsi="宋体" w:eastAsia="宋体" w:cs="宋体"/>
          <w:spacing w:val="-1"/>
          <w:sz w:val="24"/>
          <w:szCs w:val="24"/>
          <w14:textOutline w14:w="4358" w14:cap="sq" w14:cmpd="sng">
            <w14:solidFill>
              <w14:srgbClr w14:val="000000"/>
            </w14:solidFill>
            <w14:prstDash w14:val="solid"/>
            <w14:bevel/>
          </w14:textOutline>
        </w:rPr>
        <w:t>5.其他注意事项：</w:t>
      </w:r>
    </w:p>
    <w:p w14:paraId="75D02491">
      <w:pPr>
        <w:spacing w:before="182" w:line="359" w:lineRule="auto"/>
        <w:ind w:left="122" w:firstLine="485"/>
        <w:jc w:val="both"/>
        <w:rPr>
          <w:rFonts w:ascii="宋体" w:hAnsi="宋体" w:eastAsia="宋体" w:cs="宋体"/>
          <w:spacing w:val="1"/>
          <w:sz w:val="24"/>
          <w:szCs w:val="24"/>
        </w:rPr>
      </w:pPr>
      <w:r>
        <w:rPr>
          <w:rFonts w:ascii="宋体" w:hAnsi="宋体" w:eastAsia="宋体" w:cs="宋体"/>
          <w:spacing w:val="1"/>
          <w:sz w:val="24"/>
          <w:szCs w:val="24"/>
        </w:rPr>
        <w:t>（1）评标工作在磋商小组内独立进行。</w:t>
      </w:r>
    </w:p>
    <w:p w14:paraId="1AAD4D4A">
      <w:pPr>
        <w:spacing w:before="182" w:line="359" w:lineRule="auto"/>
        <w:ind w:left="122" w:firstLine="485"/>
        <w:jc w:val="both"/>
        <w:rPr>
          <w:rFonts w:ascii="宋体" w:hAnsi="宋体" w:eastAsia="宋体" w:cs="宋体"/>
          <w:spacing w:val="1"/>
          <w:sz w:val="24"/>
          <w:szCs w:val="24"/>
        </w:rPr>
      </w:pPr>
      <w:r>
        <w:rPr>
          <w:rFonts w:ascii="宋体" w:hAnsi="宋体" w:eastAsia="宋体" w:cs="宋体"/>
          <w:spacing w:val="1"/>
          <w:sz w:val="24"/>
          <w:szCs w:val="24"/>
        </w:rPr>
        <w:t>（2）为了</w:t>
      </w:r>
      <w:r>
        <w:rPr>
          <w:rFonts w:hint="eastAsia" w:ascii="宋体" w:hAnsi="宋体" w:eastAsia="宋体" w:cs="宋体"/>
          <w:spacing w:val="1"/>
          <w:sz w:val="24"/>
          <w:szCs w:val="24"/>
          <w:lang w:eastAsia="zh-CN"/>
        </w:rPr>
        <w:t>有助于采购活动</w:t>
      </w:r>
      <w:r>
        <w:rPr>
          <w:rFonts w:ascii="宋体" w:hAnsi="宋体" w:eastAsia="宋体" w:cs="宋体"/>
          <w:spacing w:val="1"/>
          <w:sz w:val="24"/>
          <w:szCs w:val="24"/>
        </w:rPr>
        <w:t>进行审查、评估和比较，磋商小组有权向供应商质疑、查看有 关资质原件、供应商解释</w:t>
      </w:r>
      <w:r>
        <w:rPr>
          <w:rFonts w:hint="eastAsia" w:ascii="宋体" w:hAnsi="宋体" w:eastAsia="宋体" w:cs="宋体"/>
          <w:spacing w:val="1"/>
          <w:sz w:val="24"/>
          <w:szCs w:val="24"/>
          <w:lang w:eastAsia="zh-CN"/>
        </w:rPr>
        <w:t>响应</w:t>
      </w:r>
      <w:r>
        <w:rPr>
          <w:rFonts w:ascii="宋体" w:hAnsi="宋体" w:eastAsia="宋体" w:cs="宋体"/>
          <w:spacing w:val="1"/>
          <w:sz w:val="24"/>
          <w:szCs w:val="24"/>
        </w:rPr>
        <w:t>内容。供应商有责任按照磋商小组通知的时间、地点指派专人进行答疑、澄清、提供有关资质原件。</w:t>
      </w:r>
    </w:p>
    <w:p w14:paraId="318BCDFE">
      <w:pPr>
        <w:spacing w:before="182" w:line="359" w:lineRule="auto"/>
        <w:ind w:left="122" w:firstLine="485"/>
        <w:jc w:val="both"/>
        <w:rPr>
          <w:rFonts w:ascii="宋体" w:hAnsi="宋体" w:eastAsia="宋体" w:cs="宋体"/>
          <w:spacing w:val="1"/>
          <w:sz w:val="24"/>
          <w:szCs w:val="24"/>
        </w:rPr>
      </w:pPr>
      <w:r>
        <w:rPr>
          <w:rFonts w:ascii="宋体" w:hAnsi="宋体" w:eastAsia="宋体" w:cs="宋体"/>
          <w:spacing w:val="1"/>
          <w:sz w:val="24"/>
          <w:szCs w:val="24"/>
        </w:rPr>
        <w:t>（3）在开标、评标期间，供应商不得向磋商小组成员询问情况，不得进行影响评标结果的活动。</w:t>
      </w:r>
    </w:p>
    <w:p w14:paraId="0EF9E385">
      <w:pPr>
        <w:spacing w:before="182" w:line="359" w:lineRule="auto"/>
        <w:ind w:left="122" w:firstLine="485"/>
        <w:jc w:val="both"/>
        <w:rPr>
          <w:rFonts w:ascii="宋体" w:hAnsi="宋体" w:eastAsia="宋体" w:cs="宋体"/>
          <w:spacing w:val="1"/>
          <w:sz w:val="24"/>
          <w:szCs w:val="24"/>
        </w:rPr>
      </w:pPr>
      <w:r>
        <w:rPr>
          <w:rFonts w:ascii="宋体" w:hAnsi="宋体" w:eastAsia="宋体" w:cs="宋体"/>
          <w:spacing w:val="1"/>
          <w:sz w:val="24"/>
          <w:szCs w:val="24"/>
        </w:rPr>
        <w:t>（4）采购人、招标机构及磋商小组不向落标方解释原因，不退还磋商响应文件。</w:t>
      </w:r>
    </w:p>
    <w:p w14:paraId="29201108">
      <w:pPr>
        <w:pStyle w:val="4"/>
        <w:spacing w:line="248" w:lineRule="auto"/>
        <w:ind w:firstLine="484" w:firstLineChars="200"/>
        <w:rPr>
          <w:rFonts w:ascii="宋体" w:hAnsi="宋体" w:eastAsia="宋体" w:cs="宋体"/>
          <w:snapToGrid w:val="0"/>
          <w:color w:val="000000"/>
          <w:spacing w:val="1"/>
          <w:kern w:val="0"/>
          <w:sz w:val="24"/>
          <w:szCs w:val="24"/>
          <w:lang w:val="en-US" w:eastAsia="en-US" w:bidi="ar-SA"/>
        </w:rPr>
      </w:pPr>
      <w:r>
        <w:rPr>
          <w:rFonts w:ascii="宋体" w:hAnsi="宋体" w:eastAsia="宋体" w:cs="宋体"/>
          <w:snapToGrid w:val="0"/>
          <w:color w:val="000000"/>
          <w:spacing w:val="1"/>
          <w:kern w:val="0"/>
          <w:sz w:val="24"/>
          <w:szCs w:val="24"/>
          <w:lang w:val="en-US" w:eastAsia="en-US" w:bidi="ar-SA"/>
        </w:rPr>
        <w:t>（5）在</w:t>
      </w:r>
      <w:r>
        <w:rPr>
          <w:rFonts w:hint="eastAsia" w:ascii="宋体" w:hAnsi="宋体" w:eastAsia="宋体" w:cs="宋体"/>
          <w:snapToGrid w:val="0"/>
          <w:color w:val="000000"/>
          <w:spacing w:val="1"/>
          <w:kern w:val="0"/>
          <w:sz w:val="24"/>
          <w:szCs w:val="24"/>
          <w:lang w:val="en-US" w:eastAsia="zh-CN" w:bidi="ar-SA"/>
        </w:rPr>
        <w:t>采购</w:t>
      </w:r>
      <w:r>
        <w:rPr>
          <w:rFonts w:ascii="宋体" w:hAnsi="宋体" w:eastAsia="宋体" w:cs="宋体"/>
          <w:snapToGrid w:val="0"/>
          <w:color w:val="000000"/>
          <w:spacing w:val="1"/>
          <w:kern w:val="0"/>
          <w:sz w:val="24"/>
          <w:szCs w:val="24"/>
          <w:lang w:val="en-US" w:eastAsia="en-US" w:bidi="ar-SA"/>
        </w:rPr>
        <w:t>过程中如供应商有不正当行为时，磋商小组有权中止其</w:t>
      </w:r>
      <w:r>
        <w:rPr>
          <w:rFonts w:hint="eastAsia" w:ascii="宋体" w:hAnsi="宋体" w:eastAsia="宋体" w:cs="宋体"/>
          <w:snapToGrid w:val="0"/>
          <w:color w:val="000000"/>
          <w:spacing w:val="1"/>
          <w:kern w:val="0"/>
          <w:sz w:val="24"/>
          <w:szCs w:val="24"/>
          <w:lang w:val="en-US" w:eastAsia="zh-CN" w:bidi="ar-SA"/>
        </w:rPr>
        <w:t>响应</w:t>
      </w:r>
      <w:r>
        <w:rPr>
          <w:rFonts w:ascii="宋体" w:hAnsi="宋体" w:eastAsia="宋体" w:cs="宋体"/>
          <w:snapToGrid w:val="0"/>
          <w:color w:val="000000"/>
          <w:spacing w:val="1"/>
          <w:kern w:val="0"/>
          <w:sz w:val="24"/>
          <w:szCs w:val="24"/>
          <w:lang w:val="en-US" w:eastAsia="en-US" w:bidi="ar-SA"/>
        </w:rPr>
        <w:t>资格。</w:t>
      </w:r>
    </w:p>
    <w:p w14:paraId="4FB6CA46">
      <w:pPr>
        <w:spacing w:before="182" w:line="359" w:lineRule="auto"/>
        <w:ind w:left="122" w:firstLine="485"/>
        <w:jc w:val="both"/>
        <w:rPr>
          <w:rFonts w:ascii="宋体" w:hAnsi="宋体" w:eastAsia="宋体" w:cs="宋体"/>
          <w:spacing w:val="1"/>
          <w:sz w:val="24"/>
          <w:szCs w:val="24"/>
          <w:lang w:val="en-US" w:eastAsia="en-US"/>
        </w:rPr>
      </w:pPr>
    </w:p>
    <w:p w14:paraId="20E1829A">
      <w:pPr>
        <w:pStyle w:val="4"/>
        <w:rPr>
          <w:rFonts w:ascii="宋体" w:hAnsi="宋体" w:eastAsia="宋体" w:cs="宋体"/>
          <w:spacing w:val="1"/>
          <w:sz w:val="24"/>
          <w:szCs w:val="24"/>
          <w:lang w:val="en-US" w:eastAsia="en-US"/>
        </w:rPr>
      </w:pPr>
    </w:p>
    <w:p w14:paraId="645A0698">
      <w:pPr>
        <w:spacing w:before="145" w:line="227" w:lineRule="auto"/>
        <w:ind w:left="2525"/>
        <w:outlineLvl w:val="0"/>
        <w:rPr>
          <w:rFonts w:ascii="黑体" w:hAnsi="黑体" w:eastAsia="黑体" w:cs="黑体"/>
          <w:spacing w:val="9"/>
          <w:sz w:val="35"/>
          <w:szCs w:val="35"/>
          <w14:textOutline w14:w="6537" w14:cap="sq" w14:cmpd="sng">
            <w14:solidFill>
              <w14:srgbClr w14:val="000000"/>
            </w14:solidFill>
            <w14:prstDash w14:val="solid"/>
            <w14:bevel/>
          </w14:textOutline>
        </w:rPr>
      </w:pPr>
      <w:bookmarkStart w:id="5" w:name="bookmark5"/>
      <w:bookmarkEnd w:id="5"/>
      <w:bookmarkStart w:id="6" w:name="bookmark4"/>
      <w:bookmarkEnd w:id="6"/>
    </w:p>
    <w:p w14:paraId="1AEEE6EF">
      <w:pPr>
        <w:spacing w:before="145" w:line="227" w:lineRule="auto"/>
        <w:ind w:left="2525"/>
        <w:outlineLvl w:val="0"/>
        <w:rPr>
          <w:rFonts w:ascii="黑体" w:hAnsi="黑体" w:eastAsia="黑体" w:cs="黑体"/>
          <w:spacing w:val="9"/>
          <w:sz w:val="35"/>
          <w:szCs w:val="35"/>
          <w14:textOutline w14:w="6537" w14:cap="sq" w14:cmpd="sng">
            <w14:solidFill>
              <w14:srgbClr w14:val="000000"/>
            </w14:solidFill>
            <w14:prstDash w14:val="solid"/>
            <w14:bevel/>
          </w14:textOutline>
        </w:rPr>
      </w:pPr>
    </w:p>
    <w:p w14:paraId="619BF43F">
      <w:pPr>
        <w:spacing w:before="145" w:line="227" w:lineRule="auto"/>
        <w:ind w:left="2525"/>
        <w:outlineLvl w:val="0"/>
        <w:rPr>
          <w:rFonts w:ascii="黑体" w:hAnsi="黑体" w:eastAsia="黑体" w:cs="黑体"/>
          <w:spacing w:val="9"/>
          <w:sz w:val="35"/>
          <w:szCs w:val="35"/>
          <w14:textOutline w14:w="6537" w14:cap="sq" w14:cmpd="sng">
            <w14:solidFill>
              <w14:srgbClr w14:val="000000"/>
            </w14:solidFill>
            <w14:prstDash w14:val="solid"/>
            <w14:bevel/>
          </w14:textOutline>
        </w:rPr>
      </w:pPr>
    </w:p>
    <w:p w14:paraId="6EE26C0E">
      <w:pPr>
        <w:spacing w:before="145" w:line="227" w:lineRule="auto"/>
        <w:ind w:left="2525"/>
        <w:outlineLvl w:val="0"/>
        <w:rPr>
          <w:rFonts w:ascii="黑体" w:hAnsi="黑体" w:eastAsia="黑体" w:cs="黑体"/>
          <w:spacing w:val="9"/>
          <w:sz w:val="35"/>
          <w:szCs w:val="35"/>
          <w14:textOutline w14:w="6537" w14:cap="sq" w14:cmpd="sng">
            <w14:solidFill>
              <w14:srgbClr w14:val="000000"/>
            </w14:solidFill>
            <w14:prstDash w14:val="solid"/>
            <w14:bevel/>
          </w14:textOutline>
        </w:rPr>
      </w:pPr>
    </w:p>
    <w:p w14:paraId="412C9728">
      <w:pPr>
        <w:spacing w:before="145" w:line="227" w:lineRule="auto"/>
        <w:ind w:left="2525"/>
        <w:outlineLvl w:val="0"/>
        <w:rPr>
          <w:rFonts w:ascii="黑体" w:hAnsi="黑体" w:eastAsia="黑体" w:cs="黑体"/>
          <w:spacing w:val="9"/>
          <w:sz w:val="35"/>
          <w:szCs w:val="35"/>
          <w14:textOutline w14:w="6537" w14:cap="sq" w14:cmpd="sng">
            <w14:solidFill>
              <w14:srgbClr w14:val="000000"/>
            </w14:solidFill>
            <w14:prstDash w14:val="solid"/>
            <w14:bevel/>
          </w14:textOutline>
        </w:rPr>
      </w:pPr>
    </w:p>
    <w:p w14:paraId="5F1BEFB8">
      <w:pPr>
        <w:spacing w:before="145" w:line="227" w:lineRule="auto"/>
        <w:ind w:left="2525"/>
        <w:outlineLvl w:val="0"/>
        <w:rPr>
          <w:rFonts w:ascii="黑体" w:hAnsi="黑体" w:eastAsia="黑体" w:cs="黑体"/>
          <w:spacing w:val="9"/>
          <w:sz w:val="35"/>
          <w:szCs w:val="35"/>
          <w14:textOutline w14:w="6537" w14:cap="sq" w14:cmpd="sng">
            <w14:solidFill>
              <w14:srgbClr w14:val="000000"/>
            </w14:solidFill>
            <w14:prstDash w14:val="solid"/>
            <w14:bevel/>
          </w14:textOutline>
        </w:rPr>
      </w:pPr>
    </w:p>
    <w:p w14:paraId="1819AFA5">
      <w:pPr>
        <w:spacing w:before="145" w:line="227" w:lineRule="auto"/>
        <w:ind w:left="2525"/>
        <w:outlineLvl w:val="0"/>
        <w:rPr>
          <w:rFonts w:ascii="黑体" w:hAnsi="黑体" w:eastAsia="黑体" w:cs="黑体"/>
          <w:spacing w:val="9"/>
          <w:sz w:val="35"/>
          <w:szCs w:val="35"/>
          <w14:textOutline w14:w="6537" w14:cap="sq" w14:cmpd="sng">
            <w14:solidFill>
              <w14:srgbClr w14:val="000000"/>
            </w14:solidFill>
            <w14:prstDash w14:val="solid"/>
            <w14:bevel/>
          </w14:textOutline>
        </w:rPr>
      </w:pPr>
    </w:p>
    <w:p w14:paraId="69CB9DCC">
      <w:pPr>
        <w:pStyle w:val="2"/>
        <w:rPr>
          <w:rFonts w:ascii="黑体" w:hAnsi="黑体" w:eastAsia="黑体" w:cs="黑体"/>
          <w:spacing w:val="9"/>
          <w:sz w:val="35"/>
          <w:szCs w:val="35"/>
          <w14:textOutline w14:w="6537" w14:cap="sq" w14:cmpd="sng">
            <w14:solidFill>
              <w14:srgbClr w14:val="000000"/>
            </w14:solidFill>
            <w14:prstDash w14:val="solid"/>
            <w14:bevel/>
          </w14:textOutline>
        </w:rPr>
      </w:pPr>
    </w:p>
    <w:p w14:paraId="0C07395A">
      <w:pPr>
        <w:rPr>
          <w:rFonts w:ascii="黑体" w:hAnsi="黑体" w:eastAsia="黑体" w:cs="黑体"/>
          <w:spacing w:val="9"/>
          <w:sz w:val="35"/>
          <w:szCs w:val="35"/>
          <w14:textOutline w14:w="6537" w14:cap="sq" w14:cmpd="sng">
            <w14:solidFill>
              <w14:srgbClr w14:val="000000"/>
            </w14:solidFill>
            <w14:prstDash w14:val="solid"/>
            <w14:bevel/>
          </w14:textOutline>
        </w:rPr>
      </w:pPr>
    </w:p>
    <w:p w14:paraId="6F65573D">
      <w:pPr>
        <w:spacing w:before="145" w:line="227" w:lineRule="auto"/>
        <w:ind w:left="2525"/>
        <w:outlineLvl w:val="0"/>
        <w:rPr>
          <w:rFonts w:ascii="黑体" w:hAnsi="黑体" w:eastAsia="黑体" w:cs="黑体"/>
          <w:spacing w:val="9"/>
          <w:sz w:val="35"/>
          <w:szCs w:val="35"/>
          <w14:textOutline w14:w="6537" w14:cap="sq" w14:cmpd="sng">
            <w14:solidFill>
              <w14:srgbClr w14:val="000000"/>
            </w14:solidFill>
            <w14:prstDash w14:val="solid"/>
            <w14:bevel/>
          </w14:textOutline>
        </w:rPr>
      </w:pPr>
    </w:p>
    <w:p w14:paraId="5B94A4D9">
      <w:pPr>
        <w:spacing w:before="145" w:line="227" w:lineRule="auto"/>
        <w:ind w:left="2525"/>
        <w:outlineLvl w:val="0"/>
        <w:rPr>
          <w:rFonts w:ascii="黑体" w:hAnsi="黑体" w:eastAsia="黑体" w:cs="黑体"/>
          <w:sz w:val="35"/>
          <w:szCs w:val="35"/>
        </w:rPr>
      </w:pPr>
      <w:r>
        <w:rPr>
          <w:rFonts w:ascii="黑体" w:hAnsi="黑体" w:eastAsia="黑体" w:cs="黑体"/>
          <w:spacing w:val="9"/>
          <w:sz w:val="35"/>
          <w:szCs w:val="35"/>
          <w14:textOutline w14:w="6537" w14:cap="sq" w14:cmpd="sng">
            <w14:solidFill>
              <w14:srgbClr w14:val="000000"/>
            </w14:solidFill>
            <w14:prstDash w14:val="solid"/>
            <w14:bevel/>
          </w14:textOutline>
        </w:rPr>
        <w:t>第四章</w:t>
      </w:r>
      <w:r>
        <w:rPr>
          <w:rFonts w:ascii="黑体" w:hAnsi="黑体" w:eastAsia="黑体" w:cs="黑体"/>
          <w:spacing w:val="9"/>
          <w:sz w:val="35"/>
          <w:szCs w:val="35"/>
        </w:rPr>
        <w:t xml:space="preserve">  </w:t>
      </w:r>
      <w:r>
        <w:rPr>
          <w:rFonts w:ascii="黑体" w:hAnsi="黑体" w:eastAsia="黑体" w:cs="黑体"/>
          <w:spacing w:val="9"/>
          <w:sz w:val="35"/>
          <w:szCs w:val="35"/>
          <w14:textOutline w14:w="6537" w14:cap="sq" w14:cmpd="sng">
            <w14:solidFill>
              <w14:srgbClr w14:val="000000"/>
            </w14:solidFill>
            <w14:prstDash w14:val="solid"/>
            <w14:bevel/>
          </w14:textOutline>
        </w:rPr>
        <w:t>采购内容及需求</w:t>
      </w:r>
    </w:p>
    <w:p w14:paraId="5C9482B8">
      <w:pPr>
        <w:pStyle w:val="4"/>
        <w:spacing w:line="248" w:lineRule="auto"/>
      </w:pPr>
    </w:p>
    <w:p w14:paraId="34863707">
      <w:pPr>
        <w:keepNext w:val="0"/>
        <w:keepLines w:val="0"/>
        <w:pageBreakBefore w:val="0"/>
        <w:widowControl w:val="0"/>
        <w:wordWrap/>
        <w:topLinePunct w:val="0"/>
        <w:bidi w:val="0"/>
        <w:adjustRightInd/>
        <w:snapToGrid/>
        <w:spacing w:line="560" w:lineRule="exact"/>
        <w:jc w:val="center"/>
        <w:textAlignment w:val="auto"/>
        <w:rPr>
          <w:rFonts w:hint="eastAsia" w:ascii="方正小标宋_GBK" w:hAnsi="方正小标宋_GBK" w:eastAsia="方正小标宋_GBK" w:cs="方正小标宋_GBK"/>
          <w:sz w:val="40"/>
          <w:szCs w:val="40"/>
          <w:lang w:val="en-US" w:eastAsia="zh-CN"/>
        </w:rPr>
      </w:pPr>
      <w:r>
        <w:rPr>
          <w:rFonts w:hint="eastAsia" w:ascii="方正小标宋_GBK" w:hAnsi="方正小标宋_GBK" w:eastAsia="方正小标宋_GBK" w:cs="方正小标宋_GBK"/>
          <w:sz w:val="40"/>
          <w:szCs w:val="40"/>
          <w:lang w:val="en-US" w:eastAsia="zh-CN"/>
        </w:rPr>
        <w:t xml:space="preserve">拜城县人民医中药饮片项目的采购需求 </w:t>
      </w:r>
    </w:p>
    <w:p w14:paraId="63CC75E9">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sz w:val="24"/>
          <w:szCs w:val="24"/>
          <w:lang w:val="en-US" w:eastAsia="zh-CN"/>
        </w:rPr>
      </w:pPr>
    </w:p>
    <w:p w14:paraId="21DB582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00" w:firstLineChars="200"/>
        <w:textAlignment w:val="auto"/>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一、项目名称：</w:t>
      </w:r>
      <w:r>
        <w:rPr>
          <w:rFonts w:hint="eastAsia" w:ascii="仿宋_GB2312" w:hAnsi="仿宋_GB2312" w:eastAsia="仿宋_GB2312" w:cs="仿宋_GB2312"/>
          <w:sz w:val="30"/>
          <w:szCs w:val="30"/>
          <w:lang w:val="en-US" w:eastAsia="zh-CN"/>
        </w:rPr>
        <w:t>拜城县人民医院2025年中药饮片购置项目</w:t>
      </w:r>
    </w:p>
    <w:p w14:paraId="68339CA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00" w:firstLineChars="200"/>
        <w:textAlignment w:val="auto"/>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二、采购内容：</w:t>
      </w:r>
    </w:p>
    <w:p w14:paraId="3B18B7E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1200" w:firstLineChars="4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拜城县人民医院采购中药饮片 277 种</w:t>
      </w:r>
    </w:p>
    <w:tbl>
      <w:tblPr>
        <w:tblStyle w:val="14"/>
        <w:tblW w:w="972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704"/>
        <w:gridCol w:w="877"/>
        <w:gridCol w:w="1972"/>
        <w:gridCol w:w="931"/>
        <w:gridCol w:w="2432"/>
        <w:gridCol w:w="804"/>
      </w:tblGrid>
      <w:tr w14:paraId="612326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3" w:hRule="atLeast"/>
        </w:trPr>
        <w:tc>
          <w:tcPr>
            <w:tcW w:w="9720" w:type="dxa"/>
            <w:gridSpan w:val="6"/>
            <w:noWrap w:val="0"/>
            <w:vAlign w:val="top"/>
          </w:tcPr>
          <w:p w14:paraId="0C9D293D">
            <w:pPr>
              <w:pStyle w:val="15"/>
              <w:keepNext w:val="0"/>
              <w:keepLines w:val="0"/>
              <w:pageBreakBefore w:val="0"/>
              <w:widowControl w:val="0"/>
              <w:wordWrap/>
              <w:topLinePunct w:val="0"/>
              <w:bidi w:val="0"/>
              <w:adjustRightInd/>
              <w:snapToGrid/>
              <w:spacing w:before="118" w:line="560" w:lineRule="exact"/>
              <w:ind w:left="2375"/>
              <w:textAlignment w:val="auto"/>
            </w:pPr>
            <w:r>
              <w:rPr>
                <w:rFonts w:hint="eastAsia"/>
                <w:b/>
                <w:bCs/>
                <w:spacing w:val="-4"/>
                <w:lang w:val="en-US" w:eastAsia="zh-CN"/>
              </w:rPr>
              <w:t>拜城县人民医院2025年中药饮片购置项目</w:t>
            </w:r>
            <w:r>
              <w:rPr>
                <w:spacing w:val="-21"/>
              </w:rPr>
              <w:t xml:space="preserve"> </w:t>
            </w:r>
            <w:r>
              <w:rPr>
                <w:b/>
                <w:bCs/>
                <w:spacing w:val="-4"/>
              </w:rPr>
              <w:t>1-4</w:t>
            </w:r>
            <w:r>
              <w:rPr>
                <w:spacing w:val="-47"/>
              </w:rPr>
              <w:t xml:space="preserve"> </w:t>
            </w:r>
            <w:r>
              <w:rPr>
                <w:b/>
                <w:bCs/>
                <w:spacing w:val="-4"/>
              </w:rPr>
              <w:t>标段</w:t>
            </w:r>
          </w:p>
        </w:tc>
      </w:tr>
      <w:tr w14:paraId="505101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1" w:hRule="atLeast"/>
        </w:trPr>
        <w:tc>
          <w:tcPr>
            <w:tcW w:w="2704" w:type="dxa"/>
            <w:shd w:val="clear" w:color="auto" w:fill="D9D9D9"/>
            <w:noWrap w:val="0"/>
            <w:vAlign w:val="top"/>
          </w:tcPr>
          <w:p w14:paraId="06FC0DB9">
            <w:pPr>
              <w:pStyle w:val="15"/>
              <w:keepNext w:val="0"/>
              <w:keepLines w:val="0"/>
              <w:pageBreakBefore w:val="0"/>
              <w:widowControl w:val="0"/>
              <w:wordWrap/>
              <w:topLinePunct w:val="0"/>
              <w:bidi w:val="0"/>
              <w:adjustRightInd/>
              <w:snapToGrid/>
              <w:spacing w:before="115" w:line="560" w:lineRule="exact"/>
              <w:ind w:left="811"/>
              <w:textAlignment w:val="auto"/>
            </w:pPr>
            <w:r>
              <w:rPr>
                <w:rFonts w:hint="eastAsia"/>
                <w:b/>
                <w:bCs/>
                <w:spacing w:val="-5"/>
                <w:lang w:eastAsia="zh-CN"/>
              </w:rPr>
              <w:t>标项</w:t>
            </w:r>
            <w:r>
              <w:rPr>
                <w:b/>
                <w:bCs/>
                <w:spacing w:val="-5"/>
              </w:rPr>
              <w:t>名称</w:t>
            </w:r>
          </w:p>
        </w:tc>
        <w:tc>
          <w:tcPr>
            <w:tcW w:w="877" w:type="dxa"/>
            <w:shd w:val="clear" w:color="auto" w:fill="D9D9D9"/>
            <w:noWrap w:val="0"/>
            <w:vAlign w:val="top"/>
          </w:tcPr>
          <w:p w14:paraId="5D80D524">
            <w:pPr>
              <w:pStyle w:val="15"/>
              <w:keepNext w:val="0"/>
              <w:keepLines w:val="0"/>
              <w:pageBreakBefore w:val="0"/>
              <w:widowControl w:val="0"/>
              <w:wordWrap/>
              <w:topLinePunct w:val="0"/>
              <w:bidi w:val="0"/>
              <w:adjustRightInd/>
              <w:snapToGrid/>
              <w:spacing w:before="115" w:line="560" w:lineRule="exact"/>
              <w:ind w:left="188"/>
              <w:textAlignment w:val="auto"/>
            </w:pPr>
            <w:r>
              <w:rPr>
                <w:b/>
                <w:bCs/>
                <w:spacing w:val="-7"/>
              </w:rPr>
              <w:t>数量</w:t>
            </w:r>
          </w:p>
        </w:tc>
        <w:tc>
          <w:tcPr>
            <w:tcW w:w="1972" w:type="dxa"/>
            <w:shd w:val="clear" w:color="auto" w:fill="D9D9D9"/>
            <w:noWrap w:val="0"/>
            <w:vAlign w:val="top"/>
          </w:tcPr>
          <w:p w14:paraId="139A38BA">
            <w:pPr>
              <w:pStyle w:val="15"/>
              <w:keepNext w:val="0"/>
              <w:keepLines w:val="0"/>
              <w:pageBreakBefore w:val="0"/>
              <w:widowControl w:val="0"/>
              <w:wordWrap/>
              <w:topLinePunct w:val="0"/>
              <w:bidi w:val="0"/>
              <w:adjustRightInd/>
              <w:snapToGrid/>
              <w:spacing w:before="115" w:line="560" w:lineRule="exact"/>
              <w:ind w:left="140"/>
              <w:textAlignment w:val="auto"/>
            </w:pPr>
            <w:r>
              <w:rPr>
                <w:b/>
                <w:bCs/>
                <w:spacing w:val="-4"/>
              </w:rPr>
              <w:t>预算金额（元）</w:t>
            </w:r>
          </w:p>
        </w:tc>
        <w:tc>
          <w:tcPr>
            <w:tcW w:w="931" w:type="dxa"/>
            <w:shd w:val="clear" w:color="auto" w:fill="D9D9D9"/>
            <w:noWrap w:val="0"/>
            <w:vAlign w:val="top"/>
          </w:tcPr>
          <w:p w14:paraId="6227E330">
            <w:pPr>
              <w:pStyle w:val="15"/>
              <w:keepNext w:val="0"/>
              <w:keepLines w:val="0"/>
              <w:pageBreakBefore w:val="0"/>
              <w:widowControl w:val="0"/>
              <w:wordWrap/>
              <w:topLinePunct w:val="0"/>
              <w:bidi w:val="0"/>
              <w:adjustRightInd/>
              <w:snapToGrid/>
              <w:spacing w:before="115" w:line="560" w:lineRule="exact"/>
              <w:ind w:left="216"/>
              <w:textAlignment w:val="auto"/>
            </w:pPr>
            <w:r>
              <w:rPr>
                <w:b/>
                <w:bCs/>
                <w:spacing w:val="-7"/>
              </w:rPr>
              <w:t>单位</w:t>
            </w:r>
          </w:p>
        </w:tc>
        <w:tc>
          <w:tcPr>
            <w:tcW w:w="2432" w:type="dxa"/>
            <w:shd w:val="clear" w:color="auto" w:fill="D9D9D9"/>
            <w:noWrap w:val="0"/>
            <w:vAlign w:val="top"/>
          </w:tcPr>
          <w:p w14:paraId="7526A631">
            <w:pPr>
              <w:pStyle w:val="15"/>
              <w:keepNext w:val="0"/>
              <w:keepLines w:val="0"/>
              <w:pageBreakBefore w:val="0"/>
              <w:widowControl w:val="0"/>
              <w:wordWrap/>
              <w:topLinePunct w:val="0"/>
              <w:bidi w:val="0"/>
              <w:adjustRightInd/>
              <w:snapToGrid/>
              <w:spacing w:before="115" w:line="560" w:lineRule="exact"/>
              <w:ind w:left="466"/>
              <w:textAlignment w:val="auto"/>
            </w:pPr>
            <w:r>
              <w:rPr>
                <w:b/>
                <w:bCs/>
                <w:spacing w:val="-4"/>
              </w:rPr>
              <w:t>简要规格描述</w:t>
            </w:r>
          </w:p>
        </w:tc>
        <w:tc>
          <w:tcPr>
            <w:tcW w:w="804" w:type="dxa"/>
            <w:shd w:val="clear" w:color="auto" w:fill="D9D9D9"/>
            <w:noWrap w:val="0"/>
            <w:vAlign w:val="top"/>
          </w:tcPr>
          <w:p w14:paraId="213FB480">
            <w:pPr>
              <w:pStyle w:val="15"/>
              <w:keepNext w:val="0"/>
              <w:keepLines w:val="0"/>
              <w:pageBreakBefore w:val="0"/>
              <w:widowControl w:val="0"/>
              <w:wordWrap/>
              <w:topLinePunct w:val="0"/>
              <w:bidi w:val="0"/>
              <w:adjustRightInd/>
              <w:snapToGrid/>
              <w:spacing w:before="115" w:line="560" w:lineRule="exact"/>
              <w:ind w:left="156"/>
              <w:textAlignment w:val="auto"/>
            </w:pPr>
            <w:r>
              <w:rPr>
                <w:b/>
                <w:bCs/>
                <w:spacing w:val="-8"/>
              </w:rPr>
              <w:t>备注</w:t>
            </w:r>
          </w:p>
        </w:tc>
      </w:tr>
      <w:tr w14:paraId="30E5C3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96" w:hRule="atLeast"/>
        </w:trPr>
        <w:tc>
          <w:tcPr>
            <w:tcW w:w="2704" w:type="dxa"/>
            <w:noWrap w:val="0"/>
            <w:vAlign w:val="center"/>
          </w:tcPr>
          <w:p w14:paraId="4298DD59">
            <w:pPr>
              <w:pStyle w:val="15"/>
              <w:keepNext w:val="0"/>
              <w:keepLines w:val="0"/>
              <w:pageBreakBefore w:val="0"/>
              <w:widowControl w:val="0"/>
              <w:wordWrap/>
              <w:topLinePunct w:val="0"/>
              <w:bidi w:val="0"/>
              <w:adjustRightInd/>
              <w:snapToGrid/>
              <w:spacing w:before="72" w:line="560" w:lineRule="exact"/>
              <w:ind w:right="135"/>
              <w:jc w:val="center"/>
              <w:textAlignment w:val="auto"/>
            </w:pPr>
            <w:r>
              <w:rPr>
                <w:rFonts w:hint="eastAsia"/>
                <w:b/>
                <w:bCs/>
                <w:spacing w:val="-4"/>
                <w:lang w:val="en-US" w:eastAsia="zh-CN"/>
              </w:rPr>
              <w:t>拜城县人民医院2025年中药饮片购置项目（一标段）</w:t>
            </w:r>
          </w:p>
        </w:tc>
        <w:tc>
          <w:tcPr>
            <w:tcW w:w="877" w:type="dxa"/>
            <w:noWrap w:val="0"/>
            <w:vAlign w:val="center"/>
          </w:tcPr>
          <w:p w14:paraId="0979671F">
            <w:pPr>
              <w:pStyle w:val="15"/>
              <w:keepNext w:val="0"/>
              <w:keepLines w:val="0"/>
              <w:pageBreakBefore w:val="0"/>
              <w:widowControl w:val="0"/>
              <w:wordWrap/>
              <w:topLinePunct w:val="0"/>
              <w:bidi w:val="0"/>
              <w:adjustRightInd/>
              <w:snapToGrid/>
              <w:spacing w:before="71" w:line="560" w:lineRule="exact"/>
              <w:jc w:val="center"/>
              <w:textAlignment w:val="auto"/>
            </w:pPr>
            <w:r>
              <w:t>1</w:t>
            </w:r>
          </w:p>
        </w:tc>
        <w:tc>
          <w:tcPr>
            <w:tcW w:w="1972" w:type="dxa"/>
            <w:noWrap w:val="0"/>
            <w:vAlign w:val="center"/>
          </w:tcPr>
          <w:p w14:paraId="2AB04F84">
            <w:pPr>
              <w:pStyle w:val="15"/>
              <w:keepNext w:val="0"/>
              <w:keepLines w:val="0"/>
              <w:pageBreakBefore w:val="0"/>
              <w:widowControl w:val="0"/>
              <w:wordWrap/>
              <w:topLinePunct w:val="0"/>
              <w:bidi w:val="0"/>
              <w:adjustRightInd/>
              <w:snapToGrid/>
              <w:spacing w:before="71" w:line="560" w:lineRule="exact"/>
              <w:jc w:val="center"/>
              <w:textAlignment w:val="auto"/>
              <w:rPr>
                <w:rFonts w:hint="default" w:eastAsia="宋体"/>
                <w:lang w:val="en-US" w:eastAsia="zh-CN"/>
              </w:rPr>
            </w:pPr>
            <w:r>
              <w:rPr>
                <w:rFonts w:hint="eastAsia"/>
                <w:spacing w:val="-4"/>
                <w:lang w:val="en-US" w:eastAsia="zh-CN"/>
              </w:rPr>
              <w:t>462500</w:t>
            </w:r>
          </w:p>
        </w:tc>
        <w:tc>
          <w:tcPr>
            <w:tcW w:w="931" w:type="dxa"/>
            <w:noWrap w:val="0"/>
            <w:vAlign w:val="center"/>
          </w:tcPr>
          <w:p w14:paraId="6F8B718A">
            <w:pPr>
              <w:pStyle w:val="15"/>
              <w:keepNext w:val="0"/>
              <w:keepLines w:val="0"/>
              <w:pageBreakBefore w:val="0"/>
              <w:widowControl w:val="0"/>
              <w:wordWrap/>
              <w:topLinePunct w:val="0"/>
              <w:bidi w:val="0"/>
              <w:adjustRightInd/>
              <w:snapToGrid/>
              <w:spacing w:before="71" w:line="560" w:lineRule="exact"/>
              <w:jc w:val="center"/>
              <w:textAlignment w:val="auto"/>
            </w:pPr>
            <w:r>
              <w:t>批</w:t>
            </w:r>
          </w:p>
        </w:tc>
        <w:tc>
          <w:tcPr>
            <w:tcW w:w="2432" w:type="dxa"/>
            <w:noWrap w:val="0"/>
            <w:vAlign w:val="top"/>
          </w:tcPr>
          <w:p w14:paraId="2EAC67BB">
            <w:pPr>
              <w:pStyle w:val="15"/>
              <w:keepNext w:val="0"/>
              <w:keepLines w:val="0"/>
              <w:pageBreakBefore w:val="0"/>
              <w:widowControl w:val="0"/>
              <w:wordWrap/>
              <w:topLinePunct w:val="0"/>
              <w:bidi w:val="0"/>
              <w:adjustRightInd/>
              <w:snapToGrid/>
              <w:spacing w:before="114" w:line="560" w:lineRule="exact"/>
              <w:ind w:left="136"/>
              <w:textAlignment w:val="auto"/>
            </w:pPr>
            <w:r>
              <w:rPr>
                <w:rFonts w:hint="eastAsia"/>
                <w:spacing w:val="-1"/>
                <w:lang w:val="en-US" w:eastAsia="zh-CN"/>
              </w:rPr>
              <w:t>拜城</w:t>
            </w:r>
            <w:r>
              <w:rPr>
                <w:spacing w:val="-1"/>
              </w:rPr>
              <w:t>县人民医院采购</w:t>
            </w:r>
          </w:p>
          <w:p w14:paraId="33D19C9A">
            <w:pPr>
              <w:pStyle w:val="15"/>
              <w:keepNext w:val="0"/>
              <w:keepLines w:val="0"/>
              <w:pageBreakBefore w:val="0"/>
              <w:widowControl w:val="0"/>
              <w:wordWrap/>
              <w:topLinePunct w:val="0"/>
              <w:bidi w:val="0"/>
              <w:adjustRightInd/>
              <w:snapToGrid/>
              <w:spacing w:before="119" w:line="560" w:lineRule="exact"/>
              <w:ind w:left="135"/>
              <w:textAlignment w:val="auto"/>
            </w:pPr>
            <w:r>
              <w:rPr>
                <w:spacing w:val="-2"/>
              </w:rPr>
              <w:t>中药饮片</w:t>
            </w:r>
            <w:r>
              <w:rPr>
                <w:spacing w:val="-41"/>
              </w:rPr>
              <w:t xml:space="preserve"> </w:t>
            </w:r>
            <w:r>
              <w:rPr>
                <w:rFonts w:hint="eastAsia"/>
                <w:spacing w:val="-2"/>
                <w:lang w:val="en-US" w:eastAsia="zh-CN"/>
              </w:rPr>
              <w:t>70</w:t>
            </w:r>
            <w:r>
              <w:rPr>
                <w:spacing w:val="-2"/>
              </w:rPr>
              <w:t>种</w:t>
            </w:r>
            <w:r>
              <w:rPr>
                <w:spacing w:val="-52"/>
              </w:rPr>
              <w:t>；（</w:t>
            </w:r>
            <w:r>
              <w:rPr>
                <w:spacing w:val="-2"/>
              </w:rPr>
              <w:t>详见采购</w:t>
            </w:r>
            <w:r>
              <w:rPr>
                <w:rFonts w:hint="eastAsia"/>
                <w:spacing w:val="-2"/>
                <w:lang w:val="en-US" w:eastAsia="zh-CN"/>
              </w:rPr>
              <w:t>清单</w:t>
            </w:r>
            <w:r>
              <w:rPr>
                <w:spacing w:val="-2"/>
              </w:rPr>
              <w:t>）</w:t>
            </w:r>
          </w:p>
        </w:tc>
        <w:tc>
          <w:tcPr>
            <w:tcW w:w="804" w:type="dxa"/>
            <w:noWrap w:val="0"/>
            <w:vAlign w:val="top"/>
          </w:tcPr>
          <w:p w14:paraId="7B0E2FA8">
            <w:pPr>
              <w:keepNext w:val="0"/>
              <w:keepLines w:val="0"/>
              <w:pageBreakBefore w:val="0"/>
              <w:widowControl w:val="0"/>
              <w:wordWrap/>
              <w:topLinePunct w:val="0"/>
              <w:bidi w:val="0"/>
              <w:adjustRightInd/>
              <w:snapToGrid/>
              <w:spacing w:line="560" w:lineRule="exact"/>
              <w:textAlignment w:val="auto"/>
              <w:rPr>
                <w:rFonts w:ascii="Arial"/>
                <w:sz w:val="21"/>
              </w:rPr>
            </w:pPr>
          </w:p>
        </w:tc>
      </w:tr>
      <w:tr w14:paraId="564504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43" w:hRule="atLeast"/>
        </w:trPr>
        <w:tc>
          <w:tcPr>
            <w:tcW w:w="2704" w:type="dxa"/>
            <w:noWrap w:val="0"/>
            <w:vAlign w:val="center"/>
          </w:tcPr>
          <w:p w14:paraId="5C4E2B74">
            <w:pPr>
              <w:pStyle w:val="15"/>
              <w:keepNext w:val="0"/>
              <w:keepLines w:val="0"/>
              <w:pageBreakBefore w:val="0"/>
              <w:widowControl w:val="0"/>
              <w:wordWrap/>
              <w:topLinePunct w:val="0"/>
              <w:bidi w:val="0"/>
              <w:adjustRightInd/>
              <w:snapToGrid/>
              <w:spacing w:before="72" w:line="560" w:lineRule="exact"/>
              <w:ind w:left="369" w:right="135" w:hanging="223"/>
              <w:jc w:val="center"/>
              <w:textAlignment w:val="auto"/>
            </w:pPr>
            <w:r>
              <w:rPr>
                <w:rFonts w:hint="eastAsia"/>
                <w:b/>
                <w:bCs/>
                <w:spacing w:val="-4"/>
                <w:lang w:val="en-US" w:eastAsia="zh-CN"/>
              </w:rPr>
              <w:t>拜城县人民医院2025年中药饮片购置项目（二标段）</w:t>
            </w:r>
          </w:p>
        </w:tc>
        <w:tc>
          <w:tcPr>
            <w:tcW w:w="877" w:type="dxa"/>
            <w:noWrap w:val="0"/>
            <w:vAlign w:val="center"/>
          </w:tcPr>
          <w:p w14:paraId="05B97922">
            <w:pPr>
              <w:pStyle w:val="15"/>
              <w:keepNext w:val="0"/>
              <w:keepLines w:val="0"/>
              <w:pageBreakBefore w:val="0"/>
              <w:widowControl w:val="0"/>
              <w:wordWrap/>
              <w:topLinePunct w:val="0"/>
              <w:bidi w:val="0"/>
              <w:adjustRightInd/>
              <w:snapToGrid/>
              <w:spacing w:before="72" w:line="560" w:lineRule="exact"/>
              <w:jc w:val="center"/>
              <w:textAlignment w:val="auto"/>
            </w:pPr>
            <w:r>
              <w:t>1</w:t>
            </w:r>
          </w:p>
        </w:tc>
        <w:tc>
          <w:tcPr>
            <w:tcW w:w="1972" w:type="dxa"/>
            <w:noWrap w:val="0"/>
            <w:vAlign w:val="center"/>
          </w:tcPr>
          <w:p w14:paraId="429DBF65">
            <w:pPr>
              <w:pStyle w:val="15"/>
              <w:keepNext w:val="0"/>
              <w:keepLines w:val="0"/>
              <w:pageBreakBefore w:val="0"/>
              <w:widowControl w:val="0"/>
              <w:wordWrap/>
              <w:topLinePunct w:val="0"/>
              <w:bidi w:val="0"/>
              <w:adjustRightInd/>
              <w:snapToGrid/>
              <w:spacing w:before="72" w:line="560" w:lineRule="exact"/>
              <w:jc w:val="center"/>
              <w:textAlignment w:val="auto"/>
            </w:pPr>
            <w:r>
              <w:rPr>
                <w:rFonts w:hint="eastAsia"/>
                <w:spacing w:val="-4"/>
                <w:lang w:val="en-US" w:eastAsia="zh-CN"/>
              </w:rPr>
              <w:t>462500</w:t>
            </w:r>
          </w:p>
        </w:tc>
        <w:tc>
          <w:tcPr>
            <w:tcW w:w="931" w:type="dxa"/>
            <w:noWrap w:val="0"/>
            <w:vAlign w:val="center"/>
          </w:tcPr>
          <w:p w14:paraId="1C68B0D0">
            <w:pPr>
              <w:pStyle w:val="15"/>
              <w:keepNext w:val="0"/>
              <w:keepLines w:val="0"/>
              <w:pageBreakBefore w:val="0"/>
              <w:widowControl w:val="0"/>
              <w:wordWrap/>
              <w:topLinePunct w:val="0"/>
              <w:bidi w:val="0"/>
              <w:adjustRightInd/>
              <w:snapToGrid/>
              <w:spacing w:before="71" w:line="560" w:lineRule="exact"/>
              <w:jc w:val="center"/>
              <w:textAlignment w:val="auto"/>
            </w:pPr>
            <w:r>
              <w:t>批</w:t>
            </w:r>
          </w:p>
        </w:tc>
        <w:tc>
          <w:tcPr>
            <w:tcW w:w="2432" w:type="dxa"/>
            <w:noWrap w:val="0"/>
            <w:vAlign w:val="top"/>
          </w:tcPr>
          <w:p w14:paraId="16598D5E">
            <w:pPr>
              <w:pStyle w:val="15"/>
              <w:keepNext w:val="0"/>
              <w:keepLines w:val="0"/>
              <w:pageBreakBefore w:val="0"/>
              <w:widowControl w:val="0"/>
              <w:wordWrap/>
              <w:topLinePunct w:val="0"/>
              <w:bidi w:val="0"/>
              <w:adjustRightInd/>
              <w:snapToGrid/>
              <w:spacing w:before="116" w:line="560" w:lineRule="exact"/>
              <w:ind w:left="136"/>
              <w:textAlignment w:val="auto"/>
            </w:pPr>
            <w:r>
              <w:rPr>
                <w:rFonts w:hint="eastAsia"/>
                <w:spacing w:val="-1"/>
                <w:lang w:val="en-US" w:eastAsia="zh-CN"/>
              </w:rPr>
              <w:t>拜城</w:t>
            </w:r>
            <w:r>
              <w:rPr>
                <w:spacing w:val="-1"/>
              </w:rPr>
              <w:t>县人民医院采购</w:t>
            </w:r>
          </w:p>
          <w:p w14:paraId="27A1A6E3">
            <w:pPr>
              <w:pStyle w:val="15"/>
              <w:keepNext w:val="0"/>
              <w:keepLines w:val="0"/>
              <w:pageBreakBefore w:val="0"/>
              <w:widowControl w:val="0"/>
              <w:wordWrap/>
              <w:topLinePunct w:val="0"/>
              <w:bidi w:val="0"/>
              <w:adjustRightInd/>
              <w:snapToGrid/>
              <w:spacing w:before="119" w:line="560" w:lineRule="exact"/>
              <w:ind w:left="135"/>
              <w:textAlignment w:val="auto"/>
            </w:pPr>
            <w:r>
              <w:rPr>
                <w:spacing w:val="-2"/>
              </w:rPr>
              <w:t>中药饮片</w:t>
            </w:r>
            <w:r>
              <w:rPr>
                <w:rFonts w:hint="eastAsia"/>
                <w:spacing w:val="-47"/>
                <w:lang w:val="en-US" w:eastAsia="zh-CN"/>
              </w:rPr>
              <w:t xml:space="preserve">69 </w:t>
            </w:r>
            <w:r>
              <w:rPr>
                <w:spacing w:val="-2"/>
              </w:rPr>
              <w:t>种</w:t>
            </w:r>
            <w:r>
              <w:rPr>
                <w:spacing w:val="-49"/>
              </w:rPr>
              <w:t>；</w:t>
            </w:r>
            <w:r>
              <w:rPr>
                <w:rFonts w:hint="eastAsia"/>
                <w:spacing w:val="-49"/>
                <w:lang w:eastAsia="zh-CN"/>
              </w:rPr>
              <w:t>（</w:t>
            </w:r>
            <w:r>
              <w:rPr>
                <w:spacing w:val="-2"/>
              </w:rPr>
              <w:t>详见采购</w:t>
            </w:r>
            <w:r>
              <w:rPr>
                <w:rFonts w:hint="eastAsia"/>
                <w:spacing w:val="-2"/>
                <w:lang w:val="en-US" w:eastAsia="zh-CN"/>
              </w:rPr>
              <w:t>清单</w:t>
            </w:r>
            <w:r>
              <w:rPr>
                <w:spacing w:val="-2"/>
              </w:rPr>
              <w:t>）</w:t>
            </w:r>
          </w:p>
        </w:tc>
        <w:tc>
          <w:tcPr>
            <w:tcW w:w="804" w:type="dxa"/>
            <w:noWrap w:val="0"/>
            <w:vAlign w:val="top"/>
          </w:tcPr>
          <w:p w14:paraId="73FD31A5">
            <w:pPr>
              <w:keepNext w:val="0"/>
              <w:keepLines w:val="0"/>
              <w:pageBreakBefore w:val="0"/>
              <w:widowControl w:val="0"/>
              <w:wordWrap/>
              <w:topLinePunct w:val="0"/>
              <w:bidi w:val="0"/>
              <w:adjustRightInd/>
              <w:snapToGrid/>
              <w:spacing w:line="560" w:lineRule="exact"/>
              <w:textAlignment w:val="auto"/>
              <w:rPr>
                <w:rFonts w:ascii="Arial"/>
                <w:sz w:val="21"/>
              </w:rPr>
            </w:pPr>
          </w:p>
        </w:tc>
      </w:tr>
      <w:tr w14:paraId="27AE2C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97" w:hRule="atLeast"/>
        </w:trPr>
        <w:tc>
          <w:tcPr>
            <w:tcW w:w="2704" w:type="dxa"/>
            <w:noWrap w:val="0"/>
            <w:vAlign w:val="center"/>
          </w:tcPr>
          <w:p w14:paraId="61E200E9">
            <w:pPr>
              <w:pStyle w:val="15"/>
              <w:keepNext w:val="0"/>
              <w:keepLines w:val="0"/>
              <w:pageBreakBefore w:val="0"/>
              <w:widowControl w:val="0"/>
              <w:wordWrap/>
              <w:topLinePunct w:val="0"/>
              <w:bidi w:val="0"/>
              <w:adjustRightInd/>
              <w:snapToGrid/>
              <w:spacing w:before="72" w:line="560" w:lineRule="exact"/>
              <w:ind w:left="369" w:right="135" w:hanging="223"/>
              <w:jc w:val="center"/>
              <w:textAlignment w:val="auto"/>
            </w:pPr>
            <w:r>
              <w:rPr>
                <w:rFonts w:hint="eastAsia"/>
                <w:b/>
                <w:bCs/>
                <w:spacing w:val="-4"/>
                <w:lang w:val="en-US" w:eastAsia="zh-CN"/>
              </w:rPr>
              <w:t>拜城县人民医院2025年中药饮片购置项目（三标段）</w:t>
            </w:r>
          </w:p>
        </w:tc>
        <w:tc>
          <w:tcPr>
            <w:tcW w:w="877" w:type="dxa"/>
            <w:noWrap w:val="0"/>
            <w:vAlign w:val="center"/>
          </w:tcPr>
          <w:p w14:paraId="026314ED">
            <w:pPr>
              <w:pStyle w:val="15"/>
              <w:keepNext w:val="0"/>
              <w:keepLines w:val="0"/>
              <w:pageBreakBefore w:val="0"/>
              <w:widowControl w:val="0"/>
              <w:wordWrap/>
              <w:topLinePunct w:val="0"/>
              <w:bidi w:val="0"/>
              <w:adjustRightInd/>
              <w:snapToGrid/>
              <w:spacing w:before="71" w:line="560" w:lineRule="exact"/>
              <w:jc w:val="center"/>
              <w:textAlignment w:val="auto"/>
            </w:pPr>
            <w:r>
              <w:t>1</w:t>
            </w:r>
          </w:p>
        </w:tc>
        <w:tc>
          <w:tcPr>
            <w:tcW w:w="1972" w:type="dxa"/>
            <w:noWrap w:val="0"/>
            <w:vAlign w:val="center"/>
          </w:tcPr>
          <w:p w14:paraId="460811AB">
            <w:pPr>
              <w:pStyle w:val="15"/>
              <w:keepNext w:val="0"/>
              <w:keepLines w:val="0"/>
              <w:pageBreakBefore w:val="0"/>
              <w:widowControl w:val="0"/>
              <w:wordWrap/>
              <w:topLinePunct w:val="0"/>
              <w:bidi w:val="0"/>
              <w:adjustRightInd/>
              <w:snapToGrid/>
              <w:spacing w:before="71" w:line="560" w:lineRule="exact"/>
              <w:jc w:val="center"/>
              <w:textAlignment w:val="auto"/>
            </w:pPr>
            <w:r>
              <w:rPr>
                <w:rFonts w:hint="eastAsia"/>
                <w:spacing w:val="-4"/>
                <w:lang w:val="en-US" w:eastAsia="zh-CN"/>
              </w:rPr>
              <w:t>462500</w:t>
            </w:r>
          </w:p>
        </w:tc>
        <w:tc>
          <w:tcPr>
            <w:tcW w:w="931" w:type="dxa"/>
            <w:noWrap w:val="0"/>
            <w:vAlign w:val="center"/>
          </w:tcPr>
          <w:p w14:paraId="1FA81813">
            <w:pPr>
              <w:pStyle w:val="15"/>
              <w:keepNext w:val="0"/>
              <w:keepLines w:val="0"/>
              <w:pageBreakBefore w:val="0"/>
              <w:widowControl w:val="0"/>
              <w:wordWrap/>
              <w:topLinePunct w:val="0"/>
              <w:bidi w:val="0"/>
              <w:adjustRightInd/>
              <w:snapToGrid/>
              <w:spacing w:before="71" w:line="560" w:lineRule="exact"/>
              <w:jc w:val="center"/>
              <w:textAlignment w:val="auto"/>
            </w:pPr>
            <w:r>
              <w:t>批</w:t>
            </w:r>
          </w:p>
        </w:tc>
        <w:tc>
          <w:tcPr>
            <w:tcW w:w="2432" w:type="dxa"/>
            <w:noWrap w:val="0"/>
            <w:vAlign w:val="top"/>
          </w:tcPr>
          <w:p w14:paraId="794B77E6">
            <w:pPr>
              <w:pStyle w:val="15"/>
              <w:keepNext w:val="0"/>
              <w:keepLines w:val="0"/>
              <w:pageBreakBefore w:val="0"/>
              <w:widowControl w:val="0"/>
              <w:wordWrap/>
              <w:topLinePunct w:val="0"/>
              <w:bidi w:val="0"/>
              <w:adjustRightInd/>
              <w:snapToGrid/>
              <w:spacing w:before="116" w:line="560" w:lineRule="exact"/>
              <w:ind w:left="136"/>
              <w:textAlignment w:val="auto"/>
            </w:pPr>
            <w:r>
              <w:rPr>
                <w:rFonts w:hint="eastAsia"/>
                <w:spacing w:val="-1"/>
                <w:lang w:val="en-US" w:eastAsia="zh-CN"/>
              </w:rPr>
              <w:t>拜城</w:t>
            </w:r>
            <w:r>
              <w:rPr>
                <w:spacing w:val="-1"/>
              </w:rPr>
              <w:t>县人民医院采购</w:t>
            </w:r>
          </w:p>
          <w:p w14:paraId="0C596AC4">
            <w:pPr>
              <w:pStyle w:val="15"/>
              <w:keepNext w:val="0"/>
              <w:keepLines w:val="0"/>
              <w:pageBreakBefore w:val="0"/>
              <w:widowControl w:val="0"/>
              <w:wordWrap/>
              <w:topLinePunct w:val="0"/>
              <w:bidi w:val="0"/>
              <w:adjustRightInd/>
              <w:snapToGrid/>
              <w:spacing w:before="119" w:line="560" w:lineRule="exact"/>
              <w:ind w:left="135"/>
              <w:textAlignment w:val="auto"/>
            </w:pPr>
            <w:r>
              <w:rPr>
                <w:spacing w:val="-2"/>
              </w:rPr>
              <w:t>中药饮片</w:t>
            </w:r>
            <w:r>
              <w:rPr>
                <w:spacing w:val="-41"/>
              </w:rPr>
              <w:t xml:space="preserve"> </w:t>
            </w:r>
            <w:r>
              <w:rPr>
                <w:rFonts w:hint="eastAsia"/>
                <w:spacing w:val="-2"/>
                <w:lang w:val="en-US" w:eastAsia="zh-CN"/>
              </w:rPr>
              <w:t>69</w:t>
            </w:r>
            <w:r>
              <w:rPr>
                <w:spacing w:val="-2"/>
              </w:rPr>
              <w:t>种</w:t>
            </w:r>
            <w:r>
              <w:rPr>
                <w:spacing w:val="-52"/>
              </w:rPr>
              <w:t>；（</w:t>
            </w:r>
            <w:r>
              <w:rPr>
                <w:spacing w:val="-2"/>
              </w:rPr>
              <w:t>详见采购</w:t>
            </w:r>
            <w:r>
              <w:rPr>
                <w:rFonts w:hint="eastAsia"/>
                <w:spacing w:val="-2"/>
                <w:lang w:val="en-US" w:eastAsia="zh-CN"/>
              </w:rPr>
              <w:t>清单</w:t>
            </w:r>
            <w:r>
              <w:rPr>
                <w:spacing w:val="-2"/>
              </w:rPr>
              <w:t>）</w:t>
            </w:r>
          </w:p>
        </w:tc>
        <w:tc>
          <w:tcPr>
            <w:tcW w:w="804" w:type="dxa"/>
            <w:noWrap w:val="0"/>
            <w:vAlign w:val="top"/>
          </w:tcPr>
          <w:p w14:paraId="78C9A5D9">
            <w:pPr>
              <w:keepNext w:val="0"/>
              <w:keepLines w:val="0"/>
              <w:pageBreakBefore w:val="0"/>
              <w:widowControl w:val="0"/>
              <w:wordWrap/>
              <w:topLinePunct w:val="0"/>
              <w:bidi w:val="0"/>
              <w:adjustRightInd/>
              <w:snapToGrid/>
              <w:spacing w:line="560" w:lineRule="exact"/>
              <w:textAlignment w:val="auto"/>
              <w:rPr>
                <w:rFonts w:ascii="Arial"/>
                <w:sz w:val="21"/>
              </w:rPr>
            </w:pPr>
          </w:p>
        </w:tc>
      </w:tr>
      <w:tr w14:paraId="75E324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01" w:hRule="atLeast"/>
        </w:trPr>
        <w:tc>
          <w:tcPr>
            <w:tcW w:w="2704" w:type="dxa"/>
            <w:noWrap w:val="0"/>
            <w:vAlign w:val="center"/>
          </w:tcPr>
          <w:p w14:paraId="691974E7">
            <w:pPr>
              <w:pStyle w:val="15"/>
              <w:keepNext w:val="0"/>
              <w:keepLines w:val="0"/>
              <w:pageBreakBefore w:val="0"/>
              <w:widowControl w:val="0"/>
              <w:wordWrap/>
              <w:topLinePunct w:val="0"/>
              <w:bidi w:val="0"/>
              <w:adjustRightInd/>
              <w:snapToGrid/>
              <w:spacing w:before="72" w:line="560" w:lineRule="exact"/>
              <w:ind w:left="369" w:right="135" w:hanging="223"/>
              <w:jc w:val="center"/>
              <w:textAlignment w:val="auto"/>
            </w:pPr>
            <w:r>
              <w:rPr>
                <w:rFonts w:hint="eastAsia"/>
                <w:b/>
                <w:bCs/>
                <w:spacing w:val="-4"/>
                <w:lang w:val="en-US" w:eastAsia="zh-CN"/>
              </w:rPr>
              <w:t>拜城县人民医院2025年中药饮片购置项目（四标段）</w:t>
            </w:r>
          </w:p>
        </w:tc>
        <w:tc>
          <w:tcPr>
            <w:tcW w:w="877" w:type="dxa"/>
            <w:noWrap w:val="0"/>
            <w:vAlign w:val="center"/>
          </w:tcPr>
          <w:p w14:paraId="5B1E0D9A">
            <w:pPr>
              <w:pStyle w:val="15"/>
              <w:keepNext w:val="0"/>
              <w:keepLines w:val="0"/>
              <w:pageBreakBefore w:val="0"/>
              <w:widowControl w:val="0"/>
              <w:wordWrap/>
              <w:topLinePunct w:val="0"/>
              <w:bidi w:val="0"/>
              <w:adjustRightInd/>
              <w:snapToGrid/>
              <w:spacing w:before="72" w:line="560" w:lineRule="exact"/>
              <w:jc w:val="center"/>
              <w:textAlignment w:val="auto"/>
            </w:pPr>
            <w:r>
              <w:t>1</w:t>
            </w:r>
          </w:p>
        </w:tc>
        <w:tc>
          <w:tcPr>
            <w:tcW w:w="1972" w:type="dxa"/>
            <w:noWrap w:val="0"/>
            <w:vAlign w:val="center"/>
          </w:tcPr>
          <w:p w14:paraId="6B7736C1">
            <w:pPr>
              <w:pStyle w:val="15"/>
              <w:keepNext w:val="0"/>
              <w:keepLines w:val="0"/>
              <w:pageBreakBefore w:val="0"/>
              <w:widowControl w:val="0"/>
              <w:wordWrap/>
              <w:topLinePunct w:val="0"/>
              <w:bidi w:val="0"/>
              <w:adjustRightInd/>
              <w:snapToGrid/>
              <w:spacing w:before="72" w:line="560" w:lineRule="exact"/>
              <w:jc w:val="center"/>
              <w:textAlignment w:val="auto"/>
            </w:pPr>
            <w:r>
              <w:rPr>
                <w:rFonts w:hint="eastAsia"/>
                <w:spacing w:val="-4"/>
                <w:lang w:val="en-US" w:eastAsia="zh-CN"/>
              </w:rPr>
              <w:t>462500</w:t>
            </w:r>
          </w:p>
        </w:tc>
        <w:tc>
          <w:tcPr>
            <w:tcW w:w="931" w:type="dxa"/>
            <w:noWrap w:val="0"/>
            <w:vAlign w:val="center"/>
          </w:tcPr>
          <w:p w14:paraId="6549754F">
            <w:pPr>
              <w:pStyle w:val="15"/>
              <w:keepNext w:val="0"/>
              <w:keepLines w:val="0"/>
              <w:pageBreakBefore w:val="0"/>
              <w:widowControl w:val="0"/>
              <w:wordWrap/>
              <w:topLinePunct w:val="0"/>
              <w:bidi w:val="0"/>
              <w:adjustRightInd/>
              <w:snapToGrid/>
              <w:spacing w:before="71" w:line="560" w:lineRule="exact"/>
              <w:jc w:val="center"/>
              <w:textAlignment w:val="auto"/>
            </w:pPr>
            <w:r>
              <w:t>批</w:t>
            </w:r>
          </w:p>
        </w:tc>
        <w:tc>
          <w:tcPr>
            <w:tcW w:w="2432" w:type="dxa"/>
            <w:noWrap w:val="0"/>
            <w:vAlign w:val="top"/>
          </w:tcPr>
          <w:p w14:paraId="4B0212F5">
            <w:pPr>
              <w:pStyle w:val="15"/>
              <w:keepNext w:val="0"/>
              <w:keepLines w:val="0"/>
              <w:pageBreakBefore w:val="0"/>
              <w:widowControl w:val="0"/>
              <w:wordWrap/>
              <w:topLinePunct w:val="0"/>
              <w:bidi w:val="0"/>
              <w:adjustRightInd/>
              <w:snapToGrid/>
              <w:spacing w:before="118" w:line="560" w:lineRule="exact"/>
              <w:ind w:left="136"/>
              <w:textAlignment w:val="auto"/>
            </w:pPr>
            <w:r>
              <w:rPr>
                <w:rFonts w:hint="eastAsia"/>
                <w:spacing w:val="-1"/>
                <w:lang w:val="en-US" w:eastAsia="zh-CN"/>
              </w:rPr>
              <w:t>拜城</w:t>
            </w:r>
            <w:r>
              <w:rPr>
                <w:spacing w:val="-1"/>
              </w:rPr>
              <w:t>县人民医院采购</w:t>
            </w:r>
          </w:p>
          <w:p w14:paraId="045D73E6">
            <w:pPr>
              <w:pStyle w:val="15"/>
              <w:keepNext w:val="0"/>
              <w:keepLines w:val="0"/>
              <w:pageBreakBefore w:val="0"/>
              <w:widowControl w:val="0"/>
              <w:wordWrap/>
              <w:topLinePunct w:val="0"/>
              <w:bidi w:val="0"/>
              <w:adjustRightInd/>
              <w:snapToGrid/>
              <w:spacing w:before="119" w:line="560" w:lineRule="exact"/>
              <w:ind w:left="135"/>
              <w:textAlignment w:val="auto"/>
            </w:pPr>
            <w:r>
              <w:rPr>
                <w:spacing w:val="-2"/>
              </w:rPr>
              <w:t>中药饮片</w:t>
            </w:r>
            <w:r>
              <w:rPr>
                <w:spacing w:val="-47"/>
              </w:rPr>
              <w:t xml:space="preserve"> </w:t>
            </w:r>
            <w:r>
              <w:rPr>
                <w:rFonts w:hint="eastAsia"/>
                <w:spacing w:val="-2"/>
                <w:lang w:val="en-US" w:eastAsia="zh-CN"/>
              </w:rPr>
              <w:t>69</w:t>
            </w:r>
            <w:r>
              <w:rPr>
                <w:spacing w:val="-2"/>
              </w:rPr>
              <w:t>种</w:t>
            </w:r>
            <w:r>
              <w:rPr>
                <w:spacing w:val="-49"/>
              </w:rPr>
              <w:t>；</w:t>
            </w:r>
            <w:r>
              <w:rPr>
                <w:rFonts w:hint="eastAsia"/>
                <w:spacing w:val="-49"/>
                <w:lang w:eastAsia="zh-CN"/>
              </w:rPr>
              <w:t>（</w:t>
            </w:r>
            <w:r>
              <w:rPr>
                <w:spacing w:val="-2"/>
              </w:rPr>
              <w:t>详见采购</w:t>
            </w:r>
            <w:r>
              <w:rPr>
                <w:rFonts w:hint="eastAsia"/>
                <w:spacing w:val="-2"/>
                <w:lang w:val="en-US" w:eastAsia="zh-CN"/>
              </w:rPr>
              <w:t>清单</w:t>
            </w:r>
            <w:r>
              <w:rPr>
                <w:spacing w:val="-2"/>
              </w:rPr>
              <w:t>）</w:t>
            </w:r>
          </w:p>
        </w:tc>
        <w:tc>
          <w:tcPr>
            <w:tcW w:w="804" w:type="dxa"/>
            <w:noWrap w:val="0"/>
            <w:vAlign w:val="top"/>
          </w:tcPr>
          <w:p w14:paraId="20423DD4">
            <w:pPr>
              <w:keepNext w:val="0"/>
              <w:keepLines w:val="0"/>
              <w:pageBreakBefore w:val="0"/>
              <w:widowControl w:val="0"/>
              <w:wordWrap/>
              <w:topLinePunct w:val="0"/>
              <w:bidi w:val="0"/>
              <w:adjustRightInd/>
              <w:snapToGrid/>
              <w:spacing w:line="560" w:lineRule="exact"/>
              <w:textAlignment w:val="auto"/>
              <w:rPr>
                <w:rFonts w:ascii="Arial"/>
                <w:sz w:val="21"/>
              </w:rPr>
            </w:pPr>
          </w:p>
        </w:tc>
      </w:tr>
    </w:tbl>
    <w:p w14:paraId="5BAC0741">
      <w:pPr>
        <w:pStyle w:val="4"/>
        <w:spacing w:line="305" w:lineRule="auto"/>
        <w:rPr>
          <w:rFonts w:hint="eastAsia" w:ascii="宋体" w:hAnsi="宋体" w:eastAsia="宋体" w:cs="宋体"/>
        </w:rPr>
      </w:pPr>
    </w:p>
    <w:p w14:paraId="022203F3">
      <w:pPr>
        <w:pStyle w:val="4"/>
        <w:spacing w:line="305" w:lineRule="auto"/>
        <w:ind w:firstLine="300" w:firstLineChars="100"/>
        <w:rPr>
          <w:rFonts w:hint="eastAsia" w:ascii="黑体" w:hAnsi="黑体" w:eastAsia="黑体" w:cs="黑体"/>
          <w:snapToGrid w:val="0"/>
          <w:color w:val="000000"/>
          <w:kern w:val="0"/>
          <w:sz w:val="30"/>
          <w:szCs w:val="30"/>
          <w:lang w:val="en-US" w:eastAsia="zh-CN" w:bidi="ar-SA"/>
        </w:rPr>
      </w:pPr>
      <w:r>
        <w:rPr>
          <w:rFonts w:hint="eastAsia" w:ascii="黑体" w:hAnsi="黑体" w:eastAsia="黑体" w:cs="黑体"/>
          <w:snapToGrid w:val="0"/>
          <w:color w:val="000000"/>
          <w:kern w:val="0"/>
          <w:sz w:val="30"/>
          <w:szCs w:val="30"/>
          <w:lang w:val="en-US" w:eastAsia="zh-CN" w:bidi="ar-SA"/>
        </w:rPr>
        <w:t>三、采购要求</w:t>
      </w:r>
    </w:p>
    <w:p w14:paraId="3EB45C0C">
      <w:pPr>
        <w:pStyle w:val="4"/>
        <w:spacing w:line="305" w:lineRule="auto"/>
        <w:ind w:firstLine="242" w:firstLineChars="100"/>
        <w:rPr>
          <w:rFonts w:hint="eastAsia" w:ascii="宋体" w:hAnsi="宋体" w:eastAsia="宋体" w:cs="宋体"/>
          <w:snapToGrid w:val="0"/>
          <w:color w:val="000000"/>
          <w:spacing w:val="1"/>
          <w:kern w:val="0"/>
          <w:sz w:val="24"/>
          <w:szCs w:val="24"/>
          <w:lang w:val="en-US" w:eastAsia="zh-CN" w:bidi="ar-SA"/>
        </w:rPr>
      </w:pPr>
      <w:r>
        <w:rPr>
          <w:rFonts w:hint="eastAsia" w:ascii="宋体" w:hAnsi="宋体" w:eastAsia="宋体" w:cs="宋体"/>
          <w:snapToGrid w:val="0"/>
          <w:color w:val="000000"/>
          <w:spacing w:val="1"/>
          <w:kern w:val="0"/>
          <w:sz w:val="24"/>
          <w:szCs w:val="24"/>
          <w:lang w:val="en-US" w:eastAsia="zh-CN" w:bidi="ar-SA"/>
        </w:rPr>
        <w:t>1、供应商响应报价的中药饮片品规产品，质量必须符合《2020 版药典》（药典未收录品种按最新地方法规执行）等相关法律法规规定。合格的中药饮片应为：</w:t>
      </w:r>
    </w:p>
    <w:p w14:paraId="0A0109C3">
      <w:pPr>
        <w:pStyle w:val="4"/>
        <w:spacing w:line="305" w:lineRule="auto"/>
        <w:rPr>
          <w:rFonts w:hint="eastAsia" w:ascii="宋体" w:hAnsi="宋体" w:eastAsia="宋体" w:cs="宋体"/>
          <w:snapToGrid w:val="0"/>
          <w:color w:val="000000"/>
          <w:spacing w:val="1"/>
          <w:kern w:val="0"/>
          <w:sz w:val="24"/>
          <w:szCs w:val="24"/>
          <w:lang w:val="en-US" w:eastAsia="zh-CN" w:bidi="ar-SA"/>
        </w:rPr>
      </w:pPr>
      <w:r>
        <w:rPr>
          <w:rFonts w:hint="eastAsia" w:ascii="宋体" w:hAnsi="宋体" w:eastAsia="宋体" w:cs="宋体"/>
          <w:snapToGrid w:val="0"/>
          <w:color w:val="000000"/>
          <w:spacing w:val="1"/>
          <w:kern w:val="0"/>
          <w:sz w:val="24"/>
          <w:szCs w:val="24"/>
          <w:lang w:val="en-US" w:eastAsia="zh-CN" w:bidi="ar-SA"/>
        </w:rPr>
        <w:t>（1）供应商提供的中药饮片必须符合国家或新疆承认的相应标准（国家和新疆没有相应标准的，以医院的标准为准）。</w:t>
      </w:r>
    </w:p>
    <w:p w14:paraId="459F920D">
      <w:pPr>
        <w:pStyle w:val="4"/>
        <w:spacing w:line="305" w:lineRule="auto"/>
        <w:rPr>
          <w:rFonts w:hint="eastAsia" w:ascii="宋体" w:hAnsi="宋体" w:eastAsia="宋体" w:cs="宋体"/>
          <w:snapToGrid w:val="0"/>
          <w:color w:val="000000"/>
          <w:spacing w:val="1"/>
          <w:kern w:val="0"/>
          <w:sz w:val="24"/>
          <w:szCs w:val="24"/>
          <w:lang w:val="en-US" w:eastAsia="zh-CN" w:bidi="ar-SA"/>
        </w:rPr>
      </w:pPr>
      <w:r>
        <w:rPr>
          <w:rFonts w:hint="eastAsia" w:ascii="宋体" w:hAnsi="宋体" w:eastAsia="宋体" w:cs="宋体"/>
          <w:snapToGrid w:val="0"/>
          <w:color w:val="000000"/>
          <w:spacing w:val="1"/>
          <w:kern w:val="0"/>
          <w:sz w:val="24"/>
          <w:szCs w:val="24"/>
          <w:lang w:val="en-US" w:eastAsia="zh-CN" w:bidi="ar-SA"/>
        </w:rPr>
        <w:t>（2）供应商所提供的必须是其合法生产或代理的合格中药饮片。</w:t>
      </w:r>
    </w:p>
    <w:p w14:paraId="46BFA715">
      <w:pPr>
        <w:pStyle w:val="4"/>
        <w:spacing w:line="305" w:lineRule="auto"/>
        <w:rPr>
          <w:rFonts w:hint="eastAsia" w:ascii="宋体" w:hAnsi="宋体" w:eastAsia="宋体" w:cs="宋体"/>
          <w:snapToGrid w:val="0"/>
          <w:color w:val="000000"/>
          <w:spacing w:val="1"/>
          <w:kern w:val="0"/>
          <w:sz w:val="24"/>
          <w:szCs w:val="24"/>
          <w:lang w:val="en-US" w:eastAsia="zh-CN" w:bidi="ar-SA"/>
        </w:rPr>
      </w:pPr>
      <w:r>
        <w:rPr>
          <w:rFonts w:hint="eastAsia" w:ascii="宋体" w:hAnsi="宋体" w:eastAsia="宋体" w:cs="宋体"/>
          <w:snapToGrid w:val="0"/>
          <w:color w:val="000000"/>
          <w:spacing w:val="1"/>
          <w:kern w:val="0"/>
          <w:sz w:val="24"/>
          <w:szCs w:val="24"/>
          <w:lang w:val="en-US" w:eastAsia="zh-CN" w:bidi="ar-SA"/>
        </w:rPr>
        <w:t>（3）成交供应商必须按照成交确认合同规定的质量、价格、效期及时供货。</w:t>
      </w:r>
    </w:p>
    <w:p w14:paraId="1BB3F463">
      <w:pPr>
        <w:pStyle w:val="4"/>
        <w:spacing w:line="305" w:lineRule="auto"/>
        <w:ind w:firstLine="242" w:firstLineChars="100"/>
        <w:rPr>
          <w:rFonts w:hint="eastAsia" w:ascii="宋体" w:hAnsi="宋体" w:eastAsia="宋体" w:cs="宋体"/>
          <w:snapToGrid w:val="0"/>
          <w:color w:val="000000"/>
          <w:spacing w:val="1"/>
          <w:kern w:val="0"/>
          <w:sz w:val="24"/>
          <w:szCs w:val="24"/>
          <w:lang w:val="en-US" w:eastAsia="zh-CN" w:bidi="ar-SA"/>
        </w:rPr>
      </w:pPr>
      <w:r>
        <w:rPr>
          <w:rFonts w:hint="eastAsia" w:ascii="宋体" w:hAnsi="宋体" w:eastAsia="宋体" w:cs="宋体"/>
          <w:snapToGrid w:val="0"/>
          <w:color w:val="000000"/>
          <w:spacing w:val="1"/>
          <w:kern w:val="0"/>
          <w:sz w:val="24"/>
          <w:szCs w:val="24"/>
          <w:lang w:val="en-US" w:eastAsia="zh-CN" w:bidi="ar-SA"/>
        </w:rPr>
        <w:t>2、采购目录清单中药材参数只作为参考，但所投产品参数不得低于上述要求。</w:t>
      </w:r>
    </w:p>
    <w:p w14:paraId="75A2B2ED">
      <w:pPr>
        <w:pStyle w:val="4"/>
        <w:spacing w:line="305" w:lineRule="auto"/>
        <w:ind w:firstLine="242" w:firstLineChars="100"/>
        <w:rPr>
          <w:rFonts w:hint="eastAsia" w:ascii="宋体" w:hAnsi="宋体" w:eastAsia="宋体" w:cs="宋体"/>
          <w:snapToGrid w:val="0"/>
          <w:color w:val="000000"/>
          <w:spacing w:val="1"/>
          <w:kern w:val="0"/>
          <w:sz w:val="24"/>
          <w:szCs w:val="24"/>
          <w:lang w:val="en-US" w:eastAsia="zh-CN" w:bidi="ar-SA"/>
        </w:rPr>
      </w:pPr>
      <w:r>
        <w:rPr>
          <w:rFonts w:hint="eastAsia" w:ascii="宋体" w:hAnsi="宋体" w:eastAsia="宋体" w:cs="宋体"/>
          <w:snapToGrid w:val="0"/>
          <w:color w:val="000000"/>
          <w:spacing w:val="1"/>
          <w:kern w:val="0"/>
          <w:sz w:val="24"/>
          <w:szCs w:val="24"/>
          <w:lang w:val="en-US" w:eastAsia="zh-CN" w:bidi="ar-SA"/>
        </w:rPr>
        <w:t>3、采购目录清单中药材总价为预估量，成交供应商必须按照医院实际需求供货，签订合同时以磋商响应文件各品种单价为准，以实际供应量付款。在服务期一年内，药品供货单价格不根据市场浮动做调整。</w:t>
      </w:r>
    </w:p>
    <w:p w14:paraId="31CA185C">
      <w:pPr>
        <w:pStyle w:val="4"/>
        <w:spacing w:line="305" w:lineRule="auto"/>
        <w:ind w:firstLine="242" w:firstLineChars="100"/>
        <w:rPr>
          <w:rFonts w:hint="eastAsia" w:ascii="宋体" w:hAnsi="宋体" w:eastAsia="宋体" w:cs="宋体"/>
          <w:snapToGrid w:val="0"/>
          <w:color w:val="000000"/>
          <w:spacing w:val="1"/>
          <w:kern w:val="0"/>
          <w:sz w:val="24"/>
          <w:szCs w:val="24"/>
          <w:lang w:val="en-US" w:eastAsia="en-US" w:bidi="ar-SA"/>
        </w:rPr>
      </w:pPr>
      <w:r>
        <w:rPr>
          <w:rFonts w:hint="eastAsia" w:ascii="宋体" w:hAnsi="宋体" w:eastAsia="宋体" w:cs="宋体"/>
          <w:snapToGrid w:val="0"/>
          <w:color w:val="000000"/>
          <w:spacing w:val="1"/>
          <w:kern w:val="0"/>
          <w:sz w:val="24"/>
          <w:szCs w:val="24"/>
          <w:lang w:val="en-US" w:eastAsia="zh-CN" w:bidi="ar-SA"/>
        </w:rPr>
        <w:t>4、如果在供货中出现政策性第三方中药饮片交易平台或其他集中采购平台有同类品种可线上采购时，采购人有权终止合同自行转平台采购（供应商必须在《承诺函》中说明格式自拟）。</w:t>
      </w:r>
    </w:p>
    <w:p w14:paraId="0325B734">
      <w:pPr>
        <w:pStyle w:val="4"/>
        <w:spacing w:line="305" w:lineRule="auto"/>
        <w:ind w:firstLine="242" w:firstLineChars="100"/>
        <w:rPr>
          <w:rFonts w:hint="eastAsia" w:ascii="宋体" w:hAnsi="宋体" w:eastAsia="宋体" w:cs="宋体"/>
          <w:snapToGrid w:val="0"/>
          <w:color w:val="000000"/>
          <w:spacing w:val="1"/>
          <w:kern w:val="0"/>
          <w:sz w:val="24"/>
          <w:szCs w:val="24"/>
          <w:lang w:val="en-US" w:eastAsia="zh-CN" w:bidi="ar-SA"/>
        </w:rPr>
      </w:pPr>
      <w:r>
        <w:rPr>
          <w:rFonts w:hint="eastAsia" w:ascii="宋体" w:hAnsi="宋体" w:eastAsia="宋体" w:cs="宋体"/>
          <w:snapToGrid w:val="0"/>
          <w:color w:val="000000"/>
          <w:spacing w:val="1"/>
          <w:kern w:val="0"/>
          <w:sz w:val="24"/>
          <w:szCs w:val="24"/>
          <w:lang w:val="en-US" w:eastAsia="zh-CN" w:bidi="ar-SA"/>
        </w:rPr>
        <w:t>5、供应商所报单品的单价应包含但不限于货物价格、服务人员费用、运输费用、包装费用以及可能涉及的税费、保险费、仓储费用、检验费用、淡季储存成本、财务成本、管理成本、售后服务、可预见和不可预见的一切费用，本项目响应产品不允许缺漏项，否则视为非实质性响应招标文件要求。</w:t>
      </w:r>
    </w:p>
    <w:p w14:paraId="1131AC04">
      <w:pPr>
        <w:pStyle w:val="4"/>
        <w:spacing w:line="305" w:lineRule="auto"/>
        <w:ind w:firstLine="242" w:firstLineChars="100"/>
        <w:rPr>
          <w:rFonts w:hint="eastAsia" w:ascii="宋体" w:hAnsi="宋体" w:eastAsia="宋体" w:cs="宋体"/>
          <w:snapToGrid w:val="0"/>
          <w:color w:val="000000"/>
          <w:spacing w:val="1"/>
          <w:kern w:val="0"/>
          <w:sz w:val="24"/>
          <w:szCs w:val="24"/>
          <w:lang w:val="en-US" w:eastAsia="zh-CN" w:bidi="ar-SA"/>
        </w:rPr>
      </w:pPr>
      <w:r>
        <w:rPr>
          <w:rFonts w:hint="eastAsia" w:ascii="宋体" w:hAnsi="宋体" w:eastAsia="宋体" w:cs="宋体"/>
          <w:snapToGrid w:val="0"/>
          <w:color w:val="000000"/>
          <w:spacing w:val="1"/>
          <w:kern w:val="0"/>
          <w:sz w:val="24"/>
          <w:szCs w:val="24"/>
          <w:lang w:val="en-US" w:eastAsia="zh-CN" w:bidi="ar-SA"/>
        </w:rPr>
        <w:t>11、供应商在《承诺函》中必须做出以下说明：供应商已完全理解招标需求，成交后不得随意变更药材生产厂家；不能以低价成交后以药材价格涨价等理由断供中药饮片，对于连续三次无法保障中药饮片供货、连续断供15天以上或者供货期内两次药材验收不合格的，供应商愿意承担取消供应商成交资格的后果。（格式自拟）</w:t>
      </w:r>
    </w:p>
    <w:p w14:paraId="6FD6E114">
      <w:pPr>
        <w:pStyle w:val="4"/>
        <w:spacing w:line="305" w:lineRule="auto"/>
        <w:ind w:firstLine="300" w:firstLineChars="100"/>
        <w:rPr>
          <w:rFonts w:hint="eastAsia" w:ascii="黑体" w:hAnsi="黑体" w:eastAsia="黑体" w:cs="黑体"/>
          <w:snapToGrid w:val="0"/>
          <w:color w:val="000000"/>
          <w:kern w:val="0"/>
          <w:sz w:val="30"/>
          <w:szCs w:val="30"/>
          <w:lang w:val="en-US" w:eastAsia="zh-CN" w:bidi="ar-SA"/>
        </w:rPr>
      </w:pPr>
      <w:r>
        <w:rPr>
          <w:rFonts w:hint="eastAsia" w:ascii="黑体" w:hAnsi="黑体" w:eastAsia="黑体" w:cs="黑体"/>
          <w:snapToGrid w:val="0"/>
          <w:color w:val="000000"/>
          <w:kern w:val="0"/>
          <w:sz w:val="30"/>
          <w:szCs w:val="30"/>
          <w:lang w:val="en-US" w:eastAsia="zh-CN" w:bidi="ar-SA"/>
        </w:rPr>
        <w:t>四、供货要求</w:t>
      </w:r>
    </w:p>
    <w:p w14:paraId="63D35087">
      <w:pPr>
        <w:pStyle w:val="4"/>
        <w:spacing w:line="305" w:lineRule="auto"/>
        <w:ind w:firstLine="242" w:firstLineChars="100"/>
        <w:rPr>
          <w:rFonts w:hint="eastAsia" w:ascii="宋体" w:hAnsi="宋体" w:eastAsia="宋体" w:cs="宋体"/>
          <w:snapToGrid w:val="0"/>
          <w:color w:val="000000"/>
          <w:spacing w:val="1"/>
          <w:kern w:val="0"/>
          <w:sz w:val="24"/>
          <w:szCs w:val="24"/>
          <w:lang w:val="en-US" w:eastAsia="zh-CN" w:bidi="ar-SA"/>
        </w:rPr>
      </w:pPr>
      <w:r>
        <w:rPr>
          <w:rFonts w:hint="eastAsia" w:ascii="宋体" w:hAnsi="宋体" w:eastAsia="宋体" w:cs="宋体"/>
          <w:snapToGrid w:val="0"/>
          <w:color w:val="000000"/>
          <w:spacing w:val="1"/>
          <w:kern w:val="0"/>
          <w:sz w:val="24"/>
          <w:szCs w:val="24"/>
          <w:lang w:val="en-US" w:eastAsia="zh-CN" w:bidi="ar-SA"/>
        </w:rPr>
        <w:t>1、到货入库的剩余有效期不短于质保期的80%；</w:t>
      </w:r>
    </w:p>
    <w:p w14:paraId="618EBCB1">
      <w:pPr>
        <w:pStyle w:val="4"/>
        <w:spacing w:line="305" w:lineRule="auto"/>
        <w:ind w:firstLine="242" w:firstLineChars="100"/>
        <w:rPr>
          <w:rFonts w:hint="eastAsia" w:ascii="宋体" w:hAnsi="宋体" w:eastAsia="宋体" w:cs="宋体"/>
          <w:snapToGrid w:val="0"/>
          <w:color w:val="000000"/>
          <w:spacing w:val="1"/>
          <w:kern w:val="0"/>
          <w:sz w:val="24"/>
          <w:szCs w:val="24"/>
          <w:lang w:val="en-US" w:eastAsia="zh-CN" w:bidi="ar-SA"/>
        </w:rPr>
      </w:pPr>
      <w:r>
        <w:rPr>
          <w:rFonts w:hint="eastAsia" w:ascii="宋体" w:hAnsi="宋体" w:eastAsia="宋体" w:cs="宋体"/>
          <w:snapToGrid w:val="0"/>
          <w:color w:val="000000"/>
          <w:spacing w:val="1"/>
          <w:kern w:val="0"/>
          <w:sz w:val="24"/>
          <w:szCs w:val="24"/>
          <w:lang w:val="en-US" w:eastAsia="zh-CN" w:bidi="ar-SA"/>
        </w:rPr>
        <w:t>2、成交供应商保证供货品种的年度储存量。供应商必须在医院要求的时限内按医院下达采购计划的品种、规格和数量，提供合格药品，送达指定地点，必要时本地供货公司应一日多次送货。急需药品10小时内配送到位，一般药品的配送，阿克苏地区内供货商不超过3天，阿克苏地区外供货商最长不超过7天，节假日必须照常配送。</w:t>
      </w:r>
    </w:p>
    <w:p w14:paraId="0DF20F40">
      <w:pPr>
        <w:pStyle w:val="4"/>
        <w:spacing w:line="305" w:lineRule="auto"/>
        <w:ind w:firstLine="242" w:firstLineChars="100"/>
        <w:rPr>
          <w:rFonts w:hint="eastAsia" w:ascii="宋体" w:hAnsi="宋体" w:eastAsia="宋体" w:cs="宋体"/>
          <w:snapToGrid w:val="0"/>
          <w:color w:val="000000"/>
          <w:spacing w:val="1"/>
          <w:kern w:val="0"/>
          <w:sz w:val="24"/>
          <w:szCs w:val="24"/>
          <w:lang w:val="en-US" w:eastAsia="zh-CN" w:bidi="ar-SA"/>
        </w:rPr>
      </w:pPr>
      <w:r>
        <w:rPr>
          <w:rFonts w:hint="eastAsia" w:ascii="宋体" w:hAnsi="宋体" w:eastAsia="宋体" w:cs="宋体"/>
          <w:snapToGrid w:val="0"/>
          <w:color w:val="000000"/>
          <w:spacing w:val="1"/>
          <w:kern w:val="0"/>
          <w:sz w:val="24"/>
          <w:szCs w:val="24"/>
          <w:lang w:val="en-US" w:eastAsia="zh-CN" w:bidi="ar-SA"/>
        </w:rPr>
        <w:t>3、在成交供应商供货期间，成交供应商必须按照清单中产品进行供货，如确遇清单中某些产品无法供货或制造商断货，须提前告知采购人并提供书面声明，同一品种药材连续三次无法供货、连续断供15天以上或者供货期内两次药材验收不合格的，采购人有权终止合同。</w:t>
      </w:r>
    </w:p>
    <w:p w14:paraId="62FC89EB">
      <w:pPr>
        <w:pStyle w:val="4"/>
        <w:spacing w:line="305" w:lineRule="auto"/>
        <w:ind w:firstLine="242" w:firstLineChars="100"/>
        <w:rPr>
          <w:rFonts w:hint="eastAsia" w:ascii="宋体" w:hAnsi="宋体" w:eastAsia="宋体" w:cs="宋体"/>
          <w:snapToGrid w:val="0"/>
          <w:color w:val="000000"/>
          <w:spacing w:val="1"/>
          <w:kern w:val="0"/>
          <w:sz w:val="24"/>
          <w:szCs w:val="24"/>
          <w:lang w:val="en-US" w:eastAsia="zh-CN" w:bidi="ar-SA"/>
        </w:rPr>
      </w:pPr>
      <w:r>
        <w:rPr>
          <w:rFonts w:hint="eastAsia" w:ascii="宋体" w:hAnsi="宋体" w:eastAsia="宋体" w:cs="宋体"/>
          <w:snapToGrid w:val="0"/>
          <w:color w:val="000000"/>
          <w:spacing w:val="1"/>
          <w:kern w:val="0"/>
          <w:sz w:val="24"/>
          <w:szCs w:val="24"/>
          <w:lang w:val="en-US" w:eastAsia="zh-CN" w:bidi="ar-SA"/>
        </w:rPr>
        <w:t>4、成交供应商若无法按照成交的品规及生产厂家供货，说明情况理由提前一周报医院审批同意后，可选择其他生产厂家的中药饮片（质量必须符合《2020 版药典》；药典未收录品种按最新地方法规及其他相关法律法规规定执行），备选供应的中药饮片报价须按照该项中药饮片的成交单价下浮5%进行结算。</w:t>
      </w:r>
    </w:p>
    <w:p w14:paraId="754009C0">
      <w:pPr>
        <w:pStyle w:val="4"/>
        <w:spacing w:line="305" w:lineRule="auto"/>
        <w:ind w:firstLine="242" w:firstLineChars="100"/>
        <w:rPr>
          <w:rFonts w:hint="eastAsia" w:ascii="宋体" w:hAnsi="宋体" w:eastAsia="宋体" w:cs="宋体"/>
          <w:snapToGrid w:val="0"/>
          <w:color w:val="000000"/>
          <w:spacing w:val="1"/>
          <w:kern w:val="0"/>
          <w:sz w:val="24"/>
          <w:szCs w:val="24"/>
          <w:lang w:val="en-US" w:eastAsia="zh-CN" w:bidi="ar-SA"/>
        </w:rPr>
      </w:pPr>
      <w:r>
        <w:rPr>
          <w:rFonts w:hint="eastAsia" w:ascii="宋体" w:hAnsi="宋体" w:eastAsia="宋体" w:cs="宋体"/>
          <w:snapToGrid w:val="0"/>
          <w:color w:val="000000"/>
          <w:spacing w:val="1"/>
          <w:kern w:val="0"/>
          <w:sz w:val="24"/>
          <w:szCs w:val="24"/>
          <w:lang w:val="en-US" w:eastAsia="zh-CN" w:bidi="ar-SA"/>
        </w:rPr>
        <w:t>5、因药品供应质量造成药监局等违规处罚由供货方承担，特殊药品储存质量未按规范造成药品质量问题由供货方承担。</w:t>
      </w:r>
    </w:p>
    <w:p w14:paraId="3FF15E46">
      <w:pPr>
        <w:pStyle w:val="4"/>
        <w:spacing w:line="305" w:lineRule="auto"/>
        <w:ind w:firstLine="242" w:firstLineChars="100"/>
        <w:rPr>
          <w:rFonts w:hint="eastAsia" w:ascii="宋体" w:hAnsi="宋体" w:eastAsia="宋体" w:cs="宋体"/>
          <w:snapToGrid w:val="0"/>
          <w:color w:val="000000"/>
          <w:spacing w:val="1"/>
          <w:kern w:val="0"/>
          <w:sz w:val="24"/>
          <w:szCs w:val="24"/>
          <w:lang w:val="en-US" w:eastAsia="zh-CN" w:bidi="ar-SA"/>
        </w:rPr>
      </w:pPr>
      <w:r>
        <w:rPr>
          <w:rFonts w:hint="eastAsia" w:ascii="宋体" w:hAnsi="宋体" w:eastAsia="宋体" w:cs="宋体"/>
          <w:snapToGrid w:val="0"/>
          <w:color w:val="000000"/>
          <w:spacing w:val="1"/>
          <w:kern w:val="0"/>
          <w:sz w:val="24"/>
          <w:szCs w:val="24"/>
          <w:lang w:val="en-US" w:eastAsia="zh-CN" w:bidi="ar-SA"/>
        </w:rPr>
        <w:t>6、成交供应商需提供应急预案以应对发生不可抗力时的货物配送。</w:t>
      </w:r>
    </w:p>
    <w:p w14:paraId="6A7DDAED">
      <w:pPr>
        <w:pStyle w:val="4"/>
        <w:spacing w:line="305" w:lineRule="auto"/>
        <w:ind w:firstLine="242" w:firstLineChars="100"/>
        <w:rPr>
          <w:rFonts w:hint="eastAsia" w:ascii="宋体" w:hAnsi="宋体" w:eastAsia="宋体" w:cs="宋体"/>
          <w:snapToGrid w:val="0"/>
          <w:color w:val="000000"/>
          <w:spacing w:val="1"/>
          <w:kern w:val="0"/>
          <w:sz w:val="24"/>
          <w:szCs w:val="24"/>
          <w:lang w:val="en-US" w:eastAsia="zh-CN" w:bidi="ar-SA"/>
        </w:rPr>
      </w:pPr>
      <w:r>
        <w:rPr>
          <w:rFonts w:hint="eastAsia" w:ascii="宋体" w:hAnsi="宋体" w:eastAsia="宋体" w:cs="宋体"/>
          <w:snapToGrid w:val="0"/>
          <w:color w:val="000000"/>
          <w:spacing w:val="1"/>
          <w:kern w:val="0"/>
          <w:sz w:val="24"/>
          <w:szCs w:val="24"/>
          <w:lang w:val="en-US" w:eastAsia="zh-CN" w:bidi="ar-SA"/>
        </w:rPr>
        <w:t>7、售后服务：在质保期如果所供货物发生质量问题，成交供应商在5个小时内到达现场，24 小时内提供解决方案。</w:t>
      </w:r>
    </w:p>
    <w:p w14:paraId="1F3BB439">
      <w:pPr>
        <w:pStyle w:val="4"/>
        <w:spacing w:line="305" w:lineRule="auto"/>
        <w:ind w:firstLine="300" w:firstLineChars="100"/>
        <w:rPr>
          <w:rFonts w:hint="eastAsia" w:ascii="黑体" w:hAnsi="黑体" w:eastAsia="黑体" w:cs="黑体"/>
          <w:snapToGrid w:val="0"/>
          <w:color w:val="000000"/>
          <w:kern w:val="0"/>
          <w:sz w:val="30"/>
          <w:szCs w:val="30"/>
          <w:lang w:val="en-US" w:eastAsia="zh-CN" w:bidi="ar-SA"/>
        </w:rPr>
      </w:pPr>
      <w:r>
        <w:rPr>
          <w:rFonts w:hint="eastAsia" w:ascii="黑体" w:hAnsi="黑体" w:eastAsia="黑体" w:cs="黑体"/>
          <w:snapToGrid w:val="0"/>
          <w:color w:val="000000"/>
          <w:kern w:val="0"/>
          <w:sz w:val="30"/>
          <w:szCs w:val="30"/>
          <w:lang w:val="en-US" w:eastAsia="zh-CN" w:bidi="ar-SA"/>
        </w:rPr>
        <w:t>五、验收标准</w:t>
      </w:r>
    </w:p>
    <w:p w14:paraId="5BE14F9A">
      <w:pPr>
        <w:pStyle w:val="4"/>
        <w:spacing w:line="305" w:lineRule="auto"/>
        <w:ind w:firstLine="242" w:firstLineChars="100"/>
        <w:rPr>
          <w:rFonts w:hint="eastAsia" w:ascii="宋体" w:hAnsi="宋体" w:eastAsia="宋体" w:cs="宋体"/>
          <w:snapToGrid w:val="0"/>
          <w:color w:val="000000"/>
          <w:spacing w:val="1"/>
          <w:kern w:val="0"/>
          <w:sz w:val="24"/>
          <w:szCs w:val="24"/>
          <w:lang w:val="en-US" w:eastAsia="zh-CN" w:bidi="ar-SA"/>
        </w:rPr>
      </w:pPr>
      <w:r>
        <w:rPr>
          <w:rFonts w:hint="eastAsia" w:ascii="宋体" w:hAnsi="宋体" w:eastAsia="宋体" w:cs="宋体"/>
          <w:snapToGrid w:val="0"/>
          <w:color w:val="000000"/>
          <w:spacing w:val="1"/>
          <w:kern w:val="0"/>
          <w:sz w:val="24"/>
          <w:szCs w:val="24"/>
          <w:lang w:val="en-US" w:eastAsia="zh-CN" w:bidi="ar-SA"/>
        </w:rPr>
        <w:t>1、按照采购文件要求及合同约定达到国家要求验收质量标准。</w:t>
      </w:r>
    </w:p>
    <w:p w14:paraId="35D0DC07">
      <w:pPr>
        <w:pStyle w:val="4"/>
        <w:spacing w:line="305" w:lineRule="auto"/>
        <w:ind w:firstLine="242" w:firstLineChars="100"/>
        <w:rPr>
          <w:rFonts w:hint="eastAsia" w:ascii="宋体" w:hAnsi="宋体" w:eastAsia="宋体" w:cs="宋体"/>
          <w:snapToGrid w:val="0"/>
          <w:color w:val="000000"/>
          <w:spacing w:val="1"/>
          <w:kern w:val="0"/>
          <w:sz w:val="24"/>
          <w:szCs w:val="24"/>
          <w:lang w:val="en-US" w:eastAsia="zh-CN" w:bidi="ar-SA"/>
        </w:rPr>
      </w:pPr>
      <w:r>
        <w:rPr>
          <w:rFonts w:hint="eastAsia" w:ascii="宋体" w:hAnsi="宋体" w:eastAsia="宋体" w:cs="宋体"/>
          <w:snapToGrid w:val="0"/>
          <w:color w:val="000000"/>
          <w:spacing w:val="1"/>
          <w:kern w:val="0"/>
          <w:sz w:val="24"/>
          <w:szCs w:val="24"/>
          <w:lang w:val="en-US" w:eastAsia="zh-CN" w:bidi="ar-SA"/>
        </w:rPr>
        <w:t>2、在验收时，供应商应向采购人提供货物的出厂合格证书、出厂检测报告、货物清单、发票及其他相关资料，严格按采购人提出的方式验收。</w:t>
      </w:r>
    </w:p>
    <w:p w14:paraId="264CF268">
      <w:pPr>
        <w:pStyle w:val="4"/>
        <w:spacing w:line="305" w:lineRule="auto"/>
        <w:ind w:firstLine="242" w:firstLineChars="100"/>
        <w:rPr>
          <w:rFonts w:hint="eastAsia" w:ascii="宋体" w:hAnsi="宋体" w:eastAsia="宋体" w:cs="宋体"/>
          <w:snapToGrid w:val="0"/>
          <w:color w:val="000000"/>
          <w:spacing w:val="1"/>
          <w:kern w:val="0"/>
          <w:sz w:val="24"/>
          <w:szCs w:val="24"/>
          <w:lang w:val="en-US" w:eastAsia="zh-CN" w:bidi="ar-SA"/>
        </w:rPr>
      </w:pPr>
      <w:r>
        <w:rPr>
          <w:rFonts w:hint="eastAsia" w:ascii="宋体" w:hAnsi="宋体" w:eastAsia="宋体" w:cs="宋体"/>
          <w:snapToGrid w:val="0"/>
          <w:color w:val="000000"/>
          <w:spacing w:val="1"/>
          <w:kern w:val="0"/>
          <w:sz w:val="24"/>
          <w:szCs w:val="24"/>
          <w:lang w:val="en-US" w:eastAsia="zh-CN" w:bidi="ar-SA"/>
        </w:rPr>
        <w:t>3、由采购人对货物的质量、规格和数量及其他进行检验。如发现质量、规格和数量等任何一项与招标要求规定不符，采购人有权拒绝接受。</w:t>
      </w:r>
    </w:p>
    <w:p w14:paraId="6ED9A9B8">
      <w:pPr>
        <w:pStyle w:val="4"/>
        <w:spacing w:line="305" w:lineRule="auto"/>
        <w:ind w:firstLine="242" w:firstLineChars="100"/>
        <w:rPr>
          <w:rFonts w:hint="eastAsia" w:ascii="黑体" w:hAnsi="黑体" w:eastAsia="黑体" w:cs="黑体"/>
          <w:snapToGrid w:val="0"/>
          <w:color w:val="000000"/>
          <w:kern w:val="0"/>
          <w:sz w:val="30"/>
          <w:szCs w:val="30"/>
          <w:lang w:val="en-US" w:eastAsia="zh-CN" w:bidi="ar-SA"/>
        </w:rPr>
      </w:pPr>
      <w:r>
        <w:rPr>
          <w:rFonts w:hint="eastAsia" w:ascii="宋体" w:hAnsi="宋体" w:eastAsia="宋体" w:cs="宋体"/>
          <w:snapToGrid w:val="0"/>
          <w:color w:val="000000"/>
          <w:spacing w:val="1"/>
          <w:kern w:val="0"/>
          <w:sz w:val="24"/>
          <w:szCs w:val="24"/>
          <w:lang w:val="en-US" w:eastAsia="zh-CN" w:bidi="ar-SA"/>
        </w:rPr>
        <w:t>4、采购人发现进货的中药饮片破损、近有效期、包装不合格或有质量问题的，成交供应商应保证及时更换或退货处理。</w:t>
      </w:r>
    </w:p>
    <w:p w14:paraId="71B247BD">
      <w:pPr>
        <w:pStyle w:val="4"/>
        <w:spacing w:line="305" w:lineRule="auto"/>
        <w:ind w:firstLine="300" w:firstLineChars="100"/>
        <w:rPr>
          <w:rFonts w:hint="eastAsia" w:ascii="黑体" w:hAnsi="黑体" w:eastAsia="黑体" w:cs="黑体"/>
          <w:snapToGrid w:val="0"/>
          <w:color w:val="000000"/>
          <w:kern w:val="0"/>
          <w:sz w:val="30"/>
          <w:szCs w:val="30"/>
          <w:lang w:val="en-US" w:eastAsia="zh-CN" w:bidi="ar-SA"/>
        </w:rPr>
        <w:sectPr>
          <w:footerReference r:id="rId8" w:type="default"/>
          <w:pgSz w:w="11906" w:h="16839"/>
          <w:pgMar w:top="1440" w:right="1080" w:bottom="1440" w:left="1080" w:header="0" w:footer="989" w:gutter="0"/>
          <w:pgNumType w:fmt="decimal"/>
          <w:cols w:space="720" w:num="1"/>
        </w:sectPr>
      </w:pPr>
    </w:p>
    <w:p w14:paraId="4C313C0E">
      <w:pPr>
        <w:pStyle w:val="4"/>
        <w:spacing w:line="305" w:lineRule="auto"/>
        <w:ind w:firstLine="300" w:firstLineChars="100"/>
        <w:rPr>
          <w:rFonts w:hint="eastAsia" w:ascii="黑体" w:hAnsi="黑体" w:eastAsia="黑体" w:cs="黑体"/>
          <w:snapToGrid w:val="0"/>
          <w:color w:val="000000"/>
          <w:kern w:val="0"/>
          <w:sz w:val="30"/>
          <w:szCs w:val="30"/>
          <w:lang w:val="en-US" w:eastAsia="zh-CN" w:bidi="ar-SA"/>
        </w:rPr>
      </w:pPr>
    </w:p>
    <w:p w14:paraId="544D807B">
      <w:pPr>
        <w:pStyle w:val="4"/>
        <w:spacing w:line="305" w:lineRule="auto"/>
        <w:ind w:firstLine="363" w:firstLineChars="100"/>
        <w:jc w:val="center"/>
        <w:rPr>
          <w:rFonts w:hint="eastAsia" w:ascii="宋体" w:hAnsi="宋体" w:eastAsia="宋体" w:cs="宋体"/>
          <w:b/>
          <w:bCs/>
          <w:snapToGrid w:val="0"/>
          <w:color w:val="000000"/>
          <w:spacing w:val="1"/>
          <w:kern w:val="0"/>
          <w:sz w:val="36"/>
          <w:szCs w:val="36"/>
          <w:lang w:val="en-US" w:eastAsia="zh-CN" w:bidi="ar-SA"/>
        </w:rPr>
      </w:pPr>
      <w:r>
        <w:rPr>
          <w:rFonts w:hint="eastAsia" w:ascii="宋体" w:hAnsi="宋体" w:eastAsia="宋体" w:cs="宋体"/>
          <w:b/>
          <w:bCs/>
          <w:snapToGrid w:val="0"/>
          <w:color w:val="000000"/>
          <w:spacing w:val="1"/>
          <w:kern w:val="0"/>
          <w:sz w:val="36"/>
          <w:szCs w:val="36"/>
          <w:lang w:val="en-US" w:eastAsia="zh-CN" w:bidi="ar-SA"/>
        </w:rPr>
        <w:t>采购清单</w:t>
      </w:r>
    </w:p>
    <w:p w14:paraId="49B04AFD">
      <w:pPr>
        <w:pStyle w:val="4"/>
        <w:spacing w:line="305" w:lineRule="auto"/>
        <w:jc w:val="center"/>
        <w:rPr>
          <w:rFonts w:hint="eastAsia" w:ascii="宋体" w:hAnsi="宋体" w:eastAsia="宋体" w:cs="宋体"/>
          <w:b/>
          <w:bCs/>
          <w:sz w:val="28"/>
          <w:szCs w:val="28"/>
        </w:rPr>
      </w:pPr>
      <w:r>
        <w:rPr>
          <w:rFonts w:hint="eastAsia" w:ascii="宋体" w:hAnsi="宋体" w:eastAsia="宋体" w:cs="宋体"/>
          <w:b/>
          <w:bCs/>
          <w:sz w:val="28"/>
          <w:szCs w:val="28"/>
          <w:lang w:val="en-US" w:eastAsia="zh-CN"/>
        </w:rPr>
        <w:t>拜城县人民医院2025年中药饮片购置项目（一标段）</w:t>
      </w:r>
    </w:p>
    <w:tbl>
      <w:tblPr>
        <w:tblStyle w:val="9"/>
        <w:tblW w:w="1399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62"/>
        <w:gridCol w:w="587"/>
        <w:gridCol w:w="674"/>
        <w:gridCol w:w="587"/>
        <w:gridCol w:w="1290"/>
        <w:gridCol w:w="2147"/>
        <w:gridCol w:w="4729"/>
        <w:gridCol w:w="649"/>
        <w:gridCol w:w="1153"/>
        <w:gridCol w:w="1318"/>
      </w:tblGrid>
      <w:tr w14:paraId="54A16C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99" w:hRule="atLeast"/>
        </w:trPr>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74419">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标段</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DE182">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序号</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AFD54">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药品名称</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2D707">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单位</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8C46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最高限价（元/单位）</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1850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来源</w:t>
            </w:r>
          </w:p>
        </w:tc>
        <w:tc>
          <w:tcPr>
            <w:tcW w:w="4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60498">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性状</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A4FFB">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等级</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4A360">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资质或证明材料要求</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7D560">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备注</w:t>
            </w:r>
          </w:p>
        </w:tc>
      </w:tr>
      <w:tr w14:paraId="006E1B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5" w:hRule="atLeast"/>
        </w:trPr>
        <w:tc>
          <w:tcPr>
            <w:tcW w:w="8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DDAF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标段一</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391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438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阿胶</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9DE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g</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B8F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1.4</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057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马科驴的干燥皮或鲜皮经煎煮，浓缩制成的固体胶</w:t>
            </w:r>
          </w:p>
        </w:tc>
        <w:tc>
          <w:tcPr>
            <w:tcW w:w="4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FE2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长方形块，方形块或丁状，棕色或黑褐色，有光泽。质硬而脆，断面光亮，脆片对光照视呈棕色半透明状。气微，味微甘。</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2A2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统货</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78E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附检验合格单</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33C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溶解后无残渣</w:t>
            </w:r>
          </w:p>
        </w:tc>
      </w:tr>
      <w:tr w14:paraId="2D4CD7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62" w:hRule="atLeast"/>
        </w:trPr>
        <w:tc>
          <w:tcPr>
            <w:tcW w:w="8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597084">
            <w:pPr>
              <w:jc w:val="center"/>
              <w:rPr>
                <w:rFonts w:hint="eastAsia" w:ascii="宋体" w:hAnsi="宋体" w:eastAsia="宋体" w:cs="宋体"/>
                <w:i w:val="0"/>
                <w:iCs w:val="0"/>
                <w:color w:val="000000"/>
                <w:sz w:val="20"/>
                <w:szCs w:val="20"/>
                <w:u w:val="none"/>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9CB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774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白及</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058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kg</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747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453</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8F7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兰科植物白及的干燥块茎</w:t>
            </w:r>
          </w:p>
        </w:tc>
        <w:tc>
          <w:tcPr>
            <w:tcW w:w="4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2BD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本品呈不规则扁圆形，多有2~3个爪状分枝，少数具4~5个爪状分枝，长1.5~6cm，厚0.5~3cm。表面灰白色至灰棕色，或黄白色，有数圈同心环节和棕色点状须根痕，上面有突起的茎痕，下面有连接另一块茎的痕迹。质坚硬，不易折断，断面类白色，角质样。气微，味苦，嚼之有黏性。</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5F7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统货</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CF9F4">
            <w:pPr>
              <w:jc w:val="center"/>
              <w:rPr>
                <w:rFonts w:hint="eastAsia" w:ascii="宋体" w:hAnsi="宋体" w:eastAsia="宋体" w:cs="宋体"/>
                <w:i w:val="0"/>
                <w:iCs w:val="0"/>
                <w:color w:val="000000"/>
                <w:sz w:val="18"/>
                <w:szCs w:val="18"/>
                <w:u w:val="none"/>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C28EA">
            <w:pPr>
              <w:jc w:val="center"/>
              <w:rPr>
                <w:rFonts w:hint="eastAsia" w:ascii="宋体" w:hAnsi="宋体" w:eastAsia="宋体" w:cs="宋体"/>
                <w:i w:val="0"/>
                <w:iCs w:val="0"/>
                <w:color w:val="000000"/>
                <w:sz w:val="18"/>
                <w:szCs w:val="18"/>
                <w:u w:val="none"/>
              </w:rPr>
            </w:pPr>
          </w:p>
        </w:tc>
      </w:tr>
      <w:tr w14:paraId="2DCC08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62" w:hRule="atLeast"/>
        </w:trPr>
        <w:tc>
          <w:tcPr>
            <w:tcW w:w="8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683E0F">
            <w:pPr>
              <w:jc w:val="center"/>
              <w:rPr>
                <w:rFonts w:hint="eastAsia" w:ascii="宋体" w:hAnsi="宋体" w:eastAsia="宋体" w:cs="宋体"/>
                <w:i w:val="0"/>
                <w:iCs w:val="0"/>
                <w:color w:val="000000"/>
                <w:sz w:val="20"/>
                <w:szCs w:val="20"/>
                <w:u w:val="none"/>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F30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587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白前</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7BF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kg</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BFC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125.35</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6BA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本品为萝摩科植物柳叶白前.的干燥根茎和根</w:t>
            </w:r>
          </w:p>
        </w:tc>
        <w:tc>
          <w:tcPr>
            <w:tcW w:w="4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27D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柳叶白前根茎呈细长圆柱形，有分枝，稍弯曲，长4~15cm，直径1.5~4mm。表面黄白色或黄棕色，节明显，节间长1.5~4.5cm，顶端有残茎。质脆，断面中空。节处簇生纤细弯曲的根，长可达10cm，直径不及Imm，有多次分枝呈毛须状，常盘曲成团。气微，味微甜。</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052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统货</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20F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附检验合格单</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366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芫花叶白前的干燥根</w:t>
            </w:r>
          </w:p>
        </w:tc>
      </w:tr>
      <w:tr w14:paraId="0EE5BB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62" w:hRule="atLeast"/>
        </w:trPr>
        <w:tc>
          <w:tcPr>
            <w:tcW w:w="8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059CBF">
            <w:pPr>
              <w:jc w:val="center"/>
              <w:rPr>
                <w:rFonts w:hint="eastAsia" w:ascii="宋体" w:hAnsi="宋体" w:eastAsia="宋体" w:cs="宋体"/>
                <w:i w:val="0"/>
                <w:iCs w:val="0"/>
                <w:color w:val="000000"/>
                <w:sz w:val="20"/>
                <w:szCs w:val="20"/>
                <w:u w:val="none"/>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F47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738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白癣皮</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9A3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kg</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9E2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385</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A51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本品为芸香科植物白鲜的干燥根皮。</w:t>
            </w:r>
          </w:p>
        </w:tc>
        <w:tc>
          <w:tcPr>
            <w:tcW w:w="4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BEB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本品呈卷筒状，长5~15cm，直径1~2cm，厚0.2~0.5cm。外表面灰白色或淡灰黄色，具细纵皱纹和细根痕，常有突起的颗粒状小点；内表面类白色，有细纵纹。质脆，折断时有粉尘飞扬，断面不平坦，略呈层片状，剥去外层，迎光可见闪烁的小亮点。有羊膻气，味微苦。</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681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统货</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F1FF4">
            <w:pPr>
              <w:jc w:val="center"/>
              <w:rPr>
                <w:rFonts w:hint="eastAsia" w:ascii="宋体" w:hAnsi="宋体" w:eastAsia="宋体" w:cs="宋体"/>
                <w:i w:val="0"/>
                <w:iCs w:val="0"/>
                <w:color w:val="000000"/>
                <w:sz w:val="18"/>
                <w:szCs w:val="18"/>
                <w:u w:val="none"/>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86929">
            <w:pPr>
              <w:jc w:val="center"/>
              <w:rPr>
                <w:rFonts w:hint="eastAsia" w:ascii="宋体" w:hAnsi="宋体" w:eastAsia="宋体" w:cs="宋体"/>
                <w:i w:val="0"/>
                <w:iCs w:val="0"/>
                <w:color w:val="000000"/>
                <w:sz w:val="18"/>
                <w:szCs w:val="18"/>
                <w:u w:val="none"/>
              </w:rPr>
            </w:pPr>
          </w:p>
        </w:tc>
      </w:tr>
      <w:tr w14:paraId="36F3A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8" w:hRule="atLeast"/>
        </w:trPr>
        <w:tc>
          <w:tcPr>
            <w:tcW w:w="8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A5236F">
            <w:pPr>
              <w:jc w:val="center"/>
              <w:rPr>
                <w:rFonts w:hint="eastAsia" w:ascii="宋体" w:hAnsi="宋体" w:eastAsia="宋体" w:cs="宋体"/>
                <w:i w:val="0"/>
                <w:iCs w:val="0"/>
                <w:color w:val="000000"/>
                <w:sz w:val="20"/>
                <w:szCs w:val="20"/>
                <w:u w:val="none"/>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D5C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5</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46E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白芷</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F47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kg</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D84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60</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FB2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伞形科白芷或杭白芷的干燥根</w:t>
            </w:r>
          </w:p>
        </w:tc>
        <w:tc>
          <w:tcPr>
            <w:tcW w:w="4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588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本品呈类圆形的厚片。外表皮灰棕色或黄棕色。切面白色或灰白色，具粉性，形成层环棕色，近方形或近圆形，皮部散有多数棕色油点。气芳香，味辛、微苦。</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9C8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统货</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F27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附检验合格单</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160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低硫或无硫，直径1.5cm以上</w:t>
            </w:r>
          </w:p>
        </w:tc>
      </w:tr>
      <w:tr w14:paraId="1F9CE0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8" w:hRule="atLeast"/>
        </w:trPr>
        <w:tc>
          <w:tcPr>
            <w:tcW w:w="8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4475EB">
            <w:pPr>
              <w:jc w:val="center"/>
              <w:rPr>
                <w:rFonts w:hint="eastAsia" w:ascii="宋体" w:hAnsi="宋体" w:eastAsia="宋体" w:cs="宋体"/>
                <w:i w:val="0"/>
                <w:iCs w:val="0"/>
                <w:color w:val="000000"/>
                <w:sz w:val="20"/>
                <w:szCs w:val="20"/>
                <w:u w:val="none"/>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6FA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6</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B9B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柏子仁</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09A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kg</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D38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304</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BA0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本品为柏科植物侧柏的干燥成熟种仁</w:t>
            </w:r>
          </w:p>
        </w:tc>
        <w:tc>
          <w:tcPr>
            <w:tcW w:w="4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E1B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本品呈长卵形或长椭圆形，长4～7mm，直径1.5～3mm。表面黄白色或淡黄棕色,外包膜质内种皮，顶端略尖，有深褐色的小点，基部钝圆。质软，富油性</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A88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统货</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E70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附检验合格单</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3D00B">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snapToGrid w:val="0"/>
                <w:color w:val="000000"/>
                <w:kern w:val="0"/>
                <w:sz w:val="21"/>
                <w:szCs w:val="21"/>
                <w:u w:val="none"/>
                <w:lang w:val="en-US" w:eastAsia="zh-CN" w:bidi="ar"/>
              </w:rPr>
              <w:t>净度高</w:t>
            </w:r>
          </w:p>
        </w:tc>
      </w:tr>
      <w:tr w14:paraId="3C85BC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5" w:hRule="atLeast"/>
        </w:trPr>
        <w:tc>
          <w:tcPr>
            <w:tcW w:w="8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1F5802">
            <w:pPr>
              <w:jc w:val="center"/>
              <w:rPr>
                <w:rFonts w:hint="eastAsia" w:ascii="宋体" w:hAnsi="宋体" w:eastAsia="宋体" w:cs="宋体"/>
                <w:i w:val="0"/>
                <w:iCs w:val="0"/>
                <w:color w:val="000000"/>
                <w:sz w:val="20"/>
                <w:szCs w:val="20"/>
                <w:u w:val="none"/>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84B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784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北柴胡</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1C0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kg</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344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293.25</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830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伞形科柴胡或狭叶柴胡的干燥根</w:t>
            </w:r>
          </w:p>
        </w:tc>
        <w:tc>
          <w:tcPr>
            <w:tcW w:w="4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0C5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北柴胡呈不规则厚片。外表皮黑褐色或浅棕色，具纵皱纹和支根痕。切面淡黄白色，纤维性。质硬。气微香，味微苦。</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7C1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统货</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83C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附检验合格单</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CA1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用北柴胡,直径&gt;0.3cm</w:t>
            </w:r>
          </w:p>
        </w:tc>
      </w:tr>
      <w:tr w14:paraId="7EB8F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62" w:hRule="atLeast"/>
        </w:trPr>
        <w:tc>
          <w:tcPr>
            <w:tcW w:w="8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9FBCDC">
            <w:pPr>
              <w:jc w:val="center"/>
              <w:rPr>
                <w:rFonts w:hint="eastAsia" w:ascii="宋体" w:hAnsi="宋体" w:eastAsia="宋体" w:cs="宋体"/>
                <w:i w:val="0"/>
                <w:iCs w:val="0"/>
                <w:color w:val="000000"/>
                <w:sz w:val="20"/>
                <w:szCs w:val="20"/>
                <w:u w:val="none"/>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537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8</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D2C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槟榔</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7A2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kg</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A5B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55.2</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425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本品为棕榈科植物槟榔的干燥成熟种子</w:t>
            </w:r>
          </w:p>
        </w:tc>
        <w:tc>
          <w:tcPr>
            <w:tcW w:w="4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547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本品呈扁球形或圆锥形，高1.5~3.5cm，底部直径1.5～3cm。表面淡黄棕色或淡红棕色，具稍凹下的网状沟纹，底部中心有圆形凹陷的珠孔，其旁有1明显瘢痕状种脐。质坚硬，不易破碎，断面可见棕色种皮与白色胚乳相间的大理石样花纹。气微，味涩、微苦。</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4CB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统货</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F63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附检验合格单</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524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水分检查不得过10%</w:t>
            </w:r>
          </w:p>
        </w:tc>
      </w:tr>
      <w:tr w14:paraId="1CCB79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8" w:hRule="atLeast"/>
        </w:trPr>
        <w:tc>
          <w:tcPr>
            <w:tcW w:w="8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770710">
            <w:pPr>
              <w:jc w:val="center"/>
              <w:rPr>
                <w:rFonts w:hint="eastAsia" w:ascii="宋体" w:hAnsi="宋体" w:eastAsia="宋体" w:cs="宋体"/>
                <w:i w:val="0"/>
                <w:iCs w:val="0"/>
                <w:color w:val="000000"/>
                <w:sz w:val="20"/>
                <w:szCs w:val="20"/>
                <w:u w:val="none"/>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AFE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FAB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草豆蔻</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B64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kg</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264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96.6</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059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姜科植物草豆蔻的干燥近成熟种子。</w:t>
            </w:r>
          </w:p>
        </w:tc>
        <w:tc>
          <w:tcPr>
            <w:tcW w:w="4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B22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品为类球形的种子团，直径1.5～2.7cm。表面灰褐色，中间有黄白色的隔膜,将种子团分成3瓣，每瓣有种子多数，粘连紧密，种子团略光滑。种子为卵圆状多面体，长3～5mm，直径约3mm，外被淡棕色膜质假种皮，种脊为一条纵沟，一端有种脐；质硬，将种子沿种脊纵剖两瓣，纵断面观呈斜心形，种皮沿种脊向内伸入部分约占整个表面积的1/2；胚乳灰白色。气香，味辛、微苦。</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AA0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统货</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15B77">
            <w:pPr>
              <w:jc w:val="center"/>
              <w:rPr>
                <w:rFonts w:hint="eastAsia" w:ascii="宋体" w:hAnsi="宋体" w:eastAsia="宋体" w:cs="宋体"/>
                <w:i w:val="0"/>
                <w:iCs w:val="0"/>
                <w:color w:val="000000"/>
                <w:sz w:val="18"/>
                <w:szCs w:val="18"/>
                <w:u w:val="none"/>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8A126">
            <w:pPr>
              <w:jc w:val="center"/>
              <w:rPr>
                <w:rFonts w:hint="eastAsia" w:ascii="宋体" w:hAnsi="宋体" w:eastAsia="宋体" w:cs="宋体"/>
                <w:i w:val="0"/>
                <w:iCs w:val="0"/>
                <w:color w:val="000000"/>
                <w:sz w:val="18"/>
                <w:szCs w:val="18"/>
                <w:u w:val="none"/>
              </w:rPr>
            </w:pPr>
          </w:p>
        </w:tc>
      </w:tr>
      <w:tr w14:paraId="6A29E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62" w:hRule="atLeast"/>
        </w:trPr>
        <w:tc>
          <w:tcPr>
            <w:tcW w:w="8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8A8404">
            <w:pPr>
              <w:jc w:val="center"/>
              <w:rPr>
                <w:rFonts w:hint="eastAsia" w:ascii="宋体" w:hAnsi="宋体" w:eastAsia="宋体" w:cs="宋体"/>
                <w:i w:val="0"/>
                <w:iCs w:val="0"/>
                <w:color w:val="000000"/>
                <w:sz w:val="20"/>
                <w:szCs w:val="20"/>
                <w:u w:val="none"/>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315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10</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5BA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炒白芍</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4B8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kg</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AD8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205.85</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275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毛茛科植物芍的干燥根</w:t>
            </w:r>
          </w:p>
        </w:tc>
        <w:tc>
          <w:tcPr>
            <w:tcW w:w="4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739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本品呈圆柱形，平直或稍弯曲，两端平截，长5~18cm，直径1~2.5cm。表面类白色或淡棕红色，光洁或有纵皱纹及丝根痕，偶有残存的棕褐色外皮。质坚实，不易折断，断面较平坦，类白色或微带棕红色，形成层环明显，射线放射状。气微，味微苦、酸</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4E7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统货</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2CC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附检验合格单</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559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表面微黄色或淡棕色水分不得超过10%</w:t>
            </w:r>
          </w:p>
        </w:tc>
      </w:tr>
      <w:tr w14:paraId="032A3D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9" w:hRule="atLeast"/>
        </w:trPr>
        <w:tc>
          <w:tcPr>
            <w:tcW w:w="8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351007">
            <w:pPr>
              <w:jc w:val="center"/>
              <w:rPr>
                <w:rFonts w:hint="eastAsia" w:ascii="宋体" w:hAnsi="宋体" w:eastAsia="宋体" w:cs="宋体"/>
                <w:i w:val="0"/>
                <w:iCs w:val="0"/>
                <w:color w:val="000000"/>
                <w:sz w:val="20"/>
                <w:szCs w:val="20"/>
                <w:u w:val="none"/>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CF7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11</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2B8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炒山楂</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AB3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kg</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B40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31.05</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926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蔷薇科植物山里红的干燥成熟果实。</w:t>
            </w:r>
          </w:p>
        </w:tc>
        <w:tc>
          <w:tcPr>
            <w:tcW w:w="4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3F3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本品为圆形片，皱缩不平，直径I~2.5cm，厚0.2~0.4cm。外皮红色，具皱纹，有灰白色小斑点。果肉深黄色至浅棕色。中部横切片具5粒浅黄色果核，但核多脱落而中空。有的片上可见短而细的果梗或花萼残迹。气清香，味酸，微甜</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D19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统货</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C1CF5">
            <w:pPr>
              <w:jc w:val="center"/>
              <w:rPr>
                <w:rFonts w:hint="eastAsia" w:ascii="宋体" w:hAnsi="宋体" w:eastAsia="宋体" w:cs="宋体"/>
                <w:i w:val="0"/>
                <w:iCs w:val="0"/>
                <w:color w:val="000000"/>
                <w:sz w:val="18"/>
                <w:szCs w:val="18"/>
                <w:u w:val="none"/>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B768C">
            <w:pPr>
              <w:jc w:val="center"/>
              <w:rPr>
                <w:rFonts w:hint="eastAsia" w:ascii="宋体" w:hAnsi="宋体" w:eastAsia="宋体" w:cs="宋体"/>
                <w:i w:val="0"/>
                <w:iCs w:val="0"/>
                <w:color w:val="000000"/>
                <w:sz w:val="18"/>
                <w:szCs w:val="18"/>
                <w:u w:val="none"/>
              </w:rPr>
            </w:pPr>
          </w:p>
        </w:tc>
      </w:tr>
      <w:tr w14:paraId="500DFC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8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FD18A4">
            <w:pPr>
              <w:jc w:val="center"/>
              <w:rPr>
                <w:rFonts w:hint="eastAsia" w:ascii="宋体" w:hAnsi="宋体" w:eastAsia="宋体" w:cs="宋体"/>
                <w:i w:val="0"/>
                <w:iCs w:val="0"/>
                <w:color w:val="000000"/>
                <w:sz w:val="20"/>
                <w:szCs w:val="20"/>
                <w:u w:val="none"/>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80E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12</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69B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赤芍</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C72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kg</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69B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94.3</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C43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毛茛科植物芍药或川赤芍的干燥根</w:t>
            </w:r>
          </w:p>
        </w:tc>
        <w:tc>
          <w:tcPr>
            <w:tcW w:w="4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CA0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类圆形切片，外表皮棕褐色，切面粉白色或粉红色，皮部窄，木部放射状纹理明显，有的还有裂隙</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0AF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统货</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4FF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附检验合格单</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62C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用芍药</w:t>
            </w:r>
          </w:p>
        </w:tc>
      </w:tr>
      <w:tr w14:paraId="0B320A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1" w:hRule="atLeast"/>
        </w:trPr>
        <w:tc>
          <w:tcPr>
            <w:tcW w:w="8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3A0A29">
            <w:pPr>
              <w:jc w:val="center"/>
              <w:rPr>
                <w:rFonts w:hint="eastAsia" w:ascii="宋体" w:hAnsi="宋体" w:eastAsia="宋体" w:cs="宋体"/>
                <w:i w:val="0"/>
                <w:iCs w:val="0"/>
                <w:color w:val="000000"/>
                <w:sz w:val="20"/>
                <w:szCs w:val="20"/>
                <w:u w:val="none"/>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A3D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13</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E0D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川楝子</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49C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kg</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D66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14.95</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460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楝科植物川楝的干燥成熟果实</w:t>
            </w:r>
          </w:p>
        </w:tc>
        <w:tc>
          <w:tcPr>
            <w:tcW w:w="4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193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类球形，直径2~3.2cm，表面金黄色至棕黄色，微有光泽。外果皮革质，与果肉间成空隙，果肉松软，淡黄色，遇水润湿显黏性。果核内分6-8室，气味特异，味酸、苦</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8FB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统货</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C4C47">
            <w:pPr>
              <w:jc w:val="center"/>
              <w:rPr>
                <w:rFonts w:hint="eastAsia" w:ascii="宋体" w:hAnsi="宋体" w:eastAsia="宋体" w:cs="宋体"/>
                <w:i w:val="0"/>
                <w:iCs w:val="0"/>
                <w:color w:val="000000"/>
                <w:sz w:val="18"/>
                <w:szCs w:val="18"/>
                <w:u w:val="none"/>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D9E3E">
            <w:pPr>
              <w:jc w:val="center"/>
              <w:rPr>
                <w:rFonts w:hint="eastAsia" w:ascii="宋体" w:hAnsi="宋体" w:eastAsia="宋体" w:cs="宋体"/>
                <w:i w:val="0"/>
                <w:iCs w:val="0"/>
                <w:color w:val="000000"/>
                <w:sz w:val="18"/>
                <w:szCs w:val="18"/>
                <w:u w:val="none"/>
              </w:rPr>
            </w:pPr>
          </w:p>
        </w:tc>
      </w:tr>
      <w:tr w14:paraId="5301D6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7" w:hRule="atLeast"/>
        </w:trPr>
        <w:tc>
          <w:tcPr>
            <w:tcW w:w="8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D8C703">
            <w:pPr>
              <w:jc w:val="center"/>
              <w:rPr>
                <w:rFonts w:hint="eastAsia" w:ascii="宋体" w:hAnsi="宋体" w:eastAsia="宋体" w:cs="宋体"/>
                <w:i w:val="0"/>
                <w:iCs w:val="0"/>
                <w:color w:val="000000"/>
                <w:sz w:val="20"/>
                <w:szCs w:val="20"/>
                <w:u w:val="none"/>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ED0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14</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269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川芎</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14B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kg</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8B8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57.5</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09E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伞形科植物川芎的干燥根茎。</w:t>
            </w:r>
          </w:p>
        </w:tc>
        <w:tc>
          <w:tcPr>
            <w:tcW w:w="4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A8F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本品为不规则结节状拳形团块，直径2~7cm。表面灰褐色或褐色，粗糙皱缩，有多数平行隆起的轮节，顶端有凹陷的类圆形茎痕，下侧及轮节上有多数小瘤状根痕。质坚实，不易折断，断面黄白色或灰黄色，散有黄棕色的油室，形成层环呈波状。气浓香，味苦、辛，稍有麻舌感，微回甜。</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108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统货</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925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附检验合格单</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20E3F">
            <w:pPr>
              <w:jc w:val="center"/>
              <w:rPr>
                <w:rFonts w:hint="eastAsia" w:ascii="宋体" w:hAnsi="宋体" w:eastAsia="宋体" w:cs="宋体"/>
                <w:i w:val="0"/>
                <w:iCs w:val="0"/>
                <w:color w:val="000000"/>
                <w:sz w:val="18"/>
                <w:szCs w:val="18"/>
                <w:u w:val="none"/>
              </w:rPr>
            </w:pPr>
          </w:p>
        </w:tc>
      </w:tr>
      <w:tr w14:paraId="11F2A0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1" w:hRule="atLeast"/>
        </w:trPr>
        <w:tc>
          <w:tcPr>
            <w:tcW w:w="8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3AD88C">
            <w:pPr>
              <w:jc w:val="center"/>
              <w:rPr>
                <w:rFonts w:hint="eastAsia" w:ascii="宋体" w:hAnsi="宋体" w:eastAsia="宋体" w:cs="宋体"/>
                <w:i w:val="0"/>
                <w:iCs w:val="0"/>
                <w:color w:val="000000"/>
                <w:sz w:val="20"/>
                <w:szCs w:val="20"/>
                <w:u w:val="none"/>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E7C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15</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2BD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磁石</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FF4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kg</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8F0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13.8</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0AC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为氧化物类矿物尖晶石族磁铁矿，主含四氧化三铁</w:t>
            </w:r>
          </w:p>
        </w:tc>
        <w:tc>
          <w:tcPr>
            <w:tcW w:w="4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BC0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本品为块状集合体，呈不规则块状，或略带方形，多具棱角。灰黑色或棕褐色，条痕黑色，具金属光泽。体重，质坚硬，断面不整齐。具磁性。有土腥气，味淡。</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19C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统货</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E7304">
            <w:pPr>
              <w:jc w:val="center"/>
              <w:rPr>
                <w:rFonts w:hint="eastAsia" w:ascii="宋体" w:hAnsi="宋体" w:eastAsia="宋体" w:cs="宋体"/>
                <w:i w:val="0"/>
                <w:iCs w:val="0"/>
                <w:color w:val="000000"/>
                <w:sz w:val="18"/>
                <w:szCs w:val="18"/>
                <w:u w:val="none"/>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2DD35">
            <w:pPr>
              <w:jc w:val="center"/>
              <w:rPr>
                <w:rFonts w:hint="eastAsia" w:ascii="宋体" w:hAnsi="宋体" w:eastAsia="宋体" w:cs="宋体"/>
                <w:i w:val="0"/>
                <w:iCs w:val="0"/>
                <w:color w:val="000000"/>
                <w:sz w:val="18"/>
                <w:szCs w:val="18"/>
                <w:u w:val="none"/>
              </w:rPr>
            </w:pPr>
          </w:p>
        </w:tc>
      </w:tr>
      <w:tr w14:paraId="4F6712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1" w:hRule="atLeast"/>
        </w:trPr>
        <w:tc>
          <w:tcPr>
            <w:tcW w:w="8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88B870">
            <w:pPr>
              <w:jc w:val="center"/>
              <w:rPr>
                <w:rFonts w:hint="eastAsia" w:ascii="宋体" w:hAnsi="宋体" w:eastAsia="宋体" w:cs="宋体"/>
                <w:i w:val="0"/>
                <w:iCs w:val="0"/>
                <w:color w:val="000000"/>
                <w:sz w:val="20"/>
                <w:szCs w:val="20"/>
                <w:u w:val="none"/>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C3A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16</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95D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大腹皮</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9BA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kg</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FE0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29.9</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BF3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本品为棕榈科植物槟榔.的干燥果皮。</w:t>
            </w:r>
          </w:p>
        </w:tc>
        <w:tc>
          <w:tcPr>
            <w:tcW w:w="4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D9C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略呈椭圆形或瓢状。外果皮多已脱落或残存。中果皮棕毛状，黄白色或淡棕色，疏松质柔。内果皮硬壳状，黄棕色或棕色，内表面光滑，有时纵向破裂。气微，味淡。</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FA8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统货</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2F3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附检验合格单</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06A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水检</w:t>
            </w:r>
          </w:p>
        </w:tc>
      </w:tr>
      <w:tr w14:paraId="260099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8" w:hRule="atLeast"/>
        </w:trPr>
        <w:tc>
          <w:tcPr>
            <w:tcW w:w="8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2A2D7E">
            <w:pPr>
              <w:jc w:val="center"/>
              <w:rPr>
                <w:rFonts w:hint="eastAsia" w:ascii="宋体" w:hAnsi="宋体" w:eastAsia="宋体" w:cs="宋体"/>
                <w:i w:val="0"/>
                <w:iCs w:val="0"/>
                <w:color w:val="000000"/>
                <w:sz w:val="20"/>
                <w:szCs w:val="20"/>
                <w:u w:val="none"/>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5D8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17</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C2F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淡豆豉</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DA7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kg</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FCB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109</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C29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豆科大豆的成熟种子发酵加工品</w:t>
            </w:r>
          </w:p>
        </w:tc>
        <w:tc>
          <w:tcPr>
            <w:tcW w:w="4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B48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取桑叶、青蒿各70～100g，加水煎煮，滤过，煎液拌入净大豆1000g中，俟吸尽后，蒸透，取出，稍晾，再置容器内，用煎过的桑叶、青蒿渣覆盖，闷使发酵至黄衣上遍时，取出，除去药渣，洗净，置容器内再闷15～20天，至充分发酵、香气溢出时，取出，略蒸，干燥，即得。【性状】本品呈椭圆形，略扁，长0.6～1cm，直径0.5～0.7cm。表面黑色，皱缩不平。质柔软，断面棕黑色。气香，味微甘。</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DF9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统货</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929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附检验合格单</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82D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表面被白霜，断面棕黑色</w:t>
            </w:r>
          </w:p>
        </w:tc>
      </w:tr>
      <w:tr w14:paraId="4E6A04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0" w:hRule="atLeast"/>
        </w:trPr>
        <w:tc>
          <w:tcPr>
            <w:tcW w:w="8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74F1BE">
            <w:pPr>
              <w:jc w:val="center"/>
              <w:rPr>
                <w:rFonts w:hint="eastAsia" w:ascii="宋体" w:hAnsi="宋体" w:eastAsia="宋体" w:cs="宋体"/>
                <w:i w:val="0"/>
                <w:iCs w:val="0"/>
                <w:color w:val="000000"/>
                <w:sz w:val="20"/>
                <w:szCs w:val="20"/>
                <w:u w:val="none"/>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BDD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18</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D88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丁香</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024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kg</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33E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158</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9ED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桃金娘科丁香的干燥花蕾</w:t>
            </w:r>
          </w:p>
        </w:tc>
        <w:tc>
          <w:tcPr>
            <w:tcW w:w="4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3D5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本品略呈研棒状，长1～2cm。花冠圆球形，直径0.3～0.5cm，花瓣4，复瓦状抱合，棕褐色或褐黄色，花瓣内为雄蕊和花柱，搓碎后可见众多黄色细粒状的花药。萼筒圆柱状，略扁，有的稍弯曲，长0.7～1.4cm，直径0.3～0.6cm，红棕色或棕褐色，上部有4枚三角状的萼片，十字状分开。质坚实，富油性。气芳香浓烈，味辛辣、有麻舌感。</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CA1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统货</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733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附检验合格单</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6B3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气味浓烈</w:t>
            </w:r>
          </w:p>
        </w:tc>
      </w:tr>
      <w:tr w14:paraId="6F7611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62" w:hRule="atLeast"/>
        </w:trPr>
        <w:tc>
          <w:tcPr>
            <w:tcW w:w="8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6D78F3">
            <w:pPr>
              <w:jc w:val="center"/>
              <w:rPr>
                <w:rFonts w:hint="eastAsia" w:ascii="宋体" w:hAnsi="宋体" w:eastAsia="宋体" w:cs="宋体"/>
                <w:i w:val="0"/>
                <w:iCs w:val="0"/>
                <w:color w:val="000000"/>
                <w:sz w:val="20"/>
                <w:szCs w:val="20"/>
                <w:u w:val="none"/>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288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19</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E33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茯苓</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808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kg</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3FB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79</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2BD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多孔菌科真菌茯苓的干</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燥菌核。多于7～9月采挖，挖出后除去泥沙，堆置“发汗”后，摊开晾至表面干燥，再“发汗”，反复数次至现皱纹、内部水分大部散失后，阴干，称为“茯苓个”；或将鲜茯苓按不同部位切制，阴干，分别称为“茯苓块”和“茯苓片”。</w:t>
            </w:r>
          </w:p>
        </w:tc>
        <w:tc>
          <w:tcPr>
            <w:tcW w:w="4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BF0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茯苓个呈类球形、椭圆形、扁圆形或不规则团块，大小不一。外皮薄而粗糙，棕褐色至黑褐色，有明显的皱缩纹理。体重，质坚实，断面颗粒性，有的具裂隙，外层淡棕色，内部白色，少数淡红色，有的中间抱有松根。气微，味淡，嚼之粘牙。茯苓块为去皮后切制的茯苓，呈立方块状或方块状厚片，大小不一。白色、淡红色或淡棕色。茯苓片为去皮后切制的茯苓，呈不规则厚片，厚薄不一。白色、淡红色或淡棕色。</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906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统货</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74A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附检验合格单</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7C9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茯苓块，质地实，翠碎屑小于5%</w:t>
            </w:r>
          </w:p>
        </w:tc>
      </w:tr>
      <w:tr w14:paraId="77B113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7" w:hRule="atLeast"/>
        </w:trPr>
        <w:tc>
          <w:tcPr>
            <w:tcW w:w="8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9C8C38">
            <w:pPr>
              <w:jc w:val="center"/>
              <w:rPr>
                <w:rFonts w:hint="eastAsia" w:ascii="宋体" w:hAnsi="宋体" w:eastAsia="宋体" w:cs="宋体"/>
                <w:i w:val="0"/>
                <w:iCs w:val="0"/>
                <w:color w:val="000000"/>
                <w:sz w:val="20"/>
                <w:szCs w:val="20"/>
                <w:u w:val="none"/>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BD8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36F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甘草片</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D56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kg</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EB2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45.6435</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87C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豆科植物甘草胀果甘草根和根茎</w:t>
            </w:r>
          </w:p>
        </w:tc>
        <w:tc>
          <w:tcPr>
            <w:tcW w:w="4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B97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甘草根呈圆柱形，长25~100cm，直径0.6~3.5cm。外皮松紧不一。表面红棕色或灰棕色，具显著的纵皱纹、沟纹、皮孔及稀疏的细根痕。质坚实，断面略显纤维性，黄白色，粉性，形成层环明显，射线放射状，有的有裂隙。根茎呈圆柱形，表面有芽痕，断面中部有髓。气微，味甜而特殊。</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840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统货</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39B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附检验合格单</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CA3C0">
            <w:pPr>
              <w:jc w:val="center"/>
              <w:rPr>
                <w:rFonts w:hint="eastAsia" w:ascii="宋体" w:hAnsi="宋体" w:eastAsia="宋体" w:cs="宋体"/>
                <w:i w:val="0"/>
                <w:iCs w:val="0"/>
                <w:color w:val="000000"/>
                <w:sz w:val="18"/>
                <w:szCs w:val="18"/>
                <w:u w:val="none"/>
              </w:rPr>
            </w:pPr>
          </w:p>
        </w:tc>
      </w:tr>
      <w:tr w14:paraId="606441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8" w:hRule="atLeast"/>
        </w:trPr>
        <w:tc>
          <w:tcPr>
            <w:tcW w:w="8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02D9AF">
            <w:pPr>
              <w:jc w:val="center"/>
              <w:rPr>
                <w:rFonts w:hint="eastAsia" w:ascii="宋体" w:hAnsi="宋体" w:eastAsia="宋体" w:cs="宋体"/>
                <w:i w:val="0"/>
                <w:iCs w:val="0"/>
                <w:color w:val="000000"/>
                <w:sz w:val="20"/>
                <w:szCs w:val="20"/>
                <w:u w:val="none"/>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963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21</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138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藁本片</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35F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kg</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F7A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131.1</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2CD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伞形科植物藁本或辽薹本.的干燥根茎和根。</w:t>
            </w:r>
          </w:p>
        </w:tc>
        <w:tc>
          <w:tcPr>
            <w:tcW w:w="4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719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本品呈不规则的厚片。外表皮棕褐色至黑褐色，粗糙。切面黄白色至浅黄褐色，具裂隙或孔洞，纤维性。气浓香，味辛、苦、微麻。</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01B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统货</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DA8D3">
            <w:pPr>
              <w:jc w:val="center"/>
              <w:rPr>
                <w:rFonts w:hint="eastAsia" w:ascii="宋体" w:hAnsi="宋体" w:eastAsia="宋体" w:cs="宋体"/>
                <w:i w:val="0"/>
                <w:iCs w:val="0"/>
                <w:color w:val="000000"/>
                <w:sz w:val="18"/>
                <w:szCs w:val="18"/>
                <w:u w:val="none"/>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09C7F">
            <w:pPr>
              <w:jc w:val="center"/>
              <w:rPr>
                <w:rFonts w:hint="eastAsia" w:ascii="宋体" w:hAnsi="宋体" w:eastAsia="宋体" w:cs="宋体"/>
                <w:i w:val="0"/>
                <w:iCs w:val="0"/>
                <w:color w:val="000000"/>
                <w:sz w:val="18"/>
                <w:szCs w:val="18"/>
                <w:u w:val="none"/>
              </w:rPr>
            </w:pPr>
          </w:p>
        </w:tc>
      </w:tr>
      <w:tr w14:paraId="0D5A3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62" w:hRule="atLeast"/>
        </w:trPr>
        <w:tc>
          <w:tcPr>
            <w:tcW w:w="8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A959D7">
            <w:pPr>
              <w:jc w:val="center"/>
              <w:rPr>
                <w:rFonts w:hint="eastAsia" w:ascii="宋体" w:hAnsi="宋体" w:eastAsia="宋体" w:cs="宋体"/>
                <w:i w:val="0"/>
                <w:iCs w:val="0"/>
                <w:color w:val="000000"/>
                <w:sz w:val="20"/>
                <w:szCs w:val="20"/>
                <w:u w:val="none"/>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898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22</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E7A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枸杞子</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739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kg</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3AF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92</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1B6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茄科植物宁夏枸杞的干燥成熟果实。夏、秋二季果实呈红色时采收，热风烘干，除去果梗，或晾至皮皱后，晒干，除去果梗</w:t>
            </w:r>
          </w:p>
        </w:tc>
        <w:tc>
          <w:tcPr>
            <w:tcW w:w="4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6CB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本品呈类纺锤形或椭圆形，长6～20mm，直径3～10mm。表面红色或暗红色，顶端有小突起状的花柱痕，基部有白色的果梗痕。果皮柔韧，皱缩；果肉肉质，柔润。种子20～50粒，类肾形，扁而翘，长1.5～1.9mm，宽1～1.7mm，表面浅黄色或棕黄色。气微，味甜。</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206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统货</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98B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附检验合格单</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E5D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类纺锤</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形，无硫无返碱现象，先甜后苦</w:t>
            </w:r>
          </w:p>
        </w:tc>
      </w:tr>
      <w:tr w14:paraId="3C1D6A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1" w:hRule="atLeast"/>
        </w:trPr>
        <w:tc>
          <w:tcPr>
            <w:tcW w:w="8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53CDFF">
            <w:pPr>
              <w:jc w:val="center"/>
              <w:rPr>
                <w:rFonts w:hint="eastAsia" w:ascii="宋体" w:hAnsi="宋体" w:eastAsia="宋体" w:cs="宋体"/>
                <w:i w:val="0"/>
                <w:iCs w:val="0"/>
                <w:color w:val="000000"/>
                <w:sz w:val="20"/>
                <w:szCs w:val="20"/>
                <w:u w:val="none"/>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7BB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23</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AE2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黑顺片</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61F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kg</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6AF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164</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F93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毛茛科乌头，子根加工品。</w:t>
            </w:r>
          </w:p>
        </w:tc>
        <w:tc>
          <w:tcPr>
            <w:tcW w:w="4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3CD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为纵切片，上宽下窄，长1.7-5cm，宽0.9-3cm，厚0.2-0.5cm，外皮黑褐色，切面暗黄色，油润具光泽，半透明状，并有纵向导管束。质硬而脆，断面角质样。气微味淡。</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B2C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统货</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8CE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附检验合格单</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B9E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半透明倒三角状，直径1cm以上</w:t>
            </w:r>
          </w:p>
        </w:tc>
      </w:tr>
      <w:tr w14:paraId="245FE2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64" w:hRule="atLeast"/>
        </w:trPr>
        <w:tc>
          <w:tcPr>
            <w:tcW w:w="8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2CEC8E">
            <w:pPr>
              <w:jc w:val="center"/>
              <w:rPr>
                <w:rFonts w:hint="eastAsia" w:ascii="宋体" w:hAnsi="宋体" w:eastAsia="宋体" w:cs="宋体"/>
                <w:i w:val="0"/>
                <w:iCs w:val="0"/>
                <w:color w:val="000000"/>
                <w:sz w:val="20"/>
                <w:szCs w:val="20"/>
                <w:u w:val="none"/>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2AD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24</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4BD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花椒</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CAE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kg</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92D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116</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43B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芸香科青椒或花椒干燥成熟果皮</w:t>
            </w:r>
          </w:p>
        </w:tc>
        <w:tc>
          <w:tcPr>
            <w:tcW w:w="4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EF3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青椒多为2～3个上部离生的小蓇葖果，集生于小果梗上，蓇葖果球形，沿腹缝线开裂，直径3～4mm。外表面灰绿色或暗绿色，散有多数油点和细密的网状隆起皱纹；内表面类白色，光滑。内果皮常由基部与外果皮分离。残存种子呈卵形，长3～4mm，直径2～3mm，表面黑色，有光泽。气香，味微甜而辛。花椒蓇葖果多单生，直径4～5mm。外表面紫红色或棕红色，散有多数疣状突起的油点，直径0.5～1mm，对光观察半透明；内表面淡黄色。香气浓，味麻辣而持久。</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785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统货</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C9D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附检验合格单</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AB1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皮厚，椒目少</w:t>
            </w:r>
          </w:p>
        </w:tc>
      </w:tr>
      <w:tr w14:paraId="34354F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2" w:hRule="atLeast"/>
        </w:trPr>
        <w:tc>
          <w:tcPr>
            <w:tcW w:w="8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ABA046">
            <w:pPr>
              <w:jc w:val="center"/>
              <w:rPr>
                <w:rFonts w:hint="eastAsia" w:ascii="宋体" w:hAnsi="宋体" w:eastAsia="宋体" w:cs="宋体"/>
                <w:i w:val="0"/>
                <w:iCs w:val="0"/>
                <w:color w:val="000000"/>
                <w:sz w:val="20"/>
                <w:szCs w:val="20"/>
                <w:u w:val="none"/>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97C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25</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223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滑石</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B3A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kg</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76A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18.17</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2EB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本品为硅酸盐类矿物滑石族滑石,主含含水硅酸镁，釆挖后,除去泥沙和杂石</w:t>
            </w:r>
          </w:p>
        </w:tc>
        <w:tc>
          <w:tcPr>
            <w:tcW w:w="4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EEB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白色或类白色、微细、无砂性的粉末，手摸有油腻感，无臭，无味。</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2FB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统货</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7135A">
            <w:pPr>
              <w:jc w:val="center"/>
              <w:rPr>
                <w:rFonts w:hint="eastAsia" w:ascii="宋体" w:hAnsi="宋体" w:eastAsia="宋体" w:cs="宋体"/>
                <w:i w:val="0"/>
                <w:iCs w:val="0"/>
                <w:color w:val="000000"/>
                <w:sz w:val="18"/>
                <w:szCs w:val="18"/>
                <w:u w:val="none"/>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68C54">
            <w:pPr>
              <w:jc w:val="center"/>
              <w:rPr>
                <w:rFonts w:hint="eastAsia" w:ascii="宋体" w:hAnsi="宋体" w:eastAsia="宋体" w:cs="宋体"/>
                <w:i w:val="0"/>
                <w:iCs w:val="0"/>
                <w:color w:val="000000"/>
                <w:sz w:val="18"/>
                <w:szCs w:val="18"/>
                <w:u w:val="none"/>
              </w:rPr>
            </w:pPr>
          </w:p>
        </w:tc>
      </w:tr>
      <w:tr w14:paraId="0F26EB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5" w:hRule="atLeast"/>
        </w:trPr>
        <w:tc>
          <w:tcPr>
            <w:tcW w:w="8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3073F4">
            <w:pPr>
              <w:jc w:val="center"/>
              <w:rPr>
                <w:rFonts w:hint="eastAsia" w:ascii="宋体" w:hAnsi="宋体" w:eastAsia="宋体" w:cs="宋体"/>
                <w:i w:val="0"/>
                <w:iCs w:val="0"/>
                <w:color w:val="000000"/>
                <w:sz w:val="20"/>
                <w:szCs w:val="20"/>
                <w:u w:val="none"/>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4DE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26</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6D1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黄连片</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B8D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kg</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E42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707.25</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AC0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茛科植物黄连三角叶黄连干燥根茎</w:t>
            </w:r>
          </w:p>
        </w:tc>
        <w:tc>
          <w:tcPr>
            <w:tcW w:w="4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269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不规则的薄片。外表皮灰黄色或黄褐色，粗糙，有细小的须根。切面或碎断面鲜黄色或红黄色，具放射状纹理，气微，味极苦。</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13B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统货</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CA2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附检验合格单</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9C40B">
            <w:pPr>
              <w:jc w:val="center"/>
              <w:rPr>
                <w:rFonts w:hint="eastAsia" w:ascii="宋体" w:hAnsi="宋体" w:eastAsia="宋体" w:cs="宋体"/>
                <w:i w:val="0"/>
                <w:iCs w:val="0"/>
                <w:color w:val="000000"/>
                <w:sz w:val="18"/>
                <w:szCs w:val="18"/>
                <w:u w:val="none"/>
              </w:rPr>
            </w:pPr>
          </w:p>
        </w:tc>
      </w:tr>
      <w:tr w14:paraId="624AD3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8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A81671">
            <w:pPr>
              <w:jc w:val="center"/>
              <w:rPr>
                <w:rFonts w:hint="eastAsia" w:ascii="宋体" w:hAnsi="宋体" w:eastAsia="宋体" w:cs="宋体"/>
                <w:i w:val="0"/>
                <w:iCs w:val="0"/>
                <w:color w:val="000000"/>
                <w:sz w:val="20"/>
                <w:szCs w:val="20"/>
                <w:u w:val="none"/>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0B8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27</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AB6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鸡内金</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3DD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kg</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72C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14.95</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C84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家鸡的干燥砂囊内壁</w:t>
            </w:r>
          </w:p>
        </w:tc>
        <w:tc>
          <w:tcPr>
            <w:tcW w:w="4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268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本品为不规则卷片，厚约2mm。表面黄色、黄绿色或黄褐色，薄而半透明，具明显的条状皱纹。质脆，易碎，断面角质样，有光泽。气微腥，味微苦。</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FDA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统货</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F70C6">
            <w:pPr>
              <w:jc w:val="center"/>
              <w:rPr>
                <w:rFonts w:hint="eastAsia" w:ascii="宋体" w:hAnsi="宋体" w:eastAsia="宋体" w:cs="宋体"/>
                <w:i w:val="0"/>
                <w:iCs w:val="0"/>
                <w:color w:val="000000"/>
                <w:sz w:val="18"/>
                <w:szCs w:val="18"/>
                <w:u w:val="none"/>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73147">
            <w:pPr>
              <w:jc w:val="center"/>
              <w:rPr>
                <w:rFonts w:hint="eastAsia" w:ascii="宋体" w:hAnsi="宋体" w:eastAsia="宋体" w:cs="宋体"/>
                <w:i w:val="0"/>
                <w:iCs w:val="0"/>
                <w:color w:val="000000"/>
                <w:sz w:val="18"/>
                <w:szCs w:val="18"/>
                <w:u w:val="none"/>
              </w:rPr>
            </w:pPr>
          </w:p>
        </w:tc>
      </w:tr>
      <w:tr w14:paraId="2F3354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7" w:hRule="atLeast"/>
        </w:trPr>
        <w:tc>
          <w:tcPr>
            <w:tcW w:w="8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C18DE7">
            <w:pPr>
              <w:jc w:val="center"/>
              <w:rPr>
                <w:rFonts w:hint="eastAsia" w:ascii="宋体" w:hAnsi="宋体" w:eastAsia="宋体" w:cs="宋体"/>
                <w:i w:val="0"/>
                <w:iCs w:val="0"/>
                <w:color w:val="000000"/>
                <w:sz w:val="20"/>
                <w:szCs w:val="20"/>
                <w:u w:val="none"/>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6F9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28</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BC0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姜黄</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6AB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kg</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062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43.7</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E45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姜科植物姜黄的干燥根茎</w:t>
            </w:r>
          </w:p>
        </w:tc>
        <w:tc>
          <w:tcPr>
            <w:tcW w:w="4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A6E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本品呈不规则卵圆形、圆柱形或纺锤形，常弯曲，有的具短叉状分枝，长2~5cm，直径I～3cm。表面深黄色，粗糙，有皱缩纹理和明显环节，并有圆形分枝痕及须根痕。质坚实，不易折断，断面棕黄色至金黄色，角质样，有蜡样光泽，内皮层环纹明显，维管束呈点状散在。气香特异，味苦、辛。</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ED4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统货</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AE221">
            <w:pPr>
              <w:jc w:val="center"/>
              <w:rPr>
                <w:rFonts w:hint="eastAsia" w:ascii="宋体" w:hAnsi="宋体" w:eastAsia="宋体" w:cs="宋体"/>
                <w:i w:val="0"/>
                <w:iCs w:val="0"/>
                <w:color w:val="000000"/>
                <w:sz w:val="18"/>
                <w:szCs w:val="18"/>
                <w:u w:val="none"/>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E9D67">
            <w:pPr>
              <w:jc w:val="center"/>
              <w:rPr>
                <w:rFonts w:hint="eastAsia" w:ascii="宋体" w:hAnsi="宋体" w:eastAsia="宋体" w:cs="宋体"/>
                <w:i w:val="0"/>
                <w:iCs w:val="0"/>
                <w:color w:val="000000"/>
                <w:sz w:val="18"/>
                <w:szCs w:val="18"/>
                <w:u w:val="none"/>
              </w:rPr>
            </w:pPr>
          </w:p>
        </w:tc>
      </w:tr>
      <w:tr w14:paraId="607340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5" w:hRule="atLeast"/>
        </w:trPr>
        <w:tc>
          <w:tcPr>
            <w:tcW w:w="8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80E1B8">
            <w:pPr>
              <w:jc w:val="center"/>
              <w:rPr>
                <w:rFonts w:hint="eastAsia" w:ascii="宋体" w:hAnsi="宋体" w:eastAsia="宋体" w:cs="宋体"/>
                <w:i w:val="0"/>
                <w:iCs w:val="0"/>
                <w:color w:val="000000"/>
                <w:sz w:val="20"/>
                <w:szCs w:val="20"/>
                <w:u w:val="none"/>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E88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29</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4C5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荆芥</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AF2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kg</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65A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46</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1D1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唇形科植物荆芥的干燥地上部分。夏、秋二季花开到顶、穗绿时采割，除去杂质，晒干。</w:t>
            </w:r>
          </w:p>
        </w:tc>
        <w:tc>
          <w:tcPr>
            <w:tcW w:w="4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57D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本品呈不规则的段。茎呈方柱形，表面淡黄绿色或淡紫红色，被短柔毛。切面类白色。叶多已脱落。穗状轮伞花序。气芳香，味微涩而辛凉。</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AC1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统货</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7F5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附检验合格单</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C59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穗状花序，叶黄绿色，背部有绒毛</w:t>
            </w:r>
          </w:p>
        </w:tc>
      </w:tr>
      <w:tr w14:paraId="607AFA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13" w:hRule="atLeast"/>
        </w:trPr>
        <w:tc>
          <w:tcPr>
            <w:tcW w:w="8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C9E452">
            <w:pPr>
              <w:jc w:val="center"/>
              <w:rPr>
                <w:rFonts w:hint="eastAsia" w:ascii="宋体" w:hAnsi="宋体" w:eastAsia="宋体" w:cs="宋体"/>
                <w:i w:val="0"/>
                <w:iCs w:val="0"/>
                <w:color w:val="000000"/>
                <w:sz w:val="20"/>
                <w:szCs w:val="20"/>
                <w:u w:val="none"/>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64A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30</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9CC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桔梗</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9BF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kg</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D7B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101.58</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EA6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桔梗科植物桔梗的干燥根</w:t>
            </w:r>
          </w:p>
        </w:tc>
        <w:tc>
          <w:tcPr>
            <w:tcW w:w="4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0C9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本品呈圆柱形或略呈纺锤形，下部渐细，有的有分枝，略扭曲，长7~20cm，直径0.7~2cm。表面淡黄白色至黄色，不去外皮者表面黄棕色至灰棕色，具纵扭皱沟，并有横长的皮孔样斑痕及支根痕，上部有横纹。有的顶端有较短的根茎或不明显，其上有数个半月形茎痕。质脆，断面不平坦，形成层环棕色，皮部黄白色，有裂隙，木部淡黄色。气微，味微甜后苦。</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318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统货</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7B318">
            <w:pPr>
              <w:jc w:val="center"/>
              <w:rPr>
                <w:rFonts w:hint="eastAsia" w:ascii="宋体" w:hAnsi="宋体" w:eastAsia="宋体" w:cs="宋体"/>
                <w:i w:val="0"/>
                <w:iCs w:val="0"/>
                <w:color w:val="000000"/>
                <w:sz w:val="18"/>
                <w:szCs w:val="18"/>
                <w:u w:val="none"/>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FAF07">
            <w:pPr>
              <w:jc w:val="center"/>
              <w:rPr>
                <w:rFonts w:hint="eastAsia" w:ascii="宋体" w:hAnsi="宋体" w:eastAsia="宋体" w:cs="宋体"/>
                <w:i w:val="0"/>
                <w:iCs w:val="0"/>
                <w:color w:val="000000"/>
                <w:sz w:val="18"/>
                <w:szCs w:val="18"/>
                <w:u w:val="none"/>
              </w:rPr>
            </w:pPr>
          </w:p>
        </w:tc>
      </w:tr>
      <w:tr w14:paraId="30CF71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87" w:hRule="atLeast"/>
        </w:trPr>
        <w:tc>
          <w:tcPr>
            <w:tcW w:w="8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1C0EEA">
            <w:pPr>
              <w:jc w:val="center"/>
              <w:rPr>
                <w:rFonts w:hint="eastAsia" w:ascii="宋体" w:hAnsi="宋体" w:eastAsia="宋体" w:cs="宋体"/>
                <w:i w:val="0"/>
                <w:iCs w:val="0"/>
                <w:color w:val="000000"/>
                <w:sz w:val="20"/>
                <w:szCs w:val="20"/>
                <w:u w:val="none"/>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54D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31</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C3F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菊花</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4C4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kg</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1B4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141</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A8D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菊科植物菊的干燥头状花序。9～11月花盛开时分批采收，阴干或焙干，或熏、蒸后晒干。药材按产地和加工方法不同，分为“亳菊”、“滁菊”、“贡菊”、“杭菊”、“怀菊”。</w:t>
            </w:r>
          </w:p>
        </w:tc>
        <w:tc>
          <w:tcPr>
            <w:tcW w:w="4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0F9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亳菊呈倒圆锥形或圆筒形，有时稍压扁呈扇形，直径1.5～3cm，离散。总苞碟状；总苞片3～4层，卵形或椭圆形，草质，黄绿色或褐绿色，外面被柔毛，边缘膜质。花托半球形，无托片或托毛。舌状花数层，雌性，位于外围，类白色，劲直，上举，纵向折缩，散生金黄色腺点；管状花多数，两性，位于中央，为舌状花所隐藏，黄色，顶端5齿裂。瘦果不发育，无冠毛。体轻，质柔润，干时松脆。气清香，味甘、微苦。滁菊呈不规则球形或扁球形，直径1.5～2.5cm。舌状花类白色，不规则扭曲，内卷，边缘皱缩，有时可见淡褐色腺点；管状花大多隐藏。贡菊呈扁球形或不规则球形，直径1.5～2.5cm。舌状花白色或类白色，斜升，上部反折，边缘稍内卷而皱缩，通常无腺点；管状花少，外露。</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杭菊呈碟形或扁球形，直径2.5～4cm，常数个相连成片。舌状花类白色或黄色，平展或微折叠，彼此粘连，通常无腺点；管状花多数，外露。</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怀菊呈不规则球形或扁球形，直径1.5～2.5cm。多数为舌状花，舌状花类白色或黄色，不规则扭曲，内卷，边缘皱缩，有时可见腺点；管状花大多隐藏。</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D86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统货</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9A79E">
            <w:pPr>
              <w:jc w:val="center"/>
              <w:rPr>
                <w:rFonts w:hint="eastAsia" w:ascii="宋体" w:hAnsi="宋体" w:eastAsia="宋体" w:cs="宋体"/>
                <w:i w:val="0"/>
                <w:iCs w:val="0"/>
                <w:color w:val="000000"/>
                <w:sz w:val="18"/>
                <w:szCs w:val="18"/>
                <w:u w:val="none"/>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84592">
            <w:pPr>
              <w:jc w:val="center"/>
              <w:rPr>
                <w:rFonts w:hint="eastAsia" w:ascii="宋体" w:hAnsi="宋体" w:eastAsia="宋体" w:cs="宋体"/>
                <w:i w:val="0"/>
                <w:iCs w:val="0"/>
                <w:color w:val="000000"/>
                <w:sz w:val="18"/>
                <w:szCs w:val="18"/>
                <w:u w:val="none"/>
              </w:rPr>
            </w:pPr>
          </w:p>
        </w:tc>
      </w:tr>
      <w:tr w14:paraId="330FA0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9" w:hRule="atLeast"/>
        </w:trPr>
        <w:tc>
          <w:tcPr>
            <w:tcW w:w="8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D15737">
            <w:pPr>
              <w:jc w:val="center"/>
              <w:rPr>
                <w:rFonts w:hint="eastAsia" w:ascii="宋体" w:hAnsi="宋体" w:eastAsia="宋体" w:cs="宋体"/>
                <w:i w:val="0"/>
                <w:iCs w:val="0"/>
                <w:color w:val="000000"/>
                <w:sz w:val="20"/>
                <w:szCs w:val="20"/>
                <w:u w:val="none"/>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713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32</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D22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苦参</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351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kg</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FB3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71</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0D8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豆科植物苦参的干燥根。春、秋二季采挖，除去根头和小支根，洗净，干燥，或趁鲜切片，干燥。</w:t>
            </w:r>
          </w:p>
        </w:tc>
        <w:tc>
          <w:tcPr>
            <w:tcW w:w="4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416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本品呈类圆形或不规则形的厚片。外表皮灰棕色或棕黄色，有时可见横长皮孔样突起，外皮薄，常破裂反卷或脱落，脱落处显黄色或棕黄色，光滑。切面黄白色，纤维性，具放射状纹理和裂隙，有的可见同心性环纹。气微，味极苦。</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451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统货</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991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附检验合格单</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0B7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直径大于1.5cm</w:t>
            </w:r>
          </w:p>
        </w:tc>
      </w:tr>
      <w:tr w14:paraId="011DBE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6" w:hRule="atLeast"/>
        </w:trPr>
        <w:tc>
          <w:tcPr>
            <w:tcW w:w="8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A4E40E">
            <w:pPr>
              <w:jc w:val="center"/>
              <w:rPr>
                <w:rFonts w:hint="eastAsia" w:ascii="宋体" w:hAnsi="宋体" w:eastAsia="宋体" w:cs="宋体"/>
                <w:i w:val="0"/>
                <w:iCs w:val="0"/>
                <w:color w:val="000000"/>
                <w:sz w:val="20"/>
                <w:szCs w:val="20"/>
                <w:u w:val="none"/>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1AE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33</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278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莱菔子</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05F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kg</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D2D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40.25</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374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十字花科植物萝卜的干燥成熟种子</w:t>
            </w:r>
          </w:p>
        </w:tc>
        <w:tc>
          <w:tcPr>
            <w:tcW w:w="4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8AE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本品呈类卵圆形或椭圆形，稍扁，长2.5~4mm，宽2~3mm。表面黄棕色、红棕色或灰棕色。一端有深棕色圆形种脐，一侧有数条纵沟。种皮薄而脆，子叶2，黄白色，有油性。气微，味淡、微苦辛。</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416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统货</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1D655">
            <w:pPr>
              <w:jc w:val="center"/>
              <w:rPr>
                <w:rFonts w:hint="eastAsia" w:ascii="宋体" w:hAnsi="宋体" w:eastAsia="宋体" w:cs="宋体"/>
                <w:i w:val="0"/>
                <w:iCs w:val="0"/>
                <w:color w:val="000000"/>
                <w:sz w:val="18"/>
                <w:szCs w:val="18"/>
                <w:u w:val="none"/>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B64D8">
            <w:pPr>
              <w:jc w:val="center"/>
              <w:rPr>
                <w:rFonts w:hint="eastAsia" w:ascii="宋体" w:hAnsi="宋体" w:eastAsia="宋体" w:cs="宋体"/>
                <w:i w:val="0"/>
                <w:iCs w:val="0"/>
                <w:color w:val="000000"/>
                <w:sz w:val="18"/>
                <w:szCs w:val="18"/>
                <w:u w:val="none"/>
              </w:rPr>
            </w:pPr>
          </w:p>
        </w:tc>
      </w:tr>
      <w:tr w14:paraId="443013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8" w:hRule="atLeast"/>
        </w:trPr>
        <w:tc>
          <w:tcPr>
            <w:tcW w:w="8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0F34AA">
            <w:pPr>
              <w:jc w:val="center"/>
              <w:rPr>
                <w:rFonts w:hint="eastAsia" w:ascii="宋体" w:hAnsi="宋体" w:eastAsia="宋体" w:cs="宋体"/>
                <w:i w:val="0"/>
                <w:iCs w:val="0"/>
                <w:color w:val="000000"/>
                <w:sz w:val="20"/>
                <w:szCs w:val="20"/>
                <w:u w:val="none"/>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F12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34</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15B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连翘</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DC2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kg</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0A0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357</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C12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木犀科植物连翘的干燥果实。秋季果实初熟尚带绿色时采收，除去杂质，蒸熟，晒干，习称“青翘”；果实熟透时采收，晒干，除去杂质，习称“老翘”。</w:t>
            </w:r>
          </w:p>
        </w:tc>
        <w:tc>
          <w:tcPr>
            <w:tcW w:w="4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2B6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本品呈长卵形至卵形，稍扁，长1.5～2.5cm，直径0.5～1.3cm。表面有不规则的纵皱纹和多数突起的小斑点，两面各有1条明显的纵沟。顶端锐尖，基部有小果梗或已脱落。青翘多不开裂，表面绿褐色，突起的灰白色小斑点较少；质硬；种子多数，黄绿色，细长，一侧有翅。老翘自顶端开裂或裂成两瓣，表面黄棕色或红棕色，内表面多为浅黄棕色，平滑，具一纵隔；质脆；种子棕色，多已脱落。气微香，味苦。</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4BB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统货</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66B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附检验合格单</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C33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青翘，果柄少，杂质少。果实饱满，皮厚</w:t>
            </w:r>
          </w:p>
        </w:tc>
      </w:tr>
      <w:tr w14:paraId="763934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5" w:hRule="atLeast"/>
        </w:trPr>
        <w:tc>
          <w:tcPr>
            <w:tcW w:w="8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66EE1E">
            <w:pPr>
              <w:jc w:val="center"/>
              <w:rPr>
                <w:rFonts w:hint="eastAsia" w:ascii="宋体" w:hAnsi="宋体" w:eastAsia="宋体" w:cs="宋体"/>
                <w:i w:val="0"/>
                <w:iCs w:val="0"/>
                <w:color w:val="000000"/>
                <w:sz w:val="20"/>
                <w:szCs w:val="20"/>
                <w:u w:val="none"/>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CB4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35</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58A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六神曲</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FEB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kg</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5D0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17</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DDC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辣蓼、青蒿、苍耳草与苦杏仁、赤小豆等粗粉，加入麦粉、麸皮混合后经发酵而成的加工品</w:t>
            </w:r>
          </w:p>
        </w:tc>
        <w:tc>
          <w:tcPr>
            <w:tcW w:w="4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D3D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本品为不规则的小块。表面灰黄色，粗糙。质坚脆。微具发酵香气。</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CF6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统货</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4D273">
            <w:pPr>
              <w:jc w:val="center"/>
              <w:rPr>
                <w:rFonts w:hint="eastAsia" w:ascii="宋体" w:hAnsi="宋体" w:eastAsia="宋体" w:cs="宋体"/>
                <w:i w:val="0"/>
                <w:iCs w:val="0"/>
                <w:color w:val="000000"/>
                <w:sz w:val="18"/>
                <w:szCs w:val="18"/>
                <w:u w:val="none"/>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30706">
            <w:pPr>
              <w:jc w:val="center"/>
              <w:rPr>
                <w:rFonts w:hint="eastAsia" w:ascii="宋体" w:hAnsi="宋体" w:eastAsia="宋体" w:cs="宋体"/>
                <w:i w:val="0"/>
                <w:iCs w:val="0"/>
                <w:color w:val="000000"/>
                <w:sz w:val="18"/>
                <w:szCs w:val="18"/>
                <w:u w:val="none"/>
              </w:rPr>
            </w:pPr>
          </w:p>
        </w:tc>
      </w:tr>
      <w:tr w14:paraId="038459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62" w:hRule="atLeast"/>
        </w:trPr>
        <w:tc>
          <w:tcPr>
            <w:tcW w:w="8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2760DA">
            <w:pPr>
              <w:jc w:val="center"/>
              <w:rPr>
                <w:rFonts w:hint="eastAsia" w:ascii="宋体" w:hAnsi="宋体" w:eastAsia="宋体" w:cs="宋体"/>
                <w:i w:val="0"/>
                <w:iCs w:val="0"/>
                <w:color w:val="000000"/>
                <w:sz w:val="20"/>
                <w:szCs w:val="20"/>
                <w:u w:val="none"/>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DAF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36</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A33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龙骨</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3B0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kg</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203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437</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042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为古代哺乳动物如象类、犀牛类、三趾马等的骨骼化石。</w:t>
            </w:r>
          </w:p>
        </w:tc>
        <w:tc>
          <w:tcPr>
            <w:tcW w:w="4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AD9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呈不规则块状，大小不一。表面牙白色，夹有蓝灰色及棕红色花纹，深浅粗细不同，略似大理石的条纹，表面平滑，偶有小裂隙。质硬而脆，易片片剥落而散碎，吸湿性强，以舌舐之有吸力。无臭，无味。五花龙骨质酥脆，出土后，露置空气中极易破碎，常用毛边纸粘贴</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9EA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统货</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95136">
            <w:pPr>
              <w:jc w:val="center"/>
              <w:rPr>
                <w:rFonts w:hint="eastAsia" w:ascii="宋体" w:hAnsi="宋体" w:eastAsia="宋体" w:cs="宋体"/>
                <w:i w:val="0"/>
                <w:iCs w:val="0"/>
                <w:color w:val="000000"/>
                <w:sz w:val="18"/>
                <w:szCs w:val="18"/>
                <w:u w:val="none"/>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8345E">
            <w:pPr>
              <w:jc w:val="center"/>
              <w:rPr>
                <w:rFonts w:hint="eastAsia" w:ascii="宋体" w:hAnsi="宋体" w:eastAsia="宋体" w:cs="宋体"/>
                <w:i w:val="0"/>
                <w:iCs w:val="0"/>
                <w:color w:val="000000"/>
                <w:sz w:val="18"/>
                <w:szCs w:val="18"/>
                <w:u w:val="none"/>
              </w:rPr>
            </w:pPr>
          </w:p>
        </w:tc>
      </w:tr>
      <w:tr w14:paraId="37E9FC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5" w:hRule="atLeast"/>
        </w:trPr>
        <w:tc>
          <w:tcPr>
            <w:tcW w:w="8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7CB61F">
            <w:pPr>
              <w:jc w:val="center"/>
              <w:rPr>
                <w:rFonts w:hint="eastAsia" w:ascii="宋体" w:hAnsi="宋体" w:eastAsia="宋体" w:cs="宋体"/>
                <w:i w:val="0"/>
                <w:iCs w:val="0"/>
                <w:color w:val="000000"/>
                <w:sz w:val="20"/>
                <w:szCs w:val="20"/>
                <w:u w:val="none"/>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C97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37</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9C2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芦根</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0AF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kg</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547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27.6</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F27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禾本科植物芦苇的新鲜或干燥根茎。全年均可采挖，除去芽、须根及膜状叶，鲜用或晒干。</w:t>
            </w:r>
          </w:p>
        </w:tc>
        <w:tc>
          <w:tcPr>
            <w:tcW w:w="4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54C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本品呈扁圆柱形段。表面黄白色，节间有纵皱纹。切面中空，有小孔排列成环。</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BEF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统货</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550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附检验合格单</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CF5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直径1cm以上，有光泽，切段</w:t>
            </w:r>
          </w:p>
        </w:tc>
      </w:tr>
      <w:tr w14:paraId="621604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62" w:hRule="atLeast"/>
        </w:trPr>
        <w:tc>
          <w:tcPr>
            <w:tcW w:w="8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D68E88">
            <w:pPr>
              <w:jc w:val="center"/>
              <w:rPr>
                <w:rFonts w:hint="eastAsia" w:ascii="宋体" w:hAnsi="宋体" w:eastAsia="宋体" w:cs="宋体"/>
                <w:i w:val="0"/>
                <w:iCs w:val="0"/>
                <w:color w:val="000000"/>
                <w:sz w:val="20"/>
                <w:szCs w:val="20"/>
                <w:u w:val="none"/>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9B1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38</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EA4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牡丹皮</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DAD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kg</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813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207</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ED7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毛茛科植物牡丹的干燥根皮。秋季采挖根部，除去细根和泥沙，剥取根皮,晒干或刮去粗皮，除去木心，晒干。前者习称连丹皮，后者习称刮丹皮。</w:t>
            </w:r>
          </w:p>
        </w:tc>
        <w:tc>
          <w:tcPr>
            <w:tcW w:w="4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367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本品呈圆形或卷曲形的薄片。连丹皮外表面灰褐色或黄褐色，栓皮脱落处粉红色；刮丹皮外表面红棕色或淡灰黄色。内表面有时可见发亮的结晶。切面淡粉红色，粉性。气芳香，味微苦而涩。</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74C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统货</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84E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附检验合格单</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05C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皮厚0.5cm以上</w:t>
            </w:r>
          </w:p>
        </w:tc>
      </w:tr>
      <w:tr w14:paraId="48E106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7" w:hRule="atLeast"/>
        </w:trPr>
        <w:tc>
          <w:tcPr>
            <w:tcW w:w="8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EF5242">
            <w:pPr>
              <w:jc w:val="center"/>
              <w:rPr>
                <w:rFonts w:hint="eastAsia" w:ascii="宋体" w:hAnsi="宋体" w:eastAsia="宋体" w:cs="宋体"/>
                <w:i w:val="0"/>
                <w:iCs w:val="0"/>
                <w:color w:val="000000"/>
                <w:sz w:val="20"/>
                <w:szCs w:val="20"/>
                <w:u w:val="none"/>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794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39</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D01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木香</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B01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kg</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98B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62.905</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033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菊科植物木香的干燥根。秋、冬二季采挖，除去泥沙和须根，切段，大的再纵剖成瓣，干燥后撞去粗皮。</w:t>
            </w:r>
          </w:p>
        </w:tc>
        <w:tc>
          <w:tcPr>
            <w:tcW w:w="4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03F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本品呈类圆形或不规则的厚片。外表皮黄棕色至灰褐色，有纵皱纹。切面棕黄色至棕褐色，中部有明显菊花心状的放射纹理，形成层环棕色，褐色油点（油室）散在。气香特异，味微苦。</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F8D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统货</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28C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附检验合格单</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BD4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直径大于3cm，无泛油</w:t>
            </w:r>
          </w:p>
        </w:tc>
      </w:tr>
      <w:tr w14:paraId="11E2DE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0" w:hRule="atLeast"/>
        </w:trPr>
        <w:tc>
          <w:tcPr>
            <w:tcW w:w="8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D5122C">
            <w:pPr>
              <w:jc w:val="center"/>
              <w:rPr>
                <w:rFonts w:hint="eastAsia" w:ascii="宋体" w:hAnsi="宋体" w:eastAsia="宋体" w:cs="宋体"/>
                <w:i w:val="0"/>
                <w:iCs w:val="0"/>
                <w:color w:val="000000"/>
                <w:sz w:val="20"/>
                <w:szCs w:val="20"/>
                <w:u w:val="none"/>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4B1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40</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559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牛膝</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26F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kg</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B02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96.83</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0DC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科植物牛膝的干燥根。</w:t>
            </w:r>
          </w:p>
        </w:tc>
        <w:tc>
          <w:tcPr>
            <w:tcW w:w="4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E0D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本品呈细长圆柱形，挺直或稍弯曲，长15~70cm，直径0.4~1cm。表面灰黄色或淡棕色，有微扭曲的细纵皱纹、排列稀疏的侧根痕和横长皮孔样的突起。质硬脆，易折断，受潮后变软，断面平坦，淡棕色，略呈角质样而油润，中心维管束木质部较大，黄白色，其外周散有多数黄白色点状维管束，断续排列成2~4轮。气微，味微甜而稍苦涩。</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0C4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统货</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086E2">
            <w:pPr>
              <w:jc w:val="center"/>
              <w:rPr>
                <w:rFonts w:hint="eastAsia" w:ascii="宋体" w:hAnsi="宋体" w:eastAsia="宋体" w:cs="宋体"/>
                <w:i w:val="0"/>
                <w:iCs w:val="0"/>
                <w:color w:val="000000"/>
                <w:sz w:val="18"/>
                <w:szCs w:val="18"/>
                <w:u w:val="none"/>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7253A">
            <w:pPr>
              <w:jc w:val="center"/>
              <w:rPr>
                <w:rFonts w:hint="eastAsia" w:ascii="宋体" w:hAnsi="宋体" w:eastAsia="宋体" w:cs="宋体"/>
                <w:i w:val="0"/>
                <w:iCs w:val="0"/>
                <w:color w:val="000000"/>
                <w:sz w:val="21"/>
                <w:szCs w:val="21"/>
                <w:u w:val="none"/>
              </w:rPr>
            </w:pPr>
          </w:p>
        </w:tc>
      </w:tr>
      <w:tr w14:paraId="342F67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1" w:hRule="atLeast"/>
        </w:trPr>
        <w:tc>
          <w:tcPr>
            <w:tcW w:w="8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B7A698">
            <w:pPr>
              <w:jc w:val="center"/>
              <w:rPr>
                <w:rFonts w:hint="eastAsia" w:ascii="宋体" w:hAnsi="宋体" w:eastAsia="宋体" w:cs="宋体"/>
                <w:i w:val="0"/>
                <w:iCs w:val="0"/>
                <w:color w:val="000000"/>
                <w:sz w:val="20"/>
                <w:szCs w:val="20"/>
                <w:u w:val="none"/>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EF4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41</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403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蒲公英</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DE0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kg</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A21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31.395</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E48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科植物蒲公英碱地蒲公英.或同属数种植物的干燥全草</w:t>
            </w:r>
          </w:p>
        </w:tc>
        <w:tc>
          <w:tcPr>
            <w:tcW w:w="4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1DD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本品呈皱缩卷曲的团块。根呈圆锥状，多弯曲，长3~7cm；表面棕褐色，抽皱；根头部有棕褐色或黄白色的茸毛，有的已脱落。叶基生，多皱缩破碎，完整叶片呈倒披针形，绿褐色或暗灰绿色，先端尖或钝，边缘浅裂或羽状分裂，基部渐狭，下延呈柄状，下表面主脉明显。花茎1至数条，每条顶生头状花序，总苞片多层，内面一层较长，花冠黄褐色或淡黄白色。有的可见多数具白色冠毛的长椭圆形瘦果。气微味微苦。</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8F5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统货</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0B3B3">
            <w:pPr>
              <w:jc w:val="center"/>
              <w:rPr>
                <w:rFonts w:hint="eastAsia" w:ascii="宋体" w:hAnsi="宋体" w:eastAsia="宋体" w:cs="宋体"/>
                <w:i w:val="0"/>
                <w:iCs w:val="0"/>
                <w:color w:val="000000"/>
                <w:sz w:val="18"/>
                <w:szCs w:val="18"/>
                <w:u w:val="none"/>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05106">
            <w:pPr>
              <w:jc w:val="center"/>
              <w:rPr>
                <w:rFonts w:hint="eastAsia" w:ascii="宋体" w:hAnsi="宋体" w:eastAsia="宋体" w:cs="宋体"/>
                <w:i w:val="0"/>
                <w:iCs w:val="0"/>
                <w:color w:val="000000"/>
                <w:sz w:val="18"/>
                <w:szCs w:val="18"/>
                <w:u w:val="none"/>
              </w:rPr>
            </w:pPr>
          </w:p>
        </w:tc>
      </w:tr>
      <w:tr w14:paraId="2B5453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9" w:hRule="atLeast"/>
        </w:trPr>
        <w:tc>
          <w:tcPr>
            <w:tcW w:w="8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0598C2">
            <w:pPr>
              <w:jc w:val="center"/>
              <w:rPr>
                <w:rFonts w:hint="eastAsia" w:ascii="宋体" w:hAnsi="宋体" w:eastAsia="宋体" w:cs="宋体"/>
                <w:i w:val="0"/>
                <w:iCs w:val="0"/>
                <w:color w:val="000000"/>
                <w:sz w:val="20"/>
                <w:szCs w:val="20"/>
                <w:u w:val="none"/>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B79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42</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529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茜草</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253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kg</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A73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410</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5AE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茜草科植物茜草的干燥根和根茎。</w:t>
            </w:r>
          </w:p>
        </w:tc>
        <w:tc>
          <w:tcPr>
            <w:tcW w:w="4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C82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本品根茎呈结节状，丛生粗细不等的根。根呈圆柱形，略弯曲，长10~25cm，直径0.2~1cm；表面红棕色或暗棕色，具细纵皱纹和少数细根痕；皮部脱落处呈黄红色。质脆，易折断，断面平坦皮部狭，紫红色，木部宽广，浅黄红色，导管孔多数。气微，味微苦，久嚼刺舌。</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80F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统货</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7ADE8">
            <w:pPr>
              <w:jc w:val="center"/>
              <w:rPr>
                <w:rFonts w:hint="eastAsia" w:ascii="宋体" w:hAnsi="宋体" w:eastAsia="宋体" w:cs="宋体"/>
                <w:i w:val="0"/>
                <w:iCs w:val="0"/>
                <w:color w:val="000000"/>
                <w:sz w:val="18"/>
                <w:szCs w:val="18"/>
                <w:u w:val="none"/>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EAD6B">
            <w:pPr>
              <w:jc w:val="center"/>
              <w:rPr>
                <w:rFonts w:hint="eastAsia" w:ascii="宋体" w:hAnsi="宋体" w:eastAsia="宋体" w:cs="宋体"/>
                <w:i w:val="0"/>
                <w:iCs w:val="0"/>
                <w:color w:val="000000"/>
                <w:sz w:val="18"/>
                <w:szCs w:val="18"/>
                <w:u w:val="none"/>
              </w:rPr>
            </w:pPr>
          </w:p>
        </w:tc>
      </w:tr>
      <w:tr w14:paraId="45394A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8" w:hRule="atLeast"/>
        </w:trPr>
        <w:tc>
          <w:tcPr>
            <w:tcW w:w="8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92C820">
            <w:pPr>
              <w:jc w:val="center"/>
              <w:rPr>
                <w:rFonts w:hint="eastAsia" w:ascii="宋体" w:hAnsi="宋体" w:eastAsia="宋体" w:cs="宋体"/>
                <w:i w:val="0"/>
                <w:iCs w:val="0"/>
                <w:color w:val="000000"/>
                <w:sz w:val="20"/>
                <w:szCs w:val="20"/>
                <w:u w:val="none"/>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37E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43</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E25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青皮</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454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kg</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D47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25</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601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芸香科植物橘及其栽培变种的干燥幼果或未成熟果实的果皮</w:t>
            </w:r>
          </w:p>
        </w:tc>
        <w:tc>
          <w:tcPr>
            <w:tcW w:w="4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9C7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本品呈类圆形厚片或不规则丝状。表面灰绿色或黑绿色，密生多数油室，切面黄白色或淡黄棕色，有时可见瓢囊8～10瓣，淡棕色。气香，味苦、辛。</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867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统货</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24CF8">
            <w:pPr>
              <w:jc w:val="center"/>
              <w:rPr>
                <w:rFonts w:hint="eastAsia" w:ascii="宋体" w:hAnsi="宋体" w:eastAsia="宋体" w:cs="宋体"/>
                <w:i w:val="0"/>
                <w:iCs w:val="0"/>
                <w:color w:val="000000"/>
                <w:sz w:val="18"/>
                <w:szCs w:val="18"/>
                <w:u w:val="none"/>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7D731">
            <w:pPr>
              <w:jc w:val="center"/>
              <w:rPr>
                <w:rFonts w:hint="eastAsia" w:ascii="宋体" w:hAnsi="宋体" w:eastAsia="宋体" w:cs="宋体"/>
                <w:i w:val="0"/>
                <w:iCs w:val="0"/>
                <w:color w:val="000000"/>
                <w:sz w:val="18"/>
                <w:szCs w:val="18"/>
                <w:u w:val="none"/>
              </w:rPr>
            </w:pPr>
          </w:p>
        </w:tc>
      </w:tr>
      <w:tr w14:paraId="488939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9" w:hRule="atLeast"/>
        </w:trPr>
        <w:tc>
          <w:tcPr>
            <w:tcW w:w="8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A0461F">
            <w:pPr>
              <w:jc w:val="center"/>
              <w:rPr>
                <w:rFonts w:hint="eastAsia" w:ascii="宋体" w:hAnsi="宋体" w:eastAsia="宋体" w:cs="宋体"/>
                <w:i w:val="0"/>
                <w:iCs w:val="0"/>
                <w:color w:val="000000"/>
                <w:sz w:val="20"/>
                <w:szCs w:val="20"/>
                <w:u w:val="none"/>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925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44</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C49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肉苁蓉</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A15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kg</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CAC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189</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143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列当科植物肉苁蓉或管花肉苁蓉的干燥带鳞叶的质茎</w:t>
            </w:r>
          </w:p>
        </w:tc>
        <w:tc>
          <w:tcPr>
            <w:tcW w:w="4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2C8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肉苁蓉呈扁圆柱形，稍弯曲，长3~15cm，直径2~8cm。表面棕褐色或灰棕色，密被覆瓦状排列的肉质鳞叶，通常鳞叶先端已断。体重，质硬，微有柔性，不易折断，断面棕褐色，有淡棕色点状维管束，排列成波状环纹。气微，味甜、微苦。</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9CD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统货</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EB2B4">
            <w:pPr>
              <w:jc w:val="center"/>
              <w:rPr>
                <w:rFonts w:hint="eastAsia" w:ascii="宋体" w:hAnsi="宋体" w:eastAsia="宋体" w:cs="宋体"/>
                <w:i w:val="0"/>
                <w:iCs w:val="0"/>
                <w:color w:val="000000"/>
                <w:sz w:val="18"/>
                <w:szCs w:val="18"/>
                <w:u w:val="none"/>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3CF74">
            <w:pPr>
              <w:jc w:val="center"/>
              <w:rPr>
                <w:rFonts w:hint="eastAsia" w:ascii="宋体" w:hAnsi="宋体" w:eastAsia="宋体" w:cs="宋体"/>
                <w:i w:val="0"/>
                <w:iCs w:val="0"/>
                <w:color w:val="000000"/>
                <w:sz w:val="18"/>
                <w:szCs w:val="18"/>
                <w:u w:val="none"/>
              </w:rPr>
            </w:pPr>
          </w:p>
        </w:tc>
      </w:tr>
      <w:tr w14:paraId="1733CF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7" w:hRule="atLeast"/>
        </w:trPr>
        <w:tc>
          <w:tcPr>
            <w:tcW w:w="8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4304E8">
            <w:pPr>
              <w:jc w:val="center"/>
              <w:rPr>
                <w:rFonts w:hint="eastAsia" w:ascii="宋体" w:hAnsi="宋体" w:eastAsia="宋体" w:cs="宋体"/>
                <w:i w:val="0"/>
                <w:iCs w:val="0"/>
                <w:color w:val="000000"/>
                <w:sz w:val="20"/>
                <w:szCs w:val="20"/>
                <w:u w:val="none"/>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397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45</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2B8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乳香</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3A3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kg</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FC8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117</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68D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为橄榄科乳香属植物乳香树及同属植物树皮渗出的树脂</w:t>
            </w:r>
          </w:p>
        </w:tc>
        <w:tc>
          <w:tcPr>
            <w:tcW w:w="4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11A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本品呈类球形或泪滴状颗粒，或不规则小块状，长0.5-2cm，有的粘连成团块，淡黄色，微带蓝绿色或棕红色，半透明。质坚脆，断面蜡样。气芳香，味极苦，嚼之软化成胶块。以淡黄色、颗粒状、半透明、无砂石树皮等杂质、粉末粘手气芳香者为佳。醋乳香取净乳香，照醋炙法（通则0213）炒至表面光亮。</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E2A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统货</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37E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附检验合格单</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5E5EC">
            <w:pPr>
              <w:jc w:val="center"/>
              <w:rPr>
                <w:rFonts w:hint="eastAsia" w:ascii="宋体" w:hAnsi="宋体" w:eastAsia="宋体" w:cs="宋体"/>
                <w:i w:val="0"/>
                <w:iCs w:val="0"/>
                <w:color w:val="000000"/>
                <w:sz w:val="18"/>
                <w:szCs w:val="18"/>
                <w:u w:val="none"/>
              </w:rPr>
            </w:pPr>
          </w:p>
        </w:tc>
      </w:tr>
      <w:tr w14:paraId="29C155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5" w:hRule="atLeast"/>
        </w:trPr>
        <w:tc>
          <w:tcPr>
            <w:tcW w:w="8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AE500D">
            <w:pPr>
              <w:jc w:val="center"/>
              <w:rPr>
                <w:rFonts w:hint="eastAsia" w:ascii="宋体" w:hAnsi="宋体" w:eastAsia="宋体" w:cs="宋体"/>
                <w:i w:val="0"/>
                <w:iCs w:val="0"/>
                <w:color w:val="000000"/>
                <w:sz w:val="20"/>
                <w:szCs w:val="20"/>
                <w:u w:val="none"/>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AD2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46</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A6A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三棱</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468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kg</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7DA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36.8</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9C1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黑三棱科黑三棱属植物黑三棱的干燥块茎</w:t>
            </w:r>
          </w:p>
        </w:tc>
        <w:tc>
          <w:tcPr>
            <w:tcW w:w="4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DE8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三棱呈类圆形的薄片。外表皮灰棕色。切面灰白色或黄白色，粗糙，有多数明显的细筋脉点。气微，味淡，嚼之微有麻辣感。</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D09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统货</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AED15">
            <w:pPr>
              <w:jc w:val="center"/>
              <w:rPr>
                <w:rFonts w:hint="eastAsia" w:ascii="宋体" w:hAnsi="宋体" w:eastAsia="宋体" w:cs="宋体"/>
                <w:i w:val="0"/>
                <w:iCs w:val="0"/>
                <w:color w:val="000000"/>
                <w:sz w:val="18"/>
                <w:szCs w:val="18"/>
                <w:u w:val="none"/>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8FDBB">
            <w:pPr>
              <w:jc w:val="center"/>
              <w:rPr>
                <w:rFonts w:hint="eastAsia" w:ascii="宋体" w:hAnsi="宋体" w:eastAsia="宋体" w:cs="宋体"/>
                <w:i w:val="0"/>
                <w:iCs w:val="0"/>
                <w:color w:val="000000"/>
                <w:sz w:val="18"/>
                <w:szCs w:val="18"/>
                <w:u w:val="none"/>
              </w:rPr>
            </w:pPr>
          </w:p>
        </w:tc>
      </w:tr>
      <w:tr w14:paraId="484B4D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6" w:hRule="atLeast"/>
        </w:trPr>
        <w:tc>
          <w:tcPr>
            <w:tcW w:w="8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3A8C43">
            <w:pPr>
              <w:jc w:val="center"/>
              <w:rPr>
                <w:rFonts w:hint="eastAsia" w:ascii="宋体" w:hAnsi="宋体" w:eastAsia="宋体" w:cs="宋体"/>
                <w:i w:val="0"/>
                <w:iCs w:val="0"/>
                <w:color w:val="000000"/>
                <w:sz w:val="20"/>
                <w:szCs w:val="20"/>
                <w:u w:val="none"/>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7D7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47</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E7E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桑椹</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C3A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kg</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909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27.6</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584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桑科植物桑.的干燥果穗</w:t>
            </w:r>
          </w:p>
        </w:tc>
        <w:tc>
          <w:tcPr>
            <w:tcW w:w="4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6C5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本品为聚花果，由多数小瘦果集合而成，呈长圆形，长1~2cm，直径0.5~0.8cm。黄棕色、棕红色或暗紫色，有短果序梗。小瘦果卵圆形，稍扁，长约2mm，宽约1mm，外具肉质花被片4枚。气微，味微酸而甜。</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31C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统货</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BB4E1">
            <w:pPr>
              <w:jc w:val="center"/>
              <w:rPr>
                <w:rFonts w:hint="eastAsia" w:ascii="宋体" w:hAnsi="宋体" w:eastAsia="宋体" w:cs="宋体"/>
                <w:i w:val="0"/>
                <w:iCs w:val="0"/>
                <w:color w:val="000000"/>
                <w:sz w:val="18"/>
                <w:szCs w:val="18"/>
                <w:u w:val="none"/>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02809">
            <w:pPr>
              <w:jc w:val="center"/>
              <w:rPr>
                <w:rFonts w:hint="eastAsia" w:ascii="宋体" w:hAnsi="宋体" w:eastAsia="宋体" w:cs="宋体"/>
                <w:i w:val="0"/>
                <w:iCs w:val="0"/>
                <w:color w:val="000000"/>
                <w:sz w:val="18"/>
                <w:szCs w:val="18"/>
                <w:u w:val="none"/>
              </w:rPr>
            </w:pPr>
          </w:p>
        </w:tc>
      </w:tr>
      <w:tr w14:paraId="61B705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8" w:hRule="atLeast"/>
        </w:trPr>
        <w:tc>
          <w:tcPr>
            <w:tcW w:w="8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64D202">
            <w:pPr>
              <w:jc w:val="center"/>
              <w:rPr>
                <w:rFonts w:hint="eastAsia" w:ascii="宋体" w:hAnsi="宋体" w:eastAsia="宋体" w:cs="宋体"/>
                <w:i w:val="0"/>
                <w:iCs w:val="0"/>
                <w:color w:val="000000"/>
                <w:sz w:val="20"/>
                <w:szCs w:val="20"/>
                <w:u w:val="none"/>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343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48</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E34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砂仁</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C27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kg</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E0A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303</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8B1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姜科植物阳春砂、绿壳砂或海南砂的干燥成熟果实</w:t>
            </w:r>
          </w:p>
        </w:tc>
        <w:tc>
          <w:tcPr>
            <w:tcW w:w="4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A6B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呈椭圆形或卵圆形，有不明显的三棱，长1.5～2cm，直径1～1.5cm。表面棕褐色，密生刺状突起，顶端有花被残基，基部常有果梗。果皮薄而软。种子集结成团，具三钝棱，中有白色隔膜，将种子团分成3瓣，每瓣有种子5～26粒。种子为不规则多面体，直径2～3mm；表面棕红色或暗褐色，有细皱纹，外被淡棕色膜质假种皮；质硬，胚乳灰白色。气芳香而浓烈，味辛凉、微苦。</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53C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统货</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CF4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附检验合格单</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FBC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用阳春砂</w:t>
            </w:r>
          </w:p>
        </w:tc>
      </w:tr>
      <w:tr w14:paraId="5B0BD3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6" w:hRule="atLeast"/>
        </w:trPr>
        <w:tc>
          <w:tcPr>
            <w:tcW w:w="8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EE775D">
            <w:pPr>
              <w:jc w:val="center"/>
              <w:rPr>
                <w:rFonts w:hint="eastAsia" w:ascii="宋体" w:hAnsi="宋体" w:eastAsia="宋体" w:cs="宋体"/>
                <w:i w:val="0"/>
                <w:iCs w:val="0"/>
                <w:color w:val="000000"/>
                <w:sz w:val="20"/>
                <w:szCs w:val="20"/>
                <w:u w:val="none"/>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E51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49</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9EC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射干</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5E5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kg</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E2B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245</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371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鸢尾科植物射干的干燥根茎</w:t>
            </w:r>
          </w:p>
        </w:tc>
        <w:tc>
          <w:tcPr>
            <w:tcW w:w="4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4F9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本品呈不规则形或长条形的薄片。外表皮黄褐色、棕褐色或黑褐色，皱缩，可见残留的须根和须根痕，有的可见环纹。切面淡黄色或鲜黄色，具散在筋脉小点或筋脉纹，有的可见环纹。气微，味苦、微辛。</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5E8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统货</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679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附检验合格单</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E5B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直径1-2cm</w:t>
            </w:r>
          </w:p>
        </w:tc>
      </w:tr>
      <w:tr w14:paraId="210B0E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8" w:hRule="atLeast"/>
        </w:trPr>
        <w:tc>
          <w:tcPr>
            <w:tcW w:w="8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C0E24D">
            <w:pPr>
              <w:jc w:val="center"/>
              <w:rPr>
                <w:rFonts w:hint="eastAsia" w:ascii="宋体" w:hAnsi="宋体" w:eastAsia="宋体" w:cs="宋体"/>
                <w:i w:val="0"/>
                <w:iCs w:val="0"/>
                <w:color w:val="000000"/>
                <w:sz w:val="20"/>
                <w:szCs w:val="20"/>
                <w:u w:val="none"/>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3CB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50</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0F6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石菖蒲</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4D1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kg</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E5E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178.25</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2F2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天南星科植物石菖蒲的干燥根茎</w:t>
            </w:r>
          </w:p>
        </w:tc>
        <w:tc>
          <w:tcPr>
            <w:tcW w:w="4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BC3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本品呈扁圆形或长条形的厚片。外表皮棕褐色或灰棕色，有的可见环节及根痕。切面纤维性，类白色或微红色，有明显环纹及油点。气芳香，味苦、微辛。</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A9F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统货</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7AF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附检验合格单</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37D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断面粉白，气香，直径大于0.3cm</w:t>
            </w:r>
          </w:p>
        </w:tc>
      </w:tr>
      <w:tr w14:paraId="68C708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6" w:hRule="atLeast"/>
        </w:trPr>
        <w:tc>
          <w:tcPr>
            <w:tcW w:w="8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2FD91C">
            <w:pPr>
              <w:jc w:val="center"/>
              <w:rPr>
                <w:rFonts w:hint="eastAsia" w:ascii="宋体" w:hAnsi="宋体" w:eastAsia="宋体" w:cs="宋体"/>
                <w:i w:val="0"/>
                <w:iCs w:val="0"/>
                <w:color w:val="000000"/>
                <w:sz w:val="20"/>
                <w:szCs w:val="20"/>
                <w:u w:val="none"/>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AE5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51</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566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石斛</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C5F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kg</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8B5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183</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075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兰科植物金钗石斛、霍山石斛、鼓槌石斛或流苏石斛的栽培品及其同属植物近似种的新鲜或干燥茎</w:t>
            </w:r>
          </w:p>
        </w:tc>
        <w:tc>
          <w:tcPr>
            <w:tcW w:w="4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8A6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本品呈扁圆柱形或圆柱形的段。表面金黄色、绿黄色或棕黄色，有光泽，有深纵沟或纵棱，有的可见棕褐色的节。切面黄白色至黄褐色，有多数散在的筋脉点。气微，味淡或微苦，嚼之有黏性。</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C77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统货</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B44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附检验合格单</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A14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直径大于0.5cm，嚼之有黏性</w:t>
            </w:r>
          </w:p>
        </w:tc>
      </w:tr>
      <w:tr w14:paraId="6C5C1B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8" w:hRule="atLeast"/>
        </w:trPr>
        <w:tc>
          <w:tcPr>
            <w:tcW w:w="8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EBF864">
            <w:pPr>
              <w:jc w:val="center"/>
              <w:rPr>
                <w:rFonts w:hint="eastAsia" w:ascii="宋体" w:hAnsi="宋体" w:eastAsia="宋体" w:cs="宋体"/>
                <w:i w:val="0"/>
                <w:iCs w:val="0"/>
                <w:color w:val="000000"/>
                <w:sz w:val="20"/>
                <w:szCs w:val="20"/>
                <w:u w:val="none"/>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CF8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52</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214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熟地黄</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22C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kg</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4C6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58</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7C2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地黄炮制加工品</w:t>
            </w:r>
          </w:p>
        </w:tc>
        <w:tc>
          <w:tcPr>
            <w:tcW w:w="4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833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本品为不规则的块片、碎块，大小、厚薄不一。表面乌黑色，有光泽，黏性大。质柔软而带韧性，不易折断，断面乌黑色，有光泽。气微，味甜。</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FF4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统货</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26B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附检验合格单</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DD3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质软，片形均匀，焦糖味足</w:t>
            </w:r>
          </w:p>
        </w:tc>
      </w:tr>
      <w:tr w14:paraId="591DEF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9" w:hRule="atLeast"/>
        </w:trPr>
        <w:tc>
          <w:tcPr>
            <w:tcW w:w="8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3866FB">
            <w:pPr>
              <w:jc w:val="center"/>
              <w:rPr>
                <w:rFonts w:hint="eastAsia" w:ascii="宋体" w:hAnsi="宋体" w:eastAsia="宋体" w:cs="宋体"/>
                <w:i w:val="0"/>
                <w:iCs w:val="0"/>
                <w:color w:val="000000"/>
                <w:sz w:val="20"/>
                <w:szCs w:val="20"/>
                <w:u w:val="none"/>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E11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53</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D94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太子参</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C92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kg</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9B4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112.7</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1E1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石竹科植物孩儿参.的干燥块根</w:t>
            </w:r>
          </w:p>
        </w:tc>
        <w:tc>
          <w:tcPr>
            <w:tcW w:w="4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E82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本品呈细长纺锤形或细长条形，稍弯曲，长3~10cm，直径0.2~0.6cm。表面灰黄色至黄棕色，较光滑，微有纵皱纹，凹陷处有须根痕。顶端有茎痕。质硬而脆，断面较平坦，周边淡黄棕色，中心淡黄白色，角质样。气微，味微甘。</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F7D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统货</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4686B">
            <w:pPr>
              <w:jc w:val="center"/>
              <w:rPr>
                <w:rFonts w:hint="eastAsia" w:ascii="宋体" w:hAnsi="宋体" w:eastAsia="宋体" w:cs="宋体"/>
                <w:i w:val="0"/>
                <w:iCs w:val="0"/>
                <w:color w:val="000000"/>
                <w:sz w:val="18"/>
                <w:szCs w:val="18"/>
                <w:u w:val="none"/>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913B3">
            <w:pPr>
              <w:jc w:val="center"/>
              <w:rPr>
                <w:rFonts w:hint="eastAsia" w:ascii="宋体" w:hAnsi="宋体" w:eastAsia="宋体" w:cs="宋体"/>
                <w:i w:val="0"/>
                <w:iCs w:val="0"/>
                <w:color w:val="000000"/>
                <w:sz w:val="18"/>
                <w:szCs w:val="18"/>
                <w:u w:val="none"/>
              </w:rPr>
            </w:pPr>
          </w:p>
        </w:tc>
      </w:tr>
      <w:tr w14:paraId="61B3C6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5" w:hRule="atLeast"/>
        </w:trPr>
        <w:tc>
          <w:tcPr>
            <w:tcW w:w="8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69ED2D">
            <w:pPr>
              <w:jc w:val="center"/>
              <w:rPr>
                <w:rFonts w:hint="eastAsia" w:ascii="宋体" w:hAnsi="宋体" w:eastAsia="宋体" w:cs="宋体"/>
                <w:i w:val="0"/>
                <w:iCs w:val="0"/>
                <w:color w:val="000000"/>
                <w:sz w:val="20"/>
                <w:szCs w:val="20"/>
                <w:u w:val="none"/>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C97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54</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8A4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天麻</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E6A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kg</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DA1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436</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EC7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兰科植物天麻的干燥块茎。立冬后至次年清明前采挖，立即洗净，蒸透，敞开低温干燥。</w:t>
            </w:r>
          </w:p>
        </w:tc>
        <w:tc>
          <w:tcPr>
            <w:tcW w:w="4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6DF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本品呈不规则的薄片。外表皮淡黄色至黄棕色，有时可见点状排成的横环纹。切面黄白色至淡棕色。角质样，半透明。气微，味甘。</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5CB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统货</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F32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附检验合格单</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523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冬麻。断面角质半透明，薄</w:t>
            </w:r>
          </w:p>
        </w:tc>
      </w:tr>
      <w:tr w14:paraId="6B981B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9" w:hRule="atLeast"/>
        </w:trPr>
        <w:tc>
          <w:tcPr>
            <w:tcW w:w="8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326ADC">
            <w:pPr>
              <w:jc w:val="center"/>
              <w:rPr>
                <w:rFonts w:hint="eastAsia" w:ascii="宋体" w:hAnsi="宋体" w:eastAsia="宋体" w:cs="宋体"/>
                <w:i w:val="0"/>
                <w:iCs w:val="0"/>
                <w:color w:val="000000"/>
                <w:sz w:val="20"/>
                <w:szCs w:val="20"/>
                <w:u w:val="none"/>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AA0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55</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3D7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土鳖虫</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B1F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kg</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B12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243.8</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68F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鳖蝀科昆虫地鳖E或糞地鳖的雌虫干燥体</w:t>
            </w:r>
          </w:p>
        </w:tc>
        <w:tc>
          <w:tcPr>
            <w:tcW w:w="4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C17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地鳖呈扁平卵形，长1.3~3cm，宽1.2~2.4cm。前端较窄，后端较宽，背部紫褐色，具光泽，无翅。前胸背板较发达，盖住头部；腹背板9节，呈覆瓦状排列。腹面红棕色，头部较小，有丝状触角1对，常脱落，胸部有足3对，具细毛和刺。腹部有横环节。质松脆，易碎。气腥臭，味微咸</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D94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统货</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B4CA9">
            <w:pPr>
              <w:jc w:val="center"/>
              <w:rPr>
                <w:rFonts w:hint="eastAsia" w:ascii="宋体" w:hAnsi="宋体" w:eastAsia="宋体" w:cs="宋体"/>
                <w:i w:val="0"/>
                <w:iCs w:val="0"/>
                <w:color w:val="000000"/>
                <w:sz w:val="18"/>
                <w:szCs w:val="18"/>
                <w:u w:val="none"/>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1EBC9">
            <w:pPr>
              <w:jc w:val="center"/>
              <w:rPr>
                <w:rFonts w:hint="eastAsia" w:ascii="宋体" w:hAnsi="宋体" w:eastAsia="宋体" w:cs="宋体"/>
                <w:i w:val="0"/>
                <w:iCs w:val="0"/>
                <w:color w:val="000000"/>
                <w:sz w:val="18"/>
                <w:szCs w:val="18"/>
                <w:u w:val="none"/>
              </w:rPr>
            </w:pPr>
          </w:p>
        </w:tc>
      </w:tr>
      <w:tr w14:paraId="0045B0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1" w:hRule="atLeast"/>
        </w:trPr>
        <w:tc>
          <w:tcPr>
            <w:tcW w:w="8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26BB90">
            <w:pPr>
              <w:jc w:val="center"/>
              <w:rPr>
                <w:rFonts w:hint="eastAsia" w:ascii="宋体" w:hAnsi="宋体" w:eastAsia="宋体" w:cs="宋体"/>
                <w:i w:val="0"/>
                <w:iCs w:val="0"/>
                <w:color w:val="000000"/>
                <w:sz w:val="20"/>
                <w:szCs w:val="20"/>
                <w:u w:val="none"/>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6EF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56</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E44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威灵仙</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2DA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kg</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1AE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170.2</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368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毛茛科植物威灵仙、棉团铁线莲或东北铁线莲的干燥根和根茎。秋季采挖，除去泥沙，晒干。</w:t>
            </w:r>
          </w:p>
        </w:tc>
        <w:tc>
          <w:tcPr>
            <w:tcW w:w="4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389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本品呈不规则的段。表面黑褐色、棕褐色或棕黑色，有细纵纹，有的皮部脱落，露出黄白色木部。切面皮部较广，木部淡黄色，略呈方形或近圆形，皮部与木部间常有裂隙。</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796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统货</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169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附检验合格单</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398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灰黑，根，直径0.1cm以上，用根多，质硬</w:t>
            </w:r>
          </w:p>
        </w:tc>
      </w:tr>
      <w:tr w14:paraId="593279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1" w:hRule="atLeast"/>
        </w:trPr>
        <w:tc>
          <w:tcPr>
            <w:tcW w:w="8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B9B267">
            <w:pPr>
              <w:jc w:val="center"/>
              <w:rPr>
                <w:rFonts w:hint="eastAsia" w:ascii="宋体" w:hAnsi="宋体" w:eastAsia="宋体" w:cs="宋体"/>
                <w:i w:val="0"/>
                <w:iCs w:val="0"/>
                <w:color w:val="000000"/>
                <w:sz w:val="20"/>
                <w:szCs w:val="20"/>
                <w:u w:val="none"/>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150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57</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016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吴茱萸</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414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kg</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C78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121</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F47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芸香科植物吴茱萸、石虎或疏毛吴茱萸的干燥近成熟果实</w:t>
            </w:r>
          </w:p>
        </w:tc>
        <w:tc>
          <w:tcPr>
            <w:tcW w:w="4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D84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本品呈球形或略呈五角状扁球形,直径2～5mm。表面暗黄绿色至褐色,粗糙,有多数点状突起或凹下的油点</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3A3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统货</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41997">
            <w:pPr>
              <w:jc w:val="center"/>
              <w:rPr>
                <w:rFonts w:hint="eastAsia" w:ascii="宋体" w:hAnsi="宋体" w:eastAsia="宋体" w:cs="宋体"/>
                <w:i w:val="0"/>
                <w:iCs w:val="0"/>
                <w:color w:val="000000"/>
                <w:sz w:val="18"/>
                <w:szCs w:val="18"/>
                <w:u w:val="none"/>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B7CF7">
            <w:pPr>
              <w:jc w:val="center"/>
              <w:rPr>
                <w:rFonts w:hint="eastAsia" w:ascii="宋体" w:hAnsi="宋体" w:eastAsia="宋体" w:cs="宋体"/>
                <w:i w:val="0"/>
                <w:iCs w:val="0"/>
                <w:color w:val="000000"/>
                <w:sz w:val="18"/>
                <w:szCs w:val="18"/>
                <w:u w:val="none"/>
              </w:rPr>
            </w:pPr>
          </w:p>
        </w:tc>
      </w:tr>
      <w:tr w14:paraId="2C6201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62" w:hRule="atLeast"/>
        </w:trPr>
        <w:tc>
          <w:tcPr>
            <w:tcW w:w="8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FDE0CC">
            <w:pPr>
              <w:jc w:val="center"/>
              <w:rPr>
                <w:rFonts w:hint="eastAsia" w:ascii="宋体" w:hAnsi="宋体" w:eastAsia="宋体" w:cs="宋体"/>
                <w:i w:val="0"/>
                <w:iCs w:val="0"/>
                <w:color w:val="000000"/>
                <w:sz w:val="20"/>
                <w:szCs w:val="20"/>
                <w:u w:val="none"/>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2C9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58</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956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细辛</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616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kg</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59D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877</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6EF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马兜铃科植物北细辛、汉城细辛或华细辛的干燥根和根茎。前二种习称“辽细辛”。夏季果熟期或初秋采挖，除净地上部分和泥沙，阴干。</w:t>
            </w:r>
          </w:p>
        </w:tc>
        <w:tc>
          <w:tcPr>
            <w:tcW w:w="4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2E8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本品呈不规则的段。根茎呈不规则圆形，外表皮灰棕色，有时可见环形的节。根细，表面灰黄色，平滑或具纵皱纹。切面黄白色或白色。气辛香，味辛辣、麻舌。</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8D7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统货</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4CE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附检验合格单</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C4C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用辽细辛，无硫</w:t>
            </w:r>
          </w:p>
        </w:tc>
      </w:tr>
      <w:tr w14:paraId="08F0EA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9" w:hRule="atLeast"/>
        </w:trPr>
        <w:tc>
          <w:tcPr>
            <w:tcW w:w="8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42E0CC">
            <w:pPr>
              <w:jc w:val="center"/>
              <w:rPr>
                <w:rFonts w:hint="eastAsia" w:ascii="宋体" w:hAnsi="宋体" w:eastAsia="宋体" w:cs="宋体"/>
                <w:i w:val="0"/>
                <w:iCs w:val="0"/>
                <w:color w:val="000000"/>
                <w:sz w:val="20"/>
                <w:szCs w:val="20"/>
                <w:u w:val="none"/>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CE2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59</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24A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小茴香</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033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kg</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607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45</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4E0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伞形科植物茴香的干燥成熟果实</w:t>
            </w:r>
          </w:p>
        </w:tc>
        <w:tc>
          <w:tcPr>
            <w:tcW w:w="4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E02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本品为双悬果,呈圆柱形,有的稍弯曲,长4～8mm,直径1.5～2.5mm。表面黄绿色或淡黄色,两端略尖,顶端残留有黄棕色突起的柱基,基部有时有细小的果梗。分果呈长椭圆形,背面有纵棱5条,接合面平坦而较宽。横切面略呈五边形,背面的四边约等长。有特异香气,味微甜、辛。</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19F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统货</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186F5">
            <w:pPr>
              <w:jc w:val="center"/>
              <w:rPr>
                <w:rFonts w:hint="eastAsia" w:ascii="宋体" w:hAnsi="宋体" w:eastAsia="宋体" w:cs="宋体"/>
                <w:i w:val="0"/>
                <w:iCs w:val="0"/>
                <w:color w:val="000000"/>
                <w:sz w:val="18"/>
                <w:szCs w:val="18"/>
                <w:u w:val="none"/>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76CF8">
            <w:pPr>
              <w:jc w:val="center"/>
              <w:rPr>
                <w:rFonts w:hint="eastAsia" w:ascii="宋体" w:hAnsi="宋体" w:eastAsia="宋体" w:cs="宋体"/>
                <w:i w:val="0"/>
                <w:iCs w:val="0"/>
                <w:color w:val="000000"/>
                <w:sz w:val="18"/>
                <w:szCs w:val="18"/>
                <w:u w:val="none"/>
              </w:rPr>
            </w:pPr>
          </w:p>
        </w:tc>
      </w:tr>
      <w:tr w14:paraId="34C9C2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98" w:hRule="atLeast"/>
        </w:trPr>
        <w:tc>
          <w:tcPr>
            <w:tcW w:w="8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083D11">
            <w:pPr>
              <w:jc w:val="center"/>
              <w:rPr>
                <w:rFonts w:hint="eastAsia" w:ascii="宋体" w:hAnsi="宋体" w:eastAsia="宋体" w:cs="宋体"/>
                <w:i w:val="0"/>
                <w:iCs w:val="0"/>
                <w:color w:val="000000"/>
                <w:sz w:val="20"/>
                <w:szCs w:val="20"/>
                <w:u w:val="none"/>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521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60</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F6D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续断片</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C75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kg</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A66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69</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53C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川续断科植物川续断的干燥根。秋季采挖，除去根头和须根，用微火烘至半干，堆置“发汗”至内部变绿色时，再烘干。</w:t>
            </w:r>
          </w:p>
        </w:tc>
        <w:tc>
          <w:tcPr>
            <w:tcW w:w="4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31C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本品呈类圆形或椭圆形的厚片。外表皮灰褐色至黄褐色，有纵皱。切面皮部墨绿色或棕褐色，木部灰黄色或黄褐色，可见放射状排列的导管束纹，形成层部位多有深色环。气微，味苦、微甜而涩。</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596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统货</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973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附检验合格单</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5AA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皮部墨绿色</w:t>
            </w:r>
          </w:p>
        </w:tc>
      </w:tr>
      <w:tr w14:paraId="6EBE54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7" w:hRule="atLeast"/>
        </w:trPr>
        <w:tc>
          <w:tcPr>
            <w:tcW w:w="8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415AA2">
            <w:pPr>
              <w:jc w:val="center"/>
              <w:rPr>
                <w:rFonts w:hint="eastAsia" w:ascii="宋体" w:hAnsi="宋体" w:eastAsia="宋体" w:cs="宋体"/>
                <w:i w:val="0"/>
                <w:iCs w:val="0"/>
                <w:color w:val="000000"/>
                <w:sz w:val="20"/>
                <w:szCs w:val="20"/>
                <w:u w:val="none"/>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625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61</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C2B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野菊花</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40B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kg</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82F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129.95</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5A8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菊科植物野菊的干燥头状花序</w:t>
            </w:r>
          </w:p>
        </w:tc>
        <w:tc>
          <w:tcPr>
            <w:tcW w:w="4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A60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本品呈类球形，直径0.3~1cm，棕黄色。总苞由4～5层苞片组成，外层苞片卵形或条形，外表面中部灰绿色或浅棕色，通常被白毛，边缘膜质；内层苞片长椭圆形，膜质，外表面无毛。总苞基部有的残留总花梗。舌状花1轮，黄色至棕黄色，皱缩卷曲；管状花多数，深黄色。体轻。气芳香，味苦。</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8BD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统货</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5C85A">
            <w:pPr>
              <w:jc w:val="center"/>
              <w:rPr>
                <w:rFonts w:hint="eastAsia" w:ascii="宋体" w:hAnsi="宋体" w:eastAsia="宋体" w:cs="宋体"/>
                <w:i w:val="0"/>
                <w:iCs w:val="0"/>
                <w:color w:val="000000"/>
                <w:sz w:val="18"/>
                <w:szCs w:val="18"/>
                <w:u w:val="none"/>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77F9D">
            <w:pPr>
              <w:jc w:val="center"/>
              <w:rPr>
                <w:rFonts w:hint="eastAsia" w:ascii="宋体" w:hAnsi="宋体" w:eastAsia="宋体" w:cs="宋体"/>
                <w:i w:val="0"/>
                <w:iCs w:val="0"/>
                <w:color w:val="000000"/>
                <w:sz w:val="18"/>
                <w:szCs w:val="18"/>
                <w:u w:val="none"/>
              </w:rPr>
            </w:pPr>
          </w:p>
        </w:tc>
      </w:tr>
      <w:tr w14:paraId="28988E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1" w:hRule="atLeast"/>
        </w:trPr>
        <w:tc>
          <w:tcPr>
            <w:tcW w:w="8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699D88">
            <w:pPr>
              <w:jc w:val="center"/>
              <w:rPr>
                <w:rFonts w:hint="eastAsia" w:ascii="宋体" w:hAnsi="宋体" w:eastAsia="宋体" w:cs="宋体"/>
                <w:i w:val="0"/>
                <w:iCs w:val="0"/>
                <w:color w:val="000000"/>
                <w:sz w:val="20"/>
                <w:szCs w:val="20"/>
                <w:u w:val="none"/>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657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62</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677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玉竹</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561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kg</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369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113</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4DD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百合科植物玉竹的干燥根茎</w:t>
            </w:r>
          </w:p>
        </w:tc>
        <w:tc>
          <w:tcPr>
            <w:tcW w:w="4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510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本品呈不规则厚片或段。外表皮黄白色至淡黄棕色，半透明，有时可见环节。切面角质样或显颗粒性。气微，味甘，嚼之发黏。</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601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统货</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175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附检验合格单</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EA6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直径0.5cm以上，质地柔软，味甜有黏性</w:t>
            </w:r>
          </w:p>
        </w:tc>
      </w:tr>
      <w:tr w14:paraId="361377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1" w:hRule="atLeast"/>
        </w:trPr>
        <w:tc>
          <w:tcPr>
            <w:tcW w:w="8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C63366">
            <w:pPr>
              <w:jc w:val="center"/>
              <w:rPr>
                <w:rFonts w:hint="eastAsia" w:ascii="宋体" w:hAnsi="宋体" w:eastAsia="宋体" w:cs="宋体"/>
                <w:i w:val="0"/>
                <w:iCs w:val="0"/>
                <w:color w:val="000000"/>
                <w:sz w:val="20"/>
                <w:szCs w:val="20"/>
                <w:u w:val="none"/>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D58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63</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4CF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知母</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D2B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kg</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C4D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82</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A40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本品为百合科植物知母的干燥根茎</w:t>
            </w:r>
          </w:p>
        </w:tc>
        <w:tc>
          <w:tcPr>
            <w:tcW w:w="4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812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本品呈不规则类圆形的厚片。外表皮黄棕色或棕色，可见少量残存的黄棕色叶基纤维和凹陷或突起的点状根痕。切面黄白色至黄色。气微，味微甜、略苦，嚼之带黏性。</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332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统货</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F19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附检验合格单</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8BF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不规则厚片，直径0.8cm以上，毛须少，断面黄白色，质硬</w:t>
            </w:r>
          </w:p>
        </w:tc>
      </w:tr>
      <w:tr w14:paraId="0E23E7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1" w:hRule="atLeast"/>
        </w:trPr>
        <w:tc>
          <w:tcPr>
            <w:tcW w:w="8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17148A">
            <w:pPr>
              <w:jc w:val="center"/>
              <w:rPr>
                <w:rFonts w:hint="eastAsia" w:ascii="宋体" w:hAnsi="宋体" w:eastAsia="宋体" w:cs="宋体"/>
                <w:i w:val="0"/>
                <w:iCs w:val="0"/>
                <w:color w:val="000000"/>
                <w:sz w:val="20"/>
                <w:szCs w:val="20"/>
                <w:u w:val="none"/>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5EE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64</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47E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制白附子</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CAE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kg</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6D7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259</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964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天南星科植物独角莲的干燥块茎。</w:t>
            </w:r>
          </w:p>
        </w:tc>
        <w:tc>
          <w:tcPr>
            <w:tcW w:w="4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987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类圆形或椭圆形厚片，外表皮淡棕色，切面黄色，角质。味淡，微有麻舌感。</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DED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统货</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F1B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附检验合格单</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FEE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水分不得超过13%</w:t>
            </w:r>
          </w:p>
        </w:tc>
      </w:tr>
      <w:tr w14:paraId="3498E5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62" w:hRule="atLeast"/>
        </w:trPr>
        <w:tc>
          <w:tcPr>
            <w:tcW w:w="8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A44D9A">
            <w:pPr>
              <w:jc w:val="center"/>
              <w:rPr>
                <w:rFonts w:hint="eastAsia" w:ascii="宋体" w:hAnsi="宋体" w:eastAsia="宋体" w:cs="宋体"/>
                <w:i w:val="0"/>
                <w:iCs w:val="0"/>
                <w:color w:val="000000"/>
                <w:sz w:val="20"/>
                <w:szCs w:val="20"/>
                <w:u w:val="none"/>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ED6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65</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055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炙黄芪</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E9C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kg</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FCA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87.4</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7E8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黄芪的炮制加工品</w:t>
            </w:r>
          </w:p>
        </w:tc>
        <w:tc>
          <w:tcPr>
            <w:tcW w:w="4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52F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本品呈圆形或椭圆形的厚片，直径0.8~3.5cm，厚0.1~0.4cm。外表皮淡棕黄色或淡棕褐色，略有光泽，可见纵皱纹或纵沟。切面皮部黄白色，木部淡黄色，有放射状纹理和裂隙，有的中心偶有枯朽状，黑褐色或呈空洞。具蜜香气，味甜，略带黏性，嚼之微有豆腥味。</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014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统货</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A6A3C">
            <w:pPr>
              <w:jc w:val="center"/>
              <w:rPr>
                <w:rFonts w:hint="eastAsia" w:ascii="宋体" w:hAnsi="宋体" w:eastAsia="宋体" w:cs="宋体"/>
                <w:i w:val="0"/>
                <w:iCs w:val="0"/>
                <w:color w:val="000000"/>
                <w:sz w:val="18"/>
                <w:szCs w:val="18"/>
                <w:u w:val="none"/>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403FA">
            <w:pPr>
              <w:jc w:val="center"/>
              <w:rPr>
                <w:rFonts w:hint="eastAsia" w:ascii="宋体" w:hAnsi="宋体" w:eastAsia="宋体" w:cs="宋体"/>
                <w:i w:val="0"/>
                <w:iCs w:val="0"/>
                <w:color w:val="000000"/>
                <w:sz w:val="18"/>
                <w:szCs w:val="18"/>
                <w:u w:val="none"/>
              </w:rPr>
            </w:pPr>
          </w:p>
        </w:tc>
      </w:tr>
      <w:tr w14:paraId="156F2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62" w:hRule="atLeast"/>
        </w:trPr>
        <w:tc>
          <w:tcPr>
            <w:tcW w:w="8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CFCA54">
            <w:pPr>
              <w:jc w:val="center"/>
              <w:rPr>
                <w:rFonts w:hint="eastAsia" w:ascii="宋体" w:hAnsi="宋体" w:eastAsia="宋体" w:cs="宋体"/>
                <w:i w:val="0"/>
                <w:iCs w:val="0"/>
                <w:color w:val="000000"/>
                <w:sz w:val="20"/>
                <w:szCs w:val="20"/>
                <w:u w:val="none"/>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BE3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66</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66C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紫苏梗</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D20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kg</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C87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50.6</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20B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本品为唇形科植物紫苏干燥茎</w:t>
            </w:r>
          </w:p>
        </w:tc>
        <w:tc>
          <w:tcPr>
            <w:tcW w:w="4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E29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本品呈方柱形，四棱钝圆，长短不一，直径0.5~1.5cm。表面紫棕色或暗紫色，四面有纵沟和细纵纹，节部稍膨大，有对生的枝痕和叶痕。体轻，质硬，断面裂片状。切片厚2~5mm，常呈斜长方形，木部黄白色，射线细密，呈放射状，髓部白色，疏松或脱落。气微香，味淡。</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5D0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统货</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4B1E4">
            <w:pPr>
              <w:jc w:val="center"/>
              <w:rPr>
                <w:rFonts w:hint="eastAsia" w:ascii="宋体" w:hAnsi="宋体" w:eastAsia="宋体" w:cs="宋体"/>
                <w:i w:val="0"/>
                <w:iCs w:val="0"/>
                <w:color w:val="000000"/>
                <w:sz w:val="18"/>
                <w:szCs w:val="18"/>
                <w:u w:val="none"/>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63D8A">
            <w:pPr>
              <w:jc w:val="center"/>
              <w:rPr>
                <w:rFonts w:hint="eastAsia" w:ascii="宋体" w:hAnsi="宋体" w:eastAsia="宋体" w:cs="宋体"/>
                <w:i w:val="0"/>
                <w:iCs w:val="0"/>
                <w:color w:val="000000"/>
                <w:sz w:val="18"/>
                <w:szCs w:val="18"/>
                <w:u w:val="none"/>
              </w:rPr>
            </w:pPr>
          </w:p>
        </w:tc>
      </w:tr>
      <w:tr w14:paraId="556D26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9" w:hRule="atLeast"/>
        </w:trPr>
        <w:tc>
          <w:tcPr>
            <w:tcW w:w="8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A1D005">
            <w:pPr>
              <w:jc w:val="center"/>
              <w:rPr>
                <w:rFonts w:hint="eastAsia" w:ascii="宋体" w:hAnsi="宋体" w:eastAsia="宋体" w:cs="宋体"/>
                <w:i w:val="0"/>
                <w:iCs w:val="0"/>
                <w:color w:val="000000"/>
                <w:sz w:val="20"/>
                <w:szCs w:val="20"/>
                <w:u w:val="none"/>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6F5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67</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493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秋水仙</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3BE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kg</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7C8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266.8</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424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百合科、秋水仙属植物</w:t>
            </w:r>
          </w:p>
        </w:tc>
        <w:tc>
          <w:tcPr>
            <w:tcW w:w="4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AC0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地下部分也具有圆球形的鳞茎。它的这种鳞茎，有的直径可长至6厘米以上。球根花卉，球茎卵形，外皮黑褐色。叶披针形，暗绿色，长约30厘米。每开花1-4朵，花纺形，开放时漏斗形。蒴果，种子多数，呈不规则的球形，褐色。味苦</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419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统货</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9A7AC">
            <w:pPr>
              <w:jc w:val="center"/>
              <w:rPr>
                <w:rFonts w:hint="eastAsia" w:ascii="宋体" w:hAnsi="宋体" w:eastAsia="宋体" w:cs="宋体"/>
                <w:i w:val="0"/>
                <w:iCs w:val="0"/>
                <w:color w:val="000000"/>
                <w:sz w:val="18"/>
                <w:szCs w:val="18"/>
                <w:u w:val="none"/>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4EA2A">
            <w:pPr>
              <w:jc w:val="center"/>
              <w:rPr>
                <w:rFonts w:hint="eastAsia" w:ascii="宋体" w:hAnsi="宋体" w:eastAsia="宋体" w:cs="宋体"/>
                <w:i w:val="0"/>
                <w:iCs w:val="0"/>
                <w:color w:val="000000"/>
                <w:sz w:val="20"/>
                <w:szCs w:val="20"/>
                <w:u w:val="none"/>
              </w:rPr>
            </w:pPr>
          </w:p>
        </w:tc>
      </w:tr>
      <w:tr w14:paraId="4E21D4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7" w:hRule="atLeast"/>
        </w:trPr>
        <w:tc>
          <w:tcPr>
            <w:tcW w:w="8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04E51A">
            <w:pPr>
              <w:jc w:val="center"/>
              <w:rPr>
                <w:rFonts w:hint="eastAsia" w:ascii="宋体" w:hAnsi="宋体" w:eastAsia="宋体" w:cs="宋体"/>
                <w:i w:val="0"/>
                <w:iCs w:val="0"/>
                <w:color w:val="000000"/>
                <w:sz w:val="20"/>
                <w:szCs w:val="20"/>
                <w:u w:val="none"/>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1F5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68</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43B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洋甘菊</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104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kg</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8C3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140.3</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CBF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菊科植物洋甘菊的干燥全草</w:t>
            </w:r>
          </w:p>
        </w:tc>
        <w:tc>
          <w:tcPr>
            <w:tcW w:w="4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2F6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本品呈扁球形或广钟形，直径0.7-1.5cm。总苞片2-4层，条形、倒披针形或长卵形，边缘膜质，外层褐绿色，具绒毛。花托圆锥形或长圆锥形，无托片，常中空，舌状花1层，雌性，位于外围，白色，先端3齿裂；其内为管状花多数，两性，黄色，顶端4-5齿裂。体轻。气芳香，味微苦。</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20A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统货</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7C05D">
            <w:pPr>
              <w:jc w:val="center"/>
              <w:rPr>
                <w:rFonts w:hint="eastAsia" w:ascii="宋体" w:hAnsi="宋体" w:eastAsia="宋体" w:cs="宋体"/>
                <w:i w:val="0"/>
                <w:iCs w:val="0"/>
                <w:color w:val="000000"/>
                <w:sz w:val="18"/>
                <w:szCs w:val="18"/>
                <w:u w:val="none"/>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D67D2">
            <w:pPr>
              <w:jc w:val="center"/>
              <w:rPr>
                <w:rFonts w:hint="eastAsia" w:ascii="宋体" w:hAnsi="宋体" w:eastAsia="宋体" w:cs="宋体"/>
                <w:i w:val="0"/>
                <w:iCs w:val="0"/>
                <w:color w:val="000000"/>
                <w:sz w:val="20"/>
                <w:szCs w:val="20"/>
                <w:u w:val="none"/>
              </w:rPr>
            </w:pPr>
          </w:p>
        </w:tc>
      </w:tr>
      <w:tr w14:paraId="47793D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8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CA448E">
            <w:pPr>
              <w:jc w:val="center"/>
              <w:rPr>
                <w:rFonts w:hint="eastAsia" w:ascii="宋体" w:hAnsi="宋体" w:eastAsia="宋体" w:cs="宋体"/>
                <w:i w:val="0"/>
                <w:iCs w:val="0"/>
                <w:color w:val="000000"/>
                <w:sz w:val="20"/>
                <w:szCs w:val="20"/>
                <w:u w:val="none"/>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199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69</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3D9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蜀葵子</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44A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kg</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6AD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92</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4AB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为锦葵科植物蜀葵的种子</w:t>
            </w:r>
          </w:p>
        </w:tc>
        <w:tc>
          <w:tcPr>
            <w:tcW w:w="4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922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果盘状，直径约2厘米，被短柔毛，分果爿近圆形，多数，背部厚达1毫米，具纵槽。</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8D8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统货</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D2CBF">
            <w:pPr>
              <w:jc w:val="center"/>
              <w:rPr>
                <w:rFonts w:hint="eastAsia" w:ascii="宋体" w:hAnsi="宋体" w:eastAsia="宋体" w:cs="宋体"/>
                <w:i w:val="0"/>
                <w:iCs w:val="0"/>
                <w:color w:val="000000"/>
                <w:sz w:val="18"/>
                <w:szCs w:val="18"/>
                <w:u w:val="none"/>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88647">
            <w:pPr>
              <w:jc w:val="center"/>
              <w:rPr>
                <w:rFonts w:hint="eastAsia" w:ascii="宋体" w:hAnsi="宋体" w:eastAsia="宋体" w:cs="宋体"/>
                <w:i w:val="0"/>
                <w:iCs w:val="0"/>
                <w:color w:val="000000"/>
                <w:sz w:val="20"/>
                <w:szCs w:val="20"/>
                <w:u w:val="none"/>
              </w:rPr>
            </w:pPr>
          </w:p>
        </w:tc>
      </w:tr>
      <w:tr w14:paraId="42A90B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72" w:hRule="atLeast"/>
        </w:trPr>
        <w:tc>
          <w:tcPr>
            <w:tcW w:w="8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ADC005">
            <w:pPr>
              <w:jc w:val="center"/>
              <w:rPr>
                <w:rFonts w:hint="eastAsia" w:ascii="宋体" w:hAnsi="宋体" w:eastAsia="宋体" w:cs="宋体"/>
                <w:i w:val="0"/>
                <w:iCs w:val="0"/>
                <w:color w:val="000000"/>
                <w:sz w:val="20"/>
                <w:szCs w:val="20"/>
                <w:u w:val="none"/>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43C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70</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E8E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湖蛙</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69F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条</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64F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7.245</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B2C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蛙科动物湖蛙的干燥全体</w:t>
            </w:r>
          </w:p>
        </w:tc>
        <w:tc>
          <w:tcPr>
            <w:tcW w:w="4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B58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本品全体瘪干萎缩，体长(吻端至后肢趾端)10~15cm，身长(吻端至尾端)3~5cm。头部略呈马蹄形，长与宽几相等，由胸至腹渐狭，两侧呈纵行的棱，脊柱及肋明晰可见。全体背部黑褐色，头部腹面淡灰色至暗灰色，胸、腹、四肢腹面及前肢腋部红褐色至暗褐色。味涩。</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E31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统货</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79ED6">
            <w:pPr>
              <w:jc w:val="center"/>
              <w:rPr>
                <w:rFonts w:hint="eastAsia" w:ascii="宋体" w:hAnsi="宋体" w:eastAsia="宋体" w:cs="宋体"/>
                <w:i w:val="0"/>
                <w:iCs w:val="0"/>
                <w:color w:val="000000"/>
                <w:sz w:val="18"/>
                <w:szCs w:val="18"/>
                <w:u w:val="none"/>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43E6F">
            <w:pPr>
              <w:jc w:val="center"/>
              <w:rPr>
                <w:rFonts w:hint="eastAsia" w:ascii="宋体" w:hAnsi="宋体" w:eastAsia="宋体" w:cs="宋体"/>
                <w:i w:val="0"/>
                <w:iCs w:val="0"/>
                <w:color w:val="000000"/>
                <w:sz w:val="20"/>
                <w:szCs w:val="20"/>
                <w:u w:val="none"/>
              </w:rPr>
            </w:pPr>
          </w:p>
        </w:tc>
      </w:tr>
    </w:tbl>
    <w:p w14:paraId="60AD99A3">
      <w:pPr>
        <w:pStyle w:val="4"/>
        <w:spacing w:line="305" w:lineRule="auto"/>
        <w:rPr>
          <w:rFonts w:hint="eastAsia" w:ascii="宋体" w:hAnsi="宋体" w:eastAsia="宋体" w:cs="宋体"/>
        </w:rPr>
      </w:pPr>
    </w:p>
    <w:p w14:paraId="61D7CDE7">
      <w:pPr>
        <w:pStyle w:val="4"/>
        <w:spacing w:line="305" w:lineRule="auto"/>
        <w:rPr>
          <w:rFonts w:hint="eastAsia" w:ascii="宋体" w:hAnsi="宋体" w:eastAsia="宋体" w:cs="宋体"/>
        </w:rPr>
      </w:pPr>
    </w:p>
    <w:p w14:paraId="55720E2F">
      <w:pPr>
        <w:pStyle w:val="4"/>
        <w:spacing w:line="305" w:lineRule="auto"/>
        <w:rPr>
          <w:rFonts w:hint="eastAsia" w:ascii="宋体" w:hAnsi="宋体" w:eastAsia="宋体" w:cs="宋体"/>
        </w:rPr>
      </w:pPr>
    </w:p>
    <w:p w14:paraId="453AFC63">
      <w:pPr>
        <w:pStyle w:val="4"/>
        <w:spacing w:line="305" w:lineRule="auto"/>
        <w:rPr>
          <w:rFonts w:hint="eastAsia" w:ascii="宋体" w:hAnsi="宋体" w:eastAsia="宋体" w:cs="宋体"/>
        </w:rPr>
      </w:pPr>
    </w:p>
    <w:p w14:paraId="0F667BE3">
      <w:pPr>
        <w:pStyle w:val="4"/>
        <w:spacing w:line="305" w:lineRule="auto"/>
        <w:rPr>
          <w:rFonts w:hint="eastAsia" w:ascii="宋体" w:hAnsi="宋体" w:eastAsia="宋体" w:cs="宋体"/>
        </w:rPr>
      </w:pPr>
    </w:p>
    <w:p w14:paraId="0C142FC1">
      <w:pPr>
        <w:pStyle w:val="4"/>
        <w:spacing w:line="305" w:lineRule="auto"/>
        <w:rPr>
          <w:rFonts w:hint="eastAsia" w:ascii="宋体" w:hAnsi="宋体" w:eastAsia="宋体" w:cs="宋体"/>
        </w:rPr>
      </w:pPr>
    </w:p>
    <w:p w14:paraId="7975AF0C">
      <w:pPr>
        <w:pStyle w:val="4"/>
        <w:spacing w:line="305" w:lineRule="auto"/>
        <w:rPr>
          <w:rFonts w:hint="eastAsia" w:ascii="宋体" w:hAnsi="宋体" w:eastAsia="宋体" w:cs="宋体"/>
        </w:rPr>
      </w:pPr>
    </w:p>
    <w:p w14:paraId="53B342AC">
      <w:pPr>
        <w:pStyle w:val="4"/>
        <w:spacing w:line="305" w:lineRule="auto"/>
        <w:rPr>
          <w:rFonts w:hint="eastAsia" w:ascii="宋体" w:hAnsi="宋体" w:eastAsia="宋体" w:cs="宋体"/>
        </w:rPr>
      </w:pPr>
    </w:p>
    <w:p w14:paraId="77E09EAD">
      <w:pPr>
        <w:spacing w:before="1" w:line="214" w:lineRule="auto"/>
        <w:outlineLvl w:val="0"/>
        <w:rPr>
          <w:rFonts w:ascii="黑体" w:hAnsi="黑体" w:eastAsia="黑体" w:cs="黑体"/>
          <w:spacing w:val="9"/>
          <w:sz w:val="35"/>
          <w:szCs w:val="35"/>
          <w14:textOutline w14:w="6537" w14:cap="sq" w14:cmpd="sng">
            <w14:solidFill>
              <w14:srgbClr w14:val="000000"/>
            </w14:solidFill>
            <w14:prstDash w14:val="solid"/>
            <w14:bevel/>
          </w14:textOutline>
        </w:rPr>
      </w:pPr>
    </w:p>
    <w:p w14:paraId="62CE93E2">
      <w:pPr>
        <w:pStyle w:val="4"/>
        <w:spacing w:line="305" w:lineRule="auto"/>
        <w:jc w:val="cente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拜城县人民医院2025年中药饮片购置项目（二标段）</w:t>
      </w:r>
    </w:p>
    <w:tbl>
      <w:tblPr>
        <w:tblStyle w:val="9"/>
        <w:tblW w:w="1399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29"/>
        <w:gridCol w:w="487"/>
        <w:gridCol w:w="9"/>
        <w:gridCol w:w="714"/>
        <w:gridCol w:w="26"/>
        <w:gridCol w:w="486"/>
        <w:gridCol w:w="20"/>
        <w:gridCol w:w="898"/>
        <w:gridCol w:w="27"/>
        <w:gridCol w:w="2152"/>
        <w:gridCol w:w="37"/>
        <w:gridCol w:w="5050"/>
        <w:gridCol w:w="7"/>
        <w:gridCol w:w="688"/>
        <w:gridCol w:w="1264"/>
        <w:gridCol w:w="5"/>
        <w:gridCol w:w="1176"/>
        <w:gridCol w:w="21"/>
      </w:tblGrid>
      <w:tr w14:paraId="3A510A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99"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E2D84">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标段</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55299">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序号</w:t>
            </w:r>
          </w:p>
        </w:tc>
        <w:tc>
          <w:tcPr>
            <w:tcW w:w="7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461448">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药品名称</w:t>
            </w:r>
          </w:p>
        </w:tc>
        <w:tc>
          <w:tcPr>
            <w:tcW w:w="5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DF179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单位</w:t>
            </w: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C03E7C">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最高限价（元/单位）</w:t>
            </w:r>
          </w:p>
        </w:tc>
        <w:tc>
          <w:tcPr>
            <w:tcW w:w="21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3C8D77">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来源</w:t>
            </w:r>
          </w:p>
        </w:tc>
        <w:tc>
          <w:tcPr>
            <w:tcW w:w="5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6C27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性状</w:t>
            </w:r>
          </w:p>
        </w:tc>
        <w:tc>
          <w:tcPr>
            <w:tcW w:w="6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639624">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等级</w:t>
            </w:r>
          </w:p>
        </w:tc>
        <w:tc>
          <w:tcPr>
            <w:tcW w:w="12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82F8DC">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资质或证明材料要求</w:t>
            </w:r>
          </w:p>
        </w:tc>
        <w:tc>
          <w:tcPr>
            <w:tcW w:w="11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1A03C7">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备注</w:t>
            </w:r>
          </w:p>
        </w:tc>
      </w:tr>
      <w:tr w14:paraId="607991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1" w:type="dxa"/>
          <w:trHeight w:val="1423" w:hRule="atLeast"/>
        </w:trPr>
        <w:tc>
          <w:tcPr>
            <w:tcW w:w="9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03D8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标段二</w:t>
            </w: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11C5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9DA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艾叶</w:t>
            </w:r>
          </w:p>
        </w:tc>
        <w:tc>
          <w:tcPr>
            <w:tcW w:w="5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5BB3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kg</w:t>
            </w:r>
          </w:p>
        </w:tc>
        <w:tc>
          <w:tcPr>
            <w:tcW w:w="8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46DE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32</w:t>
            </w:r>
          </w:p>
        </w:tc>
        <w:tc>
          <w:tcPr>
            <w:tcW w:w="21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0303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菊科艾的干燥叶</w:t>
            </w:r>
          </w:p>
        </w:tc>
        <w:tc>
          <w:tcPr>
            <w:tcW w:w="51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7ED4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本品多皱缩、破碎，有短柄。完整叶片展平后呈卵状椭圆形，羽状深裂，裂片椭圆状披针形，边缘有不规则的粗锯齿；上表面灰绿色或深黄绿色，有稀疏的柔毛和腺点；下表面密生灰白色绒毛。质柔软。气清香，味苦。</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D67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统货</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36D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附检验合格单</w:t>
            </w:r>
          </w:p>
        </w:tc>
        <w:tc>
          <w:tcPr>
            <w:tcW w:w="11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EC3BA1">
            <w:pPr>
              <w:jc w:val="center"/>
              <w:rPr>
                <w:rFonts w:hint="eastAsia" w:ascii="宋体" w:hAnsi="宋体" w:eastAsia="宋体" w:cs="宋体"/>
                <w:i w:val="0"/>
                <w:iCs w:val="0"/>
                <w:color w:val="000000"/>
                <w:sz w:val="18"/>
                <w:szCs w:val="18"/>
                <w:u w:val="none"/>
              </w:rPr>
            </w:pPr>
          </w:p>
        </w:tc>
      </w:tr>
      <w:tr w14:paraId="36CC2C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1" w:type="dxa"/>
          <w:trHeight w:val="858" w:hRule="atLeast"/>
        </w:trPr>
        <w:tc>
          <w:tcPr>
            <w:tcW w:w="9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7B7594">
            <w:pPr>
              <w:jc w:val="center"/>
              <w:rPr>
                <w:rFonts w:hint="eastAsia" w:ascii="宋体" w:hAnsi="宋体" w:eastAsia="宋体" w:cs="宋体"/>
                <w:i w:val="0"/>
                <w:iCs w:val="0"/>
                <w:color w:val="000000"/>
                <w:sz w:val="20"/>
                <w:szCs w:val="20"/>
                <w:u w:val="none"/>
              </w:rPr>
            </w:pP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58F5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880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白芥子</w:t>
            </w:r>
          </w:p>
        </w:tc>
        <w:tc>
          <w:tcPr>
            <w:tcW w:w="5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1FF8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kg</w:t>
            </w:r>
          </w:p>
        </w:tc>
        <w:tc>
          <w:tcPr>
            <w:tcW w:w="8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8351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39</w:t>
            </w:r>
          </w:p>
        </w:tc>
        <w:tc>
          <w:tcPr>
            <w:tcW w:w="21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A614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十字花科植物白芥的干燥成熟种子</w:t>
            </w:r>
          </w:p>
        </w:tc>
        <w:tc>
          <w:tcPr>
            <w:tcW w:w="51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F115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本品表面灰白色，呈球形，具细微的网纹，有明显的点状种脐。种皮薄脆，破开后有白色折叠的子叶，有油性，气微，味辛辣</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BF2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统货</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577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附检验合格单</w:t>
            </w:r>
          </w:p>
        </w:tc>
        <w:tc>
          <w:tcPr>
            <w:tcW w:w="11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0086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白芥的成</w:t>
            </w:r>
            <w:r>
              <w:rPr>
                <w:rFonts w:hint="eastAsia" w:ascii="宋体" w:hAnsi="宋体" w:eastAsia="宋体" w:cs="宋体"/>
                <w:i w:val="0"/>
                <w:iCs w:val="0"/>
                <w:snapToGrid w:val="0"/>
                <w:color w:val="000000"/>
                <w:kern w:val="0"/>
                <w:sz w:val="21"/>
                <w:szCs w:val="21"/>
                <w:u w:val="none"/>
                <w:lang w:val="en-US" w:eastAsia="zh-CN" w:bidi="ar"/>
              </w:rPr>
              <w:t>熟果子</w:t>
            </w:r>
          </w:p>
        </w:tc>
      </w:tr>
      <w:tr w14:paraId="53AC16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1" w:type="dxa"/>
          <w:trHeight w:val="1989" w:hRule="atLeast"/>
        </w:trPr>
        <w:tc>
          <w:tcPr>
            <w:tcW w:w="9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E84A8A">
            <w:pPr>
              <w:jc w:val="center"/>
              <w:rPr>
                <w:rFonts w:hint="eastAsia" w:ascii="宋体" w:hAnsi="宋体" w:eastAsia="宋体" w:cs="宋体"/>
                <w:i w:val="0"/>
                <w:iCs w:val="0"/>
                <w:color w:val="000000"/>
                <w:sz w:val="20"/>
                <w:szCs w:val="20"/>
                <w:u w:val="none"/>
              </w:rPr>
            </w:pP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EC29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AC7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白莲子</w:t>
            </w:r>
          </w:p>
        </w:tc>
        <w:tc>
          <w:tcPr>
            <w:tcW w:w="5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72B9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kg</w:t>
            </w:r>
          </w:p>
        </w:tc>
        <w:tc>
          <w:tcPr>
            <w:tcW w:w="8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06A3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50.6</w:t>
            </w:r>
          </w:p>
        </w:tc>
        <w:tc>
          <w:tcPr>
            <w:tcW w:w="21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7B11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本品为睡莲科植物莲的干燥成熟种子。</w:t>
            </w:r>
          </w:p>
        </w:tc>
        <w:tc>
          <w:tcPr>
            <w:tcW w:w="51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F201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本品略呈椭圆形或类球形，长1.2~1.8cm，直径0.8～1.4cm。表面红棕色，有细纵纹和较宽的脉纹。一端中心呈乳头状突起，棕褐色，多有裂口，其周边略下陷。质硬，种皮薄，不易剥离。子叶2，黄白色，肥厚，中有空隙，具绿色莲子心；或底部具有一小孔，不具莲子心。气微，味甘、微涩；莲子心味苦。</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399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统货</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D8E5F">
            <w:pPr>
              <w:jc w:val="center"/>
              <w:rPr>
                <w:rFonts w:hint="eastAsia" w:ascii="宋体" w:hAnsi="宋体" w:eastAsia="宋体" w:cs="宋体"/>
                <w:i w:val="0"/>
                <w:iCs w:val="0"/>
                <w:color w:val="000000"/>
                <w:sz w:val="18"/>
                <w:szCs w:val="18"/>
                <w:u w:val="none"/>
              </w:rPr>
            </w:pPr>
          </w:p>
        </w:tc>
        <w:tc>
          <w:tcPr>
            <w:tcW w:w="11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A7514F">
            <w:pPr>
              <w:jc w:val="center"/>
              <w:rPr>
                <w:rFonts w:hint="eastAsia" w:ascii="宋体" w:hAnsi="宋体" w:eastAsia="宋体" w:cs="宋体"/>
                <w:i w:val="0"/>
                <w:iCs w:val="0"/>
                <w:color w:val="000000"/>
                <w:sz w:val="18"/>
                <w:szCs w:val="18"/>
                <w:u w:val="none"/>
              </w:rPr>
            </w:pPr>
          </w:p>
        </w:tc>
      </w:tr>
      <w:tr w14:paraId="65DB79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1" w:type="dxa"/>
          <w:trHeight w:val="1141" w:hRule="atLeast"/>
        </w:trPr>
        <w:tc>
          <w:tcPr>
            <w:tcW w:w="9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82A5BD">
            <w:pPr>
              <w:jc w:val="center"/>
              <w:rPr>
                <w:rFonts w:hint="eastAsia" w:ascii="宋体" w:hAnsi="宋体" w:eastAsia="宋体" w:cs="宋体"/>
                <w:i w:val="0"/>
                <w:iCs w:val="0"/>
                <w:color w:val="000000"/>
                <w:sz w:val="20"/>
                <w:szCs w:val="20"/>
                <w:u w:val="none"/>
              </w:rPr>
            </w:pP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3CCD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5B6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白芍</w:t>
            </w:r>
          </w:p>
        </w:tc>
        <w:tc>
          <w:tcPr>
            <w:tcW w:w="5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D0FA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kg</w:t>
            </w:r>
          </w:p>
        </w:tc>
        <w:tc>
          <w:tcPr>
            <w:tcW w:w="8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F105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150</w:t>
            </w:r>
          </w:p>
        </w:tc>
        <w:tc>
          <w:tcPr>
            <w:tcW w:w="21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165D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毛茛科芍药的干燥根</w:t>
            </w:r>
          </w:p>
        </w:tc>
        <w:tc>
          <w:tcPr>
            <w:tcW w:w="51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EC41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本品呈类圆形的薄片。表面淡棕红色或类白色，平滑。切面微带棕红色或类白色，形成层环明显，可见稍隆起的筋脉纹呈放射状排列。气微，味微苦、酸。</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A61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统货</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671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附检验合格单</w:t>
            </w:r>
          </w:p>
        </w:tc>
        <w:tc>
          <w:tcPr>
            <w:tcW w:w="11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43E4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翘片和炸心率不超过1%，直径1cm以上</w:t>
            </w:r>
          </w:p>
        </w:tc>
      </w:tr>
      <w:tr w14:paraId="3A9EAA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1" w:type="dxa"/>
          <w:trHeight w:val="1423" w:hRule="atLeast"/>
        </w:trPr>
        <w:tc>
          <w:tcPr>
            <w:tcW w:w="9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B7AF72">
            <w:pPr>
              <w:jc w:val="center"/>
              <w:rPr>
                <w:rFonts w:hint="eastAsia" w:ascii="宋体" w:hAnsi="宋体" w:eastAsia="宋体" w:cs="宋体"/>
                <w:i w:val="0"/>
                <w:iCs w:val="0"/>
                <w:color w:val="000000"/>
                <w:sz w:val="20"/>
                <w:szCs w:val="20"/>
                <w:u w:val="none"/>
              </w:rPr>
            </w:pP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B254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5</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274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百部</w:t>
            </w:r>
          </w:p>
        </w:tc>
        <w:tc>
          <w:tcPr>
            <w:tcW w:w="5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7F43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kg</w:t>
            </w:r>
          </w:p>
        </w:tc>
        <w:tc>
          <w:tcPr>
            <w:tcW w:w="8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05A4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117.415</w:t>
            </w:r>
          </w:p>
        </w:tc>
        <w:tc>
          <w:tcPr>
            <w:tcW w:w="21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B0D3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本品为百部科植物直立百部蔓生百部对叶百部的干燥根</w:t>
            </w:r>
          </w:p>
        </w:tc>
        <w:tc>
          <w:tcPr>
            <w:tcW w:w="51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F093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直立百部呈纺锤形，上端较细长，皱缩弯曲，长5~12cm，直径0.5～lcm。表面黄白色或淡棕黄色，有不规则深纵沟，间或有横皱纹。质脆，易折断，断面平坦，角质样，淡黄棕色或黄白色，皮部较宽，中柱扁缩。气微，味甘、苦。</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54F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统货</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CE7F8">
            <w:pPr>
              <w:jc w:val="center"/>
              <w:rPr>
                <w:rFonts w:hint="eastAsia" w:ascii="宋体" w:hAnsi="宋体" w:eastAsia="宋体" w:cs="宋体"/>
                <w:i w:val="0"/>
                <w:iCs w:val="0"/>
                <w:color w:val="000000"/>
                <w:sz w:val="18"/>
                <w:szCs w:val="18"/>
                <w:u w:val="none"/>
              </w:rPr>
            </w:pPr>
          </w:p>
        </w:tc>
        <w:tc>
          <w:tcPr>
            <w:tcW w:w="11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335F50">
            <w:pPr>
              <w:jc w:val="center"/>
              <w:rPr>
                <w:rFonts w:hint="eastAsia" w:ascii="宋体" w:hAnsi="宋体" w:eastAsia="宋体" w:cs="宋体"/>
                <w:i w:val="0"/>
                <w:iCs w:val="0"/>
                <w:color w:val="000000"/>
                <w:sz w:val="18"/>
                <w:szCs w:val="18"/>
                <w:u w:val="none"/>
              </w:rPr>
            </w:pPr>
          </w:p>
        </w:tc>
      </w:tr>
      <w:tr w14:paraId="1FE622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1" w:type="dxa"/>
          <w:trHeight w:val="1706" w:hRule="atLeast"/>
        </w:trPr>
        <w:tc>
          <w:tcPr>
            <w:tcW w:w="9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F4B9F8">
            <w:pPr>
              <w:jc w:val="center"/>
              <w:rPr>
                <w:rFonts w:hint="eastAsia" w:ascii="宋体" w:hAnsi="宋体" w:eastAsia="宋体" w:cs="宋体"/>
                <w:i w:val="0"/>
                <w:iCs w:val="0"/>
                <w:color w:val="000000"/>
                <w:sz w:val="20"/>
                <w:szCs w:val="20"/>
                <w:u w:val="none"/>
              </w:rPr>
            </w:pP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DE6C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6</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34C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板蓝根</w:t>
            </w:r>
          </w:p>
        </w:tc>
        <w:tc>
          <w:tcPr>
            <w:tcW w:w="5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0086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kg</w:t>
            </w:r>
          </w:p>
        </w:tc>
        <w:tc>
          <w:tcPr>
            <w:tcW w:w="8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6E5B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67.85</w:t>
            </w:r>
          </w:p>
        </w:tc>
        <w:tc>
          <w:tcPr>
            <w:tcW w:w="21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102C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十字花科植物菘蓝干燥根</w:t>
            </w:r>
          </w:p>
        </w:tc>
        <w:tc>
          <w:tcPr>
            <w:tcW w:w="51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FDB6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本品呈圆柱形，稍扭曲，长10~20cm，直径0.5~1cm。表面淡灰黄色或淡棕黄色，有纵皱纹、横长皮孔样突起及支根痕。根头略膨大，可见暗绿色或暗棕色轮状排列的叶柄残基和密集的疣状突起。体实，质略软，断面皮部黄白色，木部黄色。气微，味微甜后苦涩。</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CF1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统货</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1A133">
            <w:pPr>
              <w:jc w:val="center"/>
              <w:rPr>
                <w:rFonts w:hint="eastAsia" w:ascii="宋体" w:hAnsi="宋体" w:eastAsia="宋体" w:cs="宋体"/>
                <w:i w:val="0"/>
                <w:iCs w:val="0"/>
                <w:color w:val="000000"/>
                <w:sz w:val="18"/>
                <w:szCs w:val="18"/>
                <w:u w:val="none"/>
              </w:rPr>
            </w:pPr>
          </w:p>
        </w:tc>
        <w:tc>
          <w:tcPr>
            <w:tcW w:w="11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3A1331">
            <w:pPr>
              <w:jc w:val="center"/>
              <w:rPr>
                <w:rFonts w:hint="eastAsia" w:ascii="宋体" w:hAnsi="宋体" w:eastAsia="宋体" w:cs="宋体"/>
                <w:i w:val="0"/>
                <w:iCs w:val="0"/>
                <w:color w:val="000000"/>
                <w:sz w:val="18"/>
                <w:szCs w:val="18"/>
                <w:u w:val="none"/>
              </w:rPr>
            </w:pPr>
          </w:p>
        </w:tc>
      </w:tr>
      <w:tr w14:paraId="1C1F41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1" w:type="dxa"/>
          <w:trHeight w:val="1423" w:hRule="atLeast"/>
        </w:trPr>
        <w:tc>
          <w:tcPr>
            <w:tcW w:w="9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9A3ED3">
            <w:pPr>
              <w:jc w:val="center"/>
              <w:rPr>
                <w:rFonts w:hint="eastAsia" w:ascii="宋体" w:hAnsi="宋体" w:eastAsia="宋体" w:cs="宋体"/>
                <w:i w:val="0"/>
                <w:iCs w:val="0"/>
                <w:color w:val="000000"/>
                <w:sz w:val="20"/>
                <w:szCs w:val="20"/>
                <w:u w:val="none"/>
              </w:rPr>
            </w:pP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8052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51B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北寒水石</w:t>
            </w:r>
          </w:p>
        </w:tc>
        <w:tc>
          <w:tcPr>
            <w:tcW w:w="5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5CF4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kg</w:t>
            </w:r>
          </w:p>
        </w:tc>
        <w:tc>
          <w:tcPr>
            <w:tcW w:w="8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F5ED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17.25</w:t>
            </w:r>
          </w:p>
        </w:tc>
        <w:tc>
          <w:tcPr>
            <w:tcW w:w="21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7A01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硫酸盐类矿物芒硝的晶体</w:t>
            </w:r>
            <w:r>
              <w:rPr>
                <w:rFonts w:hint="default" w:ascii="Times New Roman" w:hAnsi="Times New Roman" w:eastAsia="宋体" w:cs="Times New Roman"/>
                <w:i w:val="0"/>
                <w:iCs w:val="0"/>
                <w:snapToGrid w:val="0"/>
                <w:color w:val="000000"/>
                <w:kern w:val="0"/>
                <w:sz w:val="18"/>
                <w:szCs w:val="18"/>
                <w:u w:val="none"/>
                <w:lang w:val="en-US" w:eastAsia="zh-CN" w:bidi="ar"/>
              </w:rPr>
              <w:t>‌</w:t>
            </w:r>
          </w:p>
        </w:tc>
        <w:tc>
          <w:tcPr>
            <w:tcW w:w="51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2895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呈扁平块状或厚板状，大小不一，厚度在0.5-3.5厘米之间。颜色可以是淡红色或白色，表面凹凸不平，侧面呈纵细纹理，具有丝绢光泽。质地较软，可以用指甲刻划，易砸碎，断面显直立纤维状，呈粉红色。</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747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统货</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1BCC0">
            <w:pPr>
              <w:jc w:val="center"/>
              <w:rPr>
                <w:rFonts w:hint="eastAsia" w:ascii="宋体" w:hAnsi="宋体" w:eastAsia="宋体" w:cs="宋体"/>
                <w:i w:val="0"/>
                <w:iCs w:val="0"/>
                <w:color w:val="000000"/>
                <w:sz w:val="18"/>
                <w:szCs w:val="18"/>
                <w:u w:val="none"/>
              </w:rPr>
            </w:pPr>
          </w:p>
        </w:tc>
        <w:tc>
          <w:tcPr>
            <w:tcW w:w="11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F4E017">
            <w:pPr>
              <w:jc w:val="center"/>
              <w:rPr>
                <w:rFonts w:hint="eastAsia" w:ascii="Arial" w:hAnsi="Arial" w:eastAsia="宋体" w:cs="Arial"/>
                <w:i w:val="0"/>
                <w:iCs w:val="0"/>
                <w:color w:val="000000"/>
                <w:sz w:val="21"/>
                <w:szCs w:val="21"/>
                <w:u w:val="none"/>
              </w:rPr>
            </w:pPr>
          </w:p>
        </w:tc>
      </w:tr>
      <w:tr w14:paraId="75C580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1" w:type="dxa"/>
          <w:trHeight w:val="524" w:hRule="atLeast"/>
        </w:trPr>
        <w:tc>
          <w:tcPr>
            <w:tcW w:w="9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DA7A93">
            <w:pPr>
              <w:jc w:val="center"/>
              <w:rPr>
                <w:rFonts w:hint="eastAsia" w:ascii="宋体" w:hAnsi="宋体" w:eastAsia="宋体" w:cs="宋体"/>
                <w:i w:val="0"/>
                <w:iCs w:val="0"/>
                <w:color w:val="000000"/>
                <w:sz w:val="20"/>
                <w:szCs w:val="20"/>
                <w:u w:val="none"/>
              </w:rPr>
            </w:pP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7B7C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8</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844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补骨脂</w:t>
            </w:r>
          </w:p>
        </w:tc>
        <w:tc>
          <w:tcPr>
            <w:tcW w:w="5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2FF1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kg</w:t>
            </w:r>
          </w:p>
        </w:tc>
        <w:tc>
          <w:tcPr>
            <w:tcW w:w="8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7079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52</w:t>
            </w:r>
          </w:p>
        </w:tc>
        <w:tc>
          <w:tcPr>
            <w:tcW w:w="21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FEC8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豆科植物补骨脂的干燥成熟果实</w:t>
            </w:r>
          </w:p>
        </w:tc>
        <w:tc>
          <w:tcPr>
            <w:tcW w:w="51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1A0C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表面黑色或黑褐色，微鼓起，气微香，味微咸</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132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统货</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71D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附检验合格单</w:t>
            </w:r>
          </w:p>
        </w:tc>
        <w:tc>
          <w:tcPr>
            <w:tcW w:w="11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6E93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水分检查不得过7.5%</w:t>
            </w:r>
          </w:p>
        </w:tc>
      </w:tr>
      <w:tr w14:paraId="2F54AE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1" w:type="dxa"/>
          <w:trHeight w:val="1989" w:hRule="atLeast"/>
        </w:trPr>
        <w:tc>
          <w:tcPr>
            <w:tcW w:w="9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CE9ED5">
            <w:pPr>
              <w:jc w:val="center"/>
              <w:rPr>
                <w:rFonts w:hint="eastAsia" w:ascii="宋体" w:hAnsi="宋体" w:eastAsia="宋体" w:cs="宋体"/>
                <w:i w:val="0"/>
                <w:iCs w:val="0"/>
                <w:color w:val="000000"/>
                <w:sz w:val="20"/>
                <w:szCs w:val="20"/>
                <w:u w:val="none"/>
              </w:rPr>
            </w:pP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92CD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055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苍耳子</w:t>
            </w:r>
          </w:p>
        </w:tc>
        <w:tc>
          <w:tcPr>
            <w:tcW w:w="5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62AB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kg</w:t>
            </w:r>
          </w:p>
        </w:tc>
        <w:tc>
          <w:tcPr>
            <w:tcW w:w="8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4235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35</w:t>
            </w:r>
          </w:p>
        </w:tc>
        <w:tc>
          <w:tcPr>
            <w:tcW w:w="21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82CF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菊科植物苍耳的干燥成熟带总苞的果实。</w:t>
            </w:r>
          </w:p>
        </w:tc>
        <w:tc>
          <w:tcPr>
            <w:tcW w:w="51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5321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本品呈纺锤形或卵圆形，长1~1.5cm，直径0.4~0.7cm。表面黄棕色或黄绿色，全体有钩刺，顶端有2枚较粗的刺，分离或相连，基部有果梗痕。质硬而韧，横切面中央有纵隔膜，2室，各有1枚瘦果。瘦果略呈纺锤形，一面较平坦，顶端具！突起的花柱基，果皮薄，灰黑色，具纵纹。种皮膜质，浅灰色，子叶2，有油性。气微，味微苦。</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9AD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统货</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121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附检验合格单</w:t>
            </w:r>
          </w:p>
        </w:tc>
        <w:tc>
          <w:tcPr>
            <w:tcW w:w="11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D9A5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水分检查</w:t>
            </w:r>
            <w:r>
              <w:rPr>
                <w:rFonts w:hint="eastAsia" w:ascii="宋体" w:hAnsi="宋体" w:eastAsia="宋体" w:cs="宋体"/>
                <w:i w:val="0"/>
                <w:iCs w:val="0"/>
                <w:snapToGrid w:val="0"/>
                <w:color w:val="000000"/>
                <w:kern w:val="0"/>
                <w:sz w:val="20"/>
                <w:szCs w:val="20"/>
                <w:u w:val="none"/>
                <w:lang w:val="en-US" w:eastAsia="zh-CN" w:bidi="ar"/>
              </w:rPr>
              <w:t>不得过12%</w:t>
            </w:r>
          </w:p>
        </w:tc>
      </w:tr>
      <w:tr w14:paraId="38D70C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1" w:type="dxa"/>
          <w:trHeight w:val="858" w:hRule="atLeast"/>
        </w:trPr>
        <w:tc>
          <w:tcPr>
            <w:tcW w:w="9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1D9C99">
            <w:pPr>
              <w:jc w:val="center"/>
              <w:rPr>
                <w:rFonts w:hint="eastAsia" w:ascii="宋体" w:hAnsi="宋体" w:eastAsia="宋体" w:cs="宋体"/>
                <w:i w:val="0"/>
                <w:iCs w:val="0"/>
                <w:color w:val="000000"/>
                <w:sz w:val="20"/>
                <w:szCs w:val="20"/>
                <w:u w:val="none"/>
              </w:rPr>
            </w:pP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83EE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10</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C62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侧柏叶</w:t>
            </w:r>
          </w:p>
        </w:tc>
        <w:tc>
          <w:tcPr>
            <w:tcW w:w="5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547E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kg</w:t>
            </w:r>
          </w:p>
        </w:tc>
        <w:tc>
          <w:tcPr>
            <w:tcW w:w="8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3BA5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14.95</w:t>
            </w:r>
          </w:p>
        </w:tc>
        <w:tc>
          <w:tcPr>
            <w:tcW w:w="21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BF02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柏科植物侧柏的干燥枝梢和叶</w:t>
            </w:r>
          </w:p>
        </w:tc>
        <w:tc>
          <w:tcPr>
            <w:tcW w:w="51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132A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品多分枝，小枝扁平。叶细小鳞片状，交互对生，贴伏于枝上，深绿色或黄绿色。质脆，易折断。气清香，味苦涩微辛。</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754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统货</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D06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附检验合格单</w:t>
            </w:r>
          </w:p>
        </w:tc>
        <w:tc>
          <w:tcPr>
            <w:tcW w:w="11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C037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杂质不得超过12%水分不得超过12%</w:t>
            </w:r>
          </w:p>
        </w:tc>
      </w:tr>
      <w:tr w14:paraId="050183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1" w:type="dxa"/>
          <w:trHeight w:val="1989" w:hRule="atLeast"/>
        </w:trPr>
        <w:tc>
          <w:tcPr>
            <w:tcW w:w="9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70C552">
            <w:pPr>
              <w:jc w:val="center"/>
              <w:rPr>
                <w:rFonts w:hint="eastAsia" w:ascii="宋体" w:hAnsi="宋体" w:eastAsia="宋体" w:cs="宋体"/>
                <w:i w:val="0"/>
                <w:iCs w:val="0"/>
                <w:color w:val="000000"/>
                <w:sz w:val="20"/>
                <w:szCs w:val="20"/>
                <w:u w:val="none"/>
              </w:rPr>
            </w:pP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8963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11</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59B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炒白术</w:t>
            </w:r>
          </w:p>
        </w:tc>
        <w:tc>
          <w:tcPr>
            <w:tcW w:w="5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D3DA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kg</w:t>
            </w:r>
          </w:p>
        </w:tc>
        <w:tc>
          <w:tcPr>
            <w:tcW w:w="8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2279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247.25</w:t>
            </w:r>
          </w:p>
        </w:tc>
        <w:tc>
          <w:tcPr>
            <w:tcW w:w="21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6823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芸香科佛手的干燥果实</w:t>
            </w:r>
          </w:p>
        </w:tc>
        <w:tc>
          <w:tcPr>
            <w:tcW w:w="51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F7FBB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本品为类椭圆形或卵圆形的薄片，常皱缩或卷曲，长6～10cm，宽3～7cm，厚0.2～0.4cm。顶端稍宽，常有3～5个手指状的裂瓣，基部略窄，有的可见果梗痕。外皮黄绿色或橙黄色，有皱纹和油点。果肉浅黄白色或浅黄色，散有凹凸不平的线状或点状维管束。质硬而脆，受潮后柔韧。气香，味微甜后苦。</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1A1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统货</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AD6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附检验合格单</w:t>
            </w:r>
          </w:p>
        </w:tc>
        <w:tc>
          <w:tcPr>
            <w:tcW w:w="11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3875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气味浓</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香，质柔韧</w:t>
            </w:r>
          </w:p>
        </w:tc>
      </w:tr>
      <w:tr w14:paraId="32C38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1" w:type="dxa"/>
          <w:trHeight w:val="858" w:hRule="atLeast"/>
        </w:trPr>
        <w:tc>
          <w:tcPr>
            <w:tcW w:w="9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07BE36">
            <w:pPr>
              <w:jc w:val="center"/>
              <w:rPr>
                <w:rFonts w:hint="eastAsia" w:ascii="宋体" w:hAnsi="宋体" w:eastAsia="宋体" w:cs="宋体"/>
                <w:i w:val="0"/>
                <w:iCs w:val="0"/>
                <w:color w:val="000000"/>
                <w:sz w:val="20"/>
                <w:szCs w:val="20"/>
                <w:u w:val="none"/>
              </w:rPr>
            </w:pP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3BCF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12</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78F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车前草</w:t>
            </w:r>
          </w:p>
        </w:tc>
        <w:tc>
          <w:tcPr>
            <w:tcW w:w="5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3A14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kg</w:t>
            </w:r>
          </w:p>
        </w:tc>
        <w:tc>
          <w:tcPr>
            <w:tcW w:w="8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663A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30</w:t>
            </w:r>
          </w:p>
        </w:tc>
        <w:tc>
          <w:tcPr>
            <w:tcW w:w="21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85C6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车前科植物车前或平车前的干燥全草。</w:t>
            </w:r>
          </w:p>
        </w:tc>
        <w:tc>
          <w:tcPr>
            <w:tcW w:w="51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589D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本品为不规则的段。根须状或直而长。叶片皱缩，多破碎，表面灰绿色或污绿色，脉明显。可见穗状花序。气微，味微苦。</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9A3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统货</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67EE8">
            <w:pPr>
              <w:jc w:val="center"/>
              <w:rPr>
                <w:rFonts w:hint="eastAsia" w:ascii="宋体" w:hAnsi="宋体" w:eastAsia="宋体" w:cs="宋体"/>
                <w:i w:val="0"/>
                <w:iCs w:val="0"/>
                <w:color w:val="000000"/>
                <w:sz w:val="18"/>
                <w:szCs w:val="18"/>
                <w:u w:val="none"/>
              </w:rPr>
            </w:pPr>
          </w:p>
        </w:tc>
        <w:tc>
          <w:tcPr>
            <w:tcW w:w="11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B5ADB1">
            <w:pPr>
              <w:jc w:val="center"/>
              <w:rPr>
                <w:rFonts w:hint="eastAsia" w:ascii="宋体" w:hAnsi="宋体" w:eastAsia="宋体" w:cs="宋体"/>
                <w:i w:val="0"/>
                <w:iCs w:val="0"/>
                <w:color w:val="000000"/>
                <w:sz w:val="18"/>
                <w:szCs w:val="18"/>
                <w:u w:val="none"/>
              </w:rPr>
            </w:pPr>
          </w:p>
        </w:tc>
      </w:tr>
      <w:tr w14:paraId="1A1D60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1" w:type="dxa"/>
          <w:trHeight w:val="1423" w:hRule="atLeast"/>
        </w:trPr>
        <w:tc>
          <w:tcPr>
            <w:tcW w:w="9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11F9B3">
            <w:pPr>
              <w:jc w:val="center"/>
              <w:rPr>
                <w:rFonts w:hint="eastAsia" w:ascii="宋体" w:hAnsi="宋体" w:eastAsia="宋体" w:cs="宋体"/>
                <w:i w:val="0"/>
                <w:iCs w:val="0"/>
                <w:color w:val="000000"/>
                <w:sz w:val="20"/>
                <w:szCs w:val="20"/>
                <w:u w:val="none"/>
              </w:rPr>
            </w:pP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1E8A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13</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8F8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赤小豆</w:t>
            </w:r>
          </w:p>
        </w:tc>
        <w:tc>
          <w:tcPr>
            <w:tcW w:w="5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4EB6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kg</w:t>
            </w:r>
          </w:p>
        </w:tc>
        <w:tc>
          <w:tcPr>
            <w:tcW w:w="8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21F4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28.98</w:t>
            </w:r>
          </w:p>
        </w:tc>
        <w:tc>
          <w:tcPr>
            <w:tcW w:w="21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08D0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品为豆科植物赤小豆或赤豆的干燥根</w:t>
            </w:r>
          </w:p>
        </w:tc>
        <w:tc>
          <w:tcPr>
            <w:tcW w:w="51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FDFE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赤小豆呈长圆形而稍扁，长5~8mm，直径3~5mm。表面紫红色，无光泽或微有光泽；一侧有线形突起的种脐，偏向一端，白色，约为全长2/3，中间凹陷成纵沟；另侧有1条不明显的棱脊。质硬，不易破碎。子叶2，乳白色。气微，味微甘。</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9EA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统货</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A92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附检验合格单</w:t>
            </w:r>
          </w:p>
        </w:tc>
        <w:tc>
          <w:tcPr>
            <w:tcW w:w="11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6A16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水分不得超过14%</w:t>
            </w:r>
          </w:p>
        </w:tc>
      </w:tr>
      <w:tr w14:paraId="4E8CF5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1" w:type="dxa"/>
          <w:trHeight w:val="1989" w:hRule="atLeast"/>
        </w:trPr>
        <w:tc>
          <w:tcPr>
            <w:tcW w:w="9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B1B407">
            <w:pPr>
              <w:jc w:val="center"/>
              <w:rPr>
                <w:rFonts w:hint="eastAsia" w:ascii="宋体" w:hAnsi="宋体" w:eastAsia="宋体" w:cs="宋体"/>
                <w:i w:val="0"/>
                <w:iCs w:val="0"/>
                <w:color w:val="000000"/>
                <w:sz w:val="20"/>
                <w:szCs w:val="20"/>
                <w:u w:val="none"/>
              </w:rPr>
            </w:pP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5B94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14</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44F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川木通</w:t>
            </w:r>
          </w:p>
        </w:tc>
        <w:tc>
          <w:tcPr>
            <w:tcW w:w="5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4C6E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kg</w:t>
            </w:r>
          </w:p>
        </w:tc>
        <w:tc>
          <w:tcPr>
            <w:tcW w:w="8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6962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66.7</w:t>
            </w:r>
          </w:p>
        </w:tc>
        <w:tc>
          <w:tcPr>
            <w:tcW w:w="21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76F0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为毛茛科植物小木通或绣球藤</w:t>
            </w:r>
          </w:p>
        </w:tc>
        <w:tc>
          <w:tcPr>
            <w:tcW w:w="51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0F16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本品呈长圆柱形，略扭曲，长50~100cm，直径2~3.5cm。表面黄棕色或黄褐色，有纵向凹沟及棱线；节处多膨大，有叶痕及侧枝痕。残存皮部易撕裂。质坚硬，不易折断。切片厚2~4mm，边缘不整齐，残存皮部黄棕色，木部浅黄棕色或浅黄色，有黄白色放射状纹理及裂隙，其间布满导管孔，髓部较小，类白色或黄棕色，偶有空腔。气微，味淡。</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70C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统货</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202D3">
            <w:pPr>
              <w:jc w:val="center"/>
              <w:rPr>
                <w:rFonts w:hint="eastAsia" w:ascii="宋体" w:hAnsi="宋体" w:eastAsia="宋体" w:cs="宋体"/>
                <w:i w:val="0"/>
                <w:iCs w:val="0"/>
                <w:color w:val="000000"/>
                <w:sz w:val="18"/>
                <w:szCs w:val="18"/>
                <w:u w:val="none"/>
              </w:rPr>
            </w:pPr>
          </w:p>
        </w:tc>
        <w:tc>
          <w:tcPr>
            <w:tcW w:w="11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F7963E">
            <w:pPr>
              <w:jc w:val="center"/>
              <w:rPr>
                <w:rFonts w:hint="eastAsia" w:ascii="宋体" w:hAnsi="宋体" w:eastAsia="宋体" w:cs="宋体"/>
                <w:i w:val="0"/>
                <w:iCs w:val="0"/>
                <w:color w:val="000000"/>
                <w:sz w:val="18"/>
                <w:szCs w:val="18"/>
                <w:u w:val="none"/>
              </w:rPr>
            </w:pPr>
          </w:p>
        </w:tc>
      </w:tr>
      <w:tr w14:paraId="31FFCC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1" w:type="dxa"/>
          <w:trHeight w:val="2271" w:hRule="atLeast"/>
        </w:trPr>
        <w:tc>
          <w:tcPr>
            <w:tcW w:w="9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C613BD">
            <w:pPr>
              <w:jc w:val="center"/>
              <w:rPr>
                <w:rFonts w:hint="eastAsia" w:ascii="宋体" w:hAnsi="宋体" w:eastAsia="宋体" w:cs="宋体"/>
                <w:i w:val="0"/>
                <w:iCs w:val="0"/>
                <w:color w:val="000000"/>
                <w:sz w:val="20"/>
                <w:szCs w:val="20"/>
                <w:u w:val="none"/>
              </w:rPr>
            </w:pP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2B4C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15</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F67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醋鳖甲</w:t>
            </w:r>
          </w:p>
        </w:tc>
        <w:tc>
          <w:tcPr>
            <w:tcW w:w="5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4B35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kg</w:t>
            </w:r>
          </w:p>
        </w:tc>
        <w:tc>
          <w:tcPr>
            <w:tcW w:w="8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5C54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300</w:t>
            </w:r>
          </w:p>
        </w:tc>
        <w:tc>
          <w:tcPr>
            <w:tcW w:w="21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3369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鳖科动物鳖的背甲的炮制加工品。全年均可捕捉，以秋、冬二季为多，捕捉后杀死，置沸水中烫至背甲上的硬皮能剥落时，取出，剥取背甲，除去残肉，晒干。</w:t>
            </w:r>
          </w:p>
        </w:tc>
        <w:tc>
          <w:tcPr>
            <w:tcW w:w="51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6727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生品呈椭圆形或卵圆形，背面隆起，长10～15cm，宽9～14cm。外表面黑褐色或墨绿色，略有光泽，具细网状皱纹和灰黄色或灰白色斑点，中间有一条纵棱，两侧各有左右对称的横凹纹8条，外皮脱落后，可见锯齿状嵌接缝。内表面类白色，中部有突起的脊椎骨，颈骨向内卷曲，两侧各有肋骨8条，伸出边缘。质坚硬。气微腥，味淡。用砂烫至表面淡黄色，取出，醋淬，干燥。用时捣碎。</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2F6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统货</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1A0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附检验合格单</w:t>
            </w:r>
          </w:p>
        </w:tc>
        <w:tc>
          <w:tcPr>
            <w:tcW w:w="11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7208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表面灰黑色明显，无残肉，厚</w:t>
            </w:r>
          </w:p>
        </w:tc>
      </w:tr>
      <w:tr w14:paraId="0FE89E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1" w:type="dxa"/>
          <w:trHeight w:val="1629" w:hRule="atLeast"/>
        </w:trPr>
        <w:tc>
          <w:tcPr>
            <w:tcW w:w="9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F8B697">
            <w:pPr>
              <w:jc w:val="center"/>
              <w:rPr>
                <w:rFonts w:hint="eastAsia" w:ascii="宋体" w:hAnsi="宋体" w:eastAsia="宋体" w:cs="宋体"/>
                <w:i w:val="0"/>
                <w:iCs w:val="0"/>
                <w:color w:val="000000"/>
                <w:sz w:val="20"/>
                <w:szCs w:val="20"/>
                <w:u w:val="none"/>
              </w:rPr>
            </w:pP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109E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16</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96D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大黄</w:t>
            </w:r>
          </w:p>
        </w:tc>
        <w:tc>
          <w:tcPr>
            <w:tcW w:w="5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2A1B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kg</w:t>
            </w:r>
          </w:p>
        </w:tc>
        <w:tc>
          <w:tcPr>
            <w:tcW w:w="8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5454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43.7</w:t>
            </w:r>
          </w:p>
        </w:tc>
        <w:tc>
          <w:tcPr>
            <w:tcW w:w="21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1823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蓼科植物掌叶大黄.、唐古特大黄或药用大黄的干燥根和根茎。</w:t>
            </w:r>
          </w:p>
        </w:tc>
        <w:tc>
          <w:tcPr>
            <w:tcW w:w="51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2F15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本品呈不规则类圆形厚片或块，大小不等。外表皮黄棕色或棕褐色，有纵皱纹及疙瘩状隆起。切面黄棕色至淡红棕色，较平坦，有明显散在或排列成环的星点，有空隙。</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CCF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统货</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561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附检验合格单</w:t>
            </w:r>
          </w:p>
        </w:tc>
        <w:tc>
          <w:tcPr>
            <w:tcW w:w="11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6B2B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掌叶大</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黄，色黄个大，类圆形厚</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片，星点明显，直径3cm以上</w:t>
            </w:r>
          </w:p>
        </w:tc>
      </w:tr>
      <w:tr w14:paraId="5D062A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1" w:type="dxa"/>
          <w:trHeight w:val="1141" w:hRule="atLeast"/>
        </w:trPr>
        <w:tc>
          <w:tcPr>
            <w:tcW w:w="9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F79C6E">
            <w:pPr>
              <w:jc w:val="center"/>
              <w:rPr>
                <w:rFonts w:hint="eastAsia" w:ascii="宋体" w:hAnsi="宋体" w:eastAsia="宋体" w:cs="宋体"/>
                <w:i w:val="0"/>
                <w:iCs w:val="0"/>
                <w:color w:val="000000"/>
                <w:sz w:val="20"/>
                <w:szCs w:val="20"/>
                <w:u w:val="none"/>
              </w:rPr>
            </w:pP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3089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17</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C31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淡竹叶</w:t>
            </w:r>
          </w:p>
        </w:tc>
        <w:tc>
          <w:tcPr>
            <w:tcW w:w="5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AE4D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kg</w:t>
            </w:r>
          </w:p>
        </w:tc>
        <w:tc>
          <w:tcPr>
            <w:tcW w:w="8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2B64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44.21</w:t>
            </w:r>
          </w:p>
        </w:tc>
        <w:tc>
          <w:tcPr>
            <w:tcW w:w="21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61B2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禾本科植物淡竹叶的干燥茎叶</w:t>
            </w:r>
          </w:p>
        </w:tc>
        <w:tc>
          <w:tcPr>
            <w:tcW w:w="51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FEBB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本品呈不规则的段、片，可见茎碎片、节和开裂的叶鞘。叶碎片浅绿色或黄绿色，有的皱缩卷曲，叶脉平行，具横行小脉，形成长方形的网格状，下表面尤为明显。体轻，质柔韧。气微，味淡。</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FC3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统货</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31248">
            <w:pPr>
              <w:jc w:val="center"/>
              <w:rPr>
                <w:rFonts w:hint="eastAsia" w:ascii="宋体" w:hAnsi="宋体" w:eastAsia="宋体" w:cs="宋体"/>
                <w:i w:val="0"/>
                <w:iCs w:val="0"/>
                <w:color w:val="000000"/>
                <w:sz w:val="18"/>
                <w:szCs w:val="18"/>
                <w:u w:val="none"/>
              </w:rPr>
            </w:pPr>
          </w:p>
        </w:tc>
        <w:tc>
          <w:tcPr>
            <w:tcW w:w="11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424CAA">
            <w:pPr>
              <w:jc w:val="center"/>
              <w:rPr>
                <w:rFonts w:hint="eastAsia" w:ascii="宋体" w:hAnsi="宋体" w:eastAsia="宋体" w:cs="宋体"/>
                <w:i w:val="0"/>
                <w:iCs w:val="0"/>
                <w:color w:val="000000"/>
                <w:sz w:val="18"/>
                <w:szCs w:val="18"/>
                <w:u w:val="none"/>
              </w:rPr>
            </w:pPr>
          </w:p>
        </w:tc>
      </w:tr>
      <w:tr w14:paraId="746638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1" w:type="dxa"/>
          <w:trHeight w:val="1706" w:hRule="atLeast"/>
        </w:trPr>
        <w:tc>
          <w:tcPr>
            <w:tcW w:w="9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E0389C">
            <w:pPr>
              <w:jc w:val="center"/>
              <w:rPr>
                <w:rFonts w:hint="eastAsia" w:ascii="宋体" w:hAnsi="宋体" w:eastAsia="宋体" w:cs="宋体"/>
                <w:i w:val="0"/>
                <w:iCs w:val="0"/>
                <w:color w:val="000000"/>
                <w:sz w:val="20"/>
                <w:szCs w:val="20"/>
                <w:u w:val="none"/>
              </w:rPr>
            </w:pP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5B13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18</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B24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地骨皮</w:t>
            </w:r>
          </w:p>
        </w:tc>
        <w:tc>
          <w:tcPr>
            <w:tcW w:w="5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DFB6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kg</w:t>
            </w:r>
          </w:p>
        </w:tc>
        <w:tc>
          <w:tcPr>
            <w:tcW w:w="8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31C2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240</w:t>
            </w:r>
          </w:p>
        </w:tc>
        <w:tc>
          <w:tcPr>
            <w:tcW w:w="21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93D9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茄科植物枸杞的干燥根皮</w:t>
            </w:r>
          </w:p>
        </w:tc>
        <w:tc>
          <w:tcPr>
            <w:tcW w:w="51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88E5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本品呈筒状或槽状，长3~10cm，宽0.5~1.5cm，厚0.1~0.3cm。外表面灰黄色至棕黄色，粗糙，有不规则纵裂纹，易成鳞片状剥落。内表面黄白色至灰黄色，较平坦，有细纵纹。体轻，质脆，易折断，断面不平坦，外层黄棕色，内层灰白色。气微，味微甘而后苦。</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D86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统货</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E4C40">
            <w:pPr>
              <w:jc w:val="center"/>
              <w:rPr>
                <w:rFonts w:hint="eastAsia" w:ascii="宋体" w:hAnsi="宋体" w:eastAsia="宋体" w:cs="宋体"/>
                <w:i w:val="0"/>
                <w:iCs w:val="0"/>
                <w:color w:val="000000"/>
                <w:sz w:val="18"/>
                <w:szCs w:val="18"/>
                <w:u w:val="none"/>
              </w:rPr>
            </w:pPr>
          </w:p>
        </w:tc>
        <w:tc>
          <w:tcPr>
            <w:tcW w:w="11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04F1B2">
            <w:pPr>
              <w:jc w:val="center"/>
              <w:rPr>
                <w:rFonts w:hint="eastAsia" w:ascii="宋体" w:hAnsi="宋体" w:eastAsia="宋体" w:cs="宋体"/>
                <w:i w:val="0"/>
                <w:iCs w:val="0"/>
                <w:color w:val="000000"/>
                <w:sz w:val="18"/>
                <w:szCs w:val="18"/>
                <w:u w:val="none"/>
              </w:rPr>
            </w:pPr>
          </w:p>
        </w:tc>
      </w:tr>
      <w:tr w14:paraId="6968AA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1" w:type="dxa"/>
          <w:trHeight w:val="1989" w:hRule="atLeast"/>
        </w:trPr>
        <w:tc>
          <w:tcPr>
            <w:tcW w:w="9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31C0A8">
            <w:pPr>
              <w:jc w:val="center"/>
              <w:rPr>
                <w:rFonts w:hint="eastAsia" w:ascii="宋体" w:hAnsi="宋体" w:eastAsia="宋体" w:cs="宋体"/>
                <w:i w:val="0"/>
                <w:iCs w:val="0"/>
                <w:color w:val="000000"/>
                <w:sz w:val="20"/>
                <w:szCs w:val="20"/>
                <w:u w:val="none"/>
              </w:rPr>
            </w:pP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C619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19</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0CC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豆蔻</w:t>
            </w:r>
          </w:p>
        </w:tc>
        <w:tc>
          <w:tcPr>
            <w:tcW w:w="5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ADC6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kg</w:t>
            </w:r>
          </w:p>
        </w:tc>
        <w:tc>
          <w:tcPr>
            <w:tcW w:w="8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79CE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110.4</w:t>
            </w:r>
          </w:p>
        </w:tc>
        <w:tc>
          <w:tcPr>
            <w:tcW w:w="21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C5C0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姜科植物白豆蔻或爪哇白豆蔻的干燥成熟果实。按产地不同分为“原豆蔻”和“印尼白蔻”。</w:t>
            </w:r>
          </w:p>
        </w:tc>
        <w:tc>
          <w:tcPr>
            <w:tcW w:w="51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1698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原豆蔻呈类球形，直径1.2～1.8cm。表面黄白色至淡黄棕色，有3条较深的纵向槽纹，顶端有突起的柱基，基部有凹下的果柄痕，两端均具浅棕色绒毛。果皮体轻，质脆，易纵向裂开，内分3室，每室含种子约10粒；种子呈不规则多面体，背面略隆起，直径3～4mm，表面暗棕色，有皱纹，并被有残留的假种皮。气芳香，味辛凉略似樟脑。</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472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统货</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0DD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附检验合格单</w:t>
            </w:r>
          </w:p>
        </w:tc>
        <w:tc>
          <w:tcPr>
            <w:tcW w:w="11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9618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用原豆蔻</w:t>
            </w:r>
          </w:p>
        </w:tc>
      </w:tr>
      <w:tr w14:paraId="1D2783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1" w:type="dxa"/>
          <w:trHeight w:val="2837" w:hRule="atLeast"/>
        </w:trPr>
        <w:tc>
          <w:tcPr>
            <w:tcW w:w="9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F01FAC">
            <w:pPr>
              <w:jc w:val="center"/>
              <w:rPr>
                <w:rFonts w:hint="eastAsia" w:ascii="宋体" w:hAnsi="宋体" w:eastAsia="宋体" w:cs="宋体"/>
                <w:i w:val="0"/>
                <w:iCs w:val="0"/>
                <w:color w:val="000000"/>
                <w:sz w:val="20"/>
                <w:szCs w:val="20"/>
                <w:u w:val="none"/>
              </w:rPr>
            </w:pP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1A43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383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法半夏</w:t>
            </w:r>
          </w:p>
        </w:tc>
        <w:tc>
          <w:tcPr>
            <w:tcW w:w="5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09F4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kg</w:t>
            </w:r>
          </w:p>
        </w:tc>
        <w:tc>
          <w:tcPr>
            <w:tcW w:w="8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FAA4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249</w:t>
            </w:r>
          </w:p>
        </w:tc>
        <w:tc>
          <w:tcPr>
            <w:tcW w:w="21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8989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半夏的炮制加工品</w:t>
            </w:r>
          </w:p>
        </w:tc>
        <w:tc>
          <w:tcPr>
            <w:tcW w:w="51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B44E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取半夏，大小分开，用水浸泡至内无干心，取出；另取甘草适量，加水煎煮二次，合并煎液，倒入用适量水制成的石灰液中，搅匀，加入上述已浸透的半夏，浸泡，每日搅拌1～2次，并保持浸液pH值12以上，至剖面黄色均匀，口尝微有麻舌感时，取出，洗净，阴干或烘干，即得。每100kg净半夏，用甘草15kg、生石灰10kg。【性状】本品呈类球形或破碎成不规则颗粒状。表面淡黄白色、黄色或棕黄色。质较松脆或硬脆，断面黄色或淡黄色，颗粒者质稍硬脆。气微，味淡略甘、微有麻舌感。</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D87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统货</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C63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附检验合格单</w:t>
            </w:r>
          </w:p>
        </w:tc>
        <w:tc>
          <w:tcPr>
            <w:tcW w:w="11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FD4A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直径1cm以上球</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形，畸形不大于5%</w:t>
            </w:r>
          </w:p>
        </w:tc>
      </w:tr>
      <w:tr w14:paraId="2B90E2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1" w:type="dxa"/>
          <w:trHeight w:val="858" w:hRule="atLeast"/>
        </w:trPr>
        <w:tc>
          <w:tcPr>
            <w:tcW w:w="9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69DE9C">
            <w:pPr>
              <w:jc w:val="center"/>
              <w:rPr>
                <w:rFonts w:hint="eastAsia" w:ascii="宋体" w:hAnsi="宋体" w:eastAsia="宋体" w:cs="宋体"/>
                <w:i w:val="0"/>
                <w:iCs w:val="0"/>
                <w:color w:val="000000"/>
                <w:sz w:val="20"/>
                <w:szCs w:val="20"/>
                <w:u w:val="none"/>
              </w:rPr>
            </w:pP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CDFD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21</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578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茯神</w:t>
            </w:r>
          </w:p>
        </w:tc>
        <w:tc>
          <w:tcPr>
            <w:tcW w:w="5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5C00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kg</w:t>
            </w:r>
          </w:p>
        </w:tc>
        <w:tc>
          <w:tcPr>
            <w:tcW w:w="8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52E5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122</w:t>
            </w:r>
          </w:p>
        </w:tc>
        <w:tc>
          <w:tcPr>
            <w:tcW w:w="21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DD14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多孔菌科真菌茯苓带有松根的自然长成的菌核的加工炮制品</w:t>
            </w:r>
          </w:p>
        </w:tc>
        <w:tc>
          <w:tcPr>
            <w:tcW w:w="51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1202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本品呈不规则的厚片或块。切面粉白色，松根切面棕黄色，可见圈状纹理（年轮），可见松根皮部与木部之间有菌肉。无臭，味淡，嚼之黏牙。</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FC5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统货</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010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附检验合格单</w:t>
            </w:r>
          </w:p>
        </w:tc>
        <w:tc>
          <w:tcPr>
            <w:tcW w:w="11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716B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质地实，茯神木不超过3cm</w:t>
            </w:r>
          </w:p>
        </w:tc>
      </w:tr>
      <w:tr w14:paraId="038A21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1" w:type="dxa"/>
          <w:trHeight w:val="935" w:hRule="atLeast"/>
        </w:trPr>
        <w:tc>
          <w:tcPr>
            <w:tcW w:w="9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07FAC0">
            <w:pPr>
              <w:jc w:val="center"/>
              <w:rPr>
                <w:rFonts w:hint="eastAsia" w:ascii="宋体" w:hAnsi="宋体" w:eastAsia="宋体" w:cs="宋体"/>
                <w:i w:val="0"/>
                <w:iCs w:val="0"/>
                <w:color w:val="000000"/>
                <w:sz w:val="20"/>
                <w:szCs w:val="20"/>
                <w:u w:val="none"/>
              </w:rPr>
            </w:pP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0660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22</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088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干姜片</w:t>
            </w:r>
          </w:p>
        </w:tc>
        <w:tc>
          <w:tcPr>
            <w:tcW w:w="5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7D99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kg</w:t>
            </w:r>
          </w:p>
        </w:tc>
        <w:tc>
          <w:tcPr>
            <w:tcW w:w="8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E5E1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57</w:t>
            </w:r>
          </w:p>
        </w:tc>
        <w:tc>
          <w:tcPr>
            <w:tcW w:w="21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A3AB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姜科姜的干燥根茎</w:t>
            </w:r>
          </w:p>
        </w:tc>
        <w:tc>
          <w:tcPr>
            <w:tcW w:w="51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4C0B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本品呈不规则片块状，厚0.2～0.4cm。</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FED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统货</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CB6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附检验合格单</w:t>
            </w:r>
          </w:p>
        </w:tc>
        <w:tc>
          <w:tcPr>
            <w:tcW w:w="11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6F0B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干姜片，无硫或低硫，味辛辣质坚实</w:t>
            </w:r>
          </w:p>
        </w:tc>
      </w:tr>
      <w:tr w14:paraId="76E446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1" w:type="dxa"/>
          <w:trHeight w:val="858" w:hRule="atLeast"/>
        </w:trPr>
        <w:tc>
          <w:tcPr>
            <w:tcW w:w="9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D80745">
            <w:pPr>
              <w:jc w:val="center"/>
              <w:rPr>
                <w:rFonts w:hint="eastAsia" w:ascii="宋体" w:hAnsi="宋体" w:eastAsia="宋体" w:cs="宋体"/>
                <w:i w:val="0"/>
                <w:iCs w:val="0"/>
                <w:color w:val="000000"/>
                <w:sz w:val="20"/>
                <w:szCs w:val="20"/>
                <w:u w:val="none"/>
              </w:rPr>
            </w:pP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E891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23</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0CF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葛根</w:t>
            </w:r>
          </w:p>
        </w:tc>
        <w:tc>
          <w:tcPr>
            <w:tcW w:w="5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B3F8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kg</w:t>
            </w:r>
          </w:p>
        </w:tc>
        <w:tc>
          <w:tcPr>
            <w:tcW w:w="8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4E08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48</w:t>
            </w:r>
          </w:p>
        </w:tc>
        <w:tc>
          <w:tcPr>
            <w:tcW w:w="21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A411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豆科野葛的干燥根</w:t>
            </w:r>
          </w:p>
        </w:tc>
        <w:tc>
          <w:tcPr>
            <w:tcW w:w="51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D749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本品呈不规则的厚片、粗丝或边长为0.5～1.2cm的方块。切面浅黄棕色至棕黄色。质韧，纤维性强。气微，味微甜</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15F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统货</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1EAC1">
            <w:pPr>
              <w:jc w:val="center"/>
              <w:rPr>
                <w:rFonts w:hint="eastAsia" w:ascii="宋体" w:hAnsi="宋体" w:eastAsia="宋体" w:cs="宋体"/>
                <w:i w:val="0"/>
                <w:iCs w:val="0"/>
                <w:color w:val="000000"/>
                <w:sz w:val="18"/>
                <w:szCs w:val="18"/>
                <w:u w:val="none"/>
              </w:rPr>
            </w:pPr>
          </w:p>
        </w:tc>
        <w:tc>
          <w:tcPr>
            <w:tcW w:w="11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FA5F30">
            <w:pPr>
              <w:jc w:val="center"/>
              <w:rPr>
                <w:rFonts w:hint="eastAsia" w:ascii="宋体" w:hAnsi="宋体" w:eastAsia="宋体" w:cs="宋体"/>
                <w:i w:val="0"/>
                <w:iCs w:val="0"/>
                <w:color w:val="000000"/>
                <w:sz w:val="18"/>
                <w:szCs w:val="18"/>
                <w:u w:val="none"/>
              </w:rPr>
            </w:pPr>
          </w:p>
        </w:tc>
      </w:tr>
      <w:tr w14:paraId="5D150F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1" w:type="dxa"/>
          <w:trHeight w:val="1398" w:hRule="atLeast"/>
        </w:trPr>
        <w:tc>
          <w:tcPr>
            <w:tcW w:w="9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797773">
            <w:pPr>
              <w:jc w:val="center"/>
              <w:rPr>
                <w:rFonts w:hint="eastAsia" w:ascii="宋体" w:hAnsi="宋体" w:eastAsia="宋体" w:cs="宋体"/>
                <w:i w:val="0"/>
                <w:iCs w:val="0"/>
                <w:color w:val="000000"/>
                <w:sz w:val="20"/>
                <w:szCs w:val="20"/>
                <w:u w:val="none"/>
              </w:rPr>
            </w:pP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E136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24</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16C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谷芽</w:t>
            </w:r>
          </w:p>
        </w:tc>
        <w:tc>
          <w:tcPr>
            <w:tcW w:w="5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4CD1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kg</w:t>
            </w:r>
          </w:p>
        </w:tc>
        <w:tc>
          <w:tcPr>
            <w:tcW w:w="8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C28B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19</w:t>
            </w:r>
          </w:p>
        </w:tc>
        <w:tc>
          <w:tcPr>
            <w:tcW w:w="21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E0CC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禾本科植物粟的成熟果实经发芽干燥的炮制加工品。将粟谷用水浸泡后，保持适宜的温、湿度，待须根长至约6mm时，晒干或低温干燥。</w:t>
            </w:r>
          </w:p>
        </w:tc>
        <w:tc>
          <w:tcPr>
            <w:tcW w:w="51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C580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本品呈类圆球形，直径约2mm，顶端钝圆，基部略尖。外壳为革质的稃片，淡黄色，具点状皱纹，下端有初生的细须根，长约3～6mm，剥去稃片，内含淡黄色或黄白色颖果（小米）1粒。气微，味微甘。</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B8A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统货</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7A924">
            <w:pPr>
              <w:jc w:val="center"/>
              <w:rPr>
                <w:rFonts w:hint="eastAsia" w:ascii="宋体" w:hAnsi="宋体" w:eastAsia="宋体" w:cs="宋体"/>
                <w:i w:val="0"/>
                <w:iCs w:val="0"/>
                <w:color w:val="000000"/>
                <w:sz w:val="18"/>
                <w:szCs w:val="18"/>
                <w:u w:val="none"/>
              </w:rPr>
            </w:pPr>
          </w:p>
        </w:tc>
        <w:tc>
          <w:tcPr>
            <w:tcW w:w="11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B9226D">
            <w:pPr>
              <w:jc w:val="center"/>
              <w:rPr>
                <w:rFonts w:hint="eastAsia" w:ascii="宋体" w:hAnsi="宋体" w:eastAsia="宋体" w:cs="宋体"/>
                <w:i w:val="0"/>
                <w:iCs w:val="0"/>
                <w:color w:val="000000"/>
                <w:sz w:val="18"/>
                <w:szCs w:val="18"/>
                <w:u w:val="none"/>
              </w:rPr>
            </w:pPr>
          </w:p>
        </w:tc>
      </w:tr>
      <w:tr w14:paraId="7FBB54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1" w:type="dxa"/>
          <w:trHeight w:val="1706" w:hRule="atLeast"/>
        </w:trPr>
        <w:tc>
          <w:tcPr>
            <w:tcW w:w="9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070324">
            <w:pPr>
              <w:jc w:val="center"/>
              <w:rPr>
                <w:rFonts w:hint="eastAsia" w:ascii="宋体" w:hAnsi="宋体" w:eastAsia="宋体" w:cs="宋体"/>
                <w:i w:val="0"/>
                <w:iCs w:val="0"/>
                <w:color w:val="000000"/>
                <w:sz w:val="20"/>
                <w:szCs w:val="20"/>
                <w:u w:val="none"/>
              </w:rPr>
            </w:pP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C080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25</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32E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广藿香</w:t>
            </w:r>
          </w:p>
        </w:tc>
        <w:tc>
          <w:tcPr>
            <w:tcW w:w="5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95FA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kg</w:t>
            </w:r>
          </w:p>
        </w:tc>
        <w:tc>
          <w:tcPr>
            <w:tcW w:w="8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5D04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34.5</w:t>
            </w:r>
          </w:p>
        </w:tc>
        <w:tc>
          <w:tcPr>
            <w:tcW w:w="21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A81B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唇形科植物广藿香的干燥地上部分</w:t>
            </w:r>
          </w:p>
        </w:tc>
        <w:tc>
          <w:tcPr>
            <w:tcW w:w="51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6AFD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本品呈不规则的段。茎略呈方柱形，表面灰褐色、灰黄色或带红棕色，被柔毛。切面有白色髓。叶破碎或皱缩成团，完整者展平后呈卵形或椭圆形，两面均被灰白色绒毛；基部楔形或钝圆，边缘具大小不规则的钝齿；叶柄细，被柔毛。气香特异，味微苦。</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941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统货</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945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附检验合格单</w:t>
            </w:r>
          </w:p>
        </w:tc>
        <w:tc>
          <w:tcPr>
            <w:tcW w:w="11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7F59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叶&gt;30%</w:t>
            </w:r>
          </w:p>
        </w:tc>
      </w:tr>
      <w:tr w14:paraId="00EA20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1" w:type="dxa"/>
          <w:trHeight w:val="2271" w:hRule="atLeast"/>
        </w:trPr>
        <w:tc>
          <w:tcPr>
            <w:tcW w:w="9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FED18F">
            <w:pPr>
              <w:jc w:val="center"/>
              <w:rPr>
                <w:rFonts w:hint="eastAsia" w:ascii="宋体" w:hAnsi="宋体" w:eastAsia="宋体" w:cs="宋体"/>
                <w:i w:val="0"/>
                <w:iCs w:val="0"/>
                <w:color w:val="000000"/>
                <w:sz w:val="20"/>
                <w:szCs w:val="20"/>
                <w:u w:val="none"/>
              </w:rPr>
            </w:pP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F41B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26</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653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合欢花</w:t>
            </w:r>
          </w:p>
        </w:tc>
        <w:tc>
          <w:tcPr>
            <w:tcW w:w="5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11A1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kg</w:t>
            </w:r>
          </w:p>
        </w:tc>
        <w:tc>
          <w:tcPr>
            <w:tcW w:w="8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1CD4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343</w:t>
            </w:r>
          </w:p>
        </w:tc>
        <w:tc>
          <w:tcPr>
            <w:tcW w:w="21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988B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豆科合欢的干燥花序（合欢花）或花蕾（合欢米）</w:t>
            </w:r>
          </w:p>
        </w:tc>
        <w:tc>
          <w:tcPr>
            <w:tcW w:w="51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BAF0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合欢花头状花序，皱缩成团。总花梗长3～4cm，有时与花序脱离，黄绿色，有纵纹，被稀疏毛茸。花全体密被毛茸，细长而弯曲，长0.7～1cm，淡黄色或黄褐色，无花梗或几无花梗。花萼筒状，先端有5小齿；花冠筒长约为萼筒的2倍，先端5裂，裂片披针形；雄蕊多数，花丝细长，黄棕色至黄褐色，下部合生，上部分离，伸出花冠筒外。气微香，味淡。</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AC7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统货</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303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附检验合格单</w:t>
            </w:r>
          </w:p>
        </w:tc>
        <w:tc>
          <w:tcPr>
            <w:tcW w:w="11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00F4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用合欢花，无枝梗</w:t>
            </w:r>
          </w:p>
        </w:tc>
      </w:tr>
      <w:tr w14:paraId="251F53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1" w:type="dxa"/>
          <w:trHeight w:val="858" w:hRule="atLeast"/>
        </w:trPr>
        <w:tc>
          <w:tcPr>
            <w:tcW w:w="9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F32A1C">
            <w:pPr>
              <w:jc w:val="center"/>
              <w:rPr>
                <w:rFonts w:hint="eastAsia" w:ascii="宋体" w:hAnsi="宋体" w:eastAsia="宋体" w:cs="宋体"/>
                <w:i w:val="0"/>
                <w:iCs w:val="0"/>
                <w:color w:val="000000"/>
                <w:sz w:val="20"/>
                <w:szCs w:val="20"/>
                <w:u w:val="none"/>
              </w:rPr>
            </w:pP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555E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27</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367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黑芝麻</w:t>
            </w:r>
          </w:p>
        </w:tc>
        <w:tc>
          <w:tcPr>
            <w:tcW w:w="5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EAB5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kg</w:t>
            </w:r>
          </w:p>
        </w:tc>
        <w:tc>
          <w:tcPr>
            <w:tcW w:w="8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7025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47</w:t>
            </w:r>
          </w:p>
        </w:tc>
        <w:tc>
          <w:tcPr>
            <w:tcW w:w="21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8864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脂麻科植物脂麻的干燥成熟种子。</w:t>
            </w:r>
          </w:p>
        </w:tc>
        <w:tc>
          <w:tcPr>
            <w:tcW w:w="51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3895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本品呈扁卵圆形，长约3mm，宽约2mm。表面黑色，平滑或有网状皱纹。尖端有棕色点状种脐。种皮薄，子叶2，白色，富油性。气微，味甘，有油香气。</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1C1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统货</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89B35">
            <w:pPr>
              <w:jc w:val="center"/>
              <w:rPr>
                <w:rFonts w:hint="eastAsia" w:ascii="宋体" w:hAnsi="宋体" w:eastAsia="宋体" w:cs="宋体"/>
                <w:i w:val="0"/>
                <w:iCs w:val="0"/>
                <w:color w:val="000000"/>
                <w:sz w:val="18"/>
                <w:szCs w:val="18"/>
                <w:u w:val="none"/>
              </w:rPr>
            </w:pPr>
          </w:p>
        </w:tc>
        <w:tc>
          <w:tcPr>
            <w:tcW w:w="11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74475B">
            <w:pPr>
              <w:jc w:val="center"/>
              <w:rPr>
                <w:rFonts w:hint="eastAsia" w:ascii="宋体" w:hAnsi="宋体" w:eastAsia="宋体" w:cs="宋体"/>
                <w:i w:val="0"/>
                <w:iCs w:val="0"/>
                <w:color w:val="000000"/>
                <w:sz w:val="18"/>
                <w:szCs w:val="18"/>
                <w:u w:val="none"/>
              </w:rPr>
            </w:pPr>
          </w:p>
        </w:tc>
      </w:tr>
      <w:tr w14:paraId="2BAC23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1" w:type="dxa"/>
          <w:trHeight w:val="1706" w:hRule="atLeast"/>
        </w:trPr>
        <w:tc>
          <w:tcPr>
            <w:tcW w:w="9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8AD07B">
            <w:pPr>
              <w:jc w:val="center"/>
              <w:rPr>
                <w:rFonts w:hint="eastAsia" w:ascii="宋体" w:hAnsi="宋体" w:eastAsia="宋体" w:cs="宋体"/>
                <w:i w:val="0"/>
                <w:iCs w:val="0"/>
                <w:color w:val="000000"/>
                <w:sz w:val="20"/>
                <w:szCs w:val="20"/>
                <w:u w:val="none"/>
              </w:rPr>
            </w:pP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677E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28</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4D8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黄芪</w:t>
            </w:r>
          </w:p>
        </w:tc>
        <w:tc>
          <w:tcPr>
            <w:tcW w:w="5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5775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kg</w:t>
            </w:r>
          </w:p>
        </w:tc>
        <w:tc>
          <w:tcPr>
            <w:tcW w:w="8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16BF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58.65</w:t>
            </w:r>
          </w:p>
        </w:tc>
        <w:tc>
          <w:tcPr>
            <w:tcW w:w="21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EFDB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豆科植物蒙古黄芪的干燥根</w:t>
            </w:r>
          </w:p>
        </w:tc>
        <w:tc>
          <w:tcPr>
            <w:tcW w:w="51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4E99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本品呈圆柱形，有的有分枝，上端较粗，长30~90cm，直径1~3.5cm。表面淡棕黄色或淡棕褐色，有不整齐的纵皱纹或纵沟。质硬而韧，不易折断，断面纤维性强，并显粉性，皮部黄白色，木部淡黄色，有放射状纹理和裂隙，老根中心偶呈枯朽状，黑褐色或呈空洞。气微，味微甜，嚼之微有豆腥味。</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6CC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统货</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1B3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附检验合格单</w:t>
            </w:r>
          </w:p>
        </w:tc>
        <w:tc>
          <w:tcPr>
            <w:tcW w:w="11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B36B34">
            <w:pPr>
              <w:jc w:val="center"/>
              <w:rPr>
                <w:rFonts w:hint="eastAsia" w:ascii="宋体" w:hAnsi="宋体" w:eastAsia="宋体" w:cs="宋体"/>
                <w:i w:val="0"/>
                <w:iCs w:val="0"/>
                <w:color w:val="000000"/>
                <w:sz w:val="18"/>
                <w:szCs w:val="18"/>
                <w:u w:val="none"/>
              </w:rPr>
            </w:pPr>
          </w:p>
        </w:tc>
      </w:tr>
      <w:tr w14:paraId="6C46DD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1" w:type="dxa"/>
          <w:trHeight w:val="1706" w:hRule="atLeast"/>
        </w:trPr>
        <w:tc>
          <w:tcPr>
            <w:tcW w:w="9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552F3C">
            <w:pPr>
              <w:jc w:val="center"/>
              <w:rPr>
                <w:rFonts w:hint="eastAsia" w:ascii="宋体" w:hAnsi="宋体" w:eastAsia="宋体" w:cs="宋体"/>
                <w:i w:val="0"/>
                <w:iCs w:val="0"/>
                <w:color w:val="000000"/>
                <w:sz w:val="20"/>
                <w:szCs w:val="20"/>
                <w:u w:val="none"/>
              </w:rPr>
            </w:pP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2CC0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29</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A06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鸡血藤</w:t>
            </w:r>
          </w:p>
        </w:tc>
        <w:tc>
          <w:tcPr>
            <w:tcW w:w="5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655A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kg</w:t>
            </w:r>
          </w:p>
        </w:tc>
        <w:tc>
          <w:tcPr>
            <w:tcW w:w="8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B6FF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24.15</w:t>
            </w:r>
          </w:p>
        </w:tc>
        <w:tc>
          <w:tcPr>
            <w:tcW w:w="21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671D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豆科密花豆的干燥藤茎</w:t>
            </w:r>
          </w:p>
        </w:tc>
        <w:tc>
          <w:tcPr>
            <w:tcW w:w="51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3175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本品为椭圆形、长矩圆形或不规则的斜切片，厚0.3～1cm。栓皮灰棕色，有的可见灰白色斑，栓皮脱落处显红棕色。质坚硬。切面木部红棕色或棕色，导管孔多数；韧皮部有树脂状分泌物呈红棕色至黑棕色，与木部相间排列呈数个同心性椭圆形环或偏心性半圆形环；髓部偏向一侧。气微，味涩。</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E46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统货</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F9108">
            <w:pPr>
              <w:jc w:val="center"/>
              <w:rPr>
                <w:rFonts w:hint="eastAsia" w:ascii="宋体" w:hAnsi="宋体" w:eastAsia="宋体" w:cs="宋体"/>
                <w:i w:val="0"/>
                <w:iCs w:val="0"/>
                <w:color w:val="000000"/>
                <w:sz w:val="18"/>
                <w:szCs w:val="18"/>
                <w:u w:val="none"/>
              </w:rPr>
            </w:pPr>
          </w:p>
        </w:tc>
        <w:tc>
          <w:tcPr>
            <w:tcW w:w="11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36A7B1">
            <w:pPr>
              <w:jc w:val="center"/>
              <w:rPr>
                <w:rFonts w:hint="eastAsia" w:ascii="宋体" w:hAnsi="宋体" w:eastAsia="宋体" w:cs="宋体"/>
                <w:i w:val="0"/>
                <w:iCs w:val="0"/>
                <w:color w:val="000000"/>
                <w:sz w:val="18"/>
                <w:szCs w:val="18"/>
                <w:u w:val="none"/>
              </w:rPr>
            </w:pPr>
          </w:p>
        </w:tc>
      </w:tr>
      <w:tr w14:paraId="7F3B92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1" w:type="dxa"/>
          <w:trHeight w:val="1706" w:hRule="atLeast"/>
        </w:trPr>
        <w:tc>
          <w:tcPr>
            <w:tcW w:w="9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A5D9E1">
            <w:pPr>
              <w:jc w:val="center"/>
              <w:rPr>
                <w:rFonts w:hint="eastAsia" w:ascii="宋体" w:hAnsi="宋体" w:eastAsia="宋体" w:cs="宋体"/>
                <w:i w:val="0"/>
                <w:iCs w:val="0"/>
                <w:color w:val="000000"/>
                <w:sz w:val="20"/>
                <w:szCs w:val="20"/>
                <w:u w:val="none"/>
              </w:rPr>
            </w:pP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131C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30</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181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僵蚕</w:t>
            </w:r>
          </w:p>
        </w:tc>
        <w:tc>
          <w:tcPr>
            <w:tcW w:w="5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8E86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kg</w:t>
            </w:r>
          </w:p>
        </w:tc>
        <w:tc>
          <w:tcPr>
            <w:tcW w:w="8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90A1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389</w:t>
            </w:r>
          </w:p>
        </w:tc>
        <w:tc>
          <w:tcPr>
            <w:tcW w:w="21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DADB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蚕蛾科昆虫家蚕4～5龄的幼虫感染白僵菌而致死的干燥体</w:t>
            </w:r>
          </w:p>
        </w:tc>
        <w:tc>
          <w:tcPr>
            <w:tcW w:w="51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397C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本品略呈圆柱形，多弯曲皱缩。长2～5cm，直径0.5～0.7cm。表面灰黄色，被有白色粉霜状的气生菌丝和分生孢子。头部较圆，足8对，体节明显，尾部略呈二分歧状。质硬而脆，易折断，断面平坦，外层白色，中间有亮棕色或亮黑色的丝腺环4个。气微腥。味微咸。</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6C9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统货</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58AC1">
            <w:pPr>
              <w:jc w:val="center"/>
              <w:rPr>
                <w:rFonts w:hint="eastAsia" w:ascii="宋体" w:hAnsi="宋体" w:eastAsia="宋体" w:cs="宋体"/>
                <w:i w:val="0"/>
                <w:iCs w:val="0"/>
                <w:color w:val="000000"/>
                <w:sz w:val="18"/>
                <w:szCs w:val="18"/>
                <w:u w:val="none"/>
              </w:rPr>
            </w:pPr>
          </w:p>
        </w:tc>
        <w:tc>
          <w:tcPr>
            <w:tcW w:w="11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3A5C28">
            <w:pPr>
              <w:jc w:val="center"/>
              <w:rPr>
                <w:rFonts w:hint="eastAsia" w:ascii="宋体" w:hAnsi="宋体" w:eastAsia="宋体" w:cs="宋体"/>
                <w:i w:val="0"/>
                <w:iCs w:val="0"/>
                <w:color w:val="000000"/>
                <w:sz w:val="18"/>
                <w:szCs w:val="18"/>
                <w:u w:val="none"/>
              </w:rPr>
            </w:pPr>
          </w:p>
        </w:tc>
      </w:tr>
      <w:tr w14:paraId="743A04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1" w:type="dxa"/>
          <w:trHeight w:val="1423" w:hRule="atLeast"/>
        </w:trPr>
        <w:tc>
          <w:tcPr>
            <w:tcW w:w="9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F4C743">
            <w:pPr>
              <w:jc w:val="center"/>
              <w:rPr>
                <w:rFonts w:hint="eastAsia" w:ascii="宋体" w:hAnsi="宋体" w:eastAsia="宋体" w:cs="宋体"/>
                <w:i w:val="0"/>
                <w:iCs w:val="0"/>
                <w:color w:val="000000"/>
                <w:sz w:val="20"/>
                <w:szCs w:val="20"/>
                <w:u w:val="none"/>
              </w:rPr>
            </w:pP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6121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31</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FF5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净山楂</w:t>
            </w:r>
          </w:p>
        </w:tc>
        <w:tc>
          <w:tcPr>
            <w:tcW w:w="5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0750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kg</w:t>
            </w:r>
          </w:p>
        </w:tc>
        <w:tc>
          <w:tcPr>
            <w:tcW w:w="8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7877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28.75</w:t>
            </w:r>
          </w:p>
        </w:tc>
        <w:tc>
          <w:tcPr>
            <w:tcW w:w="21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4D2C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蔷薇科植物山里红或山楂的干燥成熟果实</w:t>
            </w:r>
          </w:p>
        </w:tc>
        <w:tc>
          <w:tcPr>
            <w:tcW w:w="51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0A65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本品为圆形片，皱缩不平，直径1～2.5cm，厚0.2～0.4cm。外皮红色，具皱纹，有灰白色小斑点。果肉深黄色至浅棕色。中部横切片具5粒浅黄色果核，但核多脱落而中空。有的片上可见短而细的果梗或花萼残迹。气微清香，味酸、微甜。</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F8F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统货</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7AE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附检验合格单</w:t>
            </w:r>
          </w:p>
        </w:tc>
        <w:tc>
          <w:tcPr>
            <w:tcW w:w="11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417B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肉厚，核小，切片</w:t>
            </w:r>
          </w:p>
        </w:tc>
      </w:tr>
      <w:tr w14:paraId="64FA87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1" w:type="dxa"/>
          <w:trHeight w:val="1141" w:hRule="atLeast"/>
        </w:trPr>
        <w:tc>
          <w:tcPr>
            <w:tcW w:w="9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94BD2E">
            <w:pPr>
              <w:jc w:val="center"/>
              <w:rPr>
                <w:rFonts w:hint="eastAsia" w:ascii="宋体" w:hAnsi="宋体" w:eastAsia="宋体" w:cs="宋体"/>
                <w:i w:val="0"/>
                <w:iCs w:val="0"/>
                <w:color w:val="000000"/>
                <w:sz w:val="20"/>
                <w:szCs w:val="20"/>
                <w:u w:val="none"/>
              </w:rPr>
            </w:pP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8594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32</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562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橘核</w:t>
            </w:r>
          </w:p>
        </w:tc>
        <w:tc>
          <w:tcPr>
            <w:tcW w:w="5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D5E2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kg</w:t>
            </w:r>
          </w:p>
        </w:tc>
        <w:tc>
          <w:tcPr>
            <w:tcW w:w="8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17BA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36</w:t>
            </w:r>
          </w:p>
        </w:tc>
        <w:tc>
          <w:tcPr>
            <w:tcW w:w="21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52D8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芸香科植物橘及其栽培变种的干燥成熟种子</w:t>
            </w:r>
          </w:p>
        </w:tc>
        <w:tc>
          <w:tcPr>
            <w:tcW w:w="51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3BC1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本品略呈卵形，表面淡黄白色或淡灰白色，光滑，一侧有种脊棱线，一端钝圆，另端渐尖成小柄状。外种皮薄而韧，内种皮菲薄，淡棕色，子叶2，黄绿色，有油性。气微，味苦。</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C5E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统货</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9F42E">
            <w:pPr>
              <w:jc w:val="center"/>
              <w:rPr>
                <w:rFonts w:hint="eastAsia" w:ascii="宋体" w:hAnsi="宋体" w:eastAsia="宋体" w:cs="宋体"/>
                <w:i w:val="0"/>
                <w:iCs w:val="0"/>
                <w:color w:val="000000"/>
                <w:sz w:val="18"/>
                <w:szCs w:val="18"/>
                <w:u w:val="none"/>
              </w:rPr>
            </w:pPr>
          </w:p>
        </w:tc>
        <w:tc>
          <w:tcPr>
            <w:tcW w:w="11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9F0F54">
            <w:pPr>
              <w:jc w:val="center"/>
              <w:rPr>
                <w:rFonts w:hint="eastAsia" w:ascii="宋体" w:hAnsi="宋体" w:eastAsia="宋体" w:cs="宋体"/>
                <w:i w:val="0"/>
                <w:iCs w:val="0"/>
                <w:color w:val="000000"/>
                <w:sz w:val="18"/>
                <w:szCs w:val="18"/>
                <w:u w:val="none"/>
              </w:rPr>
            </w:pPr>
          </w:p>
        </w:tc>
      </w:tr>
      <w:tr w14:paraId="459D7D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1" w:type="dxa"/>
          <w:trHeight w:val="1423" w:hRule="atLeast"/>
        </w:trPr>
        <w:tc>
          <w:tcPr>
            <w:tcW w:w="9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3AF710">
            <w:pPr>
              <w:jc w:val="center"/>
              <w:rPr>
                <w:rFonts w:hint="eastAsia" w:ascii="宋体" w:hAnsi="宋体" w:eastAsia="宋体" w:cs="宋体"/>
                <w:i w:val="0"/>
                <w:iCs w:val="0"/>
                <w:color w:val="000000"/>
                <w:sz w:val="20"/>
                <w:szCs w:val="20"/>
                <w:u w:val="none"/>
              </w:rPr>
            </w:pP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1DC5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33</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568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苦杏仁</w:t>
            </w:r>
          </w:p>
        </w:tc>
        <w:tc>
          <w:tcPr>
            <w:tcW w:w="5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50C6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kg</w:t>
            </w:r>
          </w:p>
        </w:tc>
        <w:tc>
          <w:tcPr>
            <w:tcW w:w="8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9939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95</w:t>
            </w:r>
          </w:p>
        </w:tc>
        <w:tc>
          <w:tcPr>
            <w:tcW w:w="21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08CE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蔷薇科植物山杏，夏季采收成熟果实，除去果肉及核壳，取出种子，晒干</w:t>
            </w:r>
          </w:p>
        </w:tc>
        <w:tc>
          <w:tcPr>
            <w:tcW w:w="51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6DE8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种子扁心形，长1～1.9cm，宽0.8～1.5cm，厚0.5～0.8cm。表面黄棕色至深棕色，一端尖，另端钝圆，肥厚，左右不对称。尖端一侧有短线形种脐，圆端合点处向上具多数深棕色的脉纹。种皮薄，子叶2，富油性。味苦。</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BDB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统货</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B6DF6">
            <w:pPr>
              <w:jc w:val="center"/>
              <w:rPr>
                <w:rFonts w:hint="eastAsia" w:ascii="宋体" w:hAnsi="宋体" w:eastAsia="宋体" w:cs="宋体"/>
                <w:i w:val="0"/>
                <w:iCs w:val="0"/>
                <w:color w:val="000000"/>
                <w:sz w:val="18"/>
                <w:szCs w:val="18"/>
                <w:u w:val="none"/>
              </w:rPr>
            </w:pPr>
          </w:p>
        </w:tc>
        <w:tc>
          <w:tcPr>
            <w:tcW w:w="11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9B1F7A">
            <w:pPr>
              <w:jc w:val="center"/>
              <w:rPr>
                <w:rFonts w:hint="eastAsia" w:ascii="宋体" w:hAnsi="宋体" w:eastAsia="宋体" w:cs="宋体"/>
                <w:i w:val="0"/>
                <w:iCs w:val="0"/>
                <w:color w:val="000000"/>
                <w:sz w:val="18"/>
                <w:szCs w:val="18"/>
                <w:u w:val="none"/>
              </w:rPr>
            </w:pPr>
          </w:p>
        </w:tc>
      </w:tr>
      <w:tr w14:paraId="370F4E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1" w:type="dxa"/>
          <w:trHeight w:val="2271" w:hRule="atLeast"/>
        </w:trPr>
        <w:tc>
          <w:tcPr>
            <w:tcW w:w="9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2211C6">
            <w:pPr>
              <w:jc w:val="center"/>
              <w:rPr>
                <w:rFonts w:hint="eastAsia" w:ascii="宋体" w:hAnsi="宋体" w:eastAsia="宋体" w:cs="宋体"/>
                <w:i w:val="0"/>
                <w:iCs w:val="0"/>
                <w:color w:val="000000"/>
                <w:sz w:val="20"/>
                <w:szCs w:val="20"/>
                <w:u w:val="none"/>
              </w:rPr>
            </w:pP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59AD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34</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715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龙胆</w:t>
            </w:r>
          </w:p>
        </w:tc>
        <w:tc>
          <w:tcPr>
            <w:tcW w:w="5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BC0B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kg</w:t>
            </w:r>
          </w:p>
        </w:tc>
        <w:tc>
          <w:tcPr>
            <w:tcW w:w="8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8A33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391</w:t>
            </w:r>
          </w:p>
        </w:tc>
        <w:tc>
          <w:tcPr>
            <w:tcW w:w="21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5951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龙胆科植物条叶龙胆龙胆三花龙胆的干燥根和根茎</w:t>
            </w:r>
          </w:p>
        </w:tc>
        <w:tc>
          <w:tcPr>
            <w:tcW w:w="51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845D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龙胆根茎呈不规则的块状，长1~3cm，直径0.3~1cm；表面暗灰棕色或深棕色，上端有茎痕或残留茎基，周围和下端着生多数细长的根。根圆柱形，略扭曲，长10~20cm，直径0.2~0.5cm；表面淡黄色或黄棕色，上部多有显著的横皱纹，下部较细，有纵皱纹及支根痕。质脆，易折断，断面略平坦，皮部黄白色或淡黄棕色，木部色较浅，呈点状疼列。A气微，味甚苦。</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DD1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统货</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382F8">
            <w:pPr>
              <w:jc w:val="center"/>
              <w:rPr>
                <w:rFonts w:hint="eastAsia" w:ascii="宋体" w:hAnsi="宋体" w:eastAsia="宋体" w:cs="宋体"/>
                <w:i w:val="0"/>
                <w:iCs w:val="0"/>
                <w:color w:val="000000"/>
                <w:sz w:val="18"/>
                <w:szCs w:val="18"/>
                <w:u w:val="none"/>
              </w:rPr>
            </w:pPr>
          </w:p>
        </w:tc>
        <w:tc>
          <w:tcPr>
            <w:tcW w:w="11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1C07FD">
            <w:pPr>
              <w:jc w:val="center"/>
              <w:rPr>
                <w:rFonts w:hint="eastAsia" w:ascii="宋体" w:hAnsi="宋体" w:eastAsia="宋体" w:cs="宋体"/>
                <w:i w:val="0"/>
                <w:iCs w:val="0"/>
                <w:color w:val="000000"/>
                <w:sz w:val="18"/>
                <w:szCs w:val="18"/>
                <w:u w:val="none"/>
              </w:rPr>
            </w:pPr>
          </w:p>
        </w:tc>
      </w:tr>
      <w:tr w14:paraId="492C87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1" w:type="dxa"/>
          <w:trHeight w:val="858" w:hRule="atLeast"/>
        </w:trPr>
        <w:tc>
          <w:tcPr>
            <w:tcW w:w="9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E44A4E">
            <w:pPr>
              <w:jc w:val="center"/>
              <w:rPr>
                <w:rFonts w:hint="eastAsia" w:ascii="宋体" w:hAnsi="宋体" w:eastAsia="宋体" w:cs="宋体"/>
                <w:i w:val="0"/>
                <w:iCs w:val="0"/>
                <w:color w:val="000000"/>
                <w:sz w:val="20"/>
                <w:szCs w:val="20"/>
                <w:u w:val="none"/>
              </w:rPr>
            </w:pP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6971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35</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9F9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鹿角胶</w:t>
            </w:r>
          </w:p>
        </w:tc>
        <w:tc>
          <w:tcPr>
            <w:tcW w:w="5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E494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kg</w:t>
            </w:r>
          </w:p>
        </w:tc>
        <w:tc>
          <w:tcPr>
            <w:tcW w:w="8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77E3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1000</w:t>
            </w:r>
          </w:p>
        </w:tc>
        <w:tc>
          <w:tcPr>
            <w:tcW w:w="21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8052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鹿角经水煎煮、浓缩制成的固体胶</w:t>
            </w:r>
          </w:p>
        </w:tc>
        <w:tc>
          <w:tcPr>
            <w:tcW w:w="51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A7DB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本品呈扁方形块或丁状。黄棕色或红棕色，半透明，有的上部有黄白色泡沫层。质脆，易碎，断面光亮。气微，味微甜。</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6DC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统货</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7FEE6">
            <w:pPr>
              <w:jc w:val="center"/>
              <w:rPr>
                <w:rFonts w:hint="eastAsia" w:ascii="宋体" w:hAnsi="宋体" w:eastAsia="宋体" w:cs="宋体"/>
                <w:i w:val="0"/>
                <w:iCs w:val="0"/>
                <w:color w:val="000000"/>
                <w:sz w:val="18"/>
                <w:szCs w:val="18"/>
                <w:u w:val="none"/>
              </w:rPr>
            </w:pPr>
          </w:p>
        </w:tc>
        <w:tc>
          <w:tcPr>
            <w:tcW w:w="11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A2458B">
            <w:pPr>
              <w:jc w:val="center"/>
              <w:rPr>
                <w:rFonts w:hint="eastAsia" w:ascii="宋体" w:hAnsi="宋体" w:eastAsia="宋体" w:cs="宋体"/>
                <w:i w:val="0"/>
                <w:iCs w:val="0"/>
                <w:color w:val="000000"/>
                <w:sz w:val="18"/>
                <w:szCs w:val="18"/>
                <w:u w:val="none"/>
              </w:rPr>
            </w:pPr>
          </w:p>
        </w:tc>
      </w:tr>
      <w:tr w14:paraId="6FE2B7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1" w:type="dxa"/>
          <w:trHeight w:val="1141" w:hRule="atLeast"/>
        </w:trPr>
        <w:tc>
          <w:tcPr>
            <w:tcW w:w="9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C84D91">
            <w:pPr>
              <w:jc w:val="center"/>
              <w:rPr>
                <w:rFonts w:hint="eastAsia" w:ascii="宋体" w:hAnsi="宋体" w:eastAsia="宋体" w:cs="宋体"/>
                <w:i w:val="0"/>
                <w:iCs w:val="0"/>
                <w:color w:val="000000"/>
                <w:sz w:val="20"/>
                <w:szCs w:val="20"/>
                <w:u w:val="none"/>
              </w:rPr>
            </w:pP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C1BB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36</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EE2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麦冬</w:t>
            </w:r>
          </w:p>
        </w:tc>
        <w:tc>
          <w:tcPr>
            <w:tcW w:w="5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16DB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kg</w:t>
            </w:r>
          </w:p>
        </w:tc>
        <w:tc>
          <w:tcPr>
            <w:tcW w:w="8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24EE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149.5</w:t>
            </w:r>
          </w:p>
        </w:tc>
        <w:tc>
          <w:tcPr>
            <w:tcW w:w="21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2FB0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科植物麦冬的干燥块根。</w:t>
            </w:r>
          </w:p>
        </w:tc>
        <w:tc>
          <w:tcPr>
            <w:tcW w:w="51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5645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本品呈纺锤形，两端略尖，长1.5~3cm，直径0.3~0.6cm。表面淡黄色或灰黄色，有细纵纹。质柔韧，断面黄白色，半透明，中柱细小。气微香，味甘、微苦。</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BD4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统货</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146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附检验合格单</w:t>
            </w:r>
          </w:p>
        </w:tc>
        <w:tc>
          <w:tcPr>
            <w:tcW w:w="11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9DB497">
            <w:pPr>
              <w:jc w:val="center"/>
              <w:rPr>
                <w:rFonts w:hint="eastAsia" w:ascii="宋体" w:hAnsi="宋体" w:eastAsia="宋体" w:cs="宋体"/>
                <w:i w:val="0"/>
                <w:iCs w:val="0"/>
                <w:color w:val="000000"/>
                <w:sz w:val="18"/>
                <w:szCs w:val="18"/>
                <w:u w:val="none"/>
              </w:rPr>
            </w:pPr>
          </w:p>
        </w:tc>
      </w:tr>
      <w:tr w14:paraId="115DC3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1" w:type="dxa"/>
          <w:trHeight w:val="1706" w:hRule="atLeast"/>
        </w:trPr>
        <w:tc>
          <w:tcPr>
            <w:tcW w:w="9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483651">
            <w:pPr>
              <w:jc w:val="center"/>
              <w:rPr>
                <w:rFonts w:hint="eastAsia" w:ascii="宋体" w:hAnsi="宋体" w:eastAsia="宋体" w:cs="宋体"/>
                <w:i w:val="0"/>
                <w:iCs w:val="0"/>
                <w:color w:val="000000"/>
                <w:sz w:val="20"/>
                <w:szCs w:val="20"/>
                <w:u w:val="none"/>
              </w:rPr>
            </w:pP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516D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37</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AD5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蔓荆子</w:t>
            </w:r>
          </w:p>
        </w:tc>
        <w:tc>
          <w:tcPr>
            <w:tcW w:w="5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0132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kg</w:t>
            </w:r>
          </w:p>
        </w:tc>
        <w:tc>
          <w:tcPr>
            <w:tcW w:w="8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7799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277.15</w:t>
            </w:r>
          </w:p>
        </w:tc>
        <w:tc>
          <w:tcPr>
            <w:tcW w:w="21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BE08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品为马鞭草科植物单叶蔓荆的干燥成熟果实</w:t>
            </w:r>
          </w:p>
        </w:tc>
        <w:tc>
          <w:tcPr>
            <w:tcW w:w="51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8607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本品呈球形，直径4～6mm。表面灰黑色或黑褐色，被灰白色粉霜状茸毛，有纵向浅沟4条，顶端微凹，基部有灰白色宿萼及短果梗。萼长为果实的1/3~2/3，5齿裂，其中2裂较深，密被茸毛。体轻，质坚韧，不易破碎，横切面可见4室，每室有种子1枚。气特异而芳香，味淡、微辛。</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96E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统货</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60C63">
            <w:pPr>
              <w:jc w:val="center"/>
              <w:rPr>
                <w:rFonts w:hint="eastAsia" w:ascii="宋体" w:hAnsi="宋体" w:eastAsia="宋体" w:cs="宋体"/>
                <w:i w:val="0"/>
                <w:iCs w:val="0"/>
                <w:color w:val="000000"/>
                <w:sz w:val="18"/>
                <w:szCs w:val="18"/>
                <w:u w:val="none"/>
              </w:rPr>
            </w:pPr>
          </w:p>
        </w:tc>
        <w:tc>
          <w:tcPr>
            <w:tcW w:w="11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16A049">
            <w:pPr>
              <w:jc w:val="center"/>
              <w:rPr>
                <w:rFonts w:hint="eastAsia" w:ascii="宋体" w:hAnsi="宋体" w:eastAsia="宋体" w:cs="宋体"/>
                <w:i w:val="0"/>
                <w:iCs w:val="0"/>
                <w:color w:val="000000"/>
                <w:sz w:val="18"/>
                <w:szCs w:val="18"/>
                <w:u w:val="none"/>
              </w:rPr>
            </w:pPr>
          </w:p>
        </w:tc>
      </w:tr>
      <w:tr w14:paraId="55136C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1" w:type="dxa"/>
          <w:trHeight w:val="1706" w:hRule="atLeast"/>
        </w:trPr>
        <w:tc>
          <w:tcPr>
            <w:tcW w:w="9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C3DED0">
            <w:pPr>
              <w:jc w:val="center"/>
              <w:rPr>
                <w:rFonts w:hint="eastAsia" w:ascii="宋体" w:hAnsi="宋体" w:eastAsia="宋体" w:cs="宋体"/>
                <w:i w:val="0"/>
                <w:iCs w:val="0"/>
                <w:color w:val="000000"/>
                <w:sz w:val="20"/>
                <w:szCs w:val="20"/>
                <w:u w:val="none"/>
              </w:rPr>
            </w:pP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2266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38</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E94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蜜远志</w:t>
            </w:r>
          </w:p>
        </w:tc>
        <w:tc>
          <w:tcPr>
            <w:tcW w:w="5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6002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kg</w:t>
            </w:r>
          </w:p>
        </w:tc>
        <w:tc>
          <w:tcPr>
            <w:tcW w:w="8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787C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241.5</w:t>
            </w:r>
          </w:p>
        </w:tc>
        <w:tc>
          <w:tcPr>
            <w:tcW w:w="21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2451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远志科植物远志的干燥根</w:t>
            </w:r>
          </w:p>
        </w:tc>
        <w:tc>
          <w:tcPr>
            <w:tcW w:w="51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7D37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呈圆柱形，略弯曲，长3～15cm，直径0.3～0.8cm。表面灰黄色至灰棕色，有较密并深陷的横皱纹、纵皱纹及裂纹，老根的横皱纹较密更深陷，略呈结节状。质硬而脆，易折断，断面皮部棕黄色，木部黄白色，皮部易与木部剥离。气微，味苦、微辛，嚼之有刺喉感。</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FBA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统货</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8FB12">
            <w:pPr>
              <w:jc w:val="center"/>
              <w:rPr>
                <w:rFonts w:hint="eastAsia" w:ascii="宋体" w:hAnsi="宋体" w:eastAsia="宋体" w:cs="宋体"/>
                <w:i w:val="0"/>
                <w:iCs w:val="0"/>
                <w:color w:val="000000"/>
                <w:sz w:val="18"/>
                <w:szCs w:val="18"/>
                <w:u w:val="none"/>
              </w:rPr>
            </w:pPr>
          </w:p>
        </w:tc>
        <w:tc>
          <w:tcPr>
            <w:tcW w:w="11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17CA80">
            <w:pPr>
              <w:jc w:val="center"/>
              <w:rPr>
                <w:rFonts w:hint="eastAsia" w:ascii="宋体" w:hAnsi="宋体" w:eastAsia="宋体" w:cs="宋体"/>
                <w:i w:val="0"/>
                <w:iCs w:val="0"/>
                <w:color w:val="000000"/>
                <w:sz w:val="18"/>
                <w:szCs w:val="18"/>
                <w:u w:val="none"/>
              </w:rPr>
            </w:pPr>
          </w:p>
        </w:tc>
      </w:tr>
      <w:tr w14:paraId="6CBAD0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1" w:type="dxa"/>
          <w:trHeight w:val="704" w:hRule="atLeast"/>
        </w:trPr>
        <w:tc>
          <w:tcPr>
            <w:tcW w:w="9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B0BA31">
            <w:pPr>
              <w:jc w:val="center"/>
              <w:rPr>
                <w:rFonts w:hint="eastAsia" w:ascii="宋体" w:hAnsi="宋体" w:eastAsia="宋体" w:cs="宋体"/>
                <w:i w:val="0"/>
                <w:iCs w:val="0"/>
                <w:color w:val="000000"/>
                <w:sz w:val="20"/>
                <w:szCs w:val="20"/>
                <w:u w:val="none"/>
              </w:rPr>
            </w:pP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184D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39</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31A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牡蛎</w:t>
            </w:r>
          </w:p>
        </w:tc>
        <w:tc>
          <w:tcPr>
            <w:tcW w:w="5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6ACC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kg</w:t>
            </w:r>
          </w:p>
        </w:tc>
        <w:tc>
          <w:tcPr>
            <w:tcW w:w="8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5A7D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12.65</w:t>
            </w:r>
          </w:p>
        </w:tc>
        <w:tc>
          <w:tcPr>
            <w:tcW w:w="21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2CA4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本品为牡蛎科动物长牡蛎大连湾牡蛎或近江牡蛎的贝壳。</w:t>
            </w:r>
          </w:p>
        </w:tc>
        <w:tc>
          <w:tcPr>
            <w:tcW w:w="51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9DF7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为不规则的碎块。白色。质硬，断面层状。气微，味微咸</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8C9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统货</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CDD27">
            <w:pPr>
              <w:jc w:val="center"/>
              <w:rPr>
                <w:rFonts w:hint="eastAsia" w:ascii="宋体" w:hAnsi="宋体" w:eastAsia="宋体" w:cs="宋体"/>
                <w:i w:val="0"/>
                <w:iCs w:val="0"/>
                <w:color w:val="000000"/>
                <w:sz w:val="18"/>
                <w:szCs w:val="18"/>
                <w:u w:val="none"/>
              </w:rPr>
            </w:pPr>
          </w:p>
        </w:tc>
        <w:tc>
          <w:tcPr>
            <w:tcW w:w="11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03FE03">
            <w:pPr>
              <w:jc w:val="center"/>
              <w:rPr>
                <w:rFonts w:hint="eastAsia" w:ascii="宋体" w:hAnsi="宋体" w:eastAsia="宋体" w:cs="宋体"/>
                <w:i w:val="0"/>
                <w:iCs w:val="0"/>
                <w:color w:val="000000"/>
                <w:sz w:val="18"/>
                <w:szCs w:val="18"/>
                <w:u w:val="none"/>
              </w:rPr>
            </w:pPr>
          </w:p>
        </w:tc>
      </w:tr>
      <w:tr w14:paraId="69AE8A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1" w:type="dxa"/>
          <w:trHeight w:val="1989" w:hRule="atLeast"/>
        </w:trPr>
        <w:tc>
          <w:tcPr>
            <w:tcW w:w="9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4DF6C2">
            <w:pPr>
              <w:jc w:val="center"/>
              <w:rPr>
                <w:rFonts w:hint="eastAsia" w:ascii="宋体" w:hAnsi="宋体" w:eastAsia="宋体" w:cs="宋体"/>
                <w:i w:val="0"/>
                <w:iCs w:val="0"/>
                <w:color w:val="000000"/>
                <w:sz w:val="20"/>
                <w:szCs w:val="20"/>
                <w:u w:val="none"/>
              </w:rPr>
            </w:pP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CEC4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40</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E41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木贼</w:t>
            </w:r>
          </w:p>
        </w:tc>
        <w:tc>
          <w:tcPr>
            <w:tcW w:w="5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7D90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kg</w:t>
            </w:r>
          </w:p>
        </w:tc>
        <w:tc>
          <w:tcPr>
            <w:tcW w:w="8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AE66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23</w:t>
            </w:r>
          </w:p>
        </w:tc>
        <w:tc>
          <w:tcPr>
            <w:tcW w:w="21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A64E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贼科植物木贼的干燥地上部分</w:t>
            </w:r>
          </w:p>
        </w:tc>
        <w:tc>
          <w:tcPr>
            <w:tcW w:w="51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3EB9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本品呈长管状，不分枝，长40~60cm，直径0.2~0.7cm。表面灰绿色或黄绿色，有18~30条纵棱，棱上有多数细小光亮的疣状突起；节明显，节间长2.5~9cm，节上着生筒状鳞叶，叶鞘基部和鞘齿黑棕色，中部淡棕黄色。体轻，质脆，易折断，断面中空，周边有多数圆形的小空腔。气微，味甘淡、微涩，嚼之有沙粒感。</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2F1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统货</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BEAFD">
            <w:pPr>
              <w:jc w:val="center"/>
              <w:rPr>
                <w:rFonts w:hint="eastAsia" w:ascii="宋体" w:hAnsi="宋体" w:eastAsia="宋体" w:cs="宋体"/>
                <w:i w:val="0"/>
                <w:iCs w:val="0"/>
                <w:color w:val="000000"/>
                <w:sz w:val="18"/>
                <w:szCs w:val="18"/>
                <w:u w:val="none"/>
              </w:rPr>
            </w:pPr>
          </w:p>
        </w:tc>
        <w:tc>
          <w:tcPr>
            <w:tcW w:w="11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1312AB">
            <w:pPr>
              <w:jc w:val="center"/>
              <w:rPr>
                <w:rFonts w:hint="eastAsia" w:ascii="宋体" w:hAnsi="宋体" w:eastAsia="宋体" w:cs="宋体"/>
                <w:i w:val="0"/>
                <w:iCs w:val="0"/>
                <w:color w:val="000000"/>
                <w:sz w:val="21"/>
                <w:szCs w:val="21"/>
                <w:u w:val="none"/>
              </w:rPr>
            </w:pPr>
          </w:p>
        </w:tc>
      </w:tr>
      <w:tr w14:paraId="79C515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1" w:type="dxa"/>
          <w:trHeight w:val="1706" w:hRule="atLeast"/>
        </w:trPr>
        <w:tc>
          <w:tcPr>
            <w:tcW w:w="9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E4B560">
            <w:pPr>
              <w:jc w:val="center"/>
              <w:rPr>
                <w:rFonts w:hint="eastAsia" w:ascii="宋体" w:hAnsi="宋体" w:eastAsia="宋体" w:cs="宋体"/>
                <w:i w:val="0"/>
                <w:iCs w:val="0"/>
                <w:color w:val="000000"/>
                <w:sz w:val="20"/>
                <w:szCs w:val="20"/>
                <w:u w:val="none"/>
              </w:rPr>
            </w:pP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6C4D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41</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A50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女贞子</w:t>
            </w:r>
          </w:p>
        </w:tc>
        <w:tc>
          <w:tcPr>
            <w:tcW w:w="5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4EB8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kg</w:t>
            </w:r>
          </w:p>
        </w:tc>
        <w:tc>
          <w:tcPr>
            <w:tcW w:w="8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1B5E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11.5</w:t>
            </w:r>
          </w:p>
        </w:tc>
        <w:tc>
          <w:tcPr>
            <w:tcW w:w="21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017C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木犀科植物女贞的干燥成熟果实。冬季果实成熟时采收，除去枝叶，稍蒸或置沸水中略烫后，干燥；或直接干燥。</w:t>
            </w:r>
          </w:p>
        </w:tc>
        <w:tc>
          <w:tcPr>
            <w:tcW w:w="51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19F7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本品呈卵形、椭圆形或肾形，长6～8.5mm，直径3.5～5.5mm。表面黑紫色或灰黑色，皱缩不平，基部有果梗痕或具宿萼及短梗。体轻。外果皮薄，中果皮较松软，易剥离，内果皮木质，黄棕色，具纵棱，破开后种子通常为1粒，肾形，紫黑色，油性。气微，味甘、微苦涩。</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259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统货</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F6D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附检验合格单</w:t>
            </w:r>
          </w:p>
        </w:tc>
        <w:tc>
          <w:tcPr>
            <w:tcW w:w="11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36C7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色灰黑，饱满，肾形</w:t>
            </w:r>
          </w:p>
        </w:tc>
      </w:tr>
      <w:tr w14:paraId="1A242D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1" w:type="dxa"/>
          <w:trHeight w:val="1167" w:hRule="atLeast"/>
        </w:trPr>
        <w:tc>
          <w:tcPr>
            <w:tcW w:w="9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449833">
            <w:pPr>
              <w:jc w:val="center"/>
              <w:rPr>
                <w:rFonts w:hint="eastAsia" w:ascii="宋体" w:hAnsi="宋体" w:eastAsia="宋体" w:cs="宋体"/>
                <w:i w:val="0"/>
                <w:iCs w:val="0"/>
                <w:color w:val="000000"/>
                <w:sz w:val="20"/>
                <w:szCs w:val="20"/>
                <w:u w:val="none"/>
              </w:rPr>
            </w:pP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B27D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42</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00D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蒲黄</w:t>
            </w:r>
          </w:p>
        </w:tc>
        <w:tc>
          <w:tcPr>
            <w:tcW w:w="5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9B32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kg</w:t>
            </w:r>
          </w:p>
        </w:tc>
        <w:tc>
          <w:tcPr>
            <w:tcW w:w="8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E039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150</w:t>
            </w:r>
          </w:p>
        </w:tc>
        <w:tc>
          <w:tcPr>
            <w:tcW w:w="21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FDC0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香蒲科植物水烛香蒲、东方香蒲或同属植物的干燥花粉。夏季采收蒲棒上部的黄色雄花序，晒干后碾轧，筛取花粉。</w:t>
            </w:r>
          </w:p>
        </w:tc>
        <w:tc>
          <w:tcPr>
            <w:tcW w:w="51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779F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本品为黄色粉末。体轻，放水中则飘浮水面。手捻有滑腻感，易附着手指上。气微，味淡。</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3B3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统货</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3108E">
            <w:pPr>
              <w:jc w:val="center"/>
              <w:rPr>
                <w:rFonts w:hint="eastAsia" w:ascii="宋体" w:hAnsi="宋体" w:eastAsia="宋体" w:cs="宋体"/>
                <w:i w:val="0"/>
                <w:iCs w:val="0"/>
                <w:color w:val="000000"/>
                <w:sz w:val="18"/>
                <w:szCs w:val="18"/>
                <w:u w:val="none"/>
              </w:rPr>
            </w:pPr>
          </w:p>
        </w:tc>
        <w:tc>
          <w:tcPr>
            <w:tcW w:w="11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D997E5">
            <w:pPr>
              <w:jc w:val="center"/>
              <w:rPr>
                <w:rFonts w:hint="eastAsia" w:ascii="宋体" w:hAnsi="宋体" w:eastAsia="宋体" w:cs="宋体"/>
                <w:i w:val="0"/>
                <w:iCs w:val="0"/>
                <w:color w:val="000000"/>
                <w:sz w:val="18"/>
                <w:szCs w:val="18"/>
                <w:u w:val="none"/>
              </w:rPr>
            </w:pPr>
          </w:p>
        </w:tc>
      </w:tr>
      <w:tr w14:paraId="22D316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1" w:type="dxa"/>
          <w:trHeight w:val="1141" w:hRule="atLeast"/>
        </w:trPr>
        <w:tc>
          <w:tcPr>
            <w:tcW w:w="9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2C2AF4">
            <w:pPr>
              <w:jc w:val="center"/>
              <w:rPr>
                <w:rFonts w:hint="eastAsia" w:ascii="宋体" w:hAnsi="宋体" w:eastAsia="宋体" w:cs="宋体"/>
                <w:i w:val="0"/>
                <w:iCs w:val="0"/>
                <w:color w:val="000000"/>
                <w:sz w:val="20"/>
                <w:szCs w:val="20"/>
                <w:u w:val="none"/>
              </w:rPr>
            </w:pP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9788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43</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8B4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羌活</w:t>
            </w:r>
          </w:p>
        </w:tc>
        <w:tc>
          <w:tcPr>
            <w:tcW w:w="5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93B8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kg</w:t>
            </w:r>
          </w:p>
        </w:tc>
        <w:tc>
          <w:tcPr>
            <w:tcW w:w="8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9378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343</w:t>
            </w:r>
          </w:p>
        </w:tc>
        <w:tc>
          <w:tcPr>
            <w:tcW w:w="21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38B2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伞形科植物羌活或宽叶羌活的干燥根茎和根。春、秋二季采挖，除去须根及泥沙，晒干。</w:t>
            </w:r>
          </w:p>
        </w:tc>
        <w:tc>
          <w:tcPr>
            <w:tcW w:w="51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F19C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本品呈类圆形、不规则形横切或斜切片，表皮棕褐色至黑褐色，切面外侧棕褐色，木部黄白色，有的可见放射状纹理。体轻，质脆。气香，味微苦而辛。</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A4E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统货</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BEF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附检验合格单</w:t>
            </w:r>
          </w:p>
        </w:tc>
        <w:tc>
          <w:tcPr>
            <w:tcW w:w="11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5B14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用羌活，气浓，杂质少</w:t>
            </w:r>
          </w:p>
        </w:tc>
      </w:tr>
      <w:tr w14:paraId="137B0D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1" w:type="dxa"/>
          <w:trHeight w:val="1989" w:hRule="atLeast"/>
        </w:trPr>
        <w:tc>
          <w:tcPr>
            <w:tcW w:w="9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A65877">
            <w:pPr>
              <w:jc w:val="center"/>
              <w:rPr>
                <w:rFonts w:hint="eastAsia" w:ascii="宋体" w:hAnsi="宋体" w:eastAsia="宋体" w:cs="宋体"/>
                <w:i w:val="0"/>
                <w:iCs w:val="0"/>
                <w:color w:val="000000"/>
                <w:sz w:val="20"/>
                <w:szCs w:val="20"/>
                <w:u w:val="none"/>
              </w:rPr>
            </w:pP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3DF5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44</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167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瞿麦</w:t>
            </w:r>
          </w:p>
        </w:tc>
        <w:tc>
          <w:tcPr>
            <w:tcW w:w="5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C4AC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kg</w:t>
            </w:r>
          </w:p>
        </w:tc>
        <w:tc>
          <w:tcPr>
            <w:tcW w:w="8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0550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19</w:t>
            </w:r>
          </w:p>
        </w:tc>
        <w:tc>
          <w:tcPr>
            <w:tcW w:w="21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8DCF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石竹科植物瞿麦或石竹的干燥地上部分</w:t>
            </w:r>
          </w:p>
        </w:tc>
        <w:tc>
          <w:tcPr>
            <w:tcW w:w="51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AF71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瞿麦茎圆柱形，上部有分枝，长30~60cm；表面淡绿色或黄绿色，光滑无毛，节明显，略膨大，断面中空。叶对生，多皱缩，展平叶片呈条形至条状披针形。枝端具花及果实，花萼筒状，长2.7~3.7cm；苞片4～6，宽卵形，长约为萼筒的1/4；花瓣棕紫色或棕黄色，卷曲，先端深裂成丝状。蒴果简形，与宿萼等长。种子细小、多数，气微，味淡。</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F35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统货</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84C90">
            <w:pPr>
              <w:jc w:val="center"/>
              <w:rPr>
                <w:rFonts w:hint="eastAsia" w:ascii="宋体" w:hAnsi="宋体" w:eastAsia="宋体" w:cs="宋体"/>
                <w:i w:val="0"/>
                <w:iCs w:val="0"/>
                <w:color w:val="000000"/>
                <w:sz w:val="18"/>
                <w:szCs w:val="18"/>
                <w:u w:val="none"/>
              </w:rPr>
            </w:pPr>
          </w:p>
        </w:tc>
        <w:tc>
          <w:tcPr>
            <w:tcW w:w="11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7391AD">
            <w:pPr>
              <w:jc w:val="center"/>
              <w:rPr>
                <w:rFonts w:hint="eastAsia" w:ascii="宋体" w:hAnsi="宋体" w:eastAsia="宋体" w:cs="宋体"/>
                <w:i w:val="0"/>
                <w:iCs w:val="0"/>
                <w:color w:val="000000"/>
                <w:sz w:val="18"/>
                <w:szCs w:val="18"/>
                <w:u w:val="none"/>
              </w:rPr>
            </w:pPr>
          </w:p>
        </w:tc>
      </w:tr>
      <w:tr w14:paraId="3D4D98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1" w:type="dxa"/>
          <w:trHeight w:val="1989" w:hRule="atLeast"/>
        </w:trPr>
        <w:tc>
          <w:tcPr>
            <w:tcW w:w="9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50A840">
            <w:pPr>
              <w:jc w:val="center"/>
              <w:rPr>
                <w:rFonts w:hint="eastAsia" w:ascii="宋体" w:hAnsi="宋体" w:eastAsia="宋体" w:cs="宋体"/>
                <w:i w:val="0"/>
                <w:iCs w:val="0"/>
                <w:color w:val="000000"/>
                <w:sz w:val="20"/>
                <w:szCs w:val="20"/>
                <w:u w:val="none"/>
              </w:rPr>
            </w:pP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1226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45</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A0E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肉豆寇</w:t>
            </w:r>
          </w:p>
        </w:tc>
        <w:tc>
          <w:tcPr>
            <w:tcW w:w="5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269D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kg</w:t>
            </w:r>
          </w:p>
        </w:tc>
        <w:tc>
          <w:tcPr>
            <w:tcW w:w="8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F43D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140.3</w:t>
            </w:r>
          </w:p>
        </w:tc>
        <w:tc>
          <w:tcPr>
            <w:tcW w:w="21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326D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肉豆蔻科植物肉豆蔻的干燥种仁。</w:t>
            </w:r>
          </w:p>
        </w:tc>
        <w:tc>
          <w:tcPr>
            <w:tcW w:w="51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3211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本品呈卵圆形或椭圆形，长2~3cm，直径1.5～2.5cm。表面灰棕色或灰黄色，有时外被白粉（石灰粉末）。全体有浅色纵行沟纹和不规则网状沟纹。种脐位于宽端，呈浅色圆形突起，合点呈暗凹陷。种脊呈纵沟状，连接两端。质坚，断面显棕黄色相杂的大理石花纹，宽端可见干燥皱缩的胚，富油性。气香浓烈，味辛。</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E87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统货</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54DB4">
            <w:pPr>
              <w:jc w:val="center"/>
              <w:rPr>
                <w:rFonts w:hint="eastAsia" w:ascii="宋体" w:hAnsi="宋体" w:eastAsia="宋体" w:cs="宋体"/>
                <w:i w:val="0"/>
                <w:iCs w:val="0"/>
                <w:color w:val="000000"/>
                <w:sz w:val="18"/>
                <w:szCs w:val="18"/>
                <w:u w:val="none"/>
              </w:rPr>
            </w:pPr>
          </w:p>
        </w:tc>
        <w:tc>
          <w:tcPr>
            <w:tcW w:w="11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9C4453">
            <w:pPr>
              <w:jc w:val="center"/>
              <w:rPr>
                <w:rFonts w:hint="eastAsia" w:ascii="宋体" w:hAnsi="宋体" w:eastAsia="宋体" w:cs="宋体"/>
                <w:i w:val="0"/>
                <w:iCs w:val="0"/>
                <w:color w:val="000000"/>
                <w:sz w:val="18"/>
                <w:szCs w:val="18"/>
                <w:u w:val="none"/>
              </w:rPr>
            </w:pPr>
          </w:p>
        </w:tc>
      </w:tr>
      <w:tr w14:paraId="4F206F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1" w:type="dxa"/>
          <w:trHeight w:val="1398" w:hRule="atLeast"/>
        </w:trPr>
        <w:tc>
          <w:tcPr>
            <w:tcW w:w="9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74F43F">
            <w:pPr>
              <w:jc w:val="center"/>
              <w:rPr>
                <w:rFonts w:hint="eastAsia" w:ascii="宋体" w:hAnsi="宋体" w:eastAsia="宋体" w:cs="宋体"/>
                <w:i w:val="0"/>
                <w:iCs w:val="0"/>
                <w:color w:val="000000"/>
                <w:sz w:val="20"/>
                <w:szCs w:val="20"/>
                <w:u w:val="none"/>
              </w:rPr>
            </w:pP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B804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46</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482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三七粉</w:t>
            </w:r>
          </w:p>
        </w:tc>
        <w:tc>
          <w:tcPr>
            <w:tcW w:w="5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B94A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kg</w:t>
            </w:r>
          </w:p>
        </w:tc>
        <w:tc>
          <w:tcPr>
            <w:tcW w:w="8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639C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278</w:t>
            </w:r>
          </w:p>
        </w:tc>
        <w:tc>
          <w:tcPr>
            <w:tcW w:w="21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1371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五加科植物三七的干燥根和根茎加工品。秋季花开前采挖，洗净，分开主根、支根及根茎，干燥。支根习称“筋条”，根茎习称“剪口”。</w:t>
            </w:r>
          </w:p>
        </w:tc>
        <w:tc>
          <w:tcPr>
            <w:tcW w:w="51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98A3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本品为灰黄色的粉末。气微，味苦回甜。</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CBA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统货</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ADC01">
            <w:pPr>
              <w:jc w:val="center"/>
              <w:rPr>
                <w:rFonts w:hint="eastAsia" w:ascii="宋体" w:hAnsi="宋体" w:eastAsia="宋体" w:cs="宋体"/>
                <w:i w:val="0"/>
                <w:iCs w:val="0"/>
                <w:color w:val="000000"/>
                <w:sz w:val="18"/>
                <w:szCs w:val="18"/>
                <w:u w:val="none"/>
              </w:rPr>
            </w:pPr>
          </w:p>
        </w:tc>
        <w:tc>
          <w:tcPr>
            <w:tcW w:w="11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87D3B8">
            <w:pPr>
              <w:jc w:val="center"/>
              <w:rPr>
                <w:rFonts w:hint="eastAsia" w:ascii="宋体" w:hAnsi="宋体" w:eastAsia="宋体" w:cs="宋体"/>
                <w:i w:val="0"/>
                <w:iCs w:val="0"/>
                <w:color w:val="000000"/>
                <w:sz w:val="18"/>
                <w:szCs w:val="18"/>
                <w:u w:val="none"/>
              </w:rPr>
            </w:pPr>
          </w:p>
        </w:tc>
      </w:tr>
      <w:tr w14:paraId="45A1F5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1" w:type="dxa"/>
          <w:trHeight w:val="935" w:hRule="atLeast"/>
        </w:trPr>
        <w:tc>
          <w:tcPr>
            <w:tcW w:w="9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240B01">
            <w:pPr>
              <w:jc w:val="center"/>
              <w:rPr>
                <w:rFonts w:hint="eastAsia" w:ascii="宋体" w:hAnsi="宋体" w:eastAsia="宋体" w:cs="宋体"/>
                <w:i w:val="0"/>
                <w:iCs w:val="0"/>
                <w:color w:val="000000"/>
                <w:sz w:val="20"/>
                <w:szCs w:val="20"/>
                <w:u w:val="none"/>
              </w:rPr>
            </w:pP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D6A2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47</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8C1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山药</w:t>
            </w:r>
          </w:p>
        </w:tc>
        <w:tc>
          <w:tcPr>
            <w:tcW w:w="5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C54A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kg</w:t>
            </w:r>
          </w:p>
        </w:tc>
        <w:tc>
          <w:tcPr>
            <w:tcW w:w="8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9301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63.8595</w:t>
            </w:r>
          </w:p>
        </w:tc>
        <w:tc>
          <w:tcPr>
            <w:tcW w:w="21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6FC2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薯蓣科植物薯蓣的干燥根茎</w:t>
            </w:r>
          </w:p>
        </w:tc>
        <w:tc>
          <w:tcPr>
            <w:tcW w:w="51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A813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本品为类圆形、椭圆形或不规则的厚片。表面类白色或淡黄白色，质脆，易折断，切面类白色，富粉性。气微，味淡、微酸，嚼之发黏。</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34A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统货</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F44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附检验合格单</w:t>
            </w:r>
          </w:p>
        </w:tc>
        <w:tc>
          <w:tcPr>
            <w:tcW w:w="11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A86C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光山药，直径1.5厘米左右,无硫或低硫</w:t>
            </w:r>
          </w:p>
        </w:tc>
      </w:tr>
      <w:tr w14:paraId="1C0BBF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1" w:type="dxa"/>
          <w:trHeight w:val="1706" w:hRule="atLeast"/>
        </w:trPr>
        <w:tc>
          <w:tcPr>
            <w:tcW w:w="9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81A68B">
            <w:pPr>
              <w:jc w:val="center"/>
              <w:rPr>
                <w:rFonts w:hint="eastAsia" w:ascii="宋体" w:hAnsi="宋体" w:eastAsia="宋体" w:cs="宋体"/>
                <w:i w:val="0"/>
                <w:iCs w:val="0"/>
                <w:color w:val="000000"/>
                <w:sz w:val="20"/>
                <w:szCs w:val="20"/>
                <w:u w:val="none"/>
              </w:rPr>
            </w:pP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7FB3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48</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14F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伸筋草</w:t>
            </w:r>
          </w:p>
        </w:tc>
        <w:tc>
          <w:tcPr>
            <w:tcW w:w="5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856F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kg</w:t>
            </w:r>
          </w:p>
        </w:tc>
        <w:tc>
          <w:tcPr>
            <w:tcW w:w="8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A81A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23</w:t>
            </w:r>
          </w:p>
        </w:tc>
        <w:tc>
          <w:tcPr>
            <w:tcW w:w="21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A1CB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松科植物石松的干燥全草</w:t>
            </w:r>
          </w:p>
        </w:tc>
        <w:tc>
          <w:tcPr>
            <w:tcW w:w="51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D116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本品匍匐茎呈细圆柱形，略弯曲，长可达2m，直径1~3mm，其下有黄白色细根；直立茎作二叉状分枝。叶密生茎上，螺旋状排列，皱缩弯曲，线形或针形，长3~5mm，黄绿色至淡黄棕色，无毛，先端芒状，全缘，易碎断。质柔软，断面皮部浅黄色，木部类白色。气微，味淡。</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1EA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统货</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BC8B6">
            <w:pPr>
              <w:jc w:val="center"/>
              <w:rPr>
                <w:rFonts w:hint="eastAsia" w:ascii="宋体" w:hAnsi="宋体" w:eastAsia="宋体" w:cs="宋体"/>
                <w:i w:val="0"/>
                <w:iCs w:val="0"/>
                <w:color w:val="000000"/>
                <w:sz w:val="18"/>
                <w:szCs w:val="18"/>
                <w:u w:val="none"/>
              </w:rPr>
            </w:pPr>
          </w:p>
        </w:tc>
        <w:tc>
          <w:tcPr>
            <w:tcW w:w="11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B1D03F">
            <w:pPr>
              <w:jc w:val="center"/>
              <w:rPr>
                <w:rFonts w:hint="eastAsia" w:ascii="宋体" w:hAnsi="宋体" w:eastAsia="宋体" w:cs="宋体"/>
                <w:i w:val="0"/>
                <w:iCs w:val="0"/>
                <w:color w:val="000000"/>
                <w:sz w:val="18"/>
                <w:szCs w:val="18"/>
                <w:u w:val="none"/>
              </w:rPr>
            </w:pPr>
          </w:p>
        </w:tc>
      </w:tr>
      <w:tr w14:paraId="3AB900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1" w:type="dxa"/>
          <w:trHeight w:val="1706" w:hRule="atLeast"/>
        </w:trPr>
        <w:tc>
          <w:tcPr>
            <w:tcW w:w="9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AFA72C">
            <w:pPr>
              <w:jc w:val="center"/>
              <w:rPr>
                <w:rFonts w:hint="eastAsia" w:ascii="宋体" w:hAnsi="宋体" w:eastAsia="宋体" w:cs="宋体"/>
                <w:i w:val="0"/>
                <w:iCs w:val="0"/>
                <w:color w:val="000000"/>
                <w:sz w:val="20"/>
                <w:szCs w:val="20"/>
                <w:u w:val="none"/>
              </w:rPr>
            </w:pP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7BAB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49</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68F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石决明</w:t>
            </w:r>
          </w:p>
        </w:tc>
        <w:tc>
          <w:tcPr>
            <w:tcW w:w="5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A528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kg</w:t>
            </w:r>
          </w:p>
        </w:tc>
        <w:tc>
          <w:tcPr>
            <w:tcW w:w="8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F579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14.49</w:t>
            </w:r>
          </w:p>
        </w:tc>
        <w:tc>
          <w:tcPr>
            <w:tcW w:w="21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CB1D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鲍科动物杂色鲍皱纹盘鲍的贝壳</w:t>
            </w:r>
          </w:p>
        </w:tc>
        <w:tc>
          <w:tcPr>
            <w:tcW w:w="51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050C9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杂色鲍呈长卵圆形，内面观略呈耳形，长7~9cm，宽5~6cm，高约2cm。表面暗红色，有多数不规则的螺肋和细密生长线，螺旋部小，体螺部大，从螺旋部顶处开始向右排列有20余个疣状突起，末端6~9个开孔，孔口与壳面平。内面光滑，具珍珠样彩色光泽。壳较厚，质坚硬，不易破碎。气微，味微咸。</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DF6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统货</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8CF2B">
            <w:pPr>
              <w:jc w:val="center"/>
              <w:rPr>
                <w:rFonts w:hint="eastAsia" w:ascii="宋体" w:hAnsi="宋体" w:eastAsia="宋体" w:cs="宋体"/>
                <w:i w:val="0"/>
                <w:iCs w:val="0"/>
                <w:color w:val="000000"/>
                <w:sz w:val="18"/>
                <w:szCs w:val="18"/>
                <w:u w:val="none"/>
              </w:rPr>
            </w:pPr>
          </w:p>
        </w:tc>
        <w:tc>
          <w:tcPr>
            <w:tcW w:w="11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98BE11">
            <w:pPr>
              <w:jc w:val="center"/>
              <w:rPr>
                <w:rFonts w:hint="eastAsia" w:ascii="宋体" w:hAnsi="宋体" w:eastAsia="宋体" w:cs="宋体"/>
                <w:i w:val="0"/>
                <w:iCs w:val="0"/>
                <w:color w:val="000000"/>
                <w:sz w:val="18"/>
                <w:szCs w:val="18"/>
                <w:u w:val="none"/>
              </w:rPr>
            </w:pPr>
          </w:p>
        </w:tc>
      </w:tr>
      <w:tr w14:paraId="4F324A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1" w:type="dxa"/>
          <w:trHeight w:val="1141" w:hRule="atLeast"/>
        </w:trPr>
        <w:tc>
          <w:tcPr>
            <w:tcW w:w="9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F9FAC5">
            <w:pPr>
              <w:jc w:val="center"/>
              <w:rPr>
                <w:rFonts w:hint="eastAsia" w:ascii="宋体" w:hAnsi="宋体" w:eastAsia="宋体" w:cs="宋体"/>
                <w:i w:val="0"/>
                <w:iCs w:val="0"/>
                <w:color w:val="000000"/>
                <w:sz w:val="20"/>
                <w:szCs w:val="20"/>
                <w:u w:val="none"/>
              </w:rPr>
            </w:pP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131F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50</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684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水牛角</w:t>
            </w:r>
          </w:p>
        </w:tc>
        <w:tc>
          <w:tcPr>
            <w:tcW w:w="5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36A7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kg</w:t>
            </w:r>
          </w:p>
        </w:tc>
        <w:tc>
          <w:tcPr>
            <w:tcW w:w="8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A809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47.3</w:t>
            </w:r>
          </w:p>
        </w:tc>
        <w:tc>
          <w:tcPr>
            <w:tcW w:w="21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9474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牛科动物水牛的角</w:t>
            </w:r>
          </w:p>
        </w:tc>
        <w:tc>
          <w:tcPr>
            <w:tcW w:w="51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F9548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本品呈稍扁平而弯曲的锥形，长短不一。表面棕黑色或灰黑色，一侧有数条横向的沟槽，另一侧有密集的横向凹陷条纹。上部渐尖，有纵纹，基部略呈三角形，中空。角质，坚硬。气微腥，味淡。</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6E2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统货</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33B83">
            <w:pPr>
              <w:jc w:val="center"/>
              <w:rPr>
                <w:rFonts w:hint="eastAsia" w:ascii="宋体" w:hAnsi="宋体" w:eastAsia="宋体" w:cs="宋体"/>
                <w:i w:val="0"/>
                <w:iCs w:val="0"/>
                <w:color w:val="000000"/>
                <w:sz w:val="18"/>
                <w:szCs w:val="18"/>
                <w:u w:val="none"/>
              </w:rPr>
            </w:pPr>
          </w:p>
        </w:tc>
        <w:tc>
          <w:tcPr>
            <w:tcW w:w="11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516B0B">
            <w:pPr>
              <w:jc w:val="center"/>
              <w:rPr>
                <w:rFonts w:hint="eastAsia" w:ascii="宋体" w:hAnsi="宋体" w:eastAsia="宋体" w:cs="宋体"/>
                <w:i w:val="0"/>
                <w:iCs w:val="0"/>
                <w:color w:val="000000"/>
                <w:sz w:val="18"/>
                <w:szCs w:val="18"/>
                <w:u w:val="none"/>
              </w:rPr>
            </w:pPr>
          </w:p>
        </w:tc>
      </w:tr>
      <w:tr w14:paraId="422634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1" w:type="dxa"/>
          <w:trHeight w:val="1989" w:hRule="atLeast"/>
        </w:trPr>
        <w:tc>
          <w:tcPr>
            <w:tcW w:w="9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400A6F">
            <w:pPr>
              <w:jc w:val="center"/>
              <w:rPr>
                <w:rFonts w:hint="eastAsia" w:ascii="宋体" w:hAnsi="宋体" w:eastAsia="宋体" w:cs="宋体"/>
                <w:i w:val="0"/>
                <w:iCs w:val="0"/>
                <w:color w:val="000000"/>
                <w:sz w:val="20"/>
                <w:szCs w:val="20"/>
                <w:u w:val="none"/>
              </w:rPr>
            </w:pP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1B29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51</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CEF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桃仁</w:t>
            </w:r>
          </w:p>
        </w:tc>
        <w:tc>
          <w:tcPr>
            <w:tcW w:w="5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27A3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kg</w:t>
            </w:r>
          </w:p>
        </w:tc>
        <w:tc>
          <w:tcPr>
            <w:tcW w:w="8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6E4D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101</w:t>
            </w:r>
          </w:p>
        </w:tc>
        <w:tc>
          <w:tcPr>
            <w:tcW w:w="21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99AA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蔷薇科植物桃或山桃的干燥成熟种子</w:t>
            </w:r>
          </w:p>
        </w:tc>
        <w:tc>
          <w:tcPr>
            <w:tcW w:w="51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5B72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呈扁长卵形，长度在1.2～1.8厘米之间，宽度在0.8～1.2厘米之间，厚度在0.2～0.4厘米之间。其表面颜色为黄棕色至红棕色，密布颗粒状突起。一端尖，中部膨大，另一端钝圆稍偏斜，边缘较薄。尖端一侧有短线形种脐，圆端有颜色略深不甚明显的合点，自合点处散出多数纵向维管束。种皮薄，子叶2片，类白色，富油性。气微，味微苦</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910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统货</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85CBE">
            <w:pPr>
              <w:jc w:val="center"/>
              <w:rPr>
                <w:rFonts w:hint="eastAsia" w:ascii="宋体" w:hAnsi="宋体" w:eastAsia="宋体" w:cs="宋体"/>
                <w:i w:val="0"/>
                <w:iCs w:val="0"/>
                <w:color w:val="000000"/>
                <w:sz w:val="18"/>
                <w:szCs w:val="18"/>
                <w:u w:val="none"/>
              </w:rPr>
            </w:pPr>
          </w:p>
        </w:tc>
        <w:tc>
          <w:tcPr>
            <w:tcW w:w="11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F5C2CF">
            <w:pPr>
              <w:jc w:val="center"/>
              <w:rPr>
                <w:rFonts w:hint="eastAsia" w:ascii="宋体" w:hAnsi="宋体" w:eastAsia="宋体" w:cs="宋体"/>
                <w:i w:val="0"/>
                <w:iCs w:val="0"/>
                <w:color w:val="000000"/>
                <w:sz w:val="18"/>
                <w:szCs w:val="18"/>
                <w:u w:val="none"/>
              </w:rPr>
            </w:pPr>
          </w:p>
        </w:tc>
      </w:tr>
      <w:tr w14:paraId="52E2BF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1" w:type="dxa"/>
          <w:trHeight w:val="1423" w:hRule="atLeast"/>
        </w:trPr>
        <w:tc>
          <w:tcPr>
            <w:tcW w:w="9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A94101">
            <w:pPr>
              <w:jc w:val="center"/>
              <w:rPr>
                <w:rFonts w:hint="eastAsia" w:ascii="宋体" w:hAnsi="宋体" w:eastAsia="宋体" w:cs="宋体"/>
                <w:i w:val="0"/>
                <w:iCs w:val="0"/>
                <w:color w:val="000000"/>
                <w:sz w:val="20"/>
                <w:szCs w:val="20"/>
                <w:u w:val="none"/>
              </w:rPr>
            </w:pP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5E5C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52</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34E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铁线透骨草</w:t>
            </w:r>
          </w:p>
        </w:tc>
        <w:tc>
          <w:tcPr>
            <w:tcW w:w="5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8150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kg</w:t>
            </w:r>
          </w:p>
        </w:tc>
        <w:tc>
          <w:tcPr>
            <w:tcW w:w="8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904E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31.464</w:t>
            </w:r>
          </w:p>
        </w:tc>
        <w:tc>
          <w:tcPr>
            <w:tcW w:w="21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DBD4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为毛茛科铁线莲属植物黄花铁线莲的全草</w:t>
            </w:r>
          </w:p>
        </w:tc>
        <w:tc>
          <w:tcPr>
            <w:tcW w:w="51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78B0C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多捆扎成把，长10-15cm。茎细，直径1-3mm，表面黄绿色至灰绿色，有明显的纵纹;节稍膨大。叶对生，2回羽状复叶，多破碎，完整的小叶披针形或狭卵形，全缘或有疏牙齿。茎质脆，易折断。气微，味淡</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C04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统货</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A9752">
            <w:pPr>
              <w:jc w:val="center"/>
              <w:rPr>
                <w:rFonts w:hint="eastAsia" w:ascii="宋体" w:hAnsi="宋体" w:eastAsia="宋体" w:cs="宋体"/>
                <w:i w:val="0"/>
                <w:iCs w:val="0"/>
                <w:color w:val="000000"/>
                <w:sz w:val="18"/>
                <w:szCs w:val="18"/>
                <w:u w:val="none"/>
              </w:rPr>
            </w:pPr>
          </w:p>
        </w:tc>
        <w:tc>
          <w:tcPr>
            <w:tcW w:w="11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638E1F">
            <w:pPr>
              <w:jc w:val="center"/>
              <w:rPr>
                <w:rFonts w:hint="eastAsia" w:ascii="宋体" w:hAnsi="宋体" w:eastAsia="宋体" w:cs="宋体"/>
                <w:i w:val="0"/>
                <w:iCs w:val="0"/>
                <w:color w:val="000000"/>
                <w:sz w:val="18"/>
                <w:szCs w:val="18"/>
                <w:u w:val="none"/>
              </w:rPr>
            </w:pPr>
          </w:p>
        </w:tc>
      </w:tr>
      <w:tr w14:paraId="32ADEB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1" w:type="dxa"/>
          <w:trHeight w:val="1167" w:hRule="atLeast"/>
        </w:trPr>
        <w:tc>
          <w:tcPr>
            <w:tcW w:w="9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A61E05">
            <w:pPr>
              <w:jc w:val="center"/>
              <w:rPr>
                <w:rFonts w:hint="eastAsia" w:ascii="宋体" w:hAnsi="宋体" w:eastAsia="宋体" w:cs="宋体"/>
                <w:i w:val="0"/>
                <w:iCs w:val="0"/>
                <w:color w:val="000000"/>
                <w:sz w:val="20"/>
                <w:szCs w:val="20"/>
                <w:u w:val="none"/>
              </w:rPr>
            </w:pP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2EDC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53</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62E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土茯苓</w:t>
            </w:r>
          </w:p>
        </w:tc>
        <w:tc>
          <w:tcPr>
            <w:tcW w:w="5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D2F6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kg</w:t>
            </w:r>
          </w:p>
        </w:tc>
        <w:tc>
          <w:tcPr>
            <w:tcW w:w="8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DA4B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74.7</w:t>
            </w:r>
          </w:p>
        </w:tc>
        <w:tc>
          <w:tcPr>
            <w:tcW w:w="21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A52A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百合科植物光叶菝葜的干燥根茎。夏、秋二季采挖，除去须根，洗净，干燥；或趁鲜切成薄片，干燥。</w:t>
            </w:r>
          </w:p>
        </w:tc>
        <w:tc>
          <w:tcPr>
            <w:tcW w:w="51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6EF7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本品呈长圆形或不规则的薄片，边缘不整齐。切面黄白色或红棕色，粉性，可见点状维管束及多数小亮点；以水湿润后有黏滑感。气微，味微甘、涩</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BDE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统货</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13C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附检验合格单</w:t>
            </w:r>
          </w:p>
        </w:tc>
        <w:tc>
          <w:tcPr>
            <w:tcW w:w="11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9237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薄片，遇水粘滑，切面红棕色，味涩</w:t>
            </w:r>
          </w:p>
        </w:tc>
      </w:tr>
      <w:tr w14:paraId="14C919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1" w:type="dxa"/>
          <w:trHeight w:val="1141" w:hRule="atLeast"/>
        </w:trPr>
        <w:tc>
          <w:tcPr>
            <w:tcW w:w="9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A60924">
            <w:pPr>
              <w:jc w:val="center"/>
              <w:rPr>
                <w:rFonts w:hint="eastAsia" w:ascii="宋体" w:hAnsi="宋体" w:eastAsia="宋体" w:cs="宋体"/>
                <w:i w:val="0"/>
                <w:iCs w:val="0"/>
                <w:color w:val="000000"/>
                <w:sz w:val="20"/>
                <w:szCs w:val="20"/>
                <w:u w:val="none"/>
              </w:rPr>
            </w:pP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B77A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54</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C0F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乌梅</w:t>
            </w:r>
          </w:p>
        </w:tc>
        <w:tc>
          <w:tcPr>
            <w:tcW w:w="5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3575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kg</w:t>
            </w:r>
          </w:p>
        </w:tc>
        <w:tc>
          <w:tcPr>
            <w:tcW w:w="8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82DE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41</w:t>
            </w:r>
          </w:p>
        </w:tc>
        <w:tc>
          <w:tcPr>
            <w:tcW w:w="21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C240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蔷薇科植物梅的干燥近成熟果实。夏季果实近成熟时采收，低温烘干后闷至色变黑。</w:t>
            </w:r>
          </w:p>
        </w:tc>
        <w:tc>
          <w:tcPr>
            <w:tcW w:w="51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6B1E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本品呈类球形或扁球形，直径1.5～3cm。表面乌黑色或棕黑色，皱缩不平，基部有圆形果梗痕。果核坚硬，椭圆形，棕黄色，表面有凹点；种子扁卵形，淡黄色。气微，味极酸。</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303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统货</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BE5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附检验合格单</w:t>
            </w:r>
          </w:p>
        </w:tc>
        <w:tc>
          <w:tcPr>
            <w:tcW w:w="11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ED49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饱满，肉厚，核小，色黑，味极酸</w:t>
            </w:r>
          </w:p>
        </w:tc>
      </w:tr>
      <w:tr w14:paraId="0CC2BA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1" w:type="dxa"/>
          <w:trHeight w:val="2271" w:hRule="atLeast"/>
        </w:trPr>
        <w:tc>
          <w:tcPr>
            <w:tcW w:w="9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AC254E">
            <w:pPr>
              <w:jc w:val="center"/>
              <w:rPr>
                <w:rFonts w:hint="eastAsia" w:ascii="宋体" w:hAnsi="宋体" w:eastAsia="宋体" w:cs="宋体"/>
                <w:i w:val="0"/>
                <w:iCs w:val="0"/>
                <w:color w:val="000000"/>
                <w:sz w:val="20"/>
                <w:szCs w:val="20"/>
                <w:u w:val="none"/>
              </w:rPr>
            </w:pP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B730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55</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F4D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蜈蚣</w:t>
            </w:r>
          </w:p>
        </w:tc>
        <w:tc>
          <w:tcPr>
            <w:tcW w:w="5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D43B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条</w:t>
            </w:r>
          </w:p>
        </w:tc>
        <w:tc>
          <w:tcPr>
            <w:tcW w:w="8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2CDD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8</w:t>
            </w:r>
          </w:p>
        </w:tc>
        <w:tc>
          <w:tcPr>
            <w:tcW w:w="21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8028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蜈蚣科动物少棘巨蜈蚣的干燥体</w:t>
            </w:r>
          </w:p>
        </w:tc>
        <w:tc>
          <w:tcPr>
            <w:tcW w:w="51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B092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本品呈扁平长条形，长9～15cm，宽0.5~1cm。由头部和躯干部组成，全体共22个环节。头部暗红色或红褐色，略有光泽，有头板覆盖，头板近圆形，前端稍突出，两侧贴有颚肢一对，前端两侧有触角一对。驱干部第一背板与头板同色，其余20个背板为棕绿色或墨绿色，具光泽，自第四背板至第二十背板上常有两条纵沟线；腹部淡黄色或棕黄色，皱缩；</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502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统货</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A5A9A">
            <w:pPr>
              <w:jc w:val="center"/>
              <w:rPr>
                <w:rFonts w:hint="eastAsia" w:ascii="宋体" w:hAnsi="宋体" w:eastAsia="宋体" w:cs="宋体"/>
                <w:i w:val="0"/>
                <w:iCs w:val="0"/>
                <w:color w:val="000000"/>
                <w:sz w:val="18"/>
                <w:szCs w:val="18"/>
                <w:u w:val="none"/>
              </w:rPr>
            </w:pPr>
          </w:p>
        </w:tc>
        <w:tc>
          <w:tcPr>
            <w:tcW w:w="11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F37D2C">
            <w:pPr>
              <w:jc w:val="center"/>
              <w:rPr>
                <w:rFonts w:hint="eastAsia" w:ascii="宋体" w:hAnsi="宋体" w:eastAsia="宋体" w:cs="宋体"/>
                <w:i w:val="0"/>
                <w:iCs w:val="0"/>
                <w:color w:val="000000"/>
                <w:sz w:val="18"/>
                <w:szCs w:val="18"/>
                <w:u w:val="none"/>
              </w:rPr>
            </w:pPr>
          </w:p>
        </w:tc>
      </w:tr>
      <w:tr w14:paraId="1A61B2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1" w:type="dxa"/>
          <w:trHeight w:val="1989" w:hRule="atLeast"/>
        </w:trPr>
        <w:tc>
          <w:tcPr>
            <w:tcW w:w="9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97BF3F">
            <w:pPr>
              <w:jc w:val="center"/>
              <w:rPr>
                <w:rFonts w:hint="eastAsia" w:ascii="宋体" w:hAnsi="宋体" w:eastAsia="宋体" w:cs="宋体"/>
                <w:i w:val="0"/>
                <w:iCs w:val="0"/>
                <w:color w:val="000000"/>
                <w:sz w:val="20"/>
                <w:szCs w:val="20"/>
                <w:u w:val="none"/>
              </w:rPr>
            </w:pP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8EB5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56</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9CA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夏枯草</w:t>
            </w:r>
          </w:p>
        </w:tc>
        <w:tc>
          <w:tcPr>
            <w:tcW w:w="5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9D75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kg</w:t>
            </w:r>
          </w:p>
        </w:tc>
        <w:tc>
          <w:tcPr>
            <w:tcW w:w="8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9964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69</w:t>
            </w:r>
          </w:p>
        </w:tc>
        <w:tc>
          <w:tcPr>
            <w:tcW w:w="21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CDE0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唇形科植物夏枯草的干燥果穗。夏季果穗呈棕红色时采收，除去杂质，晒干。</w:t>
            </w:r>
          </w:p>
        </w:tc>
        <w:tc>
          <w:tcPr>
            <w:tcW w:w="51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6825C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本品呈圆柱形，略扁，长1.5～8cm，直径0.8～1.5cm；淡棕色至棕红色。全穗由数轮至10数轮宿萼与苞片组成，每轮有对生苞片2片，呈扇形，先端尖尾状，脉纹明显，外表面有白毛。每一苞片内有花3朵，花冠多已脱落，宿萼二唇形，内有小坚果4枚，卵圆形，棕色，尖端有白色突起。体轻。气微，味淡。</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BC4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统货</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6AB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附检验合格单</w:t>
            </w:r>
          </w:p>
        </w:tc>
        <w:tc>
          <w:tcPr>
            <w:tcW w:w="11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155E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穗长，饱满，柄短，色紫红，无霉味。</w:t>
            </w:r>
          </w:p>
        </w:tc>
      </w:tr>
      <w:tr w14:paraId="3602D2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1" w:type="dxa"/>
          <w:trHeight w:val="1141" w:hRule="atLeast"/>
        </w:trPr>
        <w:tc>
          <w:tcPr>
            <w:tcW w:w="9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78A2BB">
            <w:pPr>
              <w:jc w:val="center"/>
              <w:rPr>
                <w:rFonts w:hint="eastAsia" w:ascii="宋体" w:hAnsi="宋体" w:eastAsia="宋体" w:cs="宋体"/>
                <w:i w:val="0"/>
                <w:iCs w:val="0"/>
                <w:color w:val="000000"/>
                <w:sz w:val="20"/>
                <w:szCs w:val="20"/>
                <w:u w:val="none"/>
              </w:rPr>
            </w:pP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975F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57</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C37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仙鹤草</w:t>
            </w:r>
          </w:p>
        </w:tc>
        <w:tc>
          <w:tcPr>
            <w:tcW w:w="5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67EA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kg</w:t>
            </w:r>
          </w:p>
        </w:tc>
        <w:tc>
          <w:tcPr>
            <w:tcW w:w="8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734F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23</w:t>
            </w:r>
          </w:p>
        </w:tc>
        <w:tc>
          <w:tcPr>
            <w:tcW w:w="21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29FC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蔷薇科植物龙芽草的干燥地上部分。夏、秋二季茎叶茂盛时采割，除去杂质，干燥。</w:t>
            </w:r>
          </w:p>
        </w:tc>
        <w:tc>
          <w:tcPr>
            <w:tcW w:w="51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C91B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本品为不规则的段，茎多数方柱形，有纵沟和棱线，有节。切面中空。叶多破碎，暗绿色，边缘有锯齿；托叶抱茎。有时可见黄色花或带钩刺的果实。气微，味微苦。</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C02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统货</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595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附检验合格单</w:t>
            </w:r>
          </w:p>
        </w:tc>
        <w:tc>
          <w:tcPr>
            <w:tcW w:w="11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7BA7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色红棕，杂质少，全体毛</w:t>
            </w:r>
          </w:p>
        </w:tc>
      </w:tr>
      <w:tr w14:paraId="5DE0C3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1" w:type="dxa"/>
          <w:trHeight w:val="1167" w:hRule="atLeast"/>
        </w:trPr>
        <w:tc>
          <w:tcPr>
            <w:tcW w:w="9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5F4923">
            <w:pPr>
              <w:jc w:val="center"/>
              <w:rPr>
                <w:rFonts w:hint="eastAsia" w:ascii="宋体" w:hAnsi="宋体" w:eastAsia="宋体" w:cs="宋体"/>
                <w:i w:val="0"/>
                <w:iCs w:val="0"/>
                <w:color w:val="000000"/>
                <w:sz w:val="20"/>
                <w:szCs w:val="20"/>
                <w:u w:val="none"/>
              </w:rPr>
            </w:pP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DA87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58</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0DA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薤白</w:t>
            </w:r>
          </w:p>
        </w:tc>
        <w:tc>
          <w:tcPr>
            <w:tcW w:w="5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34D0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kg</w:t>
            </w:r>
          </w:p>
        </w:tc>
        <w:tc>
          <w:tcPr>
            <w:tcW w:w="8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8D2C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124.2</w:t>
            </w:r>
          </w:p>
        </w:tc>
        <w:tc>
          <w:tcPr>
            <w:tcW w:w="21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4699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百合科植物小根蒜或薤的干燥鳞茎。夏、秋二季采挖，洗净，除去须根，蒸透或置沸水中烫透，晒干。</w:t>
            </w:r>
          </w:p>
        </w:tc>
        <w:tc>
          <w:tcPr>
            <w:tcW w:w="51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C734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小根蒜呈不规则卵圆形，高0.5～1.5cm，直径0.5～1.8cm。表面黄白色或淡黄棕色，皱缩，半透明，有类白色膜质鳞片包被，底部有突起的鳞茎盘。质硬，角质样。有蒜臭，味微辣。</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295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统货</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97B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附检验合格单</w:t>
            </w:r>
          </w:p>
        </w:tc>
        <w:tc>
          <w:tcPr>
            <w:tcW w:w="11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01D1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用小根蒜，色白，质坚实，断面黄白色，直径0.5-1.8cm</w:t>
            </w:r>
          </w:p>
        </w:tc>
      </w:tr>
      <w:tr w14:paraId="34CCC1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1" w:type="dxa"/>
          <w:trHeight w:val="1398" w:hRule="atLeast"/>
        </w:trPr>
        <w:tc>
          <w:tcPr>
            <w:tcW w:w="9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231E19">
            <w:pPr>
              <w:jc w:val="center"/>
              <w:rPr>
                <w:rFonts w:hint="eastAsia" w:ascii="宋体" w:hAnsi="宋体" w:eastAsia="宋体" w:cs="宋体"/>
                <w:i w:val="0"/>
                <w:iCs w:val="0"/>
                <w:color w:val="000000"/>
                <w:sz w:val="20"/>
                <w:szCs w:val="20"/>
                <w:u w:val="none"/>
              </w:rPr>
            </w:pP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E976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59</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86A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玄参</w:t>
            </w:r>
          </w:p>
        </w:tc>
        <w:tc>
          <w:tcPr>
            <w:tcW w:w="5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A934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kg</w:t>
            </w:r>
          </w:p>
        </w:tc>
        <w:tc>
          <w:tcPr>
            <w:tcW w:w="8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089B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50</w:t>
            </w:r>
          </w:p>
        </w:tc>
        <w:tc>
          <w:tcPr>
            <w:tcW w:w="21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56E4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玄参科植物玄参的干燥根。冬季茎叶枯萎时采挖，除去根茎、幼芽、须根及泥沙，晒或烘至半干，堆放3～6天，反复数次至干燥。</w:t>
            </w:r>
          </w:p>
        </w:tc>
        <w:tc>
          <w:tcPr>
            <w:tcW w:w="51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1158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本品呈类圆形或椭圆形的薄片。外表皮灰黄色或灰褐色。切面黑色，微有光泽，有的具裂隙。气特异似焦糖，味甘、微苦。</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E7A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统货</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9F8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附检验合格单</w:t>
            </w:r>
          </w:p>
        </w:tc>
        <w:tc>
          <w:tcPr>
            <w:tcW w:w="11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EE02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灰黑色，直径1-3cm，焦糖味，无根茎</w:t>
            </w:r>
          </w:p>
        </w:tc>
      </w:tr>
      <w:tr w14:paraId="6CEFCE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1" w:type="dxa"/>
          <w:trHeight w:val="2271" w:hRule="atLeast"/>
        </w:trPr>
        <w:tc>
          <w:tcPr>
            <w:tcW w:w="9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2A55A3">
            <w:pPr>
              <w:jc w:val="center"/>
              <w:rPr>
                <w:rFonts w:hint="eastAsia" w:ascii="宋体" w:hAnsi="宋体" w:eastAsia="宋体" w:cs="宋体"/>
                <w:i w:val="0"/>
                <w:iCs w:val="0"/>
                <w:color w:val="000000"/>
                <w:sz w:val="20"/>
                <w:szCs w:val="20"/>
                <w:u w:val="none"/>
              </w:rPr>
            </w:pP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8FC2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60</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F49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益智仁</w:t>
            </w:r>
          </w:p>
        </w:tc>
        <w:tc>
          <w:tcPr>
            <w:tcW w:w="5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D1D2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kg</w:t>
            </w:r>
          </w:p>
        </w:tc>
        <w:tc>
          <w:tcPr>
            <w:tcW w:w="8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2EE6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106.95</w:t>
            </w:r>
          </w:p>
        </w:tc>
        <w:tc>
          <w:tcPr>
            <w:tcW w:w="21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93C7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姜科植物益智的果实</w:t>
            </w:r>
          </w:p>
        </w:tc>
        <w:tc>
          <w:tcPr>
            <w:tcW w:w="51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67AC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果实纺锤形或椭圆形，两端渐尖，长1.2-2cm，直径1-1.3cm，表面棕色至灰棕色，有凹凸不平的断续状隆起线13-20条，先端有花被残基，基部残留果柄或果柄痕，果皮薄韧，与种子紧贴，种子团中间有淡棕色隔膜分成3室，每室有种子6-11颗，种子呈不规则多面形，直径3-4mm，灰褐色，具淡黄色假种皮，腹面中央有凹陷的种脐，种脊沟状。气芳香，味辛、微苦。以个大、饱满、气味浓者为佳。</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E80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统货</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CD787">
            <w:pPr>
              <w:jc w:val="center"/>
              <w:rPr>
                <w:rFonts w:hint="eastAsia" w:ascii="宋体" w:hAnsi="宋体" w:eastAsia="宋体" w:cs="宋体"/>
                <w:i w:val="0"/>
                <w:iCs w:val="0"/>
                <w:color w:val="000000"/>
                <w:sz w:val="18"/>
                <w:szCs w:val="18"/>
                <w:u w:val="none"/>
              </w:rPr>
            </w:pPr>
          </w:p>
        </w:tc>
        <w:tc>
          <w:tcPr>
            <w:tcW w:w="11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A0E093">
            <w:pPr>
              <w:jc w:val="center"/>
              <w:rPr>
                <w:rFonts w:hint="eastAsia" w:ascii="宋体" w:hAnsi="宋体" w:eastAsia="宋体" w:cs="宋体"/>
                <w:i w:val="0"/>
                <w:iCs w:val="0"/>
                <w:color w:val="000000"/>
                <w:sz w:val="18"/>
                <w:szCs w:val="18"/>
                <w:u w:val="none"/>
              </w:rPr>
            </w:pPr>
          </w:p>
        </w:tc>
      </w:tr>
      <w:tr w14:paraId="15658A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1" w:type="dxa"/>
          <w:trHeight w:val="935" w:hRule="atLeast"/>
        </w:trPr>
        <w:tc>
          <w:tcPr>
            <w:tcW w:w="9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91E124">
            <w:pPr>
              <w:jc w:val="center"/>
              <w:rPr>
                <w:rFonts w:hint="eastAsia" w:ascii="宋体" w:hAnsi="宋体" w:eastAsia="宋体" w:cs="宋体"/>
                <w:i w:val="0"/>
                <w:iCs w:val="0"/>
                <w:color w:val="000000"/>
                <w:sz w:val="20"/>
                <w:szCs w:val="20"/>
                <w:u w:val="none"/>
              </w:rPr>
            </w:pP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6536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61</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5F1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郁金</w:t>
            </w:r>
          </w:p>
        </w:tc>
        <w:tc>
          <w:tcPr>
            <w:tcW w:w="5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B21C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kg</w:t>
            </w:r>
          </w:p>
        </w:tc>
        <w:tc>
          <w:tcPr>
            <w:tcW w:w="8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B301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56</w:t>
            </w:r>
          </w:p>
        </w:tc>
        <w:tc>
          <w:tcPr>
            <w:tcW w:w="21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EF79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姜科植物温郁金、姜黄、广西莪术或蓬莪术.的干燥块根</w:t>
            </w:r>
          </w:p>
        </w:tc>
        <w:tc>
          <w:tcPr>
            <w:tcW w:w="51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2C1C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本品呈椭圆形或长条形薄片。外表皮灰黄色、灰褐色至灰棕色，具不规则的纵皱纹。切面灰棕色、橙黄色至灰黑色。角质样，内皮层环明显。</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1BE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统货</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893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附检验合格单</w:t>
            </w:r>
          </w:p>
        </w:tc>
        <w:tc>
          <w:tcPr>
            <w:tcW w:w="11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BB8A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直径1.2cm以上，表面皱纹明显，质坚</w:t>
            </w:r>
          </w:p>
        </w:tc>
      </w:tr>
      <w:tr w14:paraId="74B296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1" w:type="dxa"/>
          <w:trHeight w:val="858" w:hRule="atLeast"/>
        </w:trPr>
        <w:tc>
          <w:tcPr>
            <w:tcW w:w="9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26BB6F">
            <w:pPr>
              <w:jc w:val="center"/>
              <w:rPr>
                <w:rFonts w:hint="eastAsia" w:ascii="宋体" w:hAnsi="宋体" w:eastAsia="宋体" w:cs="宋体"/>
                <w:i w:val="0"/>
                <w:iCs w:val="0"/>
                <w:color w:val="000000"/>
                <w:sz w:val="20"/>
                <w:szCs w:val="20"/>
                <w:u w:val="none"/>
              </w:rPr>
            </w:pP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B681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62</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EE8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泽泻</w:t>
            </w:r>
          </w:p>
        </w:tc>
        <w:tc>
          <w:tcPr>
            <w:tcW w:w="5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FCB7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kg</w:t>
            </w:r>
          </w:p>
        </w:tc>
        <w:tc>
          <w:tcPr>
            <w:tcW w:w="8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5945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49</w:t>
            </w:r>
          </w:p>
        </w:tc>
        <w:tc>
          <w:tcPr>
            <w:tcW w:w="21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ADA2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泽泻科植物东方泽泻或泽泻的干燥块茎。</w:t>
            </w:r>
          </w:p>
        </w:tc>
        <w:tc>
          <w:tcPr>
            <w:tcW w:w="51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5805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本品呈圆形或椭圆形厚片。外表皮淡黄色至淡黄棕色，可见细小突起的须根痕。切面黄白色至淡黄色，粉性，有多数细孔。气微，味微苦。</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56C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统货</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08C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附检验合格单</w:t>
            </w:r>
          </w:p>
        </w:tc>
        <w:tc>
          <w:tcPr>
            <w:tcW w:w="11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BBA5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直径3cm以上，质坚实</w:t>
            </w:r>
          </w:p>
        </w:tc>
      </w:tr>
      <w:tr w14:paraId="29CDBE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1" w:type="dxa"/>
          <w:trHeight w:val="858" w:hRule="atLeast"/>
        </w:trPr>
        <w:tc>
          <w:tcPr>
            <w:tcW w:w="9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53E2D2">
            <w:pPr>
              <w:jc w:val="center"/>
              <w:rPr>
                <w:rFonts w:hint="eastAsia" w:ascii="宋体" w:hAnsi="宋体" w:eastAsia="宋体" w:cs="宋体"/>
                <w:i w:val="0"/>
                <w:iCs w:val="0"/>
                <w:color w:val="000000"/>
                <w:sz w:val="20"/>
                <w:szCs w:val="20"/>
                <w:u w:val="none"/>
              </w:rPr>
            </w:pP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0439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63</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5A4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栀子</w:t>
            </w:r>
          </w:p>
        </w:tc>
        <w:tc>
          <w:tcPr>
            <w:tcW w:w="5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CCCA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kg</w:t>
            </w:r>
          </w:p>
        </w:tc>
        <w:tc>
          <w:tcPr>
            <w:tcW w:w="8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24C7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88.55</w:t>
            </w:r>
          </w:p>
        </w:tc>
        <w:tc>
          <w:tcPr>
            <w:tcW w:w="21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EB56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本品为茜草科植物栀子的干燥成熟果实</w:t>
            </w:r>
          </w:p>
        </w:tc>
        <w:tc>
          <w:tcPr>
            <w:tcW w:w="51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DCDA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本品呈不规则的碎块。果皮表面红黄色或棕红色，有的可见翅状纵横。种子多数，扁卵圆形，深红色或红黄色。气微，味微酸而苦。</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DAC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统货</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D36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附检验合格单</w:t>
            </w:r>
          </w:p>
        </w:tc>
        <w:tc>
          <w:tcPr>
            <w:tcW w:w="11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135E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粒小饱满</w:t>
            </w:r>
          </w:p>
        </w:tc>
      </w:tr>
      <w:tr w14:paraId="3EF55C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1" w:type="dxa"/>
          <w:trHeight w:val="858" w:hRule="atLeast"/>
        </w:trPr>
        <w:tc>
          <w:tcPr>
            <w:tcW w:w="9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F51AA2">
            <w:pPr>
              <w:jc w:val="center"/>
              <w:rPr>
                <w:rFonts w:hint="eastAsia" w:ascii="宋体" w:hAnsi="宋体" w:eastAsia="宋体" w:cs="宋体"/>
                <w:i w:val="0"/>
                <w:iCs w:val="0"/>
                <w:color w:val="000000"/>
                <w:sz w:val="20"/>
                <w:szCs w:val="20"/>
                <w:u w:val="none"/>
              </w:rPr>
            </w:pP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9484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64</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8CB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制川乌</w:t>
            </w:r>
          </w:p>
        </w:tc>
        <w:tc>
          <w:tcPr>
            <w:tcW w:w="5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CD2E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kg</w:t>
            </w:r>
          </w:p>
        </w:tc>
        <w:tc>
          <w:tcPr>
            <w:tcW w:w="8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F13F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304.21</w:t>
            </w:r>
          </w:p>
        </w:tc>
        <w:tc>
          <w:tcPr>
            <w:tcW w:w="21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6C85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为川乌的炮制加工品</w:t>
            </w:r>
          </w:p>
        </w:tc>
        <w:tc>
          <w:tcPr>
            <w:tcW w:w="51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2E0C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本品为不规则或长三角形的片。表面黑褐色或黄褐色，有灰棕色形成层环纹。体轻，质脆，断面有光泽。气微，微有麻舌感。</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78C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统货</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49783">
            <w:pPr>
              <w:jc w:val="center"/>
              <w:rPr>
                <w:rFonts w:hint="eastAsia" w:ascii="宋体" w:hAnsi="宋体" w:eastAsia="宋体" w:cs="宋体"/>
                <w:i w:val="0"/>
                <w:iCs w:val="0"/>
                <w:color w:val="000000"/>
                <w:sz w:val="18"/>
                <w:szCs w:val="18"/>
                <w:u w:val="none"/>
              </w:rPr>
            </w:pPr>
          </w:p>
        </w:tc>
        <w:tc>
          <w:tcPr>
            <w:tcW w:w="11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D657D6">
            <w:pPr>
              <w:jc w:val="center"/>
              <w:rPr>
                <w:rFonts w:hint="eastAsia" w:ascii="宋体" w:hAnsi="宋体" w:eastAsia="宋体" w:cs="宋体"/>
                <w:i w:val="0"/>
                <w:iCs w:val="0"/>
                <w:color w:val="000000"/>
                <w:sz w:val="18"/>
                <w:szCs w:val="18"/>
                <w:u w:val="none"/>
              </w:rPr>
            </w:pPr>
          </w:p>
        </w:tc>
      </w:tr>
      <w:tr w14:paraId="0B0CA9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1" w:type="dxa"/>
          <w:trHeight w:val="935" w:hRule="atLeast"/>
        </w:trPr>
        <w:tc>
          <w:tcPr>
            <w:tcW w:w="9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4FE8D6">
            <w:pPr>
              <w:jc w:val="center"/>
              <w:rPr>
                <w:rFonts w:hint="eastAsia" w:ascii="宋体" w:hAnsi="宋体" w:eastAsia="宋体" w:cs="宋体"/>
                <w:i w:val="0"/>
                <w:iCs w:val="0"/>
                <w:color w:val="000000"/>
                <w:sz w:val="20"/>
                <w:szCs w:val="20"/>
                <w:u w:val="none"/>
              </w:rPr>
            </w:pP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2F79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65</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80C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猪苓</w:t>
            </w:r>
          </w:p>
        </w:tc>
        <w:tc>
          <w:tcPr>
            <w:tcW w:w="5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E520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kg</w:t>
            </w:r>
          </w:p>
        </w:tc>
        <w:tc>
          <w:tcPr>
            <w:tcW w:w="8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5625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323.15</w:t>
            </w:r>
          </w:p>
        </w:tc>
        <w:tc>
          <w:tcPr>
            <w:tcW w:w="21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3350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多孔菌科真菌猪苓的干燥菌核。</w:t>
            </w:r>
          </w:p>
        </w:tc>
        <w:tc>
          <w:tcPr>
            <w:tcW w:w="51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1A87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本品呈类圆形或不规则的厚片。外表皮黑色或棕黑色，皱缩。切面类白色或黄白色，略呈颗粒状。气微，味淡。</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470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统货</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630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附检验合格单</w:t>
            </w:r>
          </w:p>
        </w:tc>
        <w:tc>
          <w:tcPr>
            <w:tcW w:w="11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C0A6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色灰黑，质柔韧，直径2-6cm，片形均匀</w:t>
            </w:r>
          </w:p>
        </w:tc>
      </w:tr>
      <w:tr w14:paraId="39BA07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1" w:type="dxa"/>
          <w:trHeight w:val="1423" w:hRule="atLeast"/>
        </w:trPr>
        <w:tc>
          <w:tcPr>
            <w:tcW w:w="9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63703F">
            <w:pPr>
              <w:jc w:val="center"/>
              <w:rPr>
                <w:rFonts w:hint="eastAsia" w:ascii="宋体" w:hAnsi="宋体" w:eastAsia="宋体" w:cs="宋体"/>
                <w:i w:val="0"/>
                <w:iCs w:val="0"/>
                <w:color w:val="000000"/>
                <w:sz w:val="20"/>
                <w:szCs w:val="20"/>
                <w:u w:val="none"/>
              </w:rPr>
            </w:pP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03B4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66</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E01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紫苏叶</w:t>
            </w:r>
          </w:p>
        </w:tc>
        <w:tc>
          <w:tcPr>
            <w:tcW w:w="5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4AD3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kg</w:t>
            </w:r>
          </w:p>
        </w:tc>
        <w:tc>
          <w:tcPr>
            <w:tcW w:w="8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CF5E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50.8415</w:t>
            </w:r>
          </w:p>
        </w:tc>
        <w:tc>
          <w:tcPr>
            <w:tcW w:w="21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AFC6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唇形科植物紫苏的干燥叶（或带嫩枝)</w:t>
            </w:r>
          </w:p>
        </w:tc>
        <w:tc>
          <w:tcPr>
            <w:tcW w:w="51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BF88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本品呈不规则的段或未切叶。叶多皱缩卷曲、破碎，完整者展平后呈卵圆形。边缘具圆锯齿。两面紫色或上表面绿色，下表面紫色，疏生灰白色毛。叶柄紫色或紫绿色。带嫩枝者，枝的直径2～5mm，紫绿色，切面中部有髓。气清香，味微辛。</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7F0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统货</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DD4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附检验合格单</w:t>
            </w:r>
          </w:p>
        </w:tc>
        <w:tc>
          <w:tcPr>
            <w:tcW w:w="11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12E3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叶完整，背面紫色，气香枝梗少</w:t>
            </w:r>
          </w:p>
        </w:tc>
      </w:tr>
      <w:tr w14:paraId="10C98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1" w:type="dxa"/>
          <w:trHeight w:val="858" w:hRule="atLeast"/>
        </w:trPr>
        <w:tc>
          <w:tcPr>
            <w:tcW w:w="9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BE1542">
            <w:pPr>
              <w:jc w:val="center"/>
              <w:rPr>
                <w:rFonts w:hint="eastAsia" w:ascii="宋体" w:hAnsi="宋体" w:eastAsia="宋体" w:cs="宋体"/>
                <w:i w:val="0"/>
                <w:iCs w:val="0"/>
                <w:color w:val="000000"/>
                <w:sz w:val="20"/>
                <w:szCs w:val="20"/>
                <w:u w:val="none"/>
              </w:rPr>
            </w:pP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5B9C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67</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FCF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莳萝子</w:t>
            </w:r>
          </w:p>
        </w:tc>
        <w:tc>
          <w:tcPr>
            <w:tcW w:w="5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6B46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kg</w:t>
            </w:r>
          </w:p>
        </w:tc>
        <w:tc>
          <w:tcPr>
            <w:tcW w:w="8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BF88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71.3</w:t>
            </w:r>
          </w:p>
        </w:tc>
        <w:tc>
          <w:tcPr>
            <w:tcW w:w="21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6A6C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为伞形科植物莳萝的果实</w:t>
            </w:r>
          </w:p>
        </w:tc>
        <w:tc>
          <w:tcPr>
            <w:tcW w:w="51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7E2F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双悬果多分离为分果，呈扁平广卵形，长3-4mm，宽2-2.5mm。表面呈棕色，侧棱延展呈翅状，合生面中央有一条棱线。气微香、味辛、麻舌。</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1D4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统货</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35B54">
            <w:pPr>
              <w:jc w:val="center"/>
              <w:rPr>
                <w:rFonts w:hint="eastAsia" w:ascii="宋体" w:hAnsi="宋体" w:eastAsia="宋体" w:cs="宋体"/>
                <w:i w:val="0"/>
                <w:iCs w:val="0"/>
                <w:color w:val="000000"/>
                <w:sz w:val="18"/>
                <w:szCs w:val="18"/>
                <w:u w:val="none"/>
              </w:rPr>
            </w:pPr>
          </w:p>
        </w:tc>
        <w:tc>
          <w:tcPr>
            <w:tcW w:w="11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C11855">
            <w:pPr>
              <w:jc w:val="center"/>
              <w:rPr>
                <w:rFonts w:hint="eastAsia" w:ascii="宋体" w:hAnsi="宋体" w:eastAsia="宋体" w:cs="宋体"/>
                <w:i w:val="0"/>
                <w:iCs w:val="0"/>
                <w:color w:val="000000"/>
                <w:sz w:val="20"/>
                <w:szCs w:val="20"/>
                <w:u w:val="none"/>
              </w:rPr>
            </w:pPr>
          </w:p>
        </w:tc>
      </w:tr>
      <w:tr w14:paraId="3B2E23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1" w:type="dxa"/>
          <w:trHeight w:val="1989" w:hRule="atLeast"/>
        </w:trPr>
        <w:tc>
          <w:tcPr>
            <w:tcW w:w="9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6423FC">
            <w:pPr>
              <w:jc w:val="center"/>
              <w:rPr>
                <w:rFonts w:hint="eastAsia" w:ascii="宋体" w:hAnsi="宋体" w:eastAsia="宋体" w:cs="宋体"/>
                <w:i w:val="0"/>
                <w:iCs w:val="0"/>
                <w:color w:val="000000"/>
                <w:sz w:val="20"/>
                <w:szCs w:val="20"/>
                <w:u w:val="none"/>
              </w:rPr>
            </w:pP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60C9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68</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1EE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千年健</w:t>
            </w:r>
          </w:p>
        </w:tc>
        <w:tc>
          <w:tcPr>
            <w:tcW w:w="5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0758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kg</w:t>
            </w:r>
          </w:p>
        </w:tc>
        <w:tc>
          <w:tcPr>
            <w:tcW w:w="8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BE0E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93.15</w:t>
            </w:r>
          </w:p>
        </w:tc>
        <w:tc>
          <w:tcPr>
            <w:tcW w:w="21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0ADD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天南星科植物千年健的干燥根茎</w:t>
            </w:r>
          </w:p>
        </w:tc>
        <w:tc>
          <w:tcPr>
            <w:tcW w:w="51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4981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本品呈圆柱形，稍弯曲，有的略扁，长15~40cm，直径0.8~1.5cm。表面黄棕色或红棕色，粗糙，可见多数扭曲的纵沟纹、圆形根痕及黄色针状纤维束。质硬而脆，断面红褐色，黄色针状纤维束多而明显，相对另一断面呈多数针眼状小孔及有少数黄色针状纤维束，可见深褐色具光泽的油点。气香，味辛、微苦。</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43F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统货</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1C3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附检验合格单</w:t>
            </w:r>
          </w:p>
        </w:tc>
        <w:tc>
          <w:tcPr>
            <w:tcW w:w="11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258A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水分不得超过13%</w:t>
            </w:r>
          </w:p>
        </w:tc>
      </w:tr>
      <w:tr w14:paraId="4A9971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1" w:type="dxa"/>
          <w:trHeight w:val="1999" w:hRule="atLeast"/>
        </w:trPr>
        <w:tc>
          <w:tcPr>
            <w:tcW w:w="9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750ACA">
            <w:pPr>
              <w:jc w:val="center"/>
              <w:rPr>
                <w:rFonts w:hint="eastAsia" w:ascii="宋体" w:hAnsi="宋体" w:eastAsia="宋体" w:cs="宋体"/>
                <w:i w:val="0"/>
                <w:iCs w:val="0"/>
                <w:color w:val="000000"/>
                <w:sz w:val="20"/>
                <w:szCs w:val="20"/>
                <w:u w:val="none"/>
              </w:rPr>
            </w:pP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5D30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69</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DEA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菝葜</w:t>
            </w:r>
          </w:p>
        </w:tc>
        <w:tc>
          <w:tcPr>
            <w:tcW w:w="5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940F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kg</w:t>
            </w:r>
          </w:p>
        </w:tc>
        <w:tc>
          <w:tcPr>
            <w:tcW w:w="8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74AC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25.3</w:t>
            </w:r>
          </w:p>
        </w:tc>
        <w:tc>
          <w:tcPr>
            <w:tcW w:w="21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3D72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百合科植物菝葜的干燥根茎。</w:t>
            </w:r>
          </w:p>
        </w:tc>
        <w:tc>
          <w:tcPr>
            <w:tcW w:w="51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1C39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本品为不规则块状或弯曲扁柱形，有结节状隆起，长10~20cm，直径2~4cm。表面黄棕色或紫棕色，具圆锥状突起的茎基痕，并残留坚硬的刺状须根残基或细根。质坚硬，难折断，断面呈棕黄色或红棕色，纤维性，可见点状维管束和多数小亮点。切片呈不规则形，厚0.3~1cm，边缘不整齐，切面粗纤维性;质硬，折断时有粉尘飞扬。气微，味微苦、涩。</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3ED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统货</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56E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附检验合格单</w:t>
            </w:r>
          </w:p>
        </w:tc>
        <w:tc>
          <w:tcPr>
            <w:tcW w:w="11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B341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水分不得超过15%</w:t>
            </w:r>
          </w:p>
        </w:tc>
      </w:tr>
    </w:tbl>
    <w:p w14:paraId="057CB23A">
      <w:pPr>
        <w:pStyle w:val="4"/>
        <w:spacing w:line="305" w:lineRule="auto"/>
        <w:jc w:val="center"/>
        <w:rPr>
          <w:rFonts w:hint="eastAsia" w:ascii="宋体" w:hAnsi="宋体" w:eastAsia="宋体" w:cs="宋体"/>
          <w:b/>
          <w:bCs/>
          <w:sz w:val="28"/>
          <w:szCs w:val="28"/>
          <w:lang w:val="en-US" w:eastAsia="zh-CN"/>
        </w:rPr>
      </w:pPr>
    </w:p>
    <w:p w14:paraId="4942CBA9">
      <w:pPr>
        <w:pStyle w:val="4"/>
        <w:spacing w:line="305" w:lineRule="auto"/>
        <w:jc w:val="center"/>
        <w:rPr>
          <w:rFonts w:hint="eastAsia" w:ascii="宋体" w:hAnsi="宋体" w:eastAsia="宋体" w:cs="宋体"/>
          <w:b/>
          <w:bCs/>
          <w:sz w:val="28"/>
          <w:szCs w:val="28"/>
          <w:lang w:val="en-US" w:eastAsia="zh-CN"/>
        </w:rPr>
      </w:pPr>
    </w:p>
    <w:p w14:paraId="7B477A85">
      <w:pPr>
        <w:pStyle w:val="4"/>
        <w:spacing w:line="305" w:lineRule="auto"/>
        <w:jc w:val="center"/>
        <w:rPr>
          <w:rFonts w:hint="eastAsia" w:ascii="宋体" w:hAnsi="宋体" w:eastAsia="宋体" w:cs="宋体"/>
          <w:b/>
          <w:bCs/>
          <w:sz w:val="28"/>
          <w:szCs w:val="28"/>
          <w:lang w:val="en-US" w:eastAsia="zh-CN"/>
        </w:rPr>
      </w:pPr>
    </w:p>
    <w:p w14:paraId="3D6F97C0">
      <w:pPr>
        <w:pStyle w:val="4"/>
        <w:spacing w:line="305" w:lineRule="auto"/>
        <w:jc w:val="center"/>
        <w:rPr>
          <w:rFonts w:hint="eastAsia" w:ascii="宋体" w:hAnsi="宋体" w:eastAsia="宋体" w:cs="宋体"/>
          <w:b/>
          <w:bCs/>
          <w:sz w:val="28"/>
          <w:szCs w:val="28"/>
          <w:lang w:val="en-US" w:eastAsia="zh-CN"/>
        </w:rPr>
      </w:pPr>
    </w:p>
    <w:p w14:paraId="0B276D6D">
      <w:pPr>
        <w:pStyle w:val="4"/>
        <w:spacing w:line="305" w:lineRule="auto"/>
        <w:jc w:val="center"/>
        <w:rPr>
          <w:rFonts w:hint="eastAsia" w:ascii="宋体" w:hAnsi="宋体" w:eastAsia="宋体" w:cs="宋体"/>
          <w:b/>
          <w:bCs/>
          <w:sz w:val="28"/>
          <w:szCs w:val="28"/>
          <w:lang w:val="en-US" w:eastAsia="zh-CN"/>
        </w:rPr>
      </w:pPr>
    </w:p>
    <w:p w14:paraId="51491B2A">
      <w:pPr>
        <w:pStyle w:val="4"/>
        <w:spacing w:line="305" w:lineRule="auto"/>
        <w:jc w:val="center"/>
        <w:rPr>
          <w:rFonts w:hint="eastAsia" w:ascii="宋体" w:hAnsi="宋体" w:eastAsia="宋体" w:cs="宋体"/>
          <w:b/>
          <w:bCs/>
          <w:sz w:val="28"/>
          <w:szCs w:val="28"/>
          <w:lang w:val="en-US" w:eastAsia="zh-CN"/>
        </w:rPr>
      </w:pPr>
    </w:p>
    <w:p w14:paraId="0286900D">
      <w:pPr>
        <w:pStyle w:val="4"/>
        <w:spacing w:line="305" w:lineRule="auto"/>
        <w:jc w:val="center"/>
        <w:rPr>
          <w:rFonts w:hint="eastAsia" w:ascii="宋体" w:hAnsi="宋体" w:eastAsia="宋体" w:cs="宋体"/>
          <w:b/>
          <w:bCs/>
          <w:sz w:val="28"/>
          <w:szCs w:val="28"/>
          <w:lang w:val="en-US" w:eastAsia="zh-CN"/>
        </w:rPr>
      </w:pPr>
    </w:p>
    <w:p w14:paraId="2370910E">
      <w:pPr>
        <w:pStyle w:val="4"/>
        <w:spacing w:line="305" w:lineRule="auto"/>
        <w:jc w:val="center"/>
        <w:rPr>
          <w:rFonts w:hint="eastAsia" w:ascii="宋体" w:hAnsi="宋体" w:eastAsia="宋体" w:cs="宋体"/>
          <w:b/>
          <w:bCs/>
          <w:sz w:val="28"/>
          <w:szCs w:val="28"/>
          <w:lang w:val="en-US" w:eastAsia="zh-CN"/>
        </w:rPr>
      </w:pPr>
    </w:p>
    <w:p w14:paraId="4B6BFCF1">
      <w:pPr>
        <w:pStyle w:val="4"/>
        <w:spacing w:line="305" w:lineRule="auto"/>
        <w:jc w:val="center"/>
        <w:rPr>
          <w:rFonts w:hint="eastAsia" w:ascii="宋体" w:hAnsi="宋体" w:eastAsia="宋体" w:cs="宋体"/>
          <w:b/>
          <w:bCs/>
          <w:sz w:val="28"/>
          <w:szCs w:val="28"/>
          <w:lang w:val="en-US" w:eastAsia="zh-CN"/>
        </w:rPr>
      </w:pPr>
    </w:p>
    <w:p w14:paraId="47328472">
      <w:pPr>
        <w:pStyle w:val="4"/>
        <w:spacing w:line="305" w:lineRule="auto"/>
        <w:jc w:val="center"/>
        <w:rPr>
          <w:rFonts w:hint="eastAsia" w:ascii="宋体" w:hAnsi="宋体" w:eastAsia="宋体" w:cs="宋体"/>
          <w:b/>
          <w:bCs/>
          <w:sz w:val="28"/>
          <w:szCs w:val="28"/>
          <w:lang w:val="en-US" w:eastAsia="zh-CN"/>
        </w:rPr>
      </w:pPr>
    </w:p>
    <w:p w14:paraId="411F9629">
      <w:pPr>
        <w:pStyle w:val="4"/>
        <w:spacing w:line="305" w:lineRule="auto"/>
        <w:jc w:val="center"/>
        <w:rPr>
          <w:rFonts w:hint="eastAsia" w:ascii="宋体" w:hAnsi="宋体" w:eastAsia="宋体" w:cs="宋体"/>
          <w:b/>
          <w:bCs/>
          <w:sz w:val="28"/>
          <w:szCs w:val="28"/>
          <w:lang w:val="en-US" w:eastAsia="zh-CN"/>
        </w:rPr>
      </w:pPr>
    </w:p>
    <w:p w14:paraId="60EF63E1">
      <w:pPr>
        <w:pStyle w:val="4"/>
        <w:spacing w:line="305" w:lineRule="auto"/>
        <w:jc w:val="center"/>
        <w:rPr>
          <w:rFonts w:hint="eastAsia" w:ascii="宋体" w:hAnsi="宋体" w:eastAsia="宋体" w:cs="宋体"/>
          <w:b/>
          <w:bCs/>
          <w:sz w:val="28"/>
          <w:szCs w:val="28"/>
          <w:lang w:val="en-US" w:eastAsia="zh-CN"/>
        </w:rPr>
      </w:pPr>
    </w:p>
    <w:p w14:paraId="773BAC4A">
      <w:pPr>
        <w:pStyle w:val="4"/>
        <w:spacing w:line="305" w:lineRule="auto"/>
        <w:jc w:val="center"/>
        <w:rPr>
          <w:rFonts w:hint="eastAsia" w:ascii="宋体" w:hAnsi="宋体" w:eastAsia="宋体" w:cs="宋体"/>
          <w:b/>
          <w:bCs/>
          <w:sz w:val="28"/>
          <w:szCs w:val="28"/>
          <w:lang w:val="en-US" w:eastAsia="zh-CN"/>
        </w:rPr>
      </w:pPr>
    </w:p>
    <w:p w14:paraId="415F3C31">
      <w:pPr>
        <w:pStyle w:val="4"/>
        <w:spacing w:line="305" w:lineRule="auto"/>
        <w:jc w:val="center"/>
        <w:rPr>
          <w:rFonts w:hint="eastAsia" w:ascii="宋体" w:hAnsi="宋体" w:eastAsia="宋体" w:cs="宋体"/>
          <w:b/>
          <w:bCs/>
          <w:sz w:val="28"/>
          <w:szCs w:val="28"/>
          <w:lang w:val="en-US" w:eastAsia="zh-CN"/>
        </w:rPr>
      </w:pPr>
    </w:p>
    <w:p w14:paraId="222F2B60">
      <w:pPr>
        <w:pStyle w:val="4"/>
        <w:spacing w:line="305" w:lineRule="auto"/>
        <w:jc w:val="center"/>
        <w:rPr>
          <w:rFonts w:hint="eastAsia" w:ascii="宋体" w:hAnsi="宋体" w:eastAsia="宋体" w:cs="宋体"/>
          <w:b/>
          <w:bCs/>
          <w:sz w:val="28"/>
          <w:szCs w:val="28"/>
          <w:lang w:val="en-US" w:eastAsia="zh-CN"/>
        </w:rPr>
      </w:pPr>
    </w:p>
    <w:p w14:paraId="7827B503">
      <w:pPr>
        <w:pStyle w:val="4"/>
        <w:spacing w:line="305" w:lineRule="auto"/>
        <w:jc w:val="center"/>
        <w:rPr>
          <w:rFonts w:hint="eastAsia" w:ascii="宋体" w:hAnsi="宋体" w:eastAsia="宋体" w:cs="宋体"/>
          <w:b/>
          <w:bCs/>
          <w:sz w:val="28"/>
          <w:szCs w:val="28"/>
          <w:lang w:val="en-US" w:eastAsia="zh-CN"/>
        </w:rPr>
      </w:pPr>
    </w:p>
    <w:p w14:paraId="39476382">
      <w:pPr>
        <w:pStyle w:val="4"/>
        <w:spacing w:line="305" w:lineRule="auto"/>
        <w:jc w:val="cente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拜城县人民医院2025年中药饮片购置项目（三标段）</w:t>
      </w:r>
    </w:p>
    <w:tbl>
      <w:tblPr>
        <w:tblStyle w:val="9"/>
        <w:tblW w:w="1399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30"/>
        <w:gridCol w:w="487"/>
        <w:gridCol w:w="9"/>
        <w:gridCol w:w="714"/>
        <w:gridCol w:w="26"/>
        <w:gridCol w:w="486"/>
        <w:gridCol w:w="20"/>
        <w:gridCol w:w="897"/>
        <w:gridCol w:w="27"/>
        <w:gridCol w:w="2152"/>
        <w:gridCol w:w="37"/>
        <w:gridCol w:w="5050"/>
        <w:gridCol w:w="7"/>
        <w:gridCol w:w="688"/>
        <w:gridCol w:w="1263"/>
        <w:gridCol w:w="6"/>
        <w:gridCol w:w="1175"/>
        <w:gridCol w:w="22"/>
      </w:tblGrid>
      <w:tr w14:paraId="528112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99"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FEE70">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标段</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7C5A0">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序号</w:t>
            </w:r>
          </w:p>
        </w:tc>
        <w:tc>
          <w:tcPr>
            <w:tcW w:w="7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C17070">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药品名称</w:t>
            </w:r>
          </w:p>
        </w:tc>
        <w:tc>
          <w:tcPr>
            <w:tcW w:w="5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C6DF25">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单位</w:t>
            </w: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22BB5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最高限价（元/单位）</w:t>
            </w:r>
          </w:p>
        </w:tc>
        <w:tc>
          <w:tcPr>
            <w:tcW w:w="21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162AE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来源</w:t>
            </w:r>
          </w:p>
        </w:tc>
        <w:tc>
          <w:tcPr>
            <w:tcW w:w="5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88867">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性状</w:t>
            </w:r>
          </w:p>
        </w:tc>
        <w:tc>
          <w:tcPr>
            <w:tcW w:w="6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C5D2AA">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等级</w:t>
            </w:r>
          </w:p>
        </w:tc>
        <w:tc>
          <w:tcPr>
            <w:tcW w:w="12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C0BF87">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资质或证明材料要求</w:t>
            </w:r>
          </w:p>
        </w:tc>
        <w:tc>
          <w:tcPr>
            <w:tcW w:w="11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096712">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备注</w:t>
            </w:r>
          </w:p>
        </w:tc>
      </w:tr>
      <w:tr w14:paraId="704802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2" w:type="dxa"/>
          <w:trHeight w:val="1418" w:hRule="atLeast"/>
        </w:trPr>
        <w:tc>
          <w:tcPr>
            <w:tcW w:w="9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D2DD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标段三</w:t>
            </w: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BC24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C32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巴戟天</w:t>
            </w:r>
          </w:p>
        </w:tc>
        <w:tc>
          <w:tcPr>
            <w:tcW w:w="5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91BA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kg</w:t>
            </w:r>
          </w:p>
        </w:tc>
        <w:tc>
          <w:tcPr>
            <w:tcW w:w="8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A641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197.8</w:t>
            </w:r>
          </w:p>
        </w:tc>
        <w:tc>
          <w:tcPr>
            <w:tcW w:w="21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C2C1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茜草科植巴戟天的干燥根</w:t>
            </w:r>
          </w:p>
        </w:tc>
        <w:tc>
          <w:tcPr>
            <w:tcW w:w="51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F97F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本品为扁圆柱形，略弯曲，长短不等，直径0.5~2cm。表面灰黄色或暗灰色，具纵纹和横裂纹，有的皮部横向断离露出木部；质韧，断面皮部厚，紫色或淡紫色，易与木部剥离；木部坚硬，黄棕色或黄白色，直径I～5mm。气微，味甘而微涩。</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5DB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统货</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DE4D1">
            <w:pPr>
              <w:jc w:val="center"/>
              <w:rPr>
                <w:rFonts w:hint="eastAsia" w:ascii="宋体" w:hAnsi="宋体" w:eastAsia="宋体" w:cs="宋体"/>
                <w:i w:val="0"/>
                <w:iCs w:val="0"/>
                <w:color w:val="000000"/>
                <w:sz w:val="18"/>
                <w:szCs w:val="18"/>
                <w:u w:val="none"/>
              </w:rPr>
            </w:pPr>
          </w:p>
        </w:tc>
        <w:tc>
          <w:tcPr>
            <w:tcW w:w="11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1795C8">
            <w:pPr>
              <w:jc w:val="center"/>
              <w:rPr>
                <w:rFonts w:hint="eastAsia" w:ascii="宋体" w:hAnsi="宋体" w:eastAsia="宋体" w:cs="宋体"/>
                <w:i w:val="0"/>
                <w:iCs w:val="0"/>
                <w:color w:val="000000"/>
                <w:sz w:val="18"/>
                <w:szCs w:val="18"/>
                <w:u w:val="none"/>
              </w:rPr>
            </w:pPr>
          </w:p>
        </w:tc>
      </w:tr>
      <w:tr w14:paraId="1A0DC8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2" w:type="dxa"/>
          <w:trHeight w:val="1137" w:hRule="atLeast"/>
        </w:trPr>
        <w:tc>
          <w:tcPr>
            <w:tcW w:w="9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BB9D0B">
            <w:pPr>
              <w:jc w:val="center"/>
              <w:rPr>
                <w:rFonts w:hint="eastAsia" w:ascii="宋体" w:hAnsi="宋体" w:eastAsia="宋体" w:cs="宋体"/>
                <w:i w:val="0"/>
                <w:iCs w:val="0"/>
                <w:color w:val="000000"/>
                <w:sz w:val="20"/>
                <w:szCs w:val="20"/>
                <w:u w:val="none"/>
              </w:rPr>
            </w:pP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FAFD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508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白术</w:t>
            </w:r>
          </w:p>
        </w:tc>
        <w:tc>
          <w:tcPr>
            <w:tcW w:w="5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FF82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kg</w:t>
            </w:r>
          </w:p>
        </w:tc>
        <w:tc>
          <w:tcPr>
            <w:tcW w:w="8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1E16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196.65</w:t>
            </w:r>
          </w:p>
        </w:tc>
        <w:tc>
          <w:tcPr>
            <w:tcW w:w="21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3503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菊科植物白术干燥根茎</w:t>
            </w:r>
          </w:p>
        </w:tc>
        <w:tc>
          <w:tcPr>
            <w:tcW w:w="51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7CE9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本品呈不规则的厚片。外表皮灰黄色或灰棕色。切面黄白色至淡棕色，散生棕黄色的点状油室，木部具放射状纹理；烘干者切面角质样，色较深或有裂隙。气清香，味甘、微辛，嚼之略带黏性。</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019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统货</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88E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附检验合格单</w:t>
            </w:r>
          </w:p>
        </w:tc>
        <w:tc>
          <w:tcPr>
            <w:tcW w:w="11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1F32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如意头大而多，黏牙，油点明显</w:t>
            </w:r>
          </w:p>
        </w:tc>
      </w:tr>
      <w:tr w14:paraId="04BBD1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2" w:type="dxa"/>
          <w:trHeight w:val="1418" w:hRule="atLeast"/>
        </w:trPr>
        <w:tc>
          <w:tcPr>
            <w:tcW w:w="9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522CAB">
            <w:pPr>
              <w:jc w:val="center"/>
              <w:rPr>
                <w:rFonts w:hint="eastAsia" w:ascii="宋体" w:hAnsi="宋体" w:eastAsia="宋体" w:cs="宋体"/>
                <w:i w:val="0"/>
                <w:iCs w:val="0"/>
                <w:color w:val="000000"/>
                <w:sz w:val="20"/>
                <w:szCs w:val="20"/>
                <w:u w:val="none"/>
              </w:rPr>
            </w:pP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CC4D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62C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百合</w:t>
            </w:r>
          </w:p>
        </w:tc>
        <w:tc>
          <w:tcPr>
            <w:tcW w:w="5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4080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kg</w:t>
            </w:r>
          </w:p>
        </w:tc>
        <w:tc>
          <w:tcPr>
            <w:tcW w:w="8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10D6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155.25</w:t>
            </w:r>
          </w:p>
        </w:tc>
        <w:tc>
          <w:tcPr>
            <w:tcW w:w="21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5AB4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本品为百合科植物卷丹的干燥肉质鳞叶。</w:t>
            </w:r>
          </w:p>
        </w:tc>
        <w:tc>
          <w:tcPr>
            <w:tcW w:w="51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3F77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本品呈长椭圆形，长2~5cm，宽1～2cm，中部厚1.3～4mm。表面黄白色至淡棕黄色，有的微带紫色，有数条纵直平行的白色维管束。顶端稍尖，基部较宽，边缘薄，微波状，略向内弯曲。质硬而脆，断面较平坦，角质样。气微，味微苦。</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242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统货</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D6DF2">
            <w:pPr>
              <w:jc w:val="center"/>
              <w:rPr>
                <w:rFonts w:hint="eastAsia" w:ascii="宋体" w:hAnsi="宋体" w:eastAsia="宋体" w:cs="宋体"/>
                <w:i w:val="0"/>
                <w:iCs w:val="0"/>
                <w:color w:val="000000"/>
                <w:sz w:val="18"/>
                <w:szCs w:val="18"/>
                <w:u w:val="none"/>
              </w:rPr>
            </w:pPr>
          </w:p>
        </w:tc>
        <w:tc>
          <w:tcPr>
            <w:tcW w:w="11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013176">
            <w:pPr>
              <w:jc w:val="center"/>
              <w:rPr>
                <w:rFonts w:hint="eastAsia" w:ascii="宋体" w:hAnsi="宋体" w:eastAsia="宋体" w:cs="宋体"/>
                <w:i w:val="0"/>
                <w:iCs w:val="0"/>
                <w:color w:val="000000"/>
                <w:sz w:val="18"/>
                <w:szCs w:val="18"/>
                <w:u w:val="none"/>
              </w:rPr>
            </w:pPr>
          </w:p>
        </w:tc>
      </w:tr>
      <w:tr w14:paraId="79F82C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2" w:type="dxa"/>
          <w:trHeight w:val="2544" w:hRule="atLeast"/>
        </w:trPr>
        <w:tc>
          <w:tcPr>
            <w:tcW w:w="9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58D236">
            <w:pPr>
              <w:jc w:val="center"/>
              <w:rPr>
                <w:rFonts w:hint="eastAsia" w:ascii="宋体" w:hAnsi="宋体" w:eastAsia="宋体" w:cs="宋体"/>
                <w:i w:val="0"/>
                <w:iCs w:val="0"/>
                <w:color w:val="000000"/>
                <w:sz w:val="20"/>
                <w:szCs w:val="20"/>
                <w:u w:val="none"/>
              </w:rPr>
            </w:pP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7D5C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439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半边莲</w:t>
            </w:r>
          </w:p>
        </w:tc>
        <w:tc>
          <w:tcPr>
            <w:tcW w:w="5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2CCA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kg</w:t>
            </w:r>
          </w:p>
        </w:tc>
        <w:tc>
          <w:tcPr>
            <w:tcW w:w="8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1FC7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59.8</w:t>
            </w:r>
          </w:p>
        </w:tc>
        <w:tc>
          <w:tcPr>
            <w:tcW w:w="21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725A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桔梗科植物半边莲的干燥全草。</w:t>
            </w:r>
          </w:p>
        </w:tc>
        <w:tc>
          <w:tcPr>
            <w:tcW w:w="51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7C5C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本品常缠结成团。根茎极短，直径1~2mm；表面淡棕黄色，平滑或有细纵纹。根细小，黄色，侧生纤细须根。茎细长，有分枝，灰绿色，节明显，有的可见附生的细根。叶互生，无柄，叶片多皱缩，绿褐色，展平后叶片呈狭披针形，长1～2.5cm，宽0.2~0.5cm，边缘具疏而浅的齿或全缘。花梗细长，花小，单生于叶腋，花冠基部筒状，上部5裂，偏向一边，浅紫红色，花冠筒内有白色茸毛。气微特异，味微甘而辛。</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861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统货</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A39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附检验合格单</w:t>
            </w:r>
          </w:p>
        </w:tc>
        <w:tc>
          <w:tcPr>
            <w:tcW w:w="11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7869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水分检查不得过10%</w:t>
            </w:r>
          </w:p>
        </w:tc>
      </w:tr>
      <w:tr w14:paraId="1FF256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2" w:type="dxa"/>
          <w:trHeight w:val="1982" w:hRule="atLeast"/>
        </w:trPr>
        <w:tc>
          <w:tcPr>
            <w:tcW w:w="9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A94B05">
            <w:pPr>
              <w:jc w:val="center"/>
              <w:rPr>
                <w:rFonts w:hint="eastAsia" w:ascii="宋体" w:hAnsi="宋体" w:eastAsia="宋体" w:cs="宋体"/>
                <w:i w:val="0"/>
                <w:iCs w:val="0"/>
                <w:color w:val="000000"/>
                <w:sz w:val="20"/>
                <w:szCs w:val="20"/>
                <w:u w:val="none"/>
              </w:rPr>
            </w:pP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057A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5</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B30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北沙参</w:t>
            </w:r>
          </w:p>
        </w:tc>
        <w:tc>
          <w:tcPr>
            <w:tcW w:w="5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87B4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kg</w:t>
            </w:r>
          </w:p>
        </w:tc>
        <w:tc>
          <w:tcPr>
            <w:tcW w:w="8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1058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198.9</w:t>
            </w:r>
          </w:p>
        </w:tc>
        <w:tc>
          <w:tcPr>
            <w:tcW w:w="21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BB3D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形科植物珊瑚菜的干燥根</w:t>
            </w:r>
          </w:p>
        </w:tc>
        <w:tc>
          <w:tcPr>
            <w:tcW w:w="51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AB46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本品呈细长圆柱形，偶有分枝，长15~45cm，直径0.4～1.2cm。表面淡黄白色，略粗糙，偶有残存外皮，不去外皮的表面黄棕色。全体有细纵皱纹和纵沟，并有棕黄色点状细根痕；顶端常留有黄棕色根茎残基；上端稍细，中部略粗，下部渐细。质脆，易折断，断面皮部浅黄白色，木部黄色。气特异，味微甘。</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5B5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统货</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C9908">
            <w:pPr>
              <w:jc w:val="center"/>
              <w:rPr>
                <w:rFonts w:hint="eastAsia" w:ascii="宋体" w:hAnsi="宋体" w:eastAsia="宋体" w:cs="宋体"/>
                <w:i w:val="0"/>
                <w:iCs w:val="0"/>
                <w:color w:val="000000"/>
                <w:sz w:val="18"/>
                <w:szCs w:val="18"/>
                <w:u w:val="none"/>
              </w:rPr>
            </w:pPr>
          </w:p>
        </w:tc>
        <w:tc>
          <w:tcPr>
            <w:tcW w:w="11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ABE8ED">
            <w:pPr>
              <w:jc w:val="center"/>
              <w:rPr>
                <w:rFonts w:hint="eastAsia" w:ascii="宋体" w:hAnsi="宋体" w:eastAsia="宋体" w:cs="宋体"/>
                <w:i w:val="0"/>
                <w:iCs w:val="0"/>
                <w:color w:val="000000"/>
                <w:sz w:val="18"/>
                <w:szCs w:val="18"/>
                <w:u w:val="none"/>
              </w:rPr>
            </w:pPr>
          </w:p>
        </w:tc>
      </w:tr>
      <w:tr w14:paraId="55407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2" w:type="dxa"/>
          <w:trHeight w:val="1982" w:hRule="atLeast"/>
        </w:trPr>
        <w:tc>
          <w:tcPr>
            <w:tcW w:w="9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BA182B">
            <w:pPr>
              <w:jc w:val="center"/>
              <w:rPr>
                <w:rFonts w:hint="eastAsia" w:ascii="宋体" w:hAnsi="宋体" w:eastAsia="宋体" w:cs="宋体"/>
                <w:i w:val="0"/>
                <w:iCs w:val="0"/>
                <w:color w:val="000000"/>
                <w:sz w:val="20"/>
                <w:szCs w:val="20"/>
                <w:u w:val="none"/>
              </w:rPr>
            </w:pP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6595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6</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6D3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蝉蜕</w:t>
            </w:r>
          </w:p>
        </w:tc>
        <w:tc>
          <w:tcPr>
            <w:tcW w:w="5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79B0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kg</w:t>
            </w:r>
          </w:p>
        </w:tc>
        <w:tc>
          <w:tcPr>
            <w:tcW w:w="8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63FF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1851.5</w:t>
            </w:r>
          </w:p>
        </w:tc>
        <w:tc>
          <w:tcPr>
            <w:tcW w:w="21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9B7B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蝉科昆虫黑蚱的若虫羽化时脱落的皮壳。</w:t>
            </w:r>
          </w:p>
        </w:tc>
        <w:tc>
          <w:tcPr>
            <w:tcW w:w="51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B1F5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本品略呈椭圆形而弯曲，长约3.5cm，宽约2cm。表面黄棕色，半透明，有光泽。头部有丝状触角1对，多已断落，复眼突出。额部先端突出，口吻发达，上唇宽短，下唇伸长成管状。胸部背面呈十字形裂开，裂口向内卷曲，脊背两旁具小翅2对；腹面有足3对，被黄棕色细毛。腹部钝圆，共9节。体轻，中空，易碎。气微，味淡。</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A20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统货</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067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附检验合格单</w:t>
            </w:r>
          </w:p>
        </w:tc>
        <w:tc>
          <w:tcPr>
            <w:tcW w:w="11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C826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水洗货</w:t>
            </w:r>
          </w:p>
        </w:tc>
      </w:tr>
      <w:tr w14:paraId="13CB74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2" w:type="dxa"/>
          <w:trHeight w:val="1137" w:hRule="atLeast"/>
        </w:trPr>
        <w:tc>
          <w:tcPr>
            <w:tcW w:w="9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F03EC2">
            <w:pPr>
              <w:jc w:val="center"/>
              <w:rPr>
                <w:rFonts w:hint="eastAsia" w:ascii="宋体" w:hAnsi="宋体" w:eastAsia="宋体" w:cs="宋体"/>
                <w:i w:val="0"/>
                <w:iCs w:val="0"/>
                <w:color w:val="000000"/>
                <w:sz w:val="20"/>
                <w:szCs w:val="20"/>
                <w:u w:val="none"/>
              </w:rPr>
            </w:pP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6479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987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炒谷芽</w:t>
            </w:r>
          </w:p>
        </w:tc>
        <w:tc>
          <w:tcPr>
            <w:tcW w:w="5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4E8A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kg</w:t>
            </w:r>
          </w:p>
        </w:tc>
        <w:tc>
          <w:tcPr>
            <w:tcW w:w="8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25B7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25.3</w:t>
            </w:r>
          </w:p>
        </w:tc>
        <w:tc>
          <w:tcPr>
            <w:tcW w:w="21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1621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禾本科植物粟的成熟果实经发芽干燥的炮制加工品。</w:t>
            </w:r>
          </w:p>
        </w:tc>
        <w:tc>
          <w:tcPr>
            <w:tcW w:w="51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5F09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本品呈类圆球形，直径约2mm，顶端钝圆，基部略尖。外壳为革质的稃片，淡黄色，具点状皱纹，下端有初生的细须根，长约3~6mm，剥去稃片，内含淡黄色或黄白色颖果（小米）1粒。</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172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统货</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AE1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附检验合格单</w:t>
            </w:r>
          </w:p>
        </w:tc>
        <w:tc>
          <w:tcPr>
            <w:tcW w:w="11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AC92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表面深黄色，有香气水分不得超过12%</w:t>
            </w:r>
          </w:p>
        </w:tc>
      </w:tr>
      <w:tr w14:paraId="67DA8F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2" w:type="dxa"/>
          <w:trHeight w:val="1137" w:hRule="atLeast"/>
        </w:trPr>
        <w:tc>
          <w:tcPr>
            <w:tcW w:w="9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1A9297">
            <w:pPr>
              <w:jc w:val="center"/>
              <w:rPr>
                <w:rFonts w:hint="eastAsia" w:ascii="宋体" w:hAnsi="宋体" w:eastAsia="宋体" w:cs="宋体"/>
                <w:i w:val="0"/>
                <w:iCs w:val="0"/>
                <w:color w:val="000000"/>
                <w:sz w:val="20"/>
                <w:szCs w:val="20"/>
                <w:u w:val="none"/>
              </w:rPr>
            </w:pP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32BA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8</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A29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车前子</w:t>
            </w:r>
          </w:p>
        </w:tc>
        <w:tc>
          <w:tcPr>
            <w:tcW w:w="5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DF89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kg</w:t>
            </w:r>
          </w:p>
        </w:tc>
        <w:tc>
          <w:tcPr>
            <w:tcW w:w="8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C0C3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109</w:t>
            </w:r>
          </w:p>
        </w:tc>
        <w:tc>
          <w:tcPr>
            <w:tcW w:w="21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C3AB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车前科植物车前或平车前的干燥成熟种子</w:t>
            </w:r>
          </w:p>
        </w:tc>
        <w:tc>
          <w:tcPr>
            <w:tcW w:w="51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F84F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本品呈椭圆形、不规则长圆形或三角状长圆形，略扁，长约2mm，宽约1mm。表面黄棕色至黑褐色，有细皱纹，一面有灰白色凹点状种脐。质硬。气微，味淡</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676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统货</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A5706">
            <w:pPr>
              <w:jc w:val="center"/>
              <w:rPr>
                <w:rFonts w:hint="eastAsia" w:ascii="宋体" w:hAnsi="宋体" w:eastAsia="宋体" w:cs="宋体"/>
                <w:i w:val="0"/>
                <w:iCs w:val="0"/>
                <w:color w:val="000000"/>
                <w:sz w:val="18"/>
                <w:szCs w:val="18"/>
                <w:u w:val="none"/>
              </w:rPr>
            </w:pPr>
          </w:p>
        </w:tc>
        <w:tc>
          <w:tcPr>
            <w:tcW w:w="11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DBA5EE">
            <w:pPr>
              <w:jc w:val="center"/>
              <w:rPr>
                <w:rFonts w:hint="eastAsia" w:ascii="宋体" w:hAnsi="宋体" w:eastAsia="宋体" w:cs="宋体"/>
                <w:i w:val="0"/>
                <w:iCs w:val="0"/>
                <w:color w:val="000000"/>
                <w:sz w:val="18"/>
                <w:szCs w:val="18"/>
                <w:u w:val="none"/>
              </w:rPr>
            </w:pPr>
          </w:p>
        </w:tc>
      </w:tr>
      <w:tr w14:paraId="25A0FA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2" w:type="dxa"/>
          <w:trHeight w:val="1137" w:hRule="atLeast"/>
        </w:trPr>
        <w:tc>
          <w:tcPr>
            <w:tcW w:w="9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6F7DA7">
            <w:pPr>
              <w:jc w:val="center"/>
              <w:rPr>
                <w:rFonts w:hint="eastAsia" w:ascii="宋体" w:hAnsi="宋体" w:eastAsia="宋体" w:cs="宋体"/>
                <w:i w:val="0"/>
                <w:iCs w:val="0"/>
                <w:color w:val="000000"/>
                <w:sz w:val="20"/>
                <w:szCs w:val="20"/>
                <w:u w:val="none"/>
              </w:rPr>
            </w:pP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225B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44A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茺蔚子</w:t>
            </w:r>
          </w:p>
        </w:tc>
        <w:tc>
          <w:tcPr>
            <w:tcW w:w="5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522A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kg</w:t>
            </w:r>
          </w:p>
        </w:tc>
        <w:tc>
          <w:tcPr>
            <w:tcW w:w="8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833B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119.83</w:t>
            </w:r>
          </w:p>
        </w:tc>
        <w:tc>
          <w:tcPr>
            <w:tcW w:w="21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2D23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本品为唇形科植物益母草的干燥成熟果实。</w:t>
            </w:r>
          </w:p>
        </w:tc>
        <w:tc>
          <w:tcPr>
            <w:tcW w:w="51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F944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本品呈三棱形，长2~3mm，宽约1.5mm。表面灰棕色至灰色，有深色斑点，一端稍宽，平截状，另一端渐窄而钝尖。果皮薄，子叶类白色，富油性。气微，味苦。</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A84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统货</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6F3A2">
            <w:pPr>
              <w:jc w:val="center"/>
              <w:rPr>
                <w:rFonts w:hint="eastAsia" w:ascii="宋体" w:hAnsi="宋体" w:eastAsia="宋体" w:cs="宋体"/>
                <w:i w:val="0"/>
                <w:iCs w:val="0"/>
                <w:color w:val="000000"/>
                <w:sz w:val="18"/>
                <w:szCs w:val="18"/>
                <w:u w:val="none"/>
              </w:rPr>
            </w:pPr>
          </w:p>
        </w:tc>
        <w:tc>
          <w:tcPr>
            <w:tcW w:w="11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9C2B0A">
            <w:pPr>
              <w:jc w:val="center"/>
              <w:rPr>
                <w:rFonts w:hint="eastAsia" w:ascii="宋体" w:hAnsi="宋体" w:eastAsia="宋体" w:cs="宋体"/>
                <w:i w:val="0"/>
                <w:iCs w:val="0"/>
                <w:color w:val="000000"/>
                <w:sz w:val="18"/>
                <w:szCs w:val="18"/>
                <w:u w:val="none"/>
              </w:rPr>
            </w:pPr>
          </w:p>
        </w:tc>
      </w:tr>
      <w:tr w14:paraId="36B1E1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2" w:type="dxa"/>
          <w:trHeight w:val="854" w:hRule="atLeast"/>
        </w:trPr>
        <w:tc>
          <w:tcPr>
            <w:tcW w:w="9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572D8F">
            <w:pPr>
              <w:jc w:val="center"/>
              <w:rPr>
                <w:rFonts w:hint="eastAsia" w:ascii="宋体" w:hAnsi="宋体" w:eastAsia="宋体" w:cs="宋体"/>
                <w:i w:val="0"/>
                <w:iCs w:val="0"/>
                <w:color w:val="000000"/>
                <w:sz w:val="20"/>
                <w:szCs w:val="20"/>
                <w:u w:val="none"/>
              </w:rPr>
            </w:pP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41BA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10</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AA6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川牛膝</w:t>
            </w:r>
          </w:p>
        </w:tc>
        <w:tc>
          <w:tcPr>
            <w:tcW w:w="5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EEE8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kg</w:t>
            </w:r>
          </w:p>
        </w:tc>
        <w:tc>
          <w:tcPr>
            <w:tcW w:w="8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7270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116.15</w:t>
            </w:r>
          </w:p>
        </w:tc>
        <w:tc>
          <w:tcPr>
            <w:tcW w:w="21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804A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苋科植物川牛膝的干燥根</w:t>
            </w:r>
          </w:p>
        </w:tc>
        <w:tc>
          <w:tcPr>
            <w:tcW w:w="51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A5E5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本品呈圆形或椭圆形薄片。外表皮黄棕色或灰褐色。切面浅黄色至棕黄色。可见多数排列成数轮同心环的黄色点状维管束。气微，味甜</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78B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统货</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845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附检验合格单</w:t>
            </w:r>
          </w:p>
        </w:tc>
        <w:tc>
          <w:tcPr>
            <w:tcW w:w="11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CDDA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低硫，无泛油</w:t>
            </w:r>
          </w:p>
        </w:tc>
      </w:tr>
      <w:tr w14:paraId="336A05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2" w:type="dxa"/>
          <w:trHeight w:val="1699" w:hRule="atLeast"/>
        </w:trPr>
        <w:tc>
          <w:tcPr>
            <w:tcW w:w="9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BB140A">
            <w:pPr>
              <w:jc w:val="center"/>
              <w:rPr>
                <w:rFonts w:hint="eastAsia" w:ascii="宋体" w:hAnsi="宋体" w:eastAsia="宋体" w:cs="宋体"/>
                <w:i w:val="0"/>
                <w:iCs w:val="0"/>
                <w:color w:val="000000"/>
                <w:sz w:val="20"/>
                <w:szCs w:val="20"/>
                <w:u w:val="none"/>
              </w:rPr>
            </w:pP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7DD0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11</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E55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醋龟甲</w:t>
            </w:r>
          </w:p>
        </w:tc>
        <w:tc>
          <w:tcPr>
            <w:tcW w:w="5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C7FD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kg</w:t>
            </w:r>
          </w:p>
        </w:tc>
        <w:tc>
          <w:tcPr>
            <w:tcW w:w="8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6A5C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233.45</w:t>
            </w:r>
          </w:p>
        </w:tc>
        <w:tc>
          <w:tcPr>
            <w:tcW w:w="21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2067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龟科动物乌龟的背甲及腹甲的炮制加工品。全年均可捕捉，以秋、冬二季为多，捕捉后杀死，或用沸水烫死，剥取背甲和腹甲，除去残肉，晒干。</w:t>
            </w:r>
          </w:p>
        </w:tc>
        <w:tc>
          <w:tcPr>
            <w:tcW w:w="51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2B1A4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本品呈不规则的块状。背甲盾片略呈拱状隆起，腹甲盾片呈平板状，大小不一。表面黄色或棕褐色，有的可见深棕褐色斑点，有不规则纹理。内表面棕黄色或棕褐色，边缘有的呈锯齿状。断面不平整，有的有蜂窝状小孔。质松脆。气微腥，味微咸，微有醋香气。</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B7D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统货</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E4C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附检验合格单</w:t>
            </w:r>
          </w:p>
        </w:tc>
        <w:tc>
          <w:tcPr>
            <w:tcW w:w="11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4BA6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腹甲，厚</w:t>
            </w:r>
          </w:p>
        </w:tc>
      </w:tr>
      <w:tr w14:paraId="5B1934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2" w:type="dxa"/>
          <w:trHeight w:val="1982" w:hRule="atLeast"/>
        </w:trPr>
        <w:tc>
          <w:tcPr>
            <w:tcW w:w="9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7EBF8C">
            <w:pPr>
              <w:jc w:val="center"/>
              <w:rPr>
                <w:rFonts w:hint="eastAsia" w:ascii="宋体" w:hAnsi="宋体" w:eastAsia="宋体" w:cs="宋体"/>
                <w:i w:val="0"/>
                <w:iCs w:val="0"/>
                <w:color w:val="000000"/>
                <w:sz w:val="20"/>
                <w:szCs w:val="20"/>
                <w:u w:val="none"/>
              </w:rPr>
            </w:pP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CD61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12</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4A3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丹参</w:t>
            </w:r>
          </w:p>
        </w:tc>
        <w:tc>
          <w:tcPr>
            <w:tcW w:w="5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CD2D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kg</w:t>
            </w:r>
          </w:p>
        </w:tc>
        <w:tc>
          <w:tcPr>
            <w:tcW w:w="8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F74A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51.75</w:t>
            </w:r>
          </w:p>
        </w:tc>
        <w:tc>
          <w:tcPr>
            <w:tcW w:w="21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B349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唇形科植物丹参的干燥根和根茎。</w:t>
            </w:r>
          </w:p>
        </w:tc>
        <w:tc>
          <w:tcPr>
            <w:tcW w:w="51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F3E8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本品根茎短粗，顶端有时残留茎基。根数条，长圆柱形，略弯曲，有的分枝并具须状细根，长10~20cm，直径0.3~lcm。表面棕红色或暗棕红色，粗糙，具纵皱纹。老根外皮疏松，多显紫棕色，常呈鳞片状剥落。质硬而脆，断面疏松，有裂隙或略平整而致密，皮部棕红色，木部灰黄色或紫褐色，导管束黄白色，呈放射状排列。气微，味微苦涩。</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C9E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统货</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6B830">
            <w:pPr>
              <w:jc w:val="center"/>
              <w:rPr>
                <w:rFonts w:hint="eastAsia" w:ascii="宋体" w:hAnsi="宋体" w:eastAsia="宋体" w:cs="宋体"/>
                <w:i w:val="0"/>
                <w:iCs w:val="0"/>
                <w:color w:val="000000"/>
                <w:sz w:val="18"/>
                <w:szCs w:val="18"/>
                <w:u w:val="none"/>
              </w:rPr>
            </w:pPr>
          </w:p>
        </w:tc>
        <w:tc>
          <w:tcPr>
            <w:tcW w:w="11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27E457">
            <w:pPr>
              <w:jc w:val="center"/>
              <w:rPr>
                <w:rFonts w:hint="eastAsia" w:ascii="宋体" w:hAnsi="宋体" w:eastAsia="宋体" w:cs="宋体"/>
                <w:i w:val="0"/>
                <w:iCs w:val="0"/>
                <w:color w:val="000000"/>
                <w:sz w:val="18"/>
                <w:szCs w:val="18"/>
                <w:u w:val="none"/>
              </w:rPr>
            </w:pPr>
          </w:p>
        </w:tc>
      </w:tr>
      <w:tr w14:paraId="708C1A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2" w:type="dxa"/>
          <w:trHeight w:val="2827" w:hRule="atLeast"/>
        </w:trPr>
        <w:tc>
          <w:tcPr>
            <w:tcW w:w="9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1C5BAF">
            <w:pPr>
              <w:jc w:val="center"/>
              <w:rPr>
                <w:rFonts w:hint="eastAsia" w:ascii="宋体" w:hAnsi="宋体" w:eastAsia="宋体" w:cs="宋体"/>
                <w:i w:val="0"/>
                <w:iCs w:val="0"/>
                <w:color w:val="000000"/>
                <w:sz w:val="20"/>
                <w:szCs w:val="20"/>
                <w:u w:val="none"/>
              </w:rPr>
            </w:pP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D849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13</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F95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当归</w:t>
            </w:r>
          </w:p>
        </w:tc>
        <w:tc>
          <w:tcPr>
            <w:tcW w:w="5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B14D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kg</w:t>
            </w:r>
          </w:p>
        </w:tc>
        <w:tc>
          <w:tcPr>
            <w:tcW w:w="8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FB25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149.822</w:t>
            </w:r>
          </w:p>
        </w:tc>
        <w:tc>
          <w:tcPr>
            <w:tcW w:w="21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4302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本品为伞形科植物当归的干燥根</w:t>
            </w:r>
          </w:p>
        </w:tc>
        <w:tc>
          <w:tcPr>
            <w:tcW w:w="51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062CC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本品略呈圆柱形，下部有支根3~5条或更多，长15~25cm。表面浅棕色至棕褐色，具纵皱纹和横长皮孔样突起。根头（归头）直径1.5~4cm，具环纹，上端圆钝，或具数个明品突出的根茎痕，有紫色或黄绿色的茎和叶鞘的残基；主根（归身）表面凹凸不平；支根（归尾）直径0.3~1cm，上米</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下细，多扭曲，有少数须根痕。质柔韧，断面黄白色或淡黄棕色，皮部厚，有裂隙和多数棕色点状分泌腔，木部色较淡，形成层环黄棕色。有浓郁的香气，味甘、辛、微苦。</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9F9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统货</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A3F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附检验合格单</w:t>
            </w:r>
          </w:p>
        </w:tc>
        <w:tc>
          <w:tcPr>
            <w:tcW w:w="11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2F0142">
            <w:pPr>
              <w:jc w:val="center"/>
              <w:rPr>
                <w:rFonts w:hint="eastAsia" w:ascii="宋体" w:hAnsi="宋体" w:eastAsia="宋体" w:cs="宋体"/>
                <w:i w:val="0"/>
                <w:iCs w:val="0"/>
                <w:color w:val="000000"/>
                <w:sz w:val="18"/>
                <w:szCs w:val="18"/>
                <w:u w:val="none"/>
              </w:rPr>
            </w:pPr>
          </w:p>
        </w:tc>
      </w:tr>
      <w:tr w14:paraId="690552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2" w:type="dxa"/>
          <w:trHeight w:val="1137" w:hRule="atLeast"/>
        </w:trPr>
        <w:tc>
          <w:tcPr>
            <w:tcW w:w="9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903976">
            <w:pPr>
              <w:jc w:val="center"/>
              <w:rPr>
                <w:rFonts w:hint="eastAsia" w:ascii="宋体" w:hAnsi="宋体" w:eastAsia="宋体" w:cs="宋体"/>
                <w:i w:val="0"/>
                <w:iCs w:val="0"/>
                <w:color w:val="000000"/>
                <w:sz w:val="20"/>
                <w:szCs w:val="20"/>
                <w:u w:val="none"/>
              </w:rPr>
            </w:pP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78DA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14</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348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独活</w:t>
            </w:r>
          </w:p>
        </w:tc>
        <w:tc>
          <w:tcPr>
            <w:tcW w:w="5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7211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kg</w:t>
            </w:r>
          </w:p>
        </w:tc>
        <w:tc>
          <w:tcPr>
            <w:tcW w:w="8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8B05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44.85</w:t>
            </w:r>
          </w:p>
        </w:tc>
        <w:tc>
          <w:tcPr>
            <w:tcW w:w="21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2063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伞形科植物重齿毛当归的干燥根</w:t>
            </w:r>
          </w:p>
        </w:tc>
        <w:tc>
          <w:tcPr>
            <w:tcW w:w="51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32D8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本品呈类圆形薄片。外表皮灰褐色或棕褐色，具皱纹。切面皮部灰白色至灰褐色，有多数散在棕色油点，木部灰黄色至黄棕色，形成层环棕色。有特异香气。味苦、辛、微麻舌。</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28C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统货</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8D1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附检验合格单</w:t>
            </w:r>
          </w:p>
        </w:tc>
        <w:tc>
          <w:tcPr>
            <w:tcW w:w="11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7A1E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直2.5cm以上，味浓，无硫，无泛油</w:t>
            </w:r>
          </w:p>
        </w:tc>
      </w:tr>
      <w:tr w14:paraId="201DEA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2" w:type="dxa"/>
          <w:trHeight w:val="1418" w:hRule="atLeast"/>
        </w:trPr>
        <w:tc>
          <w:tcPr>
            <w:tcW w:w="9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9B790C">
            <w:pPr>
              <w:jc w:val="center"/>
              <w:rPr>
                <w:rFonts w:hint="eastAsia" w:ascii="宋体" w:hAnsi="宋体" w:eastAsia="宋体" w:cs="宋体"/>
                <w:i w:val="0"/>
                <w:iCs w:val="0"/>
                <w:color w:val="000000"/>
                <w:sz w:val="20"/>
                <w:szCs w:val="20"/>
                <w:u w:val="none"/>
              </w:rPr>
            </w:pP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BEB2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15</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1A0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防风</w:t>
            </w:r>
          </w:p>
        </w:tc>
        <w:tc>
          <w:tcPr>
            <w:tcW w:w="5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F159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kg</w:t>
            </w:r>
          </w:p>
        </w:tc>
        <w:tc>
          <w:tcPr>
            <w:tcW w:w="8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B022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139.725</w:t>
            </w:r>
          </w:p>
        </w:tc>
        <w:tc>
          <w:tcPr>
            <w:tcW w:w="21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C168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伞形科防风的干燥根</w:t>
            </w:r>
          </w:p>
        </w:tc>
        <w:tc>
          <w:tcPr>
            <w:tcW w:w="51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C07E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本品为圆形或椭圆形的厚片。外表皮灰棕色或棕褐色，有纵皱纹、有的可见横长皮孔样突起、密集的环纹或残存的毛状叶基。切面皮部棕黄色至棕色，有裂隙，木部黄色，具放射状纹理。气特异，味微甘</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064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统货</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E9E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附检验合格单</w:t>
            </w:r>
          </w:p>
        </w:tc>
        <w:tc>
          <w:tcPr>
            <w:tcW w:w="11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D301A6">
            <w:pPr>
              <w:jc w:val="center"/>
              <w:rPr>
                <w:rFonts w:hint="eastAsia" w:ascii="宋体" w:hAnsi="宋体" w:eastAsia="宋体" w:cs="宋体"/>
                <w:i w:val="0"/>
                <w:iCs w:val="0"/>
                <w:color w:val="000000"/>
                <w:sz w:val="21"/>
                <w:szCs w:val="21"/>
                <w:u w:val="none"/>
              </w:rPr>
            </w:pPr>
          </w:p>
        </w:tc>
      </w:tr>
      <w:tr w14:paraId="7A01B1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2" w:type="dxa"/>
          <w:trHeight w:val="1137" w:hRule="atLeast"/>
        </w:trPr>
        <w:tc>
          <w:tcPr>
            <w:tcW w:w="9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52FBB8">
            <w:pPr>
              <w:jc w:val="center"/>
              <w:rPr>
                <w:rFonts w:hint="eastAsia" w:ascii="宋体" w:hAnsi="宋体" w:eastAsia="宋体" w:cs="宋体"/>
                <w:i w:val="0"/>
                <w:iCs w:val="0"/>
                <w:color w:val="000000"/>
                <w:sz w:val="20"/>
                <w:szCs w:val="20"/>
                <w:u w:val="none"/>
              </w:rPr>
            </w:pP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CD61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16</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962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浮小麦</w:t>
            </w:r>
          </w:p>
        </w:tc>
        <w:tc>
          <w:tcPr>
            <w:tcW w:w="5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E2E2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kg</w:t>
            </w:r>
          </w:p>
        </w:tc>
        <w:tc>
          <w:tcPr>
            <w:tcW w:w="8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6430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22</w:t>
            </w:r>
          </w:p>
        </w:tc>
        <w:tc>
          <w:tcPr>
            <w:tcW w:w="21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AFA1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禾本科植物小麦的干燥轻浮瘪瘦果实。麦收后，采收瘪瘦而轻浮的及未脱净皮的麦皮粒，晒干。</w:t>
            </w:r>
          </w:p>
        </w:tc>
        <w:tc>
          <w:tcPr>
            <w:tcW w:w="51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1ABB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本品呈长圆形，长约6mm,直径1.5～2.5mm，表面黄白色或浅黄棕色，略皱缩，腹面中央有一纵行深沟，顶端钝形，具黄白色柔毛，另一端略尖，质较硬，断面白色，粉性。气弱，味淡。</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71A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统货</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3CD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附检验合格单</w:t>
            </w:r>
          </w:p>
        </w:tc>
        <w:tc>
          <w:tcPr>
            <w:tcW w:w="11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7E2D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轻浮、无霉变虫蛀</w:t>
            </w:r>
          </w:p>
        </w:tc>
      </w:tr>
      <w:tr w14:paraId="37DF59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2" w:type="dxa"/>
          <w:trHeight w:val="1137" w:hRule="atLeast"/>
        </w:trPr>
        <w:tc>
          <w:tcPr>
            <w:tcW w:w="9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4E0A32">
            <w:pPr>
              <w:jc w:val="center"/>
              <w:rPr>
                <w:rFonts w:hint="eastAsia" w:ascii="宋体" w:hAnsi="宋体" w:eastAsia="宋体" w:cs="宋体"/>
                <w:i w:val="0"/>
                <w:iCs w:val="0"/>
                <w:color w:val="000000"/>
                <w:sz w:val="20"/>
                <w:szCs w:val="20"/>
                <w:u w:val="none"/>
              </w:rPr>
            </w:pP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779A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17</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CBE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干益母草</w:t>
            </w:r>
          </w:p>
        </w:tc>
        <w:tc>
          <w:tcPr>
            <w:tcW w:w="5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8019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kg</w:t>
            </w:r>
          </w:p>
        </w:tc>
        <w:tc>
          <w:tcPr>
            <w:tcW w:w="8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0333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w:t>
            </w:r>
          </w:p>
        </w:tc>
        <w:tc>
          <w:tcPr>
            <w:tcW w:w="21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8BA0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唇形科植物益母草的干燥地上部分</w:t>
            </w:r>
          </w:p>
        </w:tc>
        <w:tc>
          <w:tcPr>
            <w:tcW w:w="51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CAA5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本品呈不规则的段。茎方形，四面凹下成纵沟，灰绿色或黄绿色。切面中部有白髓。叶片灰绿色，多皱缩、破碎。轮伞花序腋生，花黄棕色，花萼筒状，花冠二唇形。气微，味微苦。</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F2A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统货</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AEF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附检验合格单</w:t>
            </w:r>
          </w:p>
        </w:tc>
        <w:tc>
          <w:tcPr>
            <w:tcW w:w="11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1020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叶多，色黄绿，清香</w:t>
            </w:r>
          </w:p>
        </w:tc>
      </w:tr>
      <w:tr w14:paraId="376850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2" w:type="dxa"/>
          <w:trHeight w:val="2544" w:hRule="atLeast"/>
        </w:trPr>
        <w:tc>
          <w:tcPr>
            <w:tcW w:w="9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DE0F34">
            <w:pPr>
              <w:jc w:val="center"/>
              <w:rPr>
                <w:rFonts w:hint="eastAsia" w:ascii="宋体" w:hAnsi="宋体" w:eastAsia="宋体" w:cs="宋体"/>
                <w:i w:val="0"/>
                <w:iCs w:val="0"/>
                <w:color w:val="000000"/>
                <w:sz w:val="20"/>
                <w:szCs w:val="20"/>
                <w:u w:val="none"/>
              </w:rPr>
            </w:pP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FAC7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18</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A08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钩藤</w:t>
            </w:r>
          </w:p>
        </w:tc>
        <w:tc>
          <w:tcPr>
            <w:tcW w:w="5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7CE3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kg</w:t>
            </w:r>
          </w:p>
        </w:tc>
        <w:tc>
          <w:tcPr>
            <w:tcW w:w="8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3BB2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211.83</w:t>
            </w:r>
          </w:p>
        </w:tc>
        <w:tc>
          <w:tcPr>
            <w:tcW w:w="21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C959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茜草科植物钩藤、大叶钩藤、毛钩藤、华钩藤或无柄果钩藤的干燥带钩茎枝。</w:t>
            </w:r>
          </w:p>
        </w:tc>
        <w:tc>
          <w:tcPr>
            <w:tcW w:w="51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8D6F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本品茎枝呈圆柱形或类方柱形，长2～3cm，直径0.2～0.5cm。表面红棕色至紫红色者具细纵纹，光滑无毛；黄绿色至灰褐色者有的可见白色点状皮孔，被黄褐色柔毛。多数枝节上对生两个向下弯曲的钩（不育花序梗），或仅一侧有钩，另一侧为突起的疤痕；钩略扁或稍圆，先端细尖，基部较阔；钩基部的枝上可见叶柄脱落后的窝点状痕迹和环状的托叶痕。质坚韧，断面黄棕色，皮部纤维性，髓部黄白色或中空。气微，味淡。</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D48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统货</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F5F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附检验合格单</w:t>
            </w:r>
          </w:p>
        </w:tc>
        <w:tc>
          <w:tcPr>
            <w:tcW w:w="11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A3D2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用钩藤</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双钩，钩枝粗壮，枝梗短，杆少</w:t>
            </w:r>
          </w:p>
        </w:tc>
      </w:tr>
      <w:tr w14:paraId="521105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2" w:type="dxa"/>
          <w:trHeight w:val="1137" w:hRule="atLeast"/>
        </w:trPr>
        <w:tc>
          <w:tcPr>
            <w:tcW w:w="9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0E176C">
            <w:pPr>
              <w:jc w:val="center"/>
              <w:rPr>
                <w:rFonts w:hint="eastAsia" w:ascii="宋体" w:hAnsi="宋体" w:eastAsia="宋体" w:cs="宋体"/>
                <w:i w:val="0"/>
                <w:iCs w:val="0"/>
                <w:color w:val="000000"/>
                <w:sz w:val="20"/>
                <w:szCs w:val="20"/>
                <w:u w:val="none"/>
              </w:rPr>
            </w:pP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D475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19</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7BA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瓜蒌</w:t>
            </w:r>
          </w:p>
        </w:tc>
        <w:tc>
          <w:tcPr>
            <w:tcW w:w="5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A249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kg</w:t>
            </w:r>
          </w:p>
        </w:tc>
        <w:tc>
          <w:tcPr>
            <w:tcW w:w="8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826D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80</w:t>
            </w:r>
          </w:p>
        </w:tc>
        <w:tc>
          <w:tcPr>
            <w:tcW w:w="21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D2FD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葫芦科植物栝楼或双边栝楼的干燥成熟果实。秋季果实成熟时，连果梗剪下，置通风处阴干</w:t>
            </w:r>
          </w:p>
        </w:tc>
        <w:tc>
          <w:tcPr>
            <w:tcW w:w="51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8F9A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本品呈不规则的丝或块状。外表面橙红色或橙黄色，皱缩或较光滑；内表面黄白色，有红黄色丝络，果瓤橙黄色，与多数种子粘结成团。具焦糖气，味微酸、甜。</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5A3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统货</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3B0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附检验合格单</w:t>
            </w:r>
          </w:p>
        </w:tc>
        <w:tc>
          <w:tcPr>
            <w:tcW w:w="11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75B3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用瓜蒌，无虫蛀霉变</w:t>
            </w:r>
          </w:p>
        </w:tc>
      </w:tr>
      <w:tr w14:paraId="1DC755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2" w:type="dxa"/>
          <w:trHeight w:val="3108" w:hRule="atLeast"/>
        </w:trPr>
        <w:tc>
          <w:tcPr>
            <w:tcW w:w="9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A82D7F">
            <w:pPr>
              <w:jc w:val="center"/>
              <w:rPr>
                <w:rFonts w:hint="eastAsia" w:ascii="宋体" w:hAnsi="宋体" w:eastAsia="宋体" w:cs="宋体"/>
                <w:i w:val="0"/>
                <w:iCs w:val="0"/>
                <w:color w:val="000000"/>
                <w:sz w:val="20"/>
                <w:szCs w:val="20"/>
                <w:u w:val="none"/>
              </w:rPr>
            </w:pP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972F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E91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贯众</w:t>
            </w:r>
          </w:p>
        </w:tc>
        <w:tc>
          <w:tcPr>
            <w:tcW w:w="5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FC25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kg</w:t>
            </w:r>
          </w:p>
        </w:tc>
        <w:tc>
          <w:tcPr>
            <w:tcW w:w="8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8E87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74.7</w:t>
            </w:r>
          </w:p>
        </w:tc>
        <w:tc>
          <w:tcPr>
            <w:tcW w:w="21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2AE8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为鳞毛蕨科植物粗茎鳞毛蕨干燥根茎和叶柄残基</w:t>
            </w:r>
          </w:p>
        </w:tc>
        <w:tc>
          <w:tcPr>
            <w:tcW w:w="51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46BA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呈长倒卵形，略弯曲上端钝圆或截形，下端较尖，有的纵剖为两半，长7～20cm,直径4～8cm。表面黄棕色至黑褐色，密被排列整齐的叶柄残基及鳞片，并有弯曲的须根。叶柄残基呈扁圆形，长3～5cm，直径0.5～1.0cm；表面有纵棱线，质硬而脆，断面略平坦，棕色，有黄白色维管束5～13个，环列；每个叶柄残基的外侧常有3条须根，鳞片条状披针形，全缘，常脱落。质坚硬，断面略平坦，深绿色至棕色，有黄白色维管束5～13个，环列，其外散有较多的叶迹维管束。气特异，味初淡而微涩，后渐苦、辛。</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E80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统货</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00025">
            <w:pPr>
              <w:jc w:val="center"/>
              <w:rPr>
                <w:rFonts w:hint="eastAsia" w:ascii="宋体" w:hAnsi="宋体" w:eastAsia="宋体" w:cs="宋体"/>
                <w:i w:val="0"/>
                <w:iCs w:val="0"/>
                <w:color w:val="000000"/>
                <w:sz w:val="18"/>
                <w:szCs w:val="18"/>
                <w:u w:val="none"/>
              </w:rPr>
            </w:pPr>
          </w:p>
        </w:tc>
        <w:tc>
          <w:tcPr>
            <w:tcW w:w="11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0B8B8C">
            <w:pPr>
              <w:jc w:val="center"/>
              <w:rPr>
                <w:rFonts w:hint="eastAsia" w:ascii="宋体" w:hAnsi="宋体" w:eastAsia="宋体" w:cs="宋体"/>
                <w:i w:val="0"/>
                <w:iCs w:val="0"/>
                <w:color w:val="000000"/>
                <w:sz w:val="18"/>
                <w:szCs w:val="18"/>
                <w:u w:val="none"/>
              </w:rPr>
            </w:pPr>
          </w:p>
        </w:tc>
      </w:tr>
      <w:tr w14:paraId="6070F0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2" w:type="dxa"/>
          <w:trHeight w:val="1137" w:hRule="atLeast"/>
        </w:trPr>
        <w:tc>
          <w:tcPr>
            <w:tcW w:w="9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5EBEDE">
            <w:pPr>
              <w:jc w:val="center"/>
              <w:rPr>
                <w:rFonts w:hint="eastAsia" w:ascii="宋体" w:hAnsi="宋体" w:eastAsia="宋体" w:cs="宋体"/>
                <w:i w:val="0"/>
                <w:iCs w:val="0"/>
                <w:color w:val="000000"/>
                <w:sz w:val="20"/>
                <w:szCs w:val="20"/>
                <w:u w:val="none"/>
              </w:rPr>
            </w:pP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4906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21</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B2C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桂枝</w:t>
            </w:r>
          </w:p>
        </w:tc>
        <w:tc>
          <w:tcPr>
            <w:tcW w:w="5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EA81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kg</w:t>
            </w:r>
          </w:p>
        </w:tc>
        <w:tc>
          <w:tcPr>
            <w:tcW w:w="8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BE80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23</w:t>
            </w:r>
          </w:p>
        </w:tc>
        <w:tc>
          <w:tcPr>
            <w:tcW w:w="21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A242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樟科肉桂干燥嫩枝。</w:t>
            </w:r>
          </w:p>
        </w:tc>
        <w:tc>
          <w:tcPr>
            <w:tcW w:w="51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A943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本品呈类圆形或椭圆形的厚片。表面红棕色至棕色，有时可见点状皮孔或纵棱线。切面皮部红棕色，木部黄白色或浅黄棕色，髓部类圆形或略呈方形，有特异香气，味甜、微辛</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6AC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统货</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B4D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附检验合格单</w:t>
            </w:r>
          </w:p>
        </w:tc>
        <w:tc>
          <w:tcPr>
            <w:tcW w:w="11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6A17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外皮紧实未脱落，直径0.3cm左</w:t>
            </w:r>
          </w:p>
        </w:tc>
      </w:tr>
      <w:tr w14:paraId="1822C8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2" w:type="dxa"/>
          <w:trHeight w:val="3108" w:hRule="atLeast"/>
        </w:trPr>
        <w:tc>
          <w:tcPr>
            <w:tcW w:w="9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C4E6F5">
            <w:pPr>
              <w:jc w:val="center"/>
              <w:rPr>
                <w:rFonts w:hint="eastAsia" w:ascii="宋体" w:hAnsi="宋体" w:eastAsia="宋体" w:cs="宋体"/>
                <w:i w:val="0"/>
                <w:iCs w:val="0"/>
                <w:color w:val="000000"/>
                <w:sz w:val="20"/>
                <w:szCs w:val="20"/>
                <w:u w:val="none"/>
              </w:rPr>
            </w:pP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338B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22</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DD4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海藻</w:t>
            </w:r>
          </w:p>
        </w:tc>
        <w:tc>
          <w:tcPr>
            <w:tcW w:w="5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7100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kg</w:t>
            </w:r>
          </w:p>
        </w:tc>
        <w:tc>
          <w:tcPr>
            <w:tcW w:w="8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7773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49</w:t>
            </w:r>
          </w:p>
        </w:tc>
        <w:tc>
          <w:tcPr>
            <w:tcW w:w="21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2C55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马尾藻科海蒿子（大叶海藻）或羊栖菜（小叶海藻）的干燥体。</w:t>
            </w:r>
          </w:p>
        </w:tc>
        <w:tc>
          <w:tcPr>
            <w:tcW w:w="51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BD1B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大叶海藻皱缩卷曲，黑褐色，有的被白霜，长30～60cm。主干呈圆柱状，具圆锥形突起，主枝自主干两侧生出，侧枝自主枝叶腋生出，具短小的刺状突起。初生叶披针形或倒卵形，长5～7cm，宽约1cm，全缘或具粗锯齿；次生叶条形或披针形，叶腋间有着生条状叶的小枝。气囊胆南星黑褐色，球形或卵圆形，有的有柄，顶端钝圆，有的具细短尖。质脆，潮润时柔软；水浸后膨胀，肉质，黏滑。气腥，味微咸。小叶海藻较小，长15～40cm。分枝互生，无刺状突起。叶条形或细匙形，先端稍膨大，中空。气囊腋生，纺锤形或球形，囊柄较长。质较硬。</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E74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统货</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75E6F">
            <w:pPr>
              <w:jc w:val="center"/>
              <w:rPr>
                <w:rFonts w:hint="eastAsia" w:ascii="宋体" w:hAnsi="宋体" w:eastAsia="宋体" w:cs="宋体"/>
                <w:i w:val="0"/>
                <w:iCs w:val="0"/>
                <w:color w:val="000000"/>
                <w:sz w:val="18"/>
                <w:szCs w:val="18"/>
                <w:u w:val="none"/>
              </w:rPr>
            </w:pPr>
          </w:p>
        </w:tc>
        <w:tc>
          <w:tcPr>
            <w:tcW w:w="11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73F302">
            <w:pPr>
              <w:jc w:val="center"/>
              <w:rPr>
                <w:rFonts w:hint="eastAsia" w:ascii="宋体" w:hAnsi="宋体" w:eastAsia="宋体" w:cs="宋体"/>
                <w:i w:val="0"/>
                <w:iCs w:val="0"/>
                <w:color w:val="000000"/>
                <w:sz w:val="18"/>
                <w:szCs w:val="18"/>
                <w:u w:val="none"/>
              </w:rPr>
            </w:pPr>
          </w:p>
        </w:tc>
      </w:tr>
      <w:tr w14:paraId="350799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2" w:type="dxa"/>
          <w:trHeight w:val="1418" w:hRule="atLeast"/>
        </w:trPr>
        <w:tc>
          <w:tcPr>
            <w:tcW w:w="9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2386B6">
            <w:pPr>
              <w:jc w:val="center"/>
              <w:rPr>
                <w:rFonts w:hint="eastAsia" w:ascii="宋体" w:hAnsi="宋体" w:eastAsia="宋体" w:cs="宋体"/>
                <w:i w:val="0"/>
                <w:iCs w:val="0"/>
                <w:color w:val="000000"/>
                <w:sz w:val="20"/>
                <w:szCs w:val="20"/>
                <w:u w:val="none"/>
              </w:rPr>
            </w:pP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5EBD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23</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31F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合欢皮</w:t>
            </w:r>
          </w:p>
        </w:tc>
        <w:tc>
          <w:tcPr>
            <w:tcW w:w="5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3C43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kg</w:t>
            </w:r>
          </w:p>
        </w:tc>
        <w:tc>
          <w:tcPr>
            <w:tcW w:w="8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7182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58</w:t>
            </w:r>
          </w:p>
        </w:tc>
        <w:tc>
          <w:tcPr>
            <w:tcW w:w="21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3442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豆科合欢的干燥树皮。</w:t>
            </w:r>
          </w:p>
        </w:tc>
        <w:tc>
          <w:tcPr>
            <w:tcW w:w="51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BD20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本品呈弯曲的丝或块片状。外表面灰棕色至灰褐色，稍有纵皱纹，密生明显的椭圆形横向皮孔，棕色或棕红色。内表面淡黄棕色或黄白色，平滑，具细密纵纹。切面呈纤维性片状，淡黄棕色或黄白色。气微香，味淡、微涩、稍刺舌，而后喉头有不适感</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289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统货</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AF1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附检验合格单</w:t>
            </w:r>
          </w:p>
        </w:tc>
        <w:tc>
          <w:tcPr>
            <w:tcW w:w="11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2B19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皮厚，皮孔明显</w:t>
            </w:r>
          </w:p>
        </w:tc>
      </w:tr>
      <w:tr w14:paraId="000FE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2" w:type="dxa"/>
          <w:trHeight w:val="1137" w:hRule="atLeast"/>
        </w:trPr>
        <w:tc>
          <w:tcPr>
            <w:tcW w:w="9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15300E">
            <w:pPr>
              <w:jc w:val="center"/>
              <w:rPr>
                <w:rFonts w:hint="eastAsia" w:ascii="宋体" w:hAnsi="宋体" w:eastAsia="宋体" w:cs="宋体"/>
                <w:i w:val="0"/>
                <w:iCs w:val="0"/>
                <w:color w:val="000000"/>
                <w:sz w:val="20"/>
                <w:szCs w:val="20"/>
                <w:u w:val="none"/>
              </w:rPr>
            </w:pP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0F05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24</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E3F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红花</w:t>
            </w:r>
          </w:p>
        </w:tc>
        <w:tc>
          <w:tcPr>
            <w:tcW w:w="5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17EE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kg</w:t>
            </w:r>
          </w:p>
        </w:tc>
        <w:tc>
          <w:tcPr>
            <w:tcW w:w="8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A96B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207.72</w:t>
            </w:r>
          </w:p>
        </w:tc>
        <w:tc>
          <w:tcPr>
            <w:tcW w:w="21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979E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本品为菊科植物红花的干燥花。</w:t>
            </w:r>
          </w:p>
        </w:tc>
        <w:tc>
          <w:tcPr>
            <w:tcW w:w="51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F6CD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本品为不带子房的管状花，长1～2cm。表面红黄色或红色。花冠筒细长，先端5裂，裂片呈狭条形，长5~8mm；雄蕊5，花药聚合成筒状，黄白色；柱头长圆柱形，顶端微分叉。质柔软。气微香，味微苦。</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3D4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统货</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3D7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附检验合格单</w:t>
            </w:r>
          </w:p>
        </w:tc>
        <w:tc>
          <w:tcPr>
            <w:tcW w:w="11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6388FB">
            <w:pPr>
              <w:jc w:val="center"/>
              <w:rPr>
                <w:rFonts w:hint="eastAsia" w:ascii="宋体" w:hAnsi="宋体" w:eastAsia="宋体" w:cs="宋体"/>
                <w:i w:val="0"/>
                <w:iCs w:val="0"/>
                <w:color w:val="000000"/>
                <w:sz w:val="18"/>
                <w:szCs w:val="18"/>
                <w:u w:val="none"/>
              </w:rPr>
            </w:pPr>
          </w:p>
        </w:tc>
      </w:tr>
      <w:tr w14:paraId="01B00C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2" w:type="dxa"/>
          <w:trHeight w:val="854" w:hRule="atLeast"/>
        </w:trPr>
        <w:tc>
          <w:tcPr>
            <w:tcW w:w="9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D3F8F9">
            <w:pPr>
              <w:jc w:val="center"/>
              <w:rPr>
                <w:rFonts w:hint="eastAsia" w:ascii="宋体" w:hAnsi="宋体" w:eastAsia="宋体" w:cs="宋体"/>
                <w:i w:val="0"/>
                <w:iCs w:val="0"/>
                <w:color w:val="000000"/>
                <w:sz w:val="20"/>
                <w:szCs w:val="20"/>
                <w:u w:val="none"/>
              </w:rPr>
            </w:pP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77F5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25</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669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黄柏</w:t>
            </w:r>
          </w:p>
        </w:tc>
        <w:tc>
          <w:tcPr>
            <w:tcW w:w="5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96D0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kg</w:t>
            </w:r>
          </w:p>
        </w:tc>
        <w:tc>
          <w:tcPr>
            <w:tcW w:w="8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2541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143.75</w:t>
            </w:r>
          </w:p>
        </w:tc>
        <w:tc>
          <w:tcPr>
            <w:tcW w:w="21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FCDD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芸香科黄皮树的干燥树皮</w:t>
            </w:r>
          </w:p>
        </w:tc>
        <w:tc>
          <w:tcPr>
            <w:tcW w:w="51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3EAE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本品呈丝条状。外表面黄褐色或黄棕色。内表面暗黄色或淡棕色，具纵棱纹。切面纤维性，呈裂片状分层，深黄色。味极苦。</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297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统货</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A9B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附检验合格单</w:t>
            </w:r>
          </w:p>
        </w:tc>
        <w:tc>
          <w:tcPr>
            <w:tcW w:w="11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9C50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皮厚，去栓皮</w:t>
            </w:r>
          </w:p>
        </w:tc>
      </w:tr>
      <w:tr w14:paraId="3D0950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2" w:type="dxa"/>
          <w:trHeight w:val="573" w:hRule="atLeast"/>
        </w:trPr>
        <w:tc>
          <w:tcPr>
            <w:tcW w:w="9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D56C0D">
            <w:pPr>
              <w:jc w:val="center"/>
              <w:rPr>
                <w:rFonts w:hint="eastAsia" w:ascii="宋体" w:hAnsi="宋体" w:eastAsia="宋体" w:cs="宋体"/>
                <w:i w:val="0"/>
                <w:iCs w:val="0"/>
                <w:color w:val="000000"/>
                <w:sz w:val="20"/>
                <w:szCs w:val="20"/>
                <w:u w:val="none"/>
              </w:rPr>
            </w:pP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F37B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26</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2CD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黄芩片</w:t>
            </w:r>
          </w:p>
        </w:tc>
        <w:tc>
          <w:tcPr>
            <w:tcW w:w="5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81C3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kg</w:t>
            </w:r>
          </w:p>
        </w:tc>
        <w:tc>
          <w:tcPr>
            <w:tcW w:w="8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66FB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57.5</w:t>
            </w:r>
          </w:p>
        </w:tc>
        <w:tc>
          <w:tcPr>
            <w:tcW w:w="21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D928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科植物黄芩的干燥根</w:t>
            </w:r>
          </w:p>
        </w:tc>
        <w:tc>
          <w:tcPr>
            <w:tcW w:w="51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7713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类圆形或不规则形薄片。外表皮黄棕色或棕褐色。切面黄棕色或黄绿色，具放射状纹理。</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DB3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统货</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19C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附检验合格单</w:t>
            </w:r>
          </w:p>
        </w:tc>
        <w:tc>
          <w:tcPr>
            <w:tcW w:w="11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156D64">
            <w:pPr>
              <w:jc w:val="center"/>
              <w:rPr>
                <w:rFonts w:hint="eastAsia" w:ascii="宋体" w:hAnsi="宋体" w:eastAsia="宋体" w:cs="宋体"/>
                <w:i w:val="0"/>
                <w:iCs w:val="0"/>
                <w:color w:val="000000"/>
                <w:sz w:val="18"/>
                <w:szCs w:val="18"/>
                <w:u w:val="none"/>
              </w:rPr>
            </w:pPr>
          </w:p>
        </w:tc>
      </w:tr>
      <w:tr w14:paraId="6DCAE0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2" w:type="dxa"/>
          <w:trHeight w:val="1418" w:hRule="atLeast"/>
        </w:trPr>
        <w:tc>
          <w:tcPr>
            <w:tcW w:w="9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36ED51">
            <w:pPr>
              <w:jc w:val="center"/>
              <w:rPr>
                <w:rFonts w:hint="eastAsia" w:ascii="宋体" w:hAnsi="宋体" w:eastAsia="宋体" w:cs="宋体"/>
                <w:i w:val="0"/>
                <w:iCs w:val="0"/>
                <w:color w:val="000000"/>
                <w:sz w:val="20"/>
                <w:szCs w:val="20"/>
                <w:u w:val="none"/>
              </w:rPr>
            </w:pP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69F5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27</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F7D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蒺藜</w:t>
            </w:r>
          </w:p>
        </w:tc>
        <w:tc>
          <w:tcPr>
            <w:tcW w:w="5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55F7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kg</w:t>
            </w:r>
          </w:p>
        </w:tc>
        <w:tc>
          <w:tcPr>
            <w:tcW w:w="8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AF12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71</w:t>
            </w:r>
          </w:p>
        </w:tc>
        <w:tc>
          <w:tcPr>
            <w:tcW w:w="21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909D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蒺藜科植物蒺藜的干燥成熟果实。</w:t>
            </w:r>
          </w:p>
        </w:tc>
        <w:tc>
          <w:tcPr>
            <w:tcW w:w="51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82D02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本品由5个分果瓣组成，呈放射状排列，直径7~12mm。常裂为单一的分果瓣，分果瓣呈斧状，长3~6mm；背部黄绿色，隆起，有纵棱和多数小刺，并有对称的长刺和短刺各1对，两侧面粗糙，有网纹，灰白色。质坚硬。气微，味苦、辛。</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E16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统货</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A1F06">
            <w:pPr>
              <w:jc w:val="center"/>
              <w:rPr>
                <w:rFonts w:hint="eastAsia" w:ascii="宋体" w:hAnsi="宋体" w:eastAsia="宋体" w:cs="宋体"/>
                <w:i w:val="0"/>
                <w:iCs w:val="0"/>
                <w:color w:val="000000"/>
                <w:sz w:val="18"/>
                <w:szCs w:val="18"/>
                <w:u w:val="none"/>
              </w:rPr>
            </w:pPr>
          </w:p>
        </w:tc>
        <w:tc>
          <w:tcPr>
            <w:tcW w:w="11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28A1C0">
            <w:pPr>
              <w:jc w:val="center"/>
              <w:rPr>
                <w:rFonts w:hint="eastAsia" w:ascii="宋体" w:hAnsi="宋体" w:eastAsia="宋体" w:cs="宋体"/>
                <w:i w:val="0"/>
                <w:iCs w:val="0"/>
                <w:color w:val="000000"/>
                <w:sz w:val="18"/>
                <w:szCs w:val="18"/>
                <w:u w:val="none"/>
              </w:rPr>
            </w:pPr>
          </w:p>
        </w:tc>
      </w:tr>
      <w:tr w14:paraId="2CADCE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2" w:type="dxa"/>
          <w:trHeight w:val="1982" w:hRule="atLeast"/>
        </w:trPr>
        <w:tc>
          <w:tcPr>
            <w:tcW w:w="9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682C4D">
            <w:pPr>
              <w:jc w:val="center"/>
              <w:rPr>
                <w:rFonts w:hint="eastAsia" w:ascii="宋体" w:hAnsi="宋体" w:eastAsia="宋体" w:cs="宋体"/>
                <w:i w:val="0"/>
                <w:iCs w:val="0"/>
                <w:color w:val="000000"/>
                <w:sz w:val="20"/>
                <w:szCs w:val="20"/>
                <w:u w:val="none"/>
              </w:rPr>
            </w:pP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601C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28</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6A6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金钱草</w:t>
            </w:r>
          </w:p>
        </w:tc>
        <w:tc>
          <w:tcPr>
            <w:tcW w:w="5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C0B0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kg</w:t>
            </w:r>
          </w:p>
        </w:tc>
        <w:tc>
          <w:tcPr>
            <w:tcW w:w="8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BC63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65</w:t>
            </w:r>
          </w:p>
        </w:tc>
        <w:tc>
          <w:tcPr>
            <w:tcW w:w="21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1475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豆科植物广金钱草的干燥地上部分。</w:t>
            </w:r>
          </w:p>
        </w:tc>
        <w:tc>
          <w:tcPr>
            <w:tcW w:w="51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4FC1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本品茎呈圆柱形，长可达1m；密被黄色伸展的短柔毛；质稍脆，断面中部有髓。叶互生，小叶1或3，圆形或矩圆形，直径2～4cm；先端微凹，基部心形或钝圆，全缘；上表面黄绿色或灰绿色，无毛，下表面具灰白色紧贴的绒毛，侧脉羽状；叶柄长1～2cm，托叶1对，披针形，长约0.8cm。气微香，味微甘。</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4AA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统货</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7BD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附检验合格单</w:t>
            </w:r>
          </w:p>
        </w:tc>
        <w:tc>
          <w:tcPr>
            <w:tcW w:w="11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E8AC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杂质不超过2%，两年内货</w:t>
            </w:r>
          </w:p>
        </w:tc>
      </w:tr>
      <w:tr w14:paraId="5C4EEE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2" w:type="dxa"/>
          <w:trHeight w:val="854" w:hRule="atLeast"/>
        </w:trPr>
        <w:tc>
          <w:tcPr>
            <w:tcW w:w="9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231601">
            <w:pPr>
              <w:jc w:val="center"/>
              <w:rPr>
                <w:rFonts w:hint="eastAsia" w:ascii="宋体" w:hAnsi="宋体" w:eastAsia="宋体" w:cs="宋体"/>
                <w:i w:val="0"/>
                <w:iCs w:val="0"/>
                <w:color w:val="000000"/>
                <w:sz w:val="20"/>
                <w:szCs w:val="20"/>
                <w:u w:val="none"/>
              </w:rPr>
            </w:pP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3F08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29</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6CE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灸甘草</w:t>
            </w:r>
          </w:p>
        </w:tc>
        <w:tc>
          <w:tcPr>
            <w:tcW w:w="5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78F5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kg</w:t>
            </w:r>
          </w:p>
        </w:tc>
        <w:tc>
          <w:tcPr>
            <w:tcW w:w="8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9F7A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78.2</w:t>
            </w:r>
          </w:p>
        </w:tc>
        <w:tc>
          <w:tcPr>
            <w:tcW w:w="21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7F6B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甘草的炮制加工品</w:t>
            </w:r>
          </w:p>
        </w:tc>
        <w:tc>
          <w:tcPr>
            <w:tcW w:w="51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36B2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品呈类圆形或椭圆形切片。外表皮红棕色或灰棕色，微有光泽。切面黄色至深黄色，形成层环明显，射线放射状。略有黏性。具焦香气，味甜。</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264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统货</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5C3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附检验合格单</w:t>
            </w:r>
          </w:p>
        </w:tc>
        <w:tc>
          <w:tcPr>
            <w:tcW w:w="11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3159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水分不得超过10%</w:t>
            </w:r>
          </w:p>
        </w:tc>
      </w:tr>
      <w:tr w14:paraId="2178AF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2" w:type="dxa"/>
          <w:trHeight w:val="1982" w:hRule="atLeast"/>
        </w:trPr>
        <w:tc>
          <w:tcPr>
            <w:tcW w:w="9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0D0B4A">
            <w:pPr>
              <w:jc w:val="center"/>
              <w:rPr>
                <w:rFonts w:hint="eastAsia" w:ascii="宋体" w:hAnsi="宋体" w:eastAsia="宋体" w:cs="宋体"/>
                <w:i w:val="0"/>
                <w:iCs w:val="0"/>
                <w:color w:val="000000"/>
                <w:sz w:val="20"/>
                <w:szCs w:val="20"/>
                <w:u w:val="none"/>
              </w:rPr>
            </w:pP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4671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30</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173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款冬花</w:t>
            </w:r>
          </w:p>
        </w:tc>
        <w:tc>
          <w:tcPr>
            <w:tcW w:w="5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8198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kg</w:t>
            </w:r>
          </w:p>
        </w:tc>
        <w:tc>
          <w:tcPr>
            <w:tcW w:w="8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C3CF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1000</w:t>
            </w:r>
          </w:p>
        </w:tc>
        <w:tc>
          <w:tcPr>
            <w:tcW w:w="21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C123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菊科植物款冬的花蕾</w:t>
            </w:r>
          </w:p>
        </w:tc>
        <w:tc>
          <w:tcPr>
            <w:tcW w:w="51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9EFD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未开放的头状花序呈不规则短棒状，上端较粗，下端渐细或带有短梗，外面被有多数鱼鳞状苞片；苞片外表面红紫色或淡红色，内表面密被白色絮状茸毛。体轻。撕开后可见白色丝状绵毛；舌状花及筒状花细小，长约2mm。气香，味微苦、辛，带粘性，嚼之呈绵絮状。以个大、肥壮、色紫红、花梗短者为佳。</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A81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统货</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D8304">
            <w:pPr>
              <w:jc w:val="center"/>
              <w:rPr>
                <w:rFonts w:hint="eastAsia" w:ascii="宋体" w:hAnsi="宋体" w:eastAsia="宋体" w:cs="宋体"/>
                <w:i w:val="0"/>
                <w:iCs w:val="0"/>
                <w:color w:val="000000"/>
                <w:sz w:val="18"/>
                <w:szCs w:val="18"/>
                <w:u w:val="none"/>
              </w:rPr>
            </w:pPr>
          </w:p>
        </w:tc>
        <w:tc>
          <w:tcPr>
            <w:tcW w:w="11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D46BEA">
            <w:pPr>
              <w:jc w:val="center"/>
              <w:rPr>
                <w:rFonts w:hint="eastAsia" w:ascii="宋体" w:hAnsi="宋体" w:eastAsia="宋体" w:cs="宋体"/>
                <w:i w:val="0"/>
                <w:iCs w:val="0"/>
                <w:color w:val="000000"/>
                <w:sz w:val="18"/>
                <w:szCs w:val="18"/>
                <w:u w:val="none"/>
              </w:rPr>
            </w:pPr>
          </w:p>
        </w:tc>
      </w:tr>
      <w:tr w14:paraId="070715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2" w:type="dxa"/>
          <w:trHeight w:val="1418" w:hRule="atLeast"/>
        </w:trPr>
        <w:tc>
          <w:tcPr>
            <w:tcW w:w="9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43E568">
            <w:pPr>
              <w:jc w:val="center"/>
              <w:rPr>
                <w:rFonts w:hint="eastAsia" w:ascii="宋体" w:hAnsi="宋体" w:eastAsia="宋体" w:cs="宋体"/>
                <w:i w:val="0"/>
                <w:iCs w:val="0"/>
                <w:color w:val="000000"/>
                <w:sz w:val="20"/>
                <w:szCs w:val="20"/>
                <w:u w:val="none"/>
              </w:rPr>
            </w:pP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9FE1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31</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065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莲子</w:t>
            </w:r>
          </w:p>
        </w:tc>
        <w:tc>
          <w:tcPr>
            <w:tcW w:w="5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6CB4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kg</w:t>
            </w:r>
          </w:p>
        </w:tc>
        <w:tc>
          <w:tcPr>
            <w:tcW w:w="8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D071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55</w:t>
            </w:r>
          </w:p>
        </w:tc>
        <w:tc>
          <w:tcPr>
            <w:tcW w:w="21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A9AB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睡莲科植物莲的干燥成熟种子。秋季果实成熟时采割莲房，取出果实，除去果皮，干燥。</w:t>
            </w:r>
          </w:p>
        </w:tc>
        <w:tc>
          <w:tcPr>
            <w:tcW w:w="51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B3BC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本品略呈类半球形。表面红棕色，有细纵纹和较宽的脉纹。一端中心呈乳头状突起，棕褐色，多有裂口，其周边略下陷。质硬，种皮薄，不易剥离。子叶黄白色，肥厚，中有空隙。气微，味微甘、微涩。</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2F4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统货</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975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附检验合格单</w:t>
            </w:r>
          </w:p>
        </w:tc>
        <w:tc>
          <w:tcPr>
            <w:tcW w:w="11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75DE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红莲子，两瓣货，去心，无虫蛀</w:t>
            </w:r>
          </w:p>
        </w:tc>
      </w:tr>
      <w:tr w14:paraId="71E6A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2" w:type="dxa"/>
          <w:trHeight w:val="1418" w:hRule="atLeast"/>
        </w:trPr>
        <w:tc>
          <w:tcPr>
            <w:tcW w:w="9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1C8420">
            <w:pPr>
              <w:jc w:val="center"/>
              <w:rPr>
                <w:rFonts w:hint="eastAsia" w:ascii="宋体" w:hAnsi="宋体" w:eastAsia="宋体" w:cs="宋体"/>
                <w:i w:val="0"/>
                <w:iCs w:val="0"/>
                <w:color w:val="000000"/>
                <w:sz w:val="20"/>
                <w:szCs w:val="20"/>
                <w:u w:val="none"/>
              </w:rPr>
            </w:pP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6D7D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32</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F32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路路通</w:t>
            </w:r>
          </w:p>
        </w:tc>
        <w:tc>
          <w:tcPr>
            <w:tcW w:w="5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124A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kg</w:t>
            </w:r>
          </w:p>
        </w:tc>
        <w:tc>
          <w:tcPr>
            <w:tcW w:w="8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FC82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23</w:t>
            </w:r>
          </w:p>
        </w:tc>
        <w:tc>
          <w:tcPr>
            <w:tcW w:w="21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AEB0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金缕梅科植物枫香树的干燥成熟果序</w:t>
            </w:r>
          </w:p>
        </w:tc>
        <w:tc>
          <w:tcPr>
            <w:tcW w:w="51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8FAD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本品为聚花果，由多数小蒴果集合而成，呈球形，直径2~3cm。基部有总果梗。表面灰棕色或棕褐色，有多数尖刺和喙状小钝刺，长0.5~1mm，常折断，小蒴果顶部开裂，呈蜂窝状小孔。体轻，质硬，不易破开。气微，味淡。</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B17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统货</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BC345">
            <w:pPr>
              <w:jc w:val="center"/>
              <w:rPr>
                <w:rFonts w:hint="eastAsia" w:ascii="宋体" w:hAnsi="宋体" w:eastAsia="宋体" w:cs="宋体"/>
                <w:i w:val="0"/>
                <w:iCs w:val="0"/>
                <w:color w:val="000000"/>
                <w:sz w:val="18"/>
                <w:szCs w:val="18"/>
                <w:u w:val="none"/>
              </w:rPr>
            </w:pPr>
          </w:p>
        </w:tc>
        <w:tc>
          <w:tcPr>
            <w:tcW w:w="11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FA383A">
            <w:pPr>
              <w:jc w:val="center"/>
              <w:rPr>
                <w:rFonts w:hint="eastAsia" w:ascii="宋体" w:hAnsi="宋体" w:eastAsia="宋体" w:cs="宋体"/>
                <w:i w:val="0"/>
                <w:iCs w:val="0"/>
                <w:color w:val="000000"/>
                <w:sz w:val="18"/>
                <w:szCs w:val="18"/>
                <w:u w:val="none"/>
              </w:rPr>
            </w:pPr>
          </w:p>
        </w:tc>
      </w:tr>
      <w:tr w14:paraId="36BC4E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2" w:type="dxa"/>
          <w:trHeight w:val="1699" w:hRule="atLeast"/>
        </w:trPr>
        <w:tc>
          <w:tcPr>
            <w:tcW w:w="9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E1F2B2">
            <w:pPr>
              <w:jc w:val="center"/>
              <w:rPr>
                <w:rFonts w:hint="eastAsia" w:ascii="宋体" w:hAnsi="宋体" w:eastAsia="宋体" w:cs="宋体"/>
                <w:i w:val="0"/>
                <w:iCs w:val="0"/>
                <w:color w:val="000000"/>
                <w:sz w:val="20"/>
                <w:szCs w:val="20"/>
                <w:u w:val="none"/>
              </w:rPr>
            </w:pP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0B88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33</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611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麦芽</w:t>
            </w:r>
          </w:p>
        </w:tc>
        <w:tc>
          <w:tcPr>
            <w:tcW w:w="5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1AE0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kg</w:t>
            </w:r>
          </w:p>
        </w:tc>
        <w:tc>
          <w:tcPr>
            <w:tcW w:w="8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589C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15</w:t>
            </w:r>
          </w:p>
        </w:tc>
        <w:tc>
          <w:tcPr>
            <w:tcW w:w="21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8450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禾本科植物大麦的成熟果实经发芽干燥的炮制加工品。将麦粒用水浸泡后，保持适宜温、湿度，待幼芽长至约5mm时，晒干或低温干燥。</w:t>
            </w:r>
          </w:p>
        </w:tc>
        <w:tc>
          <w:tcPr>
            <w:tcW w:w="51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E865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本品呈梭形，长8～12mm，直径3～4mm。表面淡黄色，背面为外稃包围，具5脉；腹面为内稃包围。除去内外稃后，腹面有1条纵沟；基部胚根处生出幼芽和须根，幼芽长披针状条形，长约5mm。须根数条，纤细而弯曲。质硬，断面白色，粉性。气微，味微甘。</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1FE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统货</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DB6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附检验合格单</w:t>
            </w:r>
          </w:p>
        </w:tc>
        <w:tc>
          <w:tcPr>
            <w:tcW w:w="11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39FE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出芽率不</w:t>
            </w:r>
            <w:r>
              <w:rPr>
                <w:rFonts w:hint="eastAsia" w:ascii="宋体" w:hAnsi="宋体" w:eastAsia="宋体" w:cs="宋体"/>
                <w:i w:val="0"/>
                <w:iCs w:val="0"/>
                <w:snapToGrid w:val="0"/>
                <w:color w:val="000000"/>
                <w:kern w:val="0"/>
                <w:sz w:val="20"/>
                <w:szCs w:val="20"/>
                <w:u w:val="none"/>
                <w:lang w:val="en-US" w:eastAsia="zh-CN" w:bidi="ar"/>
              </w:rPr>
              <w:t>得少于85%。</w:t>
            </w:r>
          </w:p>
        </w:tc>
      </w:tr>
      <w:tr w14:paraId="033251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2" w:type="dxa"/>
          <w:trHeight w:val="854" w:hRule="atLeast"/>
        </w:trPr>
        <w:tc>
          <w:tcPr>
            <w:tcW w:w="9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8EE9DE">
            <w:pPr>
              <w:jc w:val="center"/>
              <w:rPr>
                <w:rFonts w:hint="eastAsia" w:ascii="宋体" w:hAnsi="宋体" w:eastAsia="宋体" w:cs="宋体"/>
                <w:i w:val="0"/>
                <w:iCs w:val="0"/>
                <w:color w:val="000000"/>
                <w:sz w:val="20"/>
                <w:szCs w:val="20"/>
                <w:u w:val="none"/>
              </w:rPr>
            </w:pP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EA93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34</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116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芒硝</w:t>
            </w:r>
          </w:p>
        </w:tc>
        <w:tc>
          <w:tcPr>
            <w:tcW w:w="5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EFE0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kg</w:t>
            </w:r>
          </w:p>
        </w:tc>
        <w:tc>
          <w:tcPr>
            <w:tcW w:w="8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3876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12.65</w:t>
            </w:r>
          </w:p>
        </w:tc>
        <w:tc>
          <w:tcPr>
            <w:tcW w:w="21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19D5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硫酸盐类矿物芒硝族芒硝，经加工精制而成的结晶体。</w:t>
            </w:r>
          </w:p>
        </w:tc>
        <w:tc>
          <w:tcPr>
            <w:tcW w:w="51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29E6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本品为棱柱状、长方形或不规则块状及粒状。无色透明或类白色半透明。质脆，易碎，断面呈玻璃样光泽。气微，味咸。</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8EC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统货</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FC563">
            <w:pPr>
              <w:jc w:val="center"/>
              <w:rPr>
                <w:rFonts w:hint="eastAsia" w:ascii="宋体" w:hAnsi="宋体" w:eastAsia="宋体" w:cs="宋体"/>
                <w:i w:val="0"/>
                <w:iCs w:val="0"/>
                <w:color w:val="000000"/>
                <w:sz w:val="18"/>
                <w:szCs w:val="18"/>
                <w:u w:val="none"/>
              </w:rPr>
            </w:pPr>
          </w:p>
        </w:tc>
        <w:tc>
          <w:tcPr>
            <w:tcW w:w="11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8BBE11">
            <w:pPr>
              <w:jc w:val="center"/>
              <w:rPr>
                <w:rFonts w:hint="eastAsia" w:ascii="宋体" w:hAnsi="宋体" w:eastAsia="宋体" w:cs="宋体"/>
                <w:i w:val="0"/>
                <w:iCs w:val="0"/>
                <w:color w:val="000000"/>
                <w:sz w:val="18"/>
                <w:szCs w:val="18"/>
                <w:u w:val="none"/>
              </w:rPr>
            </w:pPr>
          </w:p>
        </w:tc>
      </w:tr>
      <w:tr w14:paraId="5CA8BA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2" w:type="dxa"/>
          <w:trHeight w:val="1418" w:hRule="atLeast"/>
        </w:trPr>
        <w:tc>
          <w:tcPr>
            <w:tcW w:w="9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17A90B">
            <w:pPr>
              <w:jc w:val="center"/>
              <w:rPr>
                <w:rFonts w:hint="eastAsia" w:ascii="宋体" w:hAnsi="宋体" w:eastAsia="宋体" w:cs="宋体"/>
                <w:i w:val="0"/>
                <w:iCs w:val="0"/>
                <w:color w:val="000000"/>
                <w:sz w:val="20"/>
                <w:szCs w:val="20"/>
                <w:u w:val="none"/>
              </w:rPr>
            </w:pP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8315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35</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A80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绵萆薢</w:t>
            </w:r>
          </w:p>
        </w:tc>
        <w:tc>
          <w:tcPr>
            <w:tcW w:w="5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1EE7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kg</w:t>
            </w:r>
          </w:p>
        </w:tc>
        <w:tc>
          <w:tcPr>
            <w:tcW w:w="8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23D5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49.45</w:t>
            </w:r>
          </w:p>
        </w:tc>
        <w:tc>
          <w:tcPr>
            <w:tcW w:w="21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D86D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薯蓣科植物绵萆薢或福州薯蓣的干燥根茎</w:t>
            </w:r>
          </w:p>
        </w:tc>
        <w:tc>
          <w:tcPr>
            <w:tcW w:w="51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3ECC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本品为不规则的斜切片，边缘不整齐，大小不一，厚2~5mm。外皮黄棕色至黄褐色，有稀疏的须根残基，呈圆锥状突起。质疏松，略呈海绵状，切面灰白色至浅灰棕色，黄棕色点状维管束散在。气微，味微苦。</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247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统货</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34FB2">
            <w:pPr>
              <w:jc w:val="center"/>
              <w:rPr>
                <w:rFonts w:hint="eastAsia" w:ascii="宋体" w:hAnsi="宋体" w:eastAsia="宋体" w:cs="宋体"/>
                <w:i w:val="0"/>
                <w:iCs w:val="0"/>
                <w:color w:val="000000"/>
                <w:sz w:val="18"/>
                <w:szCs w:val="18"/>
                <w:u w:val="none"/>
              </w:rPr>
            </w:pPr>
          </w:p>
        </w:tc>
        <w:tc>
          <w:tcPr>
            <w:tcW w:w="11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F90451">
            <w:pPr>
              <w:jc w:val="center"/>
              <w:rPr>
                <w:rFonts w:hint="eastAsia" w:ascii="宋体" w:hAnsi="宋体" w:eastAsia="宋体" w:cs="宋体"/>
                <w:i w:val="0"/>
                <w:iCs w:val="0"/>
                <w:color w:val="000000"/>
                <w:sz w:val="18"/>
                <w:szCs w:val="18"/>
                <w:u w:val="none"/>
              </w:rPr>
            </w:pPr>
          </w:p>
        </w:tc>
      </w:tr>
      <w:tr w14:paraId="701F1A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2" w:type="dxa"/>
          <w:trHeight w:val="1418" w:hRule="atLeast"/>
        </w:trPr>
        <w:tc>
          <w:tcPr>
            <w:tcW w:w="9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8C65AE">
            <w:pPr>
              <w:jc w:val="center"/>
              <w:rPr>
                <w:rFonts w:hint="eastAsia" w:ascii="宋体" w:hAnsi="宋体" w:eastAsia="宋体" w:cs="宋体"/>
                <w:i w:val="0"/>
                <w:iCs w:val="0"/>
                <w:color w:val="000000"/>
                <w:sz w:val="20"/>
                <w:szCs w:val="20"/>
                <w:u w:val="none"/>
              </w:rPr>
            </w:pP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1579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36</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6CC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木瓜</w:t>
            </w:r>
          </w:p>
        </w:tc>
        <w:tc>
          <w:tcPr>
            <w:tcW w:w="5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BA28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kg</w:t>
            </w:r>
          </w:p>
        </w:tc>
        <w:tc>
          <w:tcPr>
            <w:tcW w:w="8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B927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48.3</w:t>
            </w:r>
          </w:p>
        </w:tc>
        <w:tc>
          <w:tcPr>
            <w:tcW w:w="21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20A6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蔷薇科植物贴梗海棠干燥近成熟果实</w:t>
            </w:r>
          </w:p>
        </w:tc>
        <w:tc>
          <w:tcPr>
            <w:tcW w:w="51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835B6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本品长圆形，多纵剖成两半，长4~9cm，宽2~5cm，厚I~2.5cm。外表面紫红色或红棕色，有不规则的深皱纹；剖面边缘向内卷曲，果肉红棕色，中心部分凹陷，棕黄色；种子扁长三角形，多脱落。质坚硬。气微清香，味酸。</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DE0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统货</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D5973">
            <w:pPr>
              <w:jc w:val="center"/>
              <w:rPr>
                <w:rFonts w:hint="eastAsia" w:ascii="宋体" w:hAnsi="宋体" w:eastAsia="宋体" w:cs="宋体"/>
                <w:i w:val="0"/>
                <w:iCs w:val="0"/>
                <w:color w:val="000000"/>
                <w:sz w:val="18"/>
                <w:szCs w:val="18"/>
                <w:u w:val="none"/>
              </w:rPr>
            </w:pPr>
          </w:p>
        </w:tc>
        <w:tc>
          <w:tcPr>
            <w:tcW w:w="11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7E4AA5">
            <w:pPr>
              <w:jc w:val="center"/>
              <w:rPr>
                <w:rFonts w:hint="eastAsia" w:ascii="宋体" w:hAnsi="宋体" w:eastAsia="宋体" w:cs="宋体"/>
                <w:i w:val="0"/>
                <w:iCs w:val="0"/>
                <w:color w:val="000000"/>
                <w:sz w:val="21"/>
                <w:szCs w:val="21"/>
                <w:u w:val="none"/>
              </w:rPr>
            </w:pPr>
          </w:p>
        </w:tc>
      </w:tr>
      <w:tr w14:paraId="5C28D4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2" w:type="dxa"/>
          <w:trHeight w:val="1699" w:hRule="atLeast"/>
        </w:trPr>
        <w:tc>
          <w:tcPr>
            <w:tcW w:w="9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EF9E77">
            <w:pPr>
              <w:jc w:val="center"/>
              <w:rPr>
                <w:rFonts w:hint="eastAsia" w:ascii="宋体" w:hAnsi="宋体" w:eastAsia="宋体" w:cs="宋体"/>
                <w:i w:val="0"/>
                <w:iCs w:val="0"/>
                <w:color w:val="000000"/>
                <w:sz w:val="20"/>
                <w:szCs w:val="20"/>
                <w:u w:val="none"/>
              </w:rPr>
            </w:pP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A139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37</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6EC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南沙参</w:t>
            </w:r>
          </w:p>
        </w:tc>
        <w:tc>
          <w:tcPr>
            <w:tcW w:w="5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F292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kg</w:t>
            </w:r>
          </w:p>
        </w:tc>
        <w:tc>
          <w:tcPr>
            <w:tcW w:w="8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7111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215</w:t>
            </w:r>
          </w:p>
        </w:tc>
        <w:tc>
          <w:tcPr>
            <w:tcW w:w="21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25F3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桔梗科植物轮叶沙参或沙参.的干燥根。</w:t>
            </w:r>
          </w:p>
        </w:tc>
        <w:tc>
          <w:tcPr>
            <w:tcW w:w="51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D356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本品呈圆锥形或圆柱形，略弯曲，长7~27cm，直径0.8~3cm。表面黄白色或淡棕黄色，凹陷处常有残留粗皮，上部多有深陷横纹，呈断续的环状，下部有纵纹和纵沟。顶端具1或2个根茎。体轻，质松泡，易折断，断面不平坦，黄白色，多裂隙。气微，味微甘。</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492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统货</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31962">
            <w:pPr>
              <w:jc w:val="center"/>
              <w:rPr>
                <w:rFonts w:hint="eastAsia" w:ascii="宋体" w:hAnsi="宋体" w:eastAsia="宋体" w:cs="宋体"/>
                <w:i w:val="0"/>
                <w:iCs w:val="0"/>
                <w:color w:val="000000"/>
                <w:sz w:val="18"/>
                <w:szCs w:val="18"/>
                <w:u w:val="none"/>
              </w:rPr>
            </w:pPr>
          </w:p>
        </w:tc>
        <w:tc>
          <w:tcPr>
            <w:tcW w:w="11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522881">
            <w:pPr>
              <w:jc w:val="center"/>
              <w:rPr>
                <w:rFonts w:hint="eastAsia" w:ascii="宋体" w:hAnsi="宋体" w:eastAsia="宋体" w:cs="宋体"/>
                <w:i w:val="0"/>
                <w:iCs w:val="0"/>
                <w:color w:val="000000"/>
                <w:sz w:val="21"/>
                <w:szCs w:val="21"/>
                <w:u w:val="none"/>
              </w:rPr>
            </w:pPr>
          </w:p>
        </w:tc>
      </w:tr>
      <w:tr w14:paraId="1F7BE3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2" w:type="dxa"/>
          <w:trHeight w:val="1137" w:hRule="atLeast"/>
        </w:trPr>
        <w:tc>
          <w:tcPr>
            <w:tcW w:w="9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A0FE7C">
            <w:pPr>
              <w:jc w:val="center"/>
              <w:rPr>
                <w:rFonts w:hint="eastAsia" w:ascii="宋体" w:hAnsi="宋体" w:eastAsia="宋体" w:cs="宋体"/>
                <w:i w:val="0"/>
                <w:iCs w:val="0"/>
                <w:color w:val="000000"/>
                <w:sz w:val="20"/>
                <w:szCs w:val="20"/>
                <w:u w:val="none"/>
              </w:rPr>
            </w:pP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AE46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38</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564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佩兰</w:t>
            </w:r>
          </w:p>
        </w:tc>
        <w:tc>
          <w:tcPr>
            <w:tcW w:w="5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F653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kg</w:t>
            </w:r>
          </w:p>
        </w:tc>
        <w:tc>
          <w:tcPr>
            <w:tcW w:w="8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8DE6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32</w:t>
            </w:r>
          </w:p>
        </w:tc>
        <w:tc>
          <w:tcPr>
            <w:tcW w:w="21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4658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菊科植物佩兰的干燥地上部分。夏、秋二季分两次采割，除去杂质，晒干。</w:t>
            </w:r>
          </w:p>
        </w:tc>
        <w:tc>
          <w:tcPr>
            <w:tcW w:w="51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D512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本品呈不规则的段。茎圆柱形，表面黄棕色或黄绿色，有的带紫色，有明显的节和纵棱线。切面髓部白色或中空。叶对生，叶片多皱缩、破碎，绿褐色。气芳香，味微苦。</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B88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统货</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4CF53">
            <w:pPr>
              <w:jc w:val="center"/>
              <w:rPr>
                <w:rFonts w:hint="eastAsia" w:ascii="宋体" w:hAnsi="宋体" w:eastAsia="宋体" w:cs="宋体"/>
                <w:i w:val="0"/>
                <w:iCs w:val="0"/>
                <w:color w:val="000000"/>
                <w:sz w:val="18"/>
                <w:szCs w:val="18"/>
                <w:u w:val="none"/>
              </w:rPr>
            </w:pPr>
          </w:p>
        </w:tc>
        <w:tc>
          <w:tcPr>
            <w:tcW w:w="11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EE1432">
            <w:pPr>
              <w:jc w:val="center"/>
              <w:rPr>
                <w:rFonts w:hint="eastAsia" w:ascii="宋体" w:hAnsi="宋体" w:eastAsia="宋体" w:cs="宋体"/>
                <w:i w:val="0"/>
                <w:iCs w:val="0"/>
                <w:color w:val="000000"/>
                <w:sz w:val="18"/>
                <w:szCs w:val="18"/>
                <w:u w:val="none"/>
              </w:rPr>
            </w:pPr>
          </w:p>
        </w:tc>
      </w:tr>
      <w:tr w14:paraId="34ECA2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2" w:type="dxa"/>
          <w:trHeight w:val="1162" w:hRule="atLeast"/>
        </w:trPr>
        <w:tc>
          <w:tcPr>
            <w:tcW w:w="9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EDAECC">
            <w:pPr>
              <w:jc w:val="center"/>
              <w:rPr>
                <w:rFonts w:hint="eastAsia" w:ascii="宋体" w:hAnsi="宋体" w:eastAsia="宋体" w:cs="宋体"/>
                <w:i w:val="0"/>
                <w:iCs w:val="0"/>
                <w:color w:val="000000"/>
                <w:sz w:val="20"/>
                <w:szCs w:val="20"/>
                <w:u w:val="none"/>
              </w:rPr>
            </w:pP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E5A7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39</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B66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前胡</w:t>
            </w:r>
          </w:p>
        </w:tc>
        <w:tc>
          <w:tcPr>
            <w:tcW w:w="5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F198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kg</w:t>
            </w:r>
          </w:p>
        </w:tc>
        <w:tc>
          <w:tcPr>
            <w:tcW w:w="8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9644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307</w:t>
            </w:r>
          </w:p>
        </w:tc>
        <w:tc>
          <w:tcPr>
            <w:tcW w:w="21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8A82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伞形科植物白花前胡的干燥根。冬季至次春茎叶枯萎或未抽花茎时采挖，除去须根，洗净，晒干或低温干燥。</w:t>
            </w:r>
          </w:p>
        </w:tc>
        <w:tc>
          <w:tcPr>
            <w:tcW w:w="51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2054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本品呈类圆形或不规则形的薄片。外表皮黑褐色或灰黄色，有时可见残留的纤维状叶鞘残基。切面黄白色至淡黄色，皮部散有多数棕黄色油点，可见一棕色环纹及放射状纹理。气芳香，味微苦、辛。</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805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统货</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583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附检验合格单</w:t>
            </w:r>
          </w:p>
        </w:tc>
        <w:tc>
          <w:tcPr>
            <w:tcW w:w="11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7CCA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圆片</w:t>
            </w:r>
          </w:p>
        </w:tc>
      </w:tr>
      <w:tr w14:paraId="4A1F51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2" w:type="dxa"/>
          <w:trHeight w:val="1162" w:hRule="atLeast"/>
        </w:trPr>
        <w:tc>
          <w:tcPr>
            <w:tcW w:w="9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873F80">
            <w:pPr>
              <w:jc w:val="center"/>
              <w:rPr>
                <w:rFonts w:hint="eastAsia" w:ascii="宋体" w:hAnsi="宋体" w:eastAsia="宋体" w:cs="宋体"/>
                <w:i w:val="0"/>
                <w:iCs w:val="0"/>
                <w:color w:val="000000"/>
                <w:sz w:val="20"/>
                <w:szCs w:val="20"/>
                <w:u w:val="none"/>
              </w:rPr>
            </w:pP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9853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40</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127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芡实</w:t>
            </w:r>
          </w:p>
        </w:tc>
        <w:tc>
          <w:tcPr>
            <w:tcW w:w="5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6B8D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kg</w:t>
            </w:r>
          </w:p>
        </w:tc>
        <w:tc>
          <w:tcPr>
            <w:tcW w:w="8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AC4C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54.05</w:t>
            </w:r>
          </w:p>
        </w:tc>
        <w:tc>
          <w:tcPr>
            <w:tcW w:w="21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6E6B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睡莲科植物芡的干燥成熟种仁。秋末冬初采收成熟果实，除去果皮，取出种子，洗净，再除去硬壳（外种皮），晒干。</w:t>
            </w:r>
          </w:p>
        </w:tc>
        <w:tc>
          <w:tcPr>
            <w:tcW w:w="51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8349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本品呈类球形，多为破粒，完整者直径5～8mm。表面有棕红色或红褐色内种皮，一端黄白色，约占全体1/3，有凹点状的种脐痕，除去内种皮显白色。质较硬，断面白色，粉性。气微，味淡。</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9EC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统货</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758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附检验合格单</w:t>
            </w:r>
          </w:p>
        </w:tc>
        <w:tc>
          <w:tcPr>
            <w:tcW w:w="11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370D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两瓣货</w:t>
            </w:r>
          </w:p>
        </w:tc>
      </w:tr>
      <w:tr w14:paraId="7A873C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2" w:type="dxa"/>
          <w:trHeight w:val="1699" w:hRule="atLeast"/>
        </w:trPr>
        <w:tc>
          <w:tcPr>
            <w:tcW w:w="9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331BAD">
            <w:pPr>
              <w:jc w:val="center"/>
              <w:rPr>
                <w:rFonts w:hint="eastAsia" w:ascii="宋体" w:hAnsi="宋体" w:eastAsia="宋体" w:cs="宋体"/>
                <w:i w:val="0"/>
                <w:iCs w:val="0"/>
                <w:color w:val="000000"/>
                <w:sz w:val="20"/>
                <w:szCs w:val="20"/>
                <w:u w:val="none"/>
              </w:rPr>
            </w:pP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CE21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41</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B67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青蒿</w:t>
            </w:r>
          </w:p>
        </w:tc>
        <w:tc>
          <w:tcPr>
            <w:tcW w:w="5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4F80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kg</w:t>
            </w:r>
          </w:p>
        </w:tc>
        <w:tc>
          <w:tcPr>
            <w:tcW w:w="8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5F4B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w:t>
            </w:r>
          </w:p>
        </w:tc>
        <w:tc>
          <w:tcPr>
            <w:tcW w:w="21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4FA3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菊科植物黄花蒿的干燥地上部分。秋季花盛开时采割，除去老茎，阴干。</w:t>
            </w:r>
          </w:p>
        </w:tc>
        <w:tc>
          <w:tcPr>
            <w:tcW w:w="51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0F53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本品呈不规则的段，长0.5～1.5cm。茎呈圆柱形，表面黄绿色或棕黄色，具纵棱线，质略硬，切面黄白色，髓白色。叶片多皱缩或破碎，暗绿色或棕绿色，完整者展平后为三回羽状深裂，裂片及小裂片矩圆形或长椭圆形，两面被短毛。花黄色，气香特异，味微苦。</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CAA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统货</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62A56">
            <w:pPr>
              <w:jc w:val="center"/>
              <w:rPr>
                <w:rFonts w:hint="eastAsia" w:ascii="宋体" w:hAnsi="宋体" w:eastAsia="宋体" w:cs="宋体"/>
                <w:i w:val="0"/>
                <w:iCs w:val="0"/>
                <w:color w:val="000000"/>
                <w:sz w:val="18"/>
                <w:szCs w:val="18"/>
                <w:u w:val="none"/>
              </w:rPr>
            </w:pPr>
          </w:p>
        </w:tc>
        <w:tc>
          <w:tcPr>
            <w:tcW w:w="11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E785A0">
            <w:pPr>
              <w:jc w:val="center"/>
              <w:rPr>
                <w:rFonts w:hint="eastAsia" w:ascii="宋体" w:hAnsi="宋体" w:eastAsia="宋体" w:cs="宋体"/>
                <w:i w:val="0"/>
                <w:iCs w:val="0"/>
                <w:color w:val="000000"/>
                <w:sz w:val="18"/>
                <w:szCs w:val="18"/>
                <w:u w:val="none"/>
              </w:rPr>
            </w:pPr>
          </w:p>
        </w:tc>
      </w:tr>
      <w:tr w14:paraId="592306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2" w:type="dxa"/>
          <w:trHeight w:val="2263" w:hRule="atLeast"/>
        </w:trPr>
        <w:tc>
          <w:tcPr>
            <w:tcW w:w="9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793F5C">
            <w:pPr>
              <w:jc w:val="center"/>
              <w:rPr>
                <w:rFonts w:hint="eastAsia" w:ascii="宋体" w:hAnsi="宋体" w:eastAsia="宋体" w:cs="宋体"/>
                <w:i w:val="0"/>
                <w:iCs w:val="0"/>
                <w:color w:val="000000"/>
                <w:sz w:val="20"/>
                <w:szCs w:val="20"/>
                <w:u w:val="none"/>
              </w:rPr>
            </w:pP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1857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42</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8A0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全蝎</w:t>
            </w:r>
          </w:p>
        </w:tc>
        <w:tc>
          <w:tcPr>
            <w:tcW w:w="5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1311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g</w:t>
            </w:r>
          </w:p>
        </w:tc>
        <w:tc>
          <w:tcPr>
            <w:tcW w:w="8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57BE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3.494</w:t>
            </w:r>
          </w:p>
        </w:tc>
        <w:tc>
          <w:tcPr>
            <w:tcW w:w="21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D078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钳蝎科动物东亚钳蝎的干燥体。春末至秋初捕捉，除去泥沙，置沸水或沸盐水中，煮至全身僵硬，捞出，置通风处，阴干。</w:t>
            </w:r>
          </w:p>
        </w:tc>
        <w:tc>
          <w:tcPr>
            <w:tcW w:w="51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497C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本品头胸部与前腹部呈扁平长椭圆形，后腹部呈尾状，皱缩弯曲，完整者体长约6cm。头胸部呈绿褐色，前面有1对短小的螯肢和1对较长大的钳状脚须，形似蟹螯，背面覆有梯形背甲，腹面有足4对，均为7节，末端各具2爪钩；前腹部由7节组成，第7节色深，背甲上有5条隆脊线。背面绿褐色，后腹部棕黄色，6节，节上均有纵沟，末节有锐钩状毒刺，毒刺下方无距。气微腥，味咸。</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6EF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统货</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AD7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附检验合格单</w:t>
            </w:r>
          </w:p>
        </w:tc>
        <w:tc>
          <w:tcPr>
            <w:tcW w:w="11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89C5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淡水全蝎，腹部内容物少</w:t>
            </w:r>
          </w:p>
        </w:tc>
      </w:tr>
      <w:tr w14:paraId="047536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2" w:type="dxa"/>
          <w:trHeight w:val="1982" w:hRule="atLeast"/>
        </w:trPr>
        <w:tc>
          <w:tcPr>
            <w:tcW w:w="9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019914">
            <w:pPr>
              <w:jc w:val="center"/>
              <w:rPr>
                <w:rFonts w:hint="eastAsia" w:ascii="宋体" w:hAnsi="宋体" w:eastAsia="宋体" w:cs="宋体"/>
                <w:i w:val="0"/>
                <w:iCs w:val="0"/>
                <w:color w:val="000000"/>
                <w:sz w:val="20"/>
                <w:szCs w:val="20"/>
                <w:u w:val="none"/>
              </w:rPr>
            </w:pP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0D71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43</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11D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肉桂</w:t>
            </w:r>
          </w:p>
        </w:tc>
        <w:tc>
          <w:tcPr>
            <w:tcW w:w="5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40D2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kg</w:t>
            </w:r>
          </w:p>
        </w:tc>
        <w:tc>
          <w:tcPr>
            <w:tcW w:w="8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5E81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49</w:t>
            </w:r>
          </w:p>
        </w:tc>
        <w:tc>
          <w:tcPr>
            <w:tcW w:w="21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1840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樟科植物肉桂的干燥树皮。多于秋季剥取，阴干。</w:t>
            </w:r>
          </w:p>
        </w:tc>
        <w:tc>
          <w:tcPr>
            <w:tcW w:w="51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988E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本品呈槽状或卷筒状，长30～40cm，宽或直径3～10cm，厚0.2～0.8cm。外表面灰棕色，稍粗糙，有不规则的细皱纹和横向突起的皮孔，有的可见灰白色的斑纹；内表面红棕色，略平坦，有细纵纹，划之显油痕。质硬而脆，易折断，断面不平坦，外层棕色而较粗糙，内层红棕色而油润，两层间有1条黄棕色的线纹。气香浓烈，味甜、辣。</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CC0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统货</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A3C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附检验合格单</w:t>
            </w:r>
          </w:p>
        </w:tc>
        <w:tc>
          <w:tcPr>
            <w:tcW w:w="11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2A26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去栓皮，切段，气香，油痕明显</w:t>
            </w:r>
          </w:p>
        </w:tc>
      </w:tr>
      <w:tr w14:paraId="471A78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2" w:type="dxa"/>
          <w:trHeight w:val="1137" w:hRule="atLeast"/>
        </w:trPr>
        <w:tc>
          <w:tcPr>
            <w:tcW w:w="9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EAD3D8">
            <w:pPr>
              <w:jc w:val="center"/>
              <w:rPr>
                <w:rFonts w:hint="eastAsia" w:ascii="宋体" w:hAnsi="宋体" w:eastAsia="宋体" w:cs="宋体"/>
                <w:i w:val="0"/>
                <w:iCs w:val="0"/>
                <w:color w:val="000000"/>
                <w:sz w:val="20"/>
                <w:szCs w:val="20"/>
                <w:u w:val="none"/>
              </w:rPr>
            </w:pP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27AF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44</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BB0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桑白皮</w:t>
            </w:r>
          </w:p>
        </w:tc>
        <w:tc>
          <w:tcPr>
            <w:tcW w:w="5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00F0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kg</w:t>
            </w:r>
          </w:p>
        </w:tc>
        <w:tc>
          <w:tcPr>
            <w:tcW w:w="8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AB81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66.7</w:t>
            </w:r>
          </w:p>
        </w:tc>
        <w:tc>
          <w:tcPr>
            <w:tcW w:w="21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79DA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双子叶植物桑科桑除去栓皮后的干燥根皮</w:t>
            </w:r>
          </w:p>
        </w:tc>
        <w:tc>
          <w:tcPr>
            <w:tcW w:w="51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C7D4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饮片呈不规则横切丝状,外表面黄白色有时可见黄棕色粗皮,内表面淡黄白色,有细纵纹,体轻,质韧,断面纤维性强,易纵向撕裂,撕裂时有粉尘飞扬。气微,味微甜。蜜炙桑白皮,呈深黄色,气焦香,味甜。</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E82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统货</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4AD93">
            <w:pPr>
              <w:jc w:val="center"/>
              <w:rPr>
                <w:rFonts w:hint="eastAsia" w:ascii="宋体" w:hAnsi="宋体" w:eastAsia="宋体" w:cs="宋体"/>
                <w:i w:val="0"/>
                <w:iCs w:val="0"/>
                <w:color w:val="000000"/>
                <w:sz w:val="18"/>
                <w:szCs w:val="18"/>
                <w:u w:val="none"/>
              </w:rPr>
            </w:pPr>
          </w:p>
        </w:tc>
        <w:tc>
          <w:tcPr>
            <w:tcW w:w="11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90FE04">
            <w:pPr>
              <w:jc w:val="center"/>
              <w:rPr>
                <w:rFonts w:hint="eastAsia" w:ascii="宋体" w:hAnsi="宋体" w:eastAsia="宋体" w:cs="宋体"/>
                <w:i w:val="0"/>
                <w:iCs w:val="0"/>
                <w:color w:val="000000"/>
                <w:sz w:val="18"/>
                <w:szCs w:val="18"/>
                <w:u w:val="none"/>
              </w:rPr>
            </w:pPr>
          </w:p>
        </w:tc>
      </w:tr>
      <w:tr w14:paraId="4D0D47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2" w:type="dxa"/>
          <w:trHeight w:val="1699" w:hRule="atLeast"/>
        </w:trPr>
        <w:tc>
          <w:tcPr>
            <w:tcW w:w="9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5E66BE">
            <w:pPr>
              <w:jc w:val="center"/>
              <w:rPr>
                <w:rFonts w:hint="eastAsia" w:ascii="宋体" w:hAnsi="宋体" w:eastAsia="宋体" w:cs="宋体"/>
                <w:i w:val="0"/>
                <w:iCs w:val="0"/>
                <w:color w:val="000000"/>
                <w:sz w:val="20"/>
                <w:szCs w:val="20"/>
                <w:u w:val="none"/>
              </w:rPr>
            </w:pP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5AEA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45</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007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桑枝</w:t>
            </w:r>
          </w:p>
        </w:tc>
        <w:tc>
          <w:tcPr>
            <w:tcW w:w="5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587B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kg</w:t>
            </w:r>
          </w:p>
        </w:tc>
        <w:tc>
          <w:tcPr>
            <w:tcW w:w="8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1E62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10.35</w:t>
            </w:r>
          </w:p>
        </w:tc>
        <w:tc>
          <w:tcPr>
            <w:tcW w:w="21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91D4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桑科植物桑的干燥嫩枝</w:t>
            </w:r>
          </w:p>
        </w:tc>
        <w:tc>
          <w:tcPr>
            <w:tcW w:w="51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A8C2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本品呈长圆柱形，少有分枝，长短不一，直径0.5~1.5cm。表面灰黄色或黄褐色，有多数黄褐色点状皮孔及细纵纹，并有灰白色略呈半圆形的叶痕和黄棕色的腋芽。质坚韧，不易折断，断面纤维性。切片厚0.2~0.5cm，皮部较薄，木部黄白色，射线放射状，髓部白色或黄白色。气微，味淡。</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235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统货</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7AF11">
            <w:pPr>
              <w:jc w:val="center"/>
              <w:rPr>
                <w:rFonts w:hint="eastAsia" w:ascii="宋体" w:hAnsi="宋体" w:eastAsia="宋体" w:cs="宋体"/>
                <w:i w:val="0"/>
                <w:iCs w:val="0"/>
                <w:color w:val="000000"/>
                <w:sz w:val="18"/>
                <w:szCs w:val="18"/>
                <w:u w:val="none"/>
              </w:rPr>
            </w:pPr>
          </w:p>
        </w:tc>
        <w:tc>
          <w:tcPr>
            <w:tcW w:w="11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A2F3A6">
            <w:pPr>
              <w:jc w:val="center"/>
              <w:rPr>
                <w:rFonts w:hint="eastAsia" w:ascii="宋体" w:hAnsi="宋体" w:eastAsia="宋体" w:cs="宋体"/>
                <w:i w:val="0"/>
                <w:iCs w:val="0"/>
                <w:color w:val="000000"/>
                <w:sz w:val="18"/>
                <w:szCs w:val="18"/>
                <w:u w:val="none"/>
              </w:rPr>
            </w:pPr>
          </w:p>
        </w:tc>
      </w:tr>
      <w:tr w14:paraId="3F1621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2" w:type="dxa"/>
          <w:trHeight w:val="1137" w:hRule="atLeast"/>
        </w:trPr>
        <w:tc>
          <w:tcPr>
            <w:tcW w:w="9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E2C232">
            <w:pPr>
              <w:jc w:val="center"/>
              <w:rPr>
                <w:rFonts w:hint="eastAsia" w:ascii="宋体" w:hAnsi="宋体" w:eastAsia="宋体" w:cs="宋体"/>
                <w:i w:val="0"/>
                <w:iCs w:val="0"/>
                <w:color w:val="000000"/>
                <w:sz w:val="20"/>
                <w:szCs w:val="20"/>
                <w:u w:val="none"/>
              </w:rPr>
            </w:pP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0DBF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46</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ED2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山萸肉</w:t>
            </w:r>
          </w:p>
        </w:tc>
        <w:tc>
          <w:tcPr>
            <w:tcW w:w="5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DBF2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kg</w:t>
            </w:r>
          </w:p>
        </w:tc>
        <w:tc>
          <w:tcPr>
            <w:tcW w:w="8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C1C2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151</w:t>
            </w:r>
          </w:p>
        </w:tc>
        <w:tc>
          <w:tcPr>
            <w:tcW w:w="21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D3A4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山茱萸科植物山茱萸的干燥成熟果肉</w:t>
            </w:r>
          </w:p>
        </w:tc>
        <w:tc>
          <w:tcPr>
            <w:tcW w:w="51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7868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本品呈不规则的片状或囊状，长1～1.5cm，宽0.5～1cm。表面紫红色至紫黑色，皱缩，有光泽。顶端有的有圆形宿萼痕，基部有果梗痕。质柔软。气微，味酸、涩、微苦。</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71B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统货</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32A44">
            <w:pPr>
              <w:jc w:val="center"/>
              <w:rPr>
                <w:rFonts w:hint="eastAsia" w:ascii="宋体" w:hAnsi="宋体" w:eastAsia="宋体" w:cs="宋体"/>
                <w:i w:val="0"/>
                <w:iCs w:val="0"/>
                <w:color w:val="000000"/>
                <w:sz w:val="18"/>
                <w:szCs w:val="18"/>
                <w:u w:val="none"/>
              </w:rPr>
            </w:pPr>
          </w:p>
        </w:tc>
        <w:tc>
          <w:tcPr>
            <w:tcW w:w="11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724264">
            <w:pPr>
              <w:jc w:val="center"/>
              <w:rPr>
                <w:rFonts w:hint="eastAsia" w:ascii="宋体" w:hAnsi="宋体" w:eastAsia="宋体" w:cs="宋体"/>
                <w:i w:val="0"/>
                <w:iCs w:val="0"/>
                <w:color w:val="000000"/>
                <w:sz w:val="18"/>
                <w:szCs w:val="18"/>
                <w:u w:val="none"/>
              </w:rPr>
            </w:pPr>
          </w:p>
        </w:tc>
      </w:tr>
      <w:tr w14:paraId="1B5AC8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2" w:type="dxa"/>
          <w:trHeight w:val="1418" w:hRule="atLeast"/>
        </w:trPr>
        <w:tc>
          <w:tcPr>
            <w:tcW w:w="9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EC0DB5">
            <w:pPr>
              <w:jc w:val="center"/>
              <w:rPr>
                <w:rFonts w:hint="eastAsia" w:ascii="宋体" w:hAnsi="宋体" w:eastAsia="宋体" w:cs="宋体"/>
                <w:i w:val="0"/>
                <w:iCs w:val="0"/>
                <w:color w:val="000000"/>
                <w:sz w:val="20"/>
                <w:szCs w:val="20"/>
                <w:u w:val="none"/>
              </w:rPr>
            </w:pP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7238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47</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515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升麻</w:t>
            </w:r>
          </w:p>
        </w:tc>
        <w:tc>
          <w:tcPr>
            <w:tcW w:w="5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3312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kg</w:t>
            </w:r>
          </w:p>
        </w:tc>
        <w:tc>
          <w:tcPr>
            <w:tcW w:w="8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3D2B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177.1</w:t>
            </w:r>
          </w:p>
        </w:tc>
        <w:tc>
          <w:tcPr>
            <w:tcW w:w="21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4492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毛茛科植物大三叶升麻、兴安升麻或升麻的干燥根茎</w:t>
            </w:r>
          </w:p>
        </w:tc>
        <w:tc>
          <w:tcPr>
            <w:tcW w:w="51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D4F4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本品为不规则的厚片，厚2～4mm。外表面黑褐色或棕褐色，粗糙不平，有的可见须根痕或坚硬的细须根残留，切面黄绿色或淡黄白色，具有网状或放射状纹理。体轻，质硬，纤维性。气微，味微苦而涩。</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797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统货</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3F475">
            <w:pPr>
              <w:jc w:val="center"/>
              <w:rPr>
                <w:rFonts w:hint="eastAsia" w:ascii="宋体" w:hAnsi="宋体" w:eastAsia="宋体" w:cs="宋体"/>
                <w:i w:val="0"/>
                <w:iCs w:val="0"/>
                <w:color w:val="000000"/>
                <w:sz w:val="18"/>
                <w:szCs w:val="18"/>
                <w:u w:val="none"/>
              </w:rPr>
            </w:pPr>
          </w:p>
        </w:tc>
        <w:tc>
          <w:tcPr>
            <w:tcW w:w="11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7FA722">
            <w:pPr>
              <w:jc w:val="center"/>
              <w:rPr>
                <w:rFonts w:hint="eastAsia" w:ascii="宋体" w:hAnsi="宋体" w:eastAsia="宋体" w:cs="宋体"/>
                <w:i w:val="0"/>
                <w:iCs w:val="0"/>
                <w:color w:val="000000"/>
                <w:sz w:val="18"/>
                <w:szCs w:val="18"/>
                <w:u w:val="none"/>
              </w:rPr>
            </w:pPr>
          </w:p>
        </w:tc>
      </w:tr>
      <w:tr w14:paraId="0E5BBD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2" w:type="dxa"/>
          <w:trHeight w:val="1982" w:hRule="atLeast"/>
        </w:trPr>
        <w:tc>
          <w:tcPr>
            <w:tcW w:w="9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448B05">
            <w:pPr>
              <w:jc w:val="center"/>
              <w:rPr>
                <w:rFonts w:hint="eastAsia" w:ascii="宋体" w:hAnsi="宋体" w:eastAsia="宋体" w:cs="宋体"/>
                <w:i w:val="0"/>
                <w:iCs w:val="0"/>
                <w:color w:val="000000"/>
                <w:sz w:val="20"/>
                <w:szCs w:val="20"/>
                <w:u w:val="none"/>
              </w:rPr>
            </w:pP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4883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48</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8C1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石苇</w:t>
            </w:r>
          </w:p>
        </w:tc>
        <w:tc>
          <w:tcPr>
            <w:tcW w:w="5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B93D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kg</w:t>
            </w:r>
          </w:p>
        </w:tc>
        <w:tc>
          <w:tcPr>
            <w:tcW w:w="8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B107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53</w:t>
            </w:r>
          </w:p>
        </w:tc>
        <w:tc>
          <w:tcPr>
            <w:tcW w:w="21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EBA8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水龙骨科植物庐山石韦石韦或有柄石韦的干燥叶</w:t>
            </w:r>
          </w:p>
        </w:tc>
        <w:tc>
          <w:tcPr>
            <w:tcW w:w="51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5257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庐山石韦叶片略皱缩，展平后呈披针形，长10~25cm，宽3～5cm。先端渐尖，基部耳状偏斜，全缘，边缘常向内卷曲；上表面黄绿色或灰绿色，散布有黑色圆形小凹点；下表面密生红棕色星状毛，有的侧脉间布满棕色圆点状的孢子囊群。叶柄具四棱，长10~20cm，直径1.5～3mm，略扭曲，有纵槽。叶片革质。气微，味微涩苦。</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8DC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统货</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1EF1E">
            <w:pPr>
              <w:jc w:val="center"/>
              <w:rPr>
                <w:rFonts w:hint="eastAsia" w:ascii="宋体" w:hAnsi="宋体" w:eastAsia="宋体" w:cs="宋体"/>
                <w:i w:val="0"/>
                <w:iCs w:val="0"/>
                <w:color w:val="000000"/>
                <w:sz w:val="18"/>
                <w:szCs w:val="18"/>
                <w:u w:val="none"/>
              </w:rPr>
            </w:pPr>
          </w:p>
        </w:tc>
        <w:tc>
          <w:tcPr>
            <w:tcW w:w="11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D4D0AF">
            <w:pPr>
              <w:jc w:val="center"/>
              <w:rPr>
                <w:rFonts w:hint="eastAsia" w:ascii="宋体" w:hAnsi="宋体" w:eastAsia="宋体" w:cs="宋体"/>
                <w:i w:val="0"/>
                <w:iCs w:val="0"/>
                <w:color w:val="000000"/>
                <w:sz w:val="18"/>
                <w:szCs w:val="18"/>
                <w:u w:val="none"/>
              </w:rPr>
            </w:pPr>
          </w:p>
        </w:tc>
      </w:tr>
      <w:tr w14:paraId="05E82B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2" w:type="dxa"/>
          <w:trHeight w:val="470" w:hRule="atLeast"/>
        </w:trPr>
        <w:tc>
          <w:tcPr>
            <w:tcW w:w="9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ECD4F9">
            <w:pPr>
              <w:jc w:val="center"/>
              <w:rPr>
                <w:rFonts w:hint="eastAsia" w:ascii="宋体" w:hAnsi="宋体" w:eastAsia="宋体" w:cs="宋体"/>
                <w:i w:val="0"/>
                <w:iCs w:val="0"/>
                <w:color w:val="000000"/>
                <w:sz w:val="20"/>
                <w:szCs w:val="20"/>
                <w:u w:val="none"/>
              </w:rPr>
            </w:pP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454E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49</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8CA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水蛭</w:t>
            </w:r>
          </w:p>
        </w:tc>
        <w:tc>
          <w:tcPr>
            <w:tcW w:w="5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B80E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kg</w:t>
            </w:r>
          </w:p>
        </w:tc>
        <w:tc>
          <w:tcPr>
            <w:tcW w:w="8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0D07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3149.4</w:t>
            </w:r>
          </w:p>
        </w:tc>
        <w:tc>
          <w:tcPr>
            <w:tcW w:w="21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E087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水蛭科动物蚂蟥、水蛭的干燥全体</w:t>
            </w:r>
          </w:p>
        </w:tc>
        <w:tc>
          <w:tcPr>
            <w:tcW w:w="51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38DE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扁长圆柱形，体多弯曲扭转，长2~5cm，宽0.2~</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64F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统货</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D6E3B">
            <w:pPr>
              <w:jc w:val="center"/>
              <w:rPr>
                <w:rFonts w:hint="eastAsia" w:ascii="宋体" w:hAnsi="宋体" w:eastAsia="宋体" w:cs="宋体"/>
                <w:i w:val="0"/>
                <w:iCs w:val="0"/>
                <w:color w:val="000000"/>
                <w:sz w:val="18"/>
                <w:szCs w:val="18"/>
                <w:u w:val="none"/>
              </w:rPr>
            </w:pPr>
          </w:p>
        </w:tc>
        <w:tc>
          <w:tcPr>
            <w:tcW w:w="11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D6E872">
            <w:pPr>
              <w:jc w:val="center"/>
              <w:rPr>
                <w:rFonts w:hint="eastAsia" w:ascii="宋体" w:hAnsi="宋体" w:eastAsia="宋体" w:cs="宋体"/>
                <w:i w:val="0"/>
                <w:iCs w:val="0"/>
                <w:color w:val="000000"/>
                <w:sz w:val="18"/>
                <w:szCs w:val="18"/>
                <w:u w:val="none"/>
              </w:rPr>
            </w:pPr>
          </w:p>
        </w:tc>
      </w:tr>
      <w:tr w14:paraId="65532D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2" w:type="dxa"/>
          <w:trHeight w:val="1392" w:hRule="atLeast"/>
        </w:trPr>
        <w:tc>
          <w:tcPr>
            <w:tcW w:w="9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D7A92F">
            <w:pPr>
              <w:jc w:val="center"/>
              <w:rPr>
                <w:rFonts w:hint="eastAsia" w:ascii="宋体" w:hAnsi="宋体" w:eastAsia="宋体" w:cs="宋体"/>
                <w:i w:val="0"/>
                <w:iCs w:val="0"/>
                <w:color w:val="000000"/>
                <w:sz w:val="20"/>
                <w:szCs w:val="20"/>
                <w:u w:val="none"/>
              </w:rPr>
            </w:pP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B9B3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50</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03A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天冬</w:t>
            </w:r>
          </w:p>
        </w:tc>
        <w:tc>
          <w:tcPr>
            <w:tcW w:w="5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15A7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kg</w:t>
            </w:r>
          </w:p>
        </w:tc>
        <w:tc>
          <w:tcPr>
            <w:tcW w:w="8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92EE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193</w:t>
            </w:r>
          </w:p>
        </w:tc>
        <w:tc>
          <w:tcPr>
            <w:tcW w:w="21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D94E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百合科植物天冬的干燥块根。秋、冬二季采挖，洗净，除去茎基和须根，置沸水中煮或蒸至透心，趁热除去外皮，洗净，干燥。</w:t>
            </w:r>
          </w:p>
        </w:tc>
        <w:tc>
          <w:tcPr>
            <w:tcW w:w="51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AEEE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本品呈类圆形或不规则形的片。外表面黄白色至淡黄棕色，半透明，光滑或具深浅不等的纵皱纹，偶有残存的灰棕色外皮。质硬或柔润，有黏性。切面角质样，中柱黄白色。气微，味甜、微苦。</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50D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统货</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B0F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附检验合格单</w:t>
            </w:r>
          </w:p>
        </w:tc>
        <w:tc>
          <w:tcPr>
            <w:tcW w:w="11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7EE0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薄片，柔韧半透明</w:t>
            </w:r>
          </w:p>
        </w:tc>
      </w:tr>
      <w:tr w14:paraId="5D5FE3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2" w:type="dxa"/>
          <w:trHeight w:val="1982" w:hRule="atLeast"/>
        </w:trPr>
        <w:tc>
          <w:tcPr>
            <w:tcW w:w="9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27889B">
            <w:pPr>
              <w:jc w:val="center"/>
              <w:rPr>
                <w:rFonts w:hint="eastAsia" w:ascii="宋体" w:hAnsi="宋体" w:eastAsia="宋体" w:cs="宋体"/>
                <w:i w:val="0"/>
                <w:iCs w:val="0"/>
                <w:color w:val="000000"/>
                <w:sz w:val="20"/>
                <w:szCs w:val="20"/>
                <w:u w:val="none"/>
              </w:rPr>
            </w:pP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BD05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51</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D90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葶苈子</w:t>
            </w:r>
          </w:p>
        </w:tc>
        <w:tc>
          <w:tcPr>
            <w:tcW w:w="5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EB60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kg</w:t>
            </w:r>
          </w:p>
        </w:tc>
        <w:tc>
          <w:tcPr>
            <w:tcW w:w="8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E5BE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54.73</w:t>
            </w:r>
          </w:p>
        </w:tc>
        <w:tc>
          <w:tcPr>
            <w:tcW w:w="21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7B0B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十字花科植物播娘蒿或独行菜的干燥成熟种子。前者习称“南葶苈子”，后者习称“北葶苈子”。夏季果实成熟时采割植株，晒干，搓出种子，除去杂质。</w:t>
            </w:r>
          </w:p>
        </w:tc>
        <w:tc>
          <w:tcPr>
            <w:tcW w:w="51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8DB2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葶苈子呈长圆形略扁，长约0.8～1.2mm，宽约0.5mm。表面棕色或红棕色，微有光泽，具纵沟2条，其中1条较明显。一端钝圆，另端微凹或较平截，种脐类白色，位于凹人端或平截处。气微，味微辛、苦，略带黏性。北葶苈子呈扁卵形，长1～1.5mm，宽0.5～1mm。一端钝圆，另端尖而微凹，种脐位于凹人端。味微辛辣，黏性较强。</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996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统货</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334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附检验合格单</w:t>
            </w:r>
          </w:p>
        </w:tc>
        <w:tc>
          <w:tcPr>
            <w:tcW w:w="11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22B4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饱满，杂质少，无霉味</w:t>
            </w:r>
          </w:p>
        </w:tc>
      </w:tr>
      <w:tr w14:paraId="616235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2" w:type="dxa"/>
          <w:trHeight w:val="1162" w:hRule="atLeast"/>
        </w:trPr>
        <w:tc>
          <w:tcPr>
            <w:tcW w:w="9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3C4E9A">
            <w:pPr>
              <w:jc w:val="center"/>
              <w:rPr>
                <w:rFonts w:hint="eastAsia" w:ascii="宋体" w:hAnsi="宋体" w:eastAsia="宋体" w:cs="宋体"/>
                <w:i w:val="0"/>
                <w:iCs w:val="0"/>
                <w:color w:val="000000"/>
                <w:sz w:val="20"/>
                <w:szCs w:val="20"/>
                <w:u w:val="none"/>
              </w:rPr>
            </w:pP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CF8F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52</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4C7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菟丝子</w:t>
            </w:r>
          </w:p>
        </w:tc>
        <w:tc>
          <w:tcPr>
            <w:tcW w:w="5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5F02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kg</w:t>
            </w:r>
          </w:p>
        </w:tc>
        <w:tc>
          <w:tcPr>
            <w:tcW w:w="8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0666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73.6</w:t>
            </w:r>
          </w:p>
        </w:tc>
        <w:tc>
          <w:tcPr>
            <w:tcW w:w="21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9D89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旋花科植物南方菟丝子或菟丝子的干燥成熟种子。秋季果实成熟时采收植株，晒干，打下种子，除去杂质。</w:t>
            </w:r>
          </w:p>
        </w:tc>
        <w:tc>
          <w:tcPr>
            <w:tcW w:w="51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BE44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本品呈类球形，直径1～2mm。表面灰棕色至棕褐色，粗糙，种脐线形或扁圆形。质坚实，不易以指甲压碎。气微，味淡。</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F44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统货</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7BD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附检验合格单</w:t>
            </w:r>
          </w:p>
        </w:tc>
        <w:tc>
          <w:tcPr>
            <w:tcW w:w="11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F8D2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饱满，杂质小于3%</w:t>
            </w:r>
          </w:p>
        </w:tc>
      </w:tr>
      <w:tr w14:paraId="508871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2" w:type="dxa"/>
          <w:trHeight w:val="1162" w:hRule="atLeast"/>
        </w:trPr>
        <w:tc>
          <w:tcPr>
            <w:tcW w:w="9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41D362">
            <w:pPr>
              <w:jc w:val="center"/>
              <w:rPr>
                <w:rFonts w:hint="eastAsia" w:ascii="宋体" w:hAnsi="宋体" w:eastAsia="宋体" w:cs="宋体"/>
                <w:i w:val="0"/>
                <w:iCs w:val="0"/>
                <w:color w:val="000000"/>
                <w:sz w:val="20"/>
                <w:szCs w:val="20"/>
                <w:u w:val="none"/>
              </w:rPr>
            </w:pP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378E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53</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030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乌药</w:t>
            </w:r>
          </w:p>
        </w:tc>
        <w:tc>
          <w:tcPr>
            <w:tcW w:w="5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518D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kg</w:t>
            </w:r>
          </w:p>
        </w:tc>
        <w:tc>
          <w:tcPr>
            <w:tcW w:w="8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D9A5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51.5</w:t>
            </w:r>
          </w:p>
        </w:tc>
        <w:tc>
          <w:tcPr>
            <w:tcW w:w="21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000E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樟科植物乌药的干燥块根。全年均可采挖，除去细根，洗净，趁鲜切片，晒干，或直接晒干。</w:t>
            </w:r>
          </w:p>
        </w:tc>
        <w:tc>
          <w:tcPr>
            <w:tcW w:w="51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BED5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本品呈类圆形的薄片。外表皮黄棕色或黄褐色。切面黄白色或淡黄棕色，射线放射状，可见年轮环纹。质脆。气香，味微苦、辛，有清凉感。</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207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统货</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6F3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附检验合格单</w:t>
            </w:r>
          </w:p>
        </w:tc>
        <w:tc>
          <w:tcPr>
            <w:tcW w:w="11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6EFB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圆形薄片，气清凉，形成层环明显，直径1cm以上</w:t>
            </w:r>
          </w:p>
        </w:tc>
      </w:tr>
      <w:tr w14:paraId="6EA354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2" w:type="dxa"/>
          <w:trHeight w:val="1418" w:hRule="atLeast"/>
        </w:trPr>
        <w:tc>
          <w:tcPr>
            <w:tcW w:w="9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2C2D40">
            <w:pPr>
              <w:jc w:val="center"/>
              <w:rPr>
                <w:rFonts w:hint="eastAsia" w:ascii="宋体" w:hAnsi="宋体" w:eastAsia="宋体" w:cs="宋体"/>
                <w:i w:val="0"/>
                <w:iCs w:val="0"/>
                <w:color w:val="000000"/>
                <w:sz w:val="20"/>
                <w:szCs w:val="20"/>
                <w:u w:val="none"/>
              </w:rPr>
            </w:pP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70CA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54</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360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五味子</w:t>
            </w:r>
          </w:p>
        </w:tc>
        <w:tc>
          <w:tcPr>
            <w:tcW w:w="5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5092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kg</w:t>
            </w:r>
          </w:p>
        </w:tc>
        <w:tc>
          <w:tcPr>
            <w:tcW w:w="8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1E45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183</w:t>
            </w:r>
          </w:p>
        </w:tc>
        <w:tc>
          <w:tcPr>
            <w:tcW w:w="21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E883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木兰科植物五味子的干燥成熟果实。习称“北五味子”。秋季果实成熟时采摘，晒干或蒸后晒干，除去果梗和杂质。</w:t>
            </w:r>
          </w:p>
        </w:tc>
        <w:tc>
          <w:tcPr>
            <w:tcW w:w="51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E7BF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本品呈不规则的球形或扁球形，直径5～8mm。表面红色、紫红色或暗红色，皱缩，显油润；有的表面呈黑红色或出现“白霜”。果肉柔软，种子1～2，肾形，表面棕黄色，有光泽，种皮薄而脆。果肉气微，味酸；种子破碎后，有香气，味辛、微苦。</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EA1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统货</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BC2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附检验合格单</w:t>
            </w:r>
          </w:p>
        </w:tc>
        <w:tc>
          <w:tcPr>
            <w:tcW w:w="11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9655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北五味子，肉厚，油润，味酸，均匀</w:t>
            </w:r>
          </w:p>
        </w:tc>
      </w:tr>
      <w:tr w14:paraId="515325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2" w:type="dxa"/>
          <w:trHeight w:val="1418" w:hRule="atLeast"/>
        </w:trPr>
        <w:tc>
          <w:tcPr>
            <w:tcW w:w="9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67D17B">
            <w:pPr>
              <w:jc w:val="center"/>
              <w:rPr>
                <w:rFonts w:hint="eastAsia" w:ascii="宋体" w:hAnsi="宋体" w:eastAsia="宋体" w:cs="宋体"/>
                <w:i w:val="0"/>
                <w:iCs w:val="0"/>
                <w:color w:val="000000"/>
                <w:sz w:val="20"/>
                <w:szCs w:val="20"/>
                <w:u w:val="none"/>
              </w:rPr>
            </w:pP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31D0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55</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D6F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豨莶草</w:t>
            </w:r>
          </w:p>
        </w:tc>
        <w:tc>
          <w:tcPr>
            <w:tcW w:w="5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2C31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kg</w:t>
            </w:r>
          </w:p>
        </w:tc>
        <w:tc>
          <w:tcPr>
            <w:tcW w:w="8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EC2D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18.4</w:t>
            </w:r>
          </w:p>
        </w:tc>
        <w:tc>
          <w:tcPr>
            <w:tcW w:w="21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A9B3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菊科植物豨莶、腺梗豨莶或毛梗豨莶的干燥地上部分。夏、秋二季花开前和花期均可采割，除去杂质，晒干。</w:t>
            </w:r>
          </w:p>
        </w:tc>
        <w:tc>
          <w:tcPr>
            <w:tcW w:w="51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2FD9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本品呈不规则的段。茎略呈方柱形，表面灰绿色、黄棕色或紫棕色，有纵沟和细纵纹，被灰色柔毛。切面髓部类白色。叶多破碎，灰绿色，边缘有钝锯齿，两面皆具白色柔毛。有时可见黄色头状花序。气微，味微苦。</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DEE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统货</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E5182">
            <w:pPr>
              <w:jc w:val="center"/>
              <w:rPr>
                <w:rFonts w:hint="eastAsia" w:ascii="宋体" w:hAnsi="宋体" w:eastAsia="宋体" w:cs="宋体"/>
                <w:i w:val="0"/>
                <w:iCs w:val="0"/>
                <w:color w:val="000000"/>
                <w:sz w:val="18"/>
                <w:szCs w:val="18"/>
                <w:u w:val="none"/>
              </w:rPr>
            </w:pPr>
          </w:p>
        </w:tc>
        <w:tc>
          <w:tcPr>
            <w:tcW w:w="11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9B88BC">
            <w:pPr>
              <w:jc w:val="center"/>
              <w:rPr>
                <w:rFonts w:hint="eastAsia" w:ascii="宋体" w:hAnsi="宋体" w:eastAsia="宋体" w:cs="宋体"/>
                <w:i w:val="0"/>
                <w:iCs w:val="0"/>
                <w:color w:val="000000"/>
                <w:sz w:val="18"/>
                <w:szCs w:val="18"/>
                <w:u w:val="none"/>
              </w:rPr>
            </w:pPr>
          </w:p>
        </w:tc>
      </w:tr>
      <w:tr w14:paraId="1A1EE6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2" w:type="dxa"/>
          <w:trHeight w:val="4234" w:hRule="atLeast"/>
        </w:trPr>
        <w:tc>
          <w:tcPr>
            <w:tcW w:w="9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DD4AB2">
            <w:pPr>
              <w:jc w:val="center"/>
              <w:rPr>
                <w:rFonts w:hint="eastAsia" w:ascii="宋体" w:hAnsi="宋体" w:eastAsia="宋体" w:cs="宋体"/>
                <w:i w:val="0"/>
                <w:iCs w:val="0"/>
                <w:color w:val="000000"/>
                <w:sz w:val="20"/>
                <w:szCs w:val="20"/>
                <w:u w:val="none"/>
              </w:rPr>
            </w:pP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D32C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56</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6C5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辛夷</w:t>
            </w:r>
          </w:p>
        </w:tc>
        <w:tc>
          <w:tcPr>
            <w:tcW w:w="5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AC2A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kg</w:t>
            </w:r>
          </w:p>
        </w:tc>
        <w:tc>
          <w:tcPr>
            <w:tcW w:w="8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182F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144</w:t>
            </w:r>
          </w:p>
        </w:tc>
        <w:tc>
          <w:tcPr>
            <w:tcW w:w="21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B0E1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木兰科植物望春花、玉兰或武当玉兰的干燥花蕾。冬末春初花未开放时采收，除去枝梗，阴干。</w:t>
            </w:r>
          </w:p>
        </w:tc>
        <w:tc>
          <w:tcPr>
            <w:tcW w:w="51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E6FE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望春花呈长卵形，似毛笔头，长1.2～2.5cm，直径0.8～1.5cm。基部常具短梗，长约5mm，梗上有类白色点状皮孔。苞片2～3层，每层2片，两层苞片间有小鳞芽，苞片外表面密被灰白色或灰绿色茸毛，内表面类棕色，无毛。花被片9，棕色，外轮花被片3，条形，约为内两轮长的1/4，呈萼片状，内两轮花被片6，每轮3，轮状排列。雄蕊和雌蕊多数，螺旋状排列。体轻，质脆。气芳香，味辛凉而稍苦。玉兰长1.5～3cm，直径1～1.5cm。基部枝梗较粗壮，皮孔浅棕色。苞片外表面密被灰白色或灰绿色茸毛。花被片9，内外轮同型。武当玉兰长2~4cm，直径1～2cm。基部枝梗粗壮，皮孔红棕色。苞片外表面密被淡黄色或淡黄绿色茸毛，有的最外层苞片茸毛已脱落而呈黑褐色花被片10～12（15），内外轮无显著差异。</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7C3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统货</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EB2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附检验合格单</w:t>
            </w:r>
          </w:p>
        </w:tc>
        <w:tc>
          <w:tcPr>
            <w:tcW w:w="11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6AFF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花朵饱满，均匀</w:t>
            </w:r>
          </w:p>
        </w:tc>
      </w:tr>
      <w:tr w14:paraId="2856DA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2" w:type="dxa"/>
          <w:trHeight w:val="2263" w:hRule="atLeast"/>
        </w:trPr>
        <w:tc>
          <w:tcPr>
            <w:tcW w:w="9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654BE7">
            <w:pPr>
              <w:jc w:val="center"/>
              <w:rPr>
                <w:rFonts w:hint="eastAsia" w:ascii="宋体" w:hAnsi="宋体" w:eastAsia="宋体" w:cs="宋体"/>
                <w:i w:val="0"/>
                <w:iCs w:val="0"/>
                <w:color w:val="000000"/>
                <w:sz w:val="20"/>
                <w:szCs w:val="20"/>
                <w:u w:val="none"/>
              </w:rPr>
            </w:pP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9178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57</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FB2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旋覆花</w:t>
            </w:r>
          </w:p>
        </w:tc>
        <w:tc>
          <w:tcPr>
            <w:tcW w:w="5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1E26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kg</w:t>
            </w:r>
          </w:p>
        </w:tc>
        <w:tc>
          <w:tcPr>
            <w:tcW w:w="8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C5AC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104.65</w:t>
            </w:r>
          </w:p>
        </w:tc>
        <w:tc>
          <w:tcPr>
            <w:tcW w:w="21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0CF5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菊科植物旋覆花或欧亚旋覆花的干燥头状花序</w:t>
            </w:r>
          </w:p>
        </w:tc>
        <w:tc>
          <w:tcPr>
            <w:tcW w:w="51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348A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本品呈扁球形或类球形，直径1～2cm。总苞由多数苞片组成，呈覆瓦状排列，苞片披针形或条形，灰黄色，长4~11mm；总苞基部有时残留花梗，苞片及花梗表面被白色茸毛，舌状花1列，黄色，长约1cm，多卷曲，常脱落，先端3齿裂；管状花多数，棕黄色，长约5mm，先端5齿裂；子房顶端有多数白色冠毛，长5～6mm。有的可见椭圆形小瘦果。体轻，易散碎。气微，味微苦。</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8D1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统货</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14A27">
            <w:pPr>
              <w:jc w:val="center"/>
              <w:rPr>
                <w:rFonts w:hint="eastAsia" w:ascii="宋体" w:hAnsi="宋体" w:eastAsia="宋体" w:cs="宋体"/>
                <w:i w:val="0"/>
                <w:iCs w:val="0"/>
                <w:color w:val="000000"/>
                <w:sz w:val="18"/>
                <w:szCs w:val="18"/>
                <w:u w:val="none"/>
              </w:rPr>
            </w:pPr>
          </w:p>
        </w:tc>
        <w:tc>
          <w:tcPr>
            <w:tcW w:w="11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16C78C">
            <w:pPr>
              <w:jc w:val="center"/>
              <w:rPr>
                <w:rFonts w:hint="eastAsia" w:ascii="宋体" w:hAnsi="宋体" w:eastAsia="宋体" w:cs="宋体"/>
                <w:i w:val="0"/>
                <w:iCs w:val="0"/>
                <w:color w:val="000000"/>
                <w:sz w:val="18"/>
                <w:szCs w:val="18"/>
                <w:u w:val="none"/>
              </w:rPr>
            </w:pPr>
          </w:p>
        </w:tc>
      </w:tr>
      <w:tr w14:paraId="627E93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2" w:type="dxa"/>
          <w:trHeight w:val="854" w:hRule="atLeast"/>
        </w:trPr>
        <w:tc>
          <w:tcPr>
            <w:tcW w:w="9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0ADA9D">
            <w:pPr>
              <w:jc w:val="center"/>
              <w:rPr>
                <w:rFonts w:hint="eastAsia" w:ascii="宋体" w:hAnsi="宋体" w:eastAsia="宋体" w:cs="宋体"/>
                <w:i w:val="0"/>
                <w:iCs w:val="0"/>
                <w:color w:val="000000"/>
                <w:sz w:val="20"/>
                <w:szCs w:val="20"/>
                <w:u w:val="none"/>
              </w:rPr>
            </w:pP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8C85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58</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8DB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延胡索</w:t>
            </w:r>
          </w:p>
        </w:tc>
        <w:tc>
          <w:tcPr>
            <w:tcW w:w="5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6DFB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kg</w:t>
            </w:r>
          </w:p>
        </w:tc>
        <w:tc>
          <w:tcPr>
            <w:tcW w:w="8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CE8A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305.9</w:t>
            </w:r>
          </w:p>
        </w:tc>
        <w:tc>
          <w:tcPr>
            <w:tcW w:w="21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2DC0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罂粟科植物延胡索的干燥块茎</w:t>
            </w:r>
          </w:p>
        </w:tc>
        <w:tc>
          <w:tcPr>
            <w:tcW w:w="51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F3A9D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呈不规则的圆形厚片。外表皮黄色或黄褐色，有不规则细皱纹。切面黄色，角质样，具蜡样光泽。气微，味苦</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D67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统货</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1EA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附检验合格单</w:t>
            </w:r>
          </w:p>
        </w:tc>
        <w:tc>
          <w:tcPr>
            <w:tcW w:w="11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B8C765">
            <w:pPr>
              <w:jc w:val="center"/>
              <w:rPr>
                <w:rFonts w:hint="eastAsia" w:ascii="宋体" w:hAnsi="宋体" w:eastAsia="宋体" w:cs="宋体"/>
                <w:i w:val="0"/>
                <w:iCs w:val="0"/>
                <w:color w:val="000000"/>
                <w:sz w:val="18"/>
                <w:szCs w:val="18"/>
                <w:u w:val="none"/>
              </w:rPr>
            </w:pPr>
          </w:p>
        </w:tc>
      </w:tr>
      <w:tr w14:paraId="6867B8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2" w:type="dxa"/>
          <w:trHeight w:val="1418" w:hRule="atLeast"/>
        </w:trPr>
        <w:tc>
          <w:tcPr>
            <w:tcW w:w="9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43B821">
            <w:pPr>
              <w:jc w:val="center"/>
              <w:rPr>
                <w:rFonts w:hint="eastAsia" w:ascii="宋体" w:hAnsi="宋体" w:eastAsia="宋体" w:cs="宋体"/>
                <w:i w:val="0"/>
                <w:iCs w:val="0"/>
                <w:color w:val="000000"/>
                <w:sz w:val="20"/>
                <w:szCs w:val="20"/>
                <w:u w:val="none"/>
              </w:rPr>
            </w:pP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AF79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59</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6B2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薏苡仁</w:t>
            </w:r>
          </w:p>
        </w:tc>
        <w:tc>
          <w:tcPr>
            <w:tcW w:w="5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DC54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kg</w:t>
            </w:r>
          </w:p>
        </w:tc>
        <w:tc>
          <w:tcPr>
            <w:tcW w:w="8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3339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30</w:t>
            </w:r>
          </w:p>
        </w:tc>
        <w:tc>
          <w:tcPr>
            <w:tcW w:w="21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849D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禾本科植物薏苡薏苡的干燥成熟种仁</w:t>
            </w:r>
          </w:p>
        </w:tc>
        <w:tc>
          <w:tcPr>
            <w:tcW w:w="51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5F34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本品呈宽卵形或长椭圆形，长4～8mm，宽3～6mm。表面乳白色，光滑，偶有残存的黄褐色种皮；一端钝圆，另端较宽而微凹，有1淡棕色点状种脐；背面圆凸，腹面有1条较宽而深的纵沟。质坚实，断面白色，粉性。气微，味微甜。</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139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统货</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4AB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附检验合格单</w:t>
            </w:r>
          </w:p>
        </w:tc>
        <w:tc>
          <w:tcPr>
            <w:tcW w:w="11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2585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小薏苡仁，颗粒饱满碎粒小于5%，色青白，大小均匀</w:t>
            </w:r>
          </w:p>
        </w:tc>
      </w:tr>
      <w:tr w14:paraId="567D69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2" w:type="dxa"/>
          <w:trHeight w:val="1418" w:hRule="atLeast"/>
        </w:trPr>
        <w:tc>
          <w:tcPr>
            <w:tcW w:w="9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730079">
            <w:pPr>
              <w:jc w:val="center"/>
              <w:rPr>
                <w:rFonts w:hint="eastAsia" w:ascii="宋体" w:hAnsi="宋体" w:eastAsia="宋体" w:cs="宋体"/>
                <w:i w:val="0"/>
                <w:iCs w:val="0"/>
                <w:color w:val="000000"/>
                <w:sz w:val="20"/>
                <w:szCs w:val="20"/>
                <w:u w:val="none"/>
              </w:rPr>
            </w:pP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7F96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60</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10C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郁李仁</w:t>
            </w:r>
          </w:p>
        </w:tc>
        <w:tc>
          <w:tcPr>
            <w:tcW w:w="5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3C0C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kg</w:t>
            </w:r>
          </w:p>
        </w:tc>
        <w:tc>
          <w:tcPr>
            <w:tcW w:w="8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D16E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246</w:t>
            </w:r>
          </w:p>
        </w:tc>
        <w:tc>
          <w:tcPr>
            <w:tcW w:w="21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508A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蔷薇科植物欧李、郁李或长柄扁桃的干火成熟种子。</w:t>
            </w:r>
          </w:p>
        </w:tc>
        <w:tc>
          <w:tcPr>
            <w:tcW w:w="51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AB70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呈卵形，长5~8mm，直径3~5mm。表面黄白色或浅棕色，一端尖，另端钝圆。尖端一侧有线形种脐，圆端中央有深色合点，自合点处向上具多条纵向维管束脉纹。种皮薄，子叶2，乳白色，富油性。气微，味微苦。</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C7C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统货</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5BD68">
            <w:pPr>
              <w:jc w:val="center"/>
              <w:rPr>
                <w:rFonts w:hint="eastAsia" w:ascii="宋体" w:hAnsi="宋体" w:eastAsia="宋体" w:cs="宋体"/>
                <w:i w:val="0"/>
                <w:iCs w:val="0"/>
                <w:color w:val="000000"/>
                <w:sz w:val="18"/>
                <w:szCs w:val="18"/>
                <w:u w:val="none"/>
              </w:rPr>
            </w:pPr>
          </w:p>
        </w:tc>
        <w:tc>
          <w:tcPr>
            <w:tcW w:w="11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E147A8">
            <w:pPr>
              <w:jc w:val="center"/>
              <w:rPr>
                <w:rFonts w:hint="eastAsia" w:ascii="宋体" w:hAnsi="宋体" w:eastAsia="宋体" w:cs="宋体"/>
                <w:i w:val="0"/>
                <w:iCs w:val="0"/>
                <w:color w:val="000000"/>
                <w:sz w:val="18"/>
                <w:szCs w:val="18"/>
                <w:u w:val="none"/>
              </w:rPr>
            </w:pPr>
          </w:p>
        </w:tc>
      </w:tr>
      <w:tr w14:paraId="7BACFB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2" w:type="dxa"/>
          <w:trHeight w:val="1699" w:hRule="atLeast"/>
        </w:trPr>
        <w:tc>
          <w:tcPr>
            <w:tcW w:w="9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ECCB8E">
            <w:pPr>
              <w:jc w:val="center"/>
              <w:rPr>
                <w:rFonts w:hint="eastAsia" w:ascii="宋体" w:hAnsi="宋体" w:eastAsia="宋体" w:cs="宋体"/>
                <w:i w:val="0"/>
                <w:iCs w:val="0"/>
                <w:color w:val="000000"/>
                <w:sz w:val="20"/>
                <w:szCs w:val="20"/>
                <w:u w:val="none"/>
              </w:rPr>
            </w:pP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B017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61</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912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浙贝母</w:t>
            </w:r>
          </w:p>
        </w:tc>
        <w:tc>
          <w:tcPr>
            <w:tcW w:w="5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9125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kg</w:t>
            </w:r>
          </w:p>
        </w:tc>
        <w:tc>
          <w:tcPr>
            <w:tcW w:w="8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CAF5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289</w:t>
            </w:r>
          </w:p>
        </w:tc>
        <w:tc>
          <w:tcPr>
            <w:tcW w:w="21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12AB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为百合科贝母属植物浙贝母的鳞茎</w:t>
            </w:r>
          </w:p>
        </w:tc>
        <w:tc>
          <w:tcPr>
            <w:tcW w:w="51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F0D7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浙贝母为类圆形的厚片或碎块，有的具心芽。外皮黄褐色或灰褐色，略皱缩；或淡黄白色，较光滑或被有白色粉末。切面微鼓起或平坦，灰白色或粉白色，略角质状或富粉性。多质坚硬，易折断;或质硬，断面灰白色或白色，有的浅黄棕色。气微，味苦。</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496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统货</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3B0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附检验合格单</w:t>
            </w:r>
          </w:p>
        </w:tc>
        <w:tc>
          <w:tcPr>
            <w:tcW w:w="11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FCF9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肾形厚片，表面白色，畜粉性</w:t>
            </w:r>
          </w:p>
        </w:tc>
      </w:tr>
      <w:tr w14:paraId="17DD4D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2" w:type="dxa"/>
          <w:trHeight w:val="1876" w:hRule="atLeast"/>
        </w:trPr>
        <w:tc>
          <w:tcPr>
            <w:tcW w:w="9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100CC8">
            <w:pPr>
              <w:jc w:val="center"/>
              <w:rPr>
                <w:rFonts w:hint="eastAsia" w:ascii="宋体" w:hAnsi="宋体" w:eastAsia="宋体" w:cs="宋体"/>
                <w:i w:val="0"/>
                <w:iCs w:val="0"/>
                <w:color w:val="000000"/>
                <w:sz w:val="20"/>
                <w:szCs w:val="20"/>
                <w:u w:val="none"/>
              </w:rPr>
            </w:pP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5797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62</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593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枳壳</w:t>
            </w:r>
          </w:p>
        </w:tc>
        <w:tc>
          <w:tcPr>
            <w:tcW w:w="5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8486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kg</w:t>
            </w:r>
          </w:p>
        </w:tc>
        <w:tc>
          <w:tcPr>
            <w:tcW w:w="8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717C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44.85</w:t>
            </w:r>
          </w:p>
        </w:tc>
        <w:tc>
          <w:tcPr>
            <w:tcW w:w="21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D561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芸香科植物酸橙及其栽培变种的干燥未成熟果实</w:t>
            </w:r>
          </w:p>
        </w:tc>
        <w:tc>
          <w:tcPr>
            <w:tcW w:w="51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C3C6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本品呈半球形，直径3～5cm。外果皮棕褐色至褐色，有颗粒状突起，突起的顶端有凹点状油室；有明显的花柱残迹或果梗痕。切面中果皮黄白色，光滑而稍隆起，厚0.4～1.3cm，边缘散有1～2列油室，瓤囊7～12瓣，少数至15瓣，汁囊干缩呈棕色至棕褐色，内藏种子。质坚硬，不易折断。气清香，味苦、微酸。</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200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统货</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AA0D4">
            <w:pPr>
              <w:jc w:val="center"/>
              <w:rPr>
                <w:rFonts w:hint="eastAsia" w:ascii="宋体" w:hAnsi="宋体" w:eastAsia="宋体" w:cs="宋体"/>
                <w:i w:val="0"/>
                <w:iCs w:val="0"/>
                <w:color w:val="000000"/>
                <w:sz w:val="18"/>
                <w:szCs w:val="18"/>
                <w:u w:val="none"/>
              </w:rPr>
            </w:pPr>
          </w:p>
        </w:tc>
        <w:tc>
          <w:tcPr>
            <w:tcW w:w="11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55C49A">
            <w:pPr>
              <w:jc w:val="center"/>
              <w:rPr>
                <w:rFonts w:hint="eastAsia" w:ascii="宋体" w:hAnsi="宋体" w:eastAsia="宋体" w:cs="宋体"/>
                <w:i w:val="0"/>
                <w:iCs w:val="0"/>
                <w:color w:val="000000"/>
                <w:sz w:val="18"/>
                <w:szCs w:val="18"/>
                <w:u w:val="none"/>
              </w:rPr>
            </w:pPr>
          </w:p>
        </w:tc>
      </w:tr>
      <w:tr w14:paraId="21B5BA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2" w:type="dxa"/>
          <w:trHeight w:val="854" w:hRule="atLeast"/>
        </w:trPr>
        <w:tc>
          <w:tcPr>
            <w:tcW w:w="9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93F3E5">
            <w:pPr>
              <w:jc w:val="center"/>
              <w:rPr>
                <w:rFonts w:hint="eastAsia" w:ascii="宋体" w:hAnsi="宋体" w:eastAsia="宋体" w:cs="宋体"/>
                <w:i w:val="0"/>
                <w:iCs w:val="0"/>
                <w:color w:val="000000"/>
                <w:sz w:val="20"/>
                <w:szCs w:val="20"/>
                <w:u w:val="none"/>
              </w:rPr>
            </w:pP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D08B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63</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37E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制何首乌</w:t>
            </w:r>
          </w:p>
        </w:tc>
        <w:tc>
          <w:tcPr>
            <w:tcW w:w="5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7718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kg</w:t>
            </w:r>
          </w:p>
        </w:tc>
        <w:tc>
          <w:tcPr>
            <w:tcW w:w="8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C734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49</w:t>
            </w:r>
          </w:p>
        </w:tc>
        <w:tc>
          <w:tcPr>
            <w:tcW w:w="21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5A2E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为何首乌的炮制加工品</w:t>
            </w:r>
          </w:p>
        </w:tc>
        <w:tc>
          <w:tcPr>
            <w:tcW w:w="51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CE1F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本品呈不规则皱缩状的块片，厚约lcm。表面黑褐色或棕褐色，凹凸不平。质坚硬，断面角质样，棕褐色或黑色。气微，味微甘而苦涩。</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4B9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统货</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70C5C">
            <w:pPr>
              <w:jc w:val="center"/>
              <w:rPr>
                <w:rFonts w:hint="eastAsia" w:ascii="宋体" w:hAnsi="宋体" w:eastAsia="宋体" w:cs="宋体"/>
                <w:i w:val="0"/>
                <w:iCs w:val="0"/>
                <w:color w:val="000000"/>
                <w:sz w:val="18"/>
                <w:szCs w:val="18"/>
                <w:u w:val="none"/>
              </w:rPr>
            </w:pPr>
          </w:p>
        </w:tc>
        <w:tc>
          <w:tcPr>
            <w:tcW w:w="11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716B35">
            <w:pPr>
              <w:jc w:val="center"/>
              <w:rPr>
                <w:rFonts w:hint="eastAsia" w:ascii="宋体" w:hAnsi="宋体" w:eastAsia="宋体" w:cs="宋体"/>
                <w:i w:val="0"/>
                <w:iCs w:val="0"/>
                <w:color w:val="000000"/>
                <w:sz w:val="18"/>
                <w:szCs w:val="18"/>
                <w:u w:val="none"/>
              </w:rPr>
            </w:pPr>
          </w:p>
        </w:tc>
      </w:tr>
      <w:tr w14:paraId="5BC8F8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2" w:type="dxa"/>
          <w:trHeight w:val="854" w:hRule="atLeast"/>
        </w:trPr>
        <w:tc>
          <w:tcPr>
            <w:tcW w:w="9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7CB78A">
            <w:pPr>
              <w:jc w:val="center"/>
              <w:rPr>
                <w:rFonts w:hint="eastAsia" w:ascii="宋体" w:hAnsi="宋体" w:eastAsia="宋体" w:cs="宋体"/>
                <w:i w:val="0"/>
                <w:iCs w:val="0"/>
                <w:color w:val="000000"/>
                <w:sz w:val="20"/>
                <w:szCs w:val="20"/>
                <w:u w:val="none"/>
              </w:rPr>
            </w:pP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4956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64</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192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竹茹</w:t>
            </w:r>
          </w:p>
        </w:tc>
        <w:tc>
          <w:tcPr>
            <w:tcW w:w="5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7AAF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kg</w:t>
            </w:r>
          </w:p>
        </w:tc>
        <w:tc>
          <w:tcPr>
            <w:tcW w:w="8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0250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21.85</w:t>
            </w:r>
          </w:p>
        </w:tc>
        <w:tc>
          <w:tcPr>
            <w:tcW w:w="21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D780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禾本科植物青秆竹、大头典竹或淡竹的茎秆的干燥中间层。</w:t>
            </w:r>
          </w:p>
        </w:tc>
        <w:tc>
          <w:tcPr>
            <w:tcW w:w="51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27B8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本品为卷曲成团的不规则丝条或呈长条形薄片状。宽窄厚薄不等，浅绿色、黄绿色或黄白色。纤维性，体轻松，质柔韧，有弹性。气微，味淡。</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DA4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统货</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A5C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附检验合格单</w:t>
            </w:r>
          </w:p>
        </w:tc>
        <w:tc>
          <w:tcPr>
            <w:tcW w:w="11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E091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段或团都可以</w:t>
            </w:r>
          </w:p>
        </w:tc>
      </w:tr>
      <w:tr w14:paraId="2A5792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2" w:type="dxa"/>
          <w:trHeight w:val="1418" w:hRule="atLeast"/>
        </w:trPr>
        <w:tc>
          <w:tcPr>
            <w:tcW w:w="9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323062">
            <w:pPr>
              <w:jc w:val="center"/>
              <w:rPr>
                <w:rFonts w:hint="eastAsia" w:ascii="宋体" w:hAnsi="宋体" w:eastAsia="宋体" w:cs="宋体"/>
                <w:i w:val="0"/>
                <w:iCs w:val="0"/>
                <w:color w:val="000000"/>
                <w:sz w:val="20"/>
                <w:szCs w:val="20"/>
                <w:u w:val="none"/>
              </w:rPr>
            </w:pP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7CD9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65</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C25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紫苏子</w:t>
            </w:r>
          </w:p>
        </w:tc>
        <w:tc>
          <w:tcPr>
            <w:tcW w:w="5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55CC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kg</w:t>
            </w:r>
          </w:p>
        </w:tc>
        <w:tc>
          <w:tcPr>
            <w:tcW w:w="8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84B2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46</w:t>
            </w:r>
          </w:p>
        </w:tc>
        <w:tc>
          <w:tcPr>
            <w:tcW w:w="21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4674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品为唇形科植物紫苏.的干燥成熟果实。秋季果实成熟时采收，除去杂质，晒干。</w:t>
            </w:r>
          </w:p>
        </w:tc>
        <w:tc>
          <w:tcPr>
            <w:tcW w:w="51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F309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品呈卵圆形或类球形，直径约1.5mm。表面灰棕色或灰褐色，有微隆起的暗紫色网纹，基部稍尖，有灰白色点状果梗痕。果皮薄而脆，易压碎。种子黄白色，种皮膜质，子叶2，类白色，有油性。压碎有香气，味微辛。</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F81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统货</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4B21E">
            <w:pPr>
              <w:jc w:val="center"/>
              <w:rPr>
                <w:rFonts w:hint="eastAsia" w:ascii="宋体" w:hAnsi="宋体" w:eastAsia="宋体" w:cs="宋体"/>
                <w:i w:val="0"/>
                <w:iCs w:val="0"/>
                <w:color w:val="000000"/>
                <w:sz w:val="18"/>
                <w:szCs w:val="18"/>
                <w:u w:val="none"/>
              </w:rPr>
            </w:pPr>
          </w:p>
        </w:tc>
        <w:tc>
          <w:tcPr>
            <w:tcW w:w="11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D8AF03">
            <w:pPr>
              <w:jc w:val="center"/>
              <w:rPr>
                <w:rFonts w:hint="eastAsia" w:ascii="宋体" w:hAnsi="宋体" w:eastAsia="宋体" w:cs="宋体"/>
                <w:i w:val="0"/>
                <w:iCs w:val="0"/>
                <w:color w:val="000000"/>
                <w:sz w:val="18"/>
                <w:szCs w:val="18"/>
                <w:u w:val="none"/>
              </w:rPr>
            </w:pPr>
          </w:p>
        </w:tc>
      </w:tr>
      <w:tr w14:paraId="3C3882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2" w:type="dxa"/>
          <w:trHeight w:val="778" w:hRule="atLeast"/>
        </w:trPr>
        <w:tc>
          <w:tcPr>
            <w:tcW w:w="9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1C6C05">
            <w:pPr>
              <w:jc w:val="center"/>
              <w:rPr>
                <w:rFonts w:hint="eastAsia" w:ascii="宋体" w:hAnsi="宋体" w:eastAsia="宋体" w:cs="宋体"/>
                <w:i w:val="0"/>
                <w:iCs w:val="0"/>
                <w:color w:val="000000"/>
                <w:sz w:val="20"/>
                <w:szCs w:val="20"/>
                <w:u w:val="none"/>
              </w:rPr>
            </w:pP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4E5B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66</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147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芦荟</w:t>
            </w:r>
          </w:p>
        </w:tc>
        <w:tc>
          <w:tcPr>
            <w:tcW w:w="5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FD2E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kg</w:t>
            </w:r>
          </w:p>
        </w:tc>
        <w:tc>
          <w:tcPr>
            <w:tcW w:w="8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8AD9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157.55</w:t>
            </w:r>
          </w:p>
        </w:tc>
        <w:tc>
          <w:tcPr>
            <w:tcW w:w="21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FDFD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来源禾本科植物芦苇的新鲜或干燥根茎。</w:t>
            </w:r>
          </w:p>
        </w:tc>
        <w:tc>
          <w:tcPr>
            <w:tcW w:w="51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60330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本品呈扁圆柱形段。表面黄白色，节间有纵皱纹。切面中空，有小孔排列成环</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7FB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统货</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119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附检验合格单</w:t>
            </w:r>
          </w:p>
        </w:tc>
        <w:tc>
          <w:tcPr>
            <w:tcW w:w="11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87B5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直径1cm以上，有光泽，切段</w:t>
            </w:r>
          </w:p>
        </w:tc>
      </w:tr>
      <w:tr w14:paraId="6F37D9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2" w:type="dxa"/>
          <w:trHeight w:val="854" w:hRule="atLeast"/>
        </w:trPr>
        <w:tc>
          <w:tcPr>
            <w:tcW w:w="9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3DD91D">
            <w:pPr>
              <w:jc w:val="center"/>
              <w:rPr>
                <w:rFonts w:hint="eastAsia" w:ascii="宋体" w:hAnsi="宋体" w:eastAsia="宋体" w:cs="宋体"/>
                <w:i w:val="0"/>
                <w:iCs w:val="0"/>
                <w:color w:val="000000"/>
                <w:sz w:val="20"/>
                <w:szCs w:val="20"/>
                <w:u w:val="none"/>
              </w:rPr>
            </w:pP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0D6E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67</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49A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睡莲花</w:t>
            </w:r>
          </w:p>
        </w:tc>
        <w:tc>
          <w:tcPr>
            <w:tcW w:w="5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DDEF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kg</w:t>
            </w:r>
          </w:p>
        </w:tc>
        <w:tc>
          <w:tcPr>
            <w:tcW w:w="8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ABFD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92</w:t>
            </w:r>
          </w:p>
        </w:tc>
        <w:tc>
          <w:tcPr>
            <w:tcW w:w="21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8139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为睡莲科植物睡莲的花</w:t>
            </w:r>
          </w:p>
        </w:tc>
        <w:tc>
          <w:tcPr>
            <w:tcW w:w="51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7E028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花较大，直径4-5cm，白色。萼片4片，基部呈四方形；花瓣8-17；雄蕊多数，花药黄色；花柱4-8裂，柱头广孵形，呈茶匙状，作放射状排列。</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034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统货</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92B13">
            <w:pPr>
              <w:jc w:val="center"/>
              <w:rPr>
                <w:rFonts w:hint="eastAsia" w:ascii="宋体" w:hAnsi="宋体" w:eastAsia="宋体" w:cs="宋体"/>
                <w:i w:val="0"/>
                <w:iCs w:val="0"/>
                <w:color w:val="000000"/>
                <w:sz w:val="18"/>
                <w:szCs w:val="18"/>
                <w:u w:val="none"/>
              </w:rPr>
            </w:pPr>
          </w:p>
        </w:tc>
        <w:tc>
          <w:tcPr>
            <w:tcW w:w="11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E0AF80">
            <w:pPr>
              <w:jc w:val="center"/>
              <w:rPr>
                <w:rFonts w:hint="eastAsia" w:ascii="宋体" w:hAnsi="宋体" w:eastAsia="宋体" w:cs="宋体"/>
                <w:i w:val="0"/>
                <w:iCs w:val="0"/>
                <w:color w:val="000000"/>
                <w:sz w:val="20"/>
                <w:szCs w:val="20"/>
                <w:u w:val="none"/>
              </w:rPr>
            </w:pPr>
          </w:p>
        </w:tc>
      </w:tr>
      <w:tr w14:paraId="03CD31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2" w:type="dxa"/>
          <w:trHeight w:val="573" w:hRule="atLeast"/>
        </w:trPr>
        <w:tc>
          <w:tcPr>
            <w:tcW w:w="9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CAC385">
            <w:pPr>
              <w:jc w:val="center"/>
              <w:rPr>
                <w:rFonts w:hint="eastAsia" w:ascii="宋体" w:hAnsi="宋体" w:eastAsia="宋体" w:cs="宋体"/>
                <w:i w:val="0"/>
                <w:iCs w:val="0"/>
                <w:color w:val="000000"/>
                <w:sz w:val="20"/>
                <w:szCs w:val="20"/>
                <w:u w:val="none"/>
              </w:rPr>
            </w:pP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3732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68</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E0A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龙葵果</w:t>
            </w:r>
          </w:p>
        </w:tc>
        <w:tc>
          <w:tcPr>
            <w:tcW w:w="5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DA70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kg</w:t>
            </w:r>
          </w:p>
        </w:tc>
        <w:tc>
          <w:tcPr>
            <w:tcW w:w="8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4374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78.2</w:t>
            </w:r>
          </w:p>
        </w:tc>
        <w:tc>
          <w:tcPr>
            <w:tcW w:w="21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56D0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龙葵植物上结的果实</w:t>
            </w:r>
          </w:p>
        </w:tc>
        <w:tc>
          <w:tcPr>
            <w:tcW w:w="51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65C9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浆果球状，有光泽，成熟时红色或黑色。种子扁圆形。</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88B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统货</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F461D">
            <w:pPr>
              <w:jc w:val="center"/>
              <w:rPr>
                <w:rFonts w:hint="eastAsia" w:ascii="宋体" w:hAnsi="宋体" w:eastAsia="宋体" w:cs="宋体"/>
                <w:i w:val="0"/>
                <w:iCs w:val="0"/>
                <w:color w:val="000000"/>
                <w:sz w:val="18"/>
                <w:szCs w:val="18"/>
                <w:u w:val="none"/>
              </w:rPr>
            </w:pPr>
          </w:p>
        </w:tc>
        <w:tc>
          <w:tcPr>
            <w:tcW w:w="11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CF84F8">
            <w:pPr>
              <w:jc w:val="center"/>
              <w:rPr>
                <w:rFonts w:hint="eastAsia" w:ascii="宋体" w:hAnsi="宋体" w:eastAsia="宋体" w:cs="宋体"/>
                <w:i w:val="0"/>
                <w:iCs w:val="0"/>
                <w:color w:val="000000"/>
                <w:sz w:val="20"/>
                <w:szCs w:val="20"/>
                <w:u w:val="none"/>
              </w:rPr>
            </w:pPr>
          </w:p>
        </w:tc>
      </w:tr>
      <w:tr w14:paraId="5B6D1A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2" w:type="dxa"/>
          <w:trHeight w:val="2836" w:hRule="atLeast"/>
        </w:trPr>
        <w:tc>
          <w:tcPr>
            <w:tcW w:w="9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C67EE4">
            <w:pPr>
              <w:jc w:val="center"/>
              <w:rPr>
                <w:rFonts w:hint="eastAsia" w:ascii="宋体" w:hAnsi="宋体" w:eastAsia="宋体" w:cs="宋体"/>
                <w:i w:val="0"/>
                <w:iCs w:val="0"/>
                <w:color w:val="000000"/>
                <w:sz w:val="20"/>
                <w:szCs w:val="20"/>
                <w:u w:val="none"/>
              </w:rPr>
            </w:pP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ED2D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69</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19F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阿纳其根</w:t>
            </w:r>
          </w:p>
        </w:tc>
        <w:tc>
          <w:tcPr>
            <w:tcW w:w="5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1FB1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kg</w:t>
            </w:r>
          </w:p>
        </w:tc>
        <w:tc>
          <w:tcPr>
            <w:tcW w:w="8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23F7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188.6</w:t>
            </w:r>
          </w:p>
        </w:tc>
        <w:tc>
          <w:tcPr>
            <w:tcW w:w="21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A3D8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为菊科植物罗马除虫菊的根</w:t>
            </w:r>
          </w:p>
        </w:tc>
        <w:tc>
          <w:tcPr>
            <w:tcW w:w="51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468A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本品横切面:本栓细胞数列，黄色，下有1~2列石细胞。皮层宽广，细胞呈椭圆形或类圆形。形成层明显细胞小而扁。内皮层不明显。木质部导管单行径向排列，髓较小。本品粉未灰黄色。本栓细胞呈类方形或多角形，浅黄色。石细胞成群或散在，呈类方形、三角形或多边形，长30~110um，宽20~50um，孔沟明显。导管网纹，直径20~90um。木薄壁细胞类方形或长方形。淀粉粒单粒或复粒，直径3~8um，脐点点状或不明显。油细胞类球形，淡黄色，直径20~100um，菊随处可见，形状不规则。</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E6F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统货</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A7F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附检验合格单</w:t>
            </w:r>
          </w:p>
        </w:tc>
        <w:tc>
          <w:tcPr>
            <w:tcW w:w="11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BF95BA">
            <w:pPr>
              <w:jc w:val="center"/>
              <w:rPr>
                <w:rFonts w:hint="eastAsia" w:ascii="宋体" w:hAnsi="宋体" w:eastAsia="宋体" w:cs="宋体"/>
                <w:i w:val="0"/>
                <w:iCs w:val="0"/>
                <w:color w:val="000000"/>
                <w:sz w:val="20"/>
                <w:szCs w:val="20"/>
                <w:u w:val="none"/>
              </w:rPr>
            </w:pPr>
          </w:p>
        </w:tc>
      </w:tr>
    </w:tbl>
    <w:p w14:paraId="4FE1D739">
      <w:pPr>
        <w:pStyle w:val="4"/>
        <w:spacing w:line="305" w:lineRule="auto"/>
        <w:jc w:val="center"/>
        <w:rPr>
          <w:rFonts w:hint="eastAsia" w:ascii="宋体" w:hAnsi="宋体" w:eastAsia="宋体" w:cs="宋体"/>
          <w:b/>
          <w:bCs/>
          <w:sz w:val="28"/>
          <w:szCs w:val="28"/>
          <w:lang w:val="en-US" w:eastAsia="zh-CN"/>
        </w:rPr>
      </w:pPr>
    </w:p>
    <w:p w14:paraId="2FD5A24F">
      <w:pPr>
        <w:pStyle w:val="4"/>
        <w:spacing w:line="305" w:lineRule="auto"/>
        <w:jc w:val="center"/>
        <w:rPr>
          <w:rFonts w:hint="eastAsia" w:ascii="宋体" w:hAnsi="宋体" w:eastAsia="宋体" w:cs="宋体"/>
          <w:b/>
          <w:bCs/>
          <w:sz w:val="28"/>
          <w:szCs w:val="28"/>
          <w:lang w:val="en-US" w:eastAsia="zh-CN"/>
        </w:rPr>
      </w:pPr>
    </w:p>
    <w:p w14:paraId="78916977">
      <w:pPr>
        <w:pStyle w:val="4"/>
        <w:spacing w:line="305" w:lineRule="auto"/>
        <w:jc w:val="center"/>
        <w:rPr>
          <w:rFonts w:hint="eastAsia" w:ascii="宋体" w:hAnsi="宋体" w:eastAsia="宋体" w:cs="宋体"/>
          <w:b/>
          <w:bCs/>
          <w:sz w:val="28"/>
          <w:szCs w:val="28"/>
          <w:lang w:val="en-US" w:eastAsia="zh-CN"/>
        </w:rPr>
      </w:pPr>
    </w:p>
    <w:p w14:paraId="4E8E9EE9">
      <w:pPr>
        <w:pStyle w:val="4"/>
        <w:spacing w:line="305" w:lineRule="auto"/>
        <w:jc w:val="center"/>
        <w:rPr>
          <w:rFonts w:hint="eastAsia" w:ascii="宋体" w:hAnsi="宋体" w:eastAsia="宋体" w:cs="宋体"/>
          <w:b/>
          <w:bCs/>
          <w:sz w:val="28"/>
          <w:szCs w:val="28"/>
          <w:lang w:val="en-US" w:eastAsia="zh-CN"/>
        </w:rPr>
      </w:pPr>
    </w:p>
    <w:p w14:paraId="059FAE11">
      <w:pPr>
        <w:pStyle w:val="4"/>
        <w:spacing w:line="305" w:lineRule="auto"/>
        <w:jc w:val="center"/>
        <w:rPr>
          <w:rFonts w:hint="eastAsia" w:ascii="宋体" w:hAnsi="宋体" w:eastAsia="宋体" w:cs="宋体"/>
          <w:b/>
          <w:bCs/>
          <w:sz w:val="28"/>
          <w:szCs w:val="28"/>
          <w:lang w:val="en-US" w:eastAsia="zh-CN"/>
        </w:rPr>
      </w:pPr>
    </w:p>
    <w:p w14:paraId="2C0EB056">
      <w:pPr>
        <w:pStyle w:val="4"/>
        <w:spacing w:line="305" w:lineRule="auto"/>
        <w:jc w:val="center"/>
        <w:rPr>
          <w:rFonts w:hint="eastAsia" w:ascii="宋体" w:hAnsi="宋体" w:eastAsia="宋体" w:cs="宋体"/>
          <w:b/>
          <w:bCs/>
          <w:sz w:val="28"/>
          <w:szCs w:val="28"/>
          <w:lang w:val="en-US" w:eastAsia="zh-CN"/>
        </w:rPr>
      </w:pPr>
    </w:p>
    <w:p w14:paraId="19286573">
      <w:pPr>
        <w:pStyle w:val="4"/>
        <w:spacing w:line="305" w:lineRule="auto"/>
        <w:jc w:val="center"/>
        <w:rPr>
          <w:rFonts w:hint="eastAsia" w:ascii="宋体" w:hAnsi="宋体" w:eastAsia="宋体" w:cs="宋体"/>
          <w:b/>
          <w:bCs/>
          <w:sz w:val="28"/>
          <w:szCs w:val="28"/>
          <w:lang w:val="en-US" w:eastAsia="zh-CN"/>
        </w:rPr>
      </w:pPr>
    </w:p>
    <w:p w14:paraId="1980EF21">
      <w:pPr>
        <w:pStyle w:val="4"/>
        <w:spacing w:line="305" w:lineRule="auto"/>
        <w:jc w:val="center"/>
        <w:rPr>
          <w:rFonts w:hint="eastAsia" w:ascii="宋体" w:hAnsi="宋体" w:eastAsia="宋体" w:cs="宋体"/>
          <w:b/>
          <w:bCs/>
          <w:sz w:val="28"/>
          <w:szCs w:val="28"/>
          <w:lang w:val="en-US" w:eastAsia="zh-CN"/>
        </w:rPr>
      </w:pPr>
    </w:p>
    <w:p w14:paraId="08A5930E">
      <w:pPr>
        <w:pStyle w:val="4"/>
        <w:spacing w:line="305" w:lineRule="auto"/>
        <w:jc w:val="center"/>
        <w:rPr>
          <w:rFonts w:hint="eastAsia" w:ascii="宋体" w:hAnsi="宋体" w:eastAsia="宋体" w:cs="宋体"/>
          <w:b/>
          <w:bCs/>
          <w:sz w:val="28"/>
          <w:szCs w:val="28"/>
          <w:lang w:val="en-US" w:eastAsia="zh-CN"/>
        </w:rPr>
      </w:pPr>
    </w:p>
    <w:p w14:paraId="1D068D60">
      <w:pPr>
        <w:pStyle w:val="4"/>
        <w:spacing w:line="305" w:lineRule="auto"/>
        <w:jc w:val="center"/>
        <w:rPr>
          <w:rFonts w:hint="eastAsia" w:ascii="宋体" w:hAnsi="宋体" w:eastAsia="宋体" w:cs="宋体"/>
          <w:b/>
          <w:bCs/>
          <w:sz w:val="28"/>
          <w:szCs w:val="28"/>
          <w:lang w:val="en-US" w:eastAsia="zh-CN"/>
        </w:rPr>
      </w:pPr>
    </w:p>
    <w:p w14:paraId="639C3410">
      <w:pPr>
        <w:pStyle w:val="4"/>
        <w:spacing w:line="305" w:lineRule="auto"/>
        <w:jc w:val="center"/>
        <w:rPr>
          <w:rFonts w:hint="eastAsia" w:ascii="宋体" w:hAnsi="宋体" w:eastAsia="宋体" w:cs="宋体"/>
          <w:b/>
          <w:bCs/>
          <w:sz w:val="28"/>
          <w:szCs w:val="28"/>
          <w:lang w:val="en-US" w:eastAsia="zh-CN"/>
        </w:rPr>
      </w:pPr>
    </w:p>
    <w:p w14:paraId="34C4BDB9">
      <w:pPr>
        <w:pStyle w:val="4"/>
        <w:spacing w:line="305" w:lineRule="auto"/>
        <w:jc w:val="cente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拜城县人民医院2025年中药饮片购置项目（四标段）</w:t>
      </w:r>
    </w:p>
    <w:tbl>
      <w:tblPr>
        <w:tblStyle w:val="9"/>
        <w:tblW w:w="1397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24"/>
        <w:gridCol w:w="486"/>
        <w:gridCol w:w="748"/>
        <w:gridCol w:w="506"/>
        <w:gridCol w:w="903"/>
        <w:gridCol w:w="2187"/>
        <w:gridCol w:w="5046"/>
        <w:gridCol w:w="694"/>
        <w:gridCol w:w="1268"/>
        <w:gridCol w:w="16"/>
        <w:gridCol w:w="1180"/>
        <w:gridCol w:w="18"/>
      </w:tblGrid>
      <w:tr w14:paraId="2127EC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 w:type="dxa"/>
          <w:trHeight w:val="1299" w:hRule="atLeast"/>
        </w:trPr>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F1E5B">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标段</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53CD2">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序号</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ADC65">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药品名称</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8BD09">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单位</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078B8">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最高限价（元/单位）</w:t>
            </w:r>
          </w:p>
        </w:tc>
        <w:tc>
          <w:tcPr>
            <w:tcW w:w="2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902D0">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来源</w:t>
            </w:r>
          </w:p>
        </w:tc>
        <w:tc>
          <w:tcPr>
            <w:tcW w:w="5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2A1F9">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性状</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2B8B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等级</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573E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资质或证明材料要求</w:t>
            </w:r>
          </w:p>
        </w:tc>
        <w:tc>
          <w:tcPr>
            <w:tcW w:w="11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5965D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备注</w:t>
            </w:r>
          </w:p>
        </w:tc>
      </w:tr>
      <w:tr w14:paraId="5B934A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BE92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标段四</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E97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C6E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白花蛇舌草</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6DC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kg</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444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44</w:t>
            </w:r>
          </w:p>
        </w:tc>
        <w:tc>
          <w:tcPr>
            <w:tcW w:w="2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49C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茜草科植物白花蛇舌草的全草</w:t>
            </w:r>
          </w:p>
        </w:tc>
        <w:tc>
          <w:tcPr>
            <w:tcW w:w="5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D01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本品常缠结成团，灰绿色或灰褐色。主根单一，略弯曲，须根多茎纤细，圆柱形或类方形，具纵棱。叶对生，无柄，叶片多卷缩，完整叶片展开后呈条状或条状披针形。花偶见，单生或双生于叶腋，具短柄。蒴果扁球形，直径2-3mm，两侧各有一条纵沟，花萼宿存，顶端4齿裂，边缘具短刺毛。气微，味淡</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99D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统货</w:t>
            </w:r>
          </w:p>
        </w:tc>
        <w:tc>
          <w:tcPr>
            <w:tcW w:w="12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F839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附检验合格单</w:t>
            </w: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2BBA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无霉变，净度高，色新鲜</w:t>
            </w:r>
          </w:p>
        </w:tc>
      </w:tr>
      <w:tr w14:paraId="4D4E8B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220435">
            <w:pPr>
              <w:jc w:val="center"/>
              <w:rPr>
                <w:rFonts w:hint="eastAsia" w:ascii="宋体" w:hAnsi="宋体" w:eastAsia="宋体" w:cs="宋体"/>
                <w:i w:val="0"/>
                <w:iCs w:val="0"/>
                <w:color w:val="000000"/>
                <w:sz w:val="20"/>
                <w:szCs w:val="20"/>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CF9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F99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白茅根</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5E7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kg</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51E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40</w:t>
            </w:r>
          </w:p>
        </w:tc>
        <w:tc>
          <w:tcPr>
            <w:tcW w:w="2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FF2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禾本科白茅的干燥根茎</w:t>
            </w:r>
          </w:p>
        </w:tc>
        <w:tc>
          <w:tcPr>
            <w:tcW w:w="5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443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呈圆柱形的段。外表皮黄白色或淡黄色，微有光泽，具纵皱纹，有的可见稍隆起的节。切面皮部白色，多有裂隙，放射状排列，中柱淡黄色或中空，易与皮部剥离。气微，味微甜</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AFF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统货</w:t>
            </w:r>
          </w:p>
        </w:tc>
        <w:tc>
          <w:tcPr>
            <w:tcW w:w="12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50C4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附检验合格单</w:t>
            </w: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2D14FF">
            <w:pPr>
              <w:keepNext w:val="0"/>
              <w:keepLines w:val="0"/>
              <w:widowControl/>
              <w:suppressLineNumbers w:val="0"/>
              <w:jc w:val="center"/>
              <w:textAlignment w:val="center"/>
              <w:rPr>
                <w:rFonts w:ascii="Arial" w:hAnsi="Arial" w:eastAsia="宋体" w:cs="Arial"/>
                <w:i w:val="0"/>
                <w:iCs w:val="0"/>
                <w:color w:val="000000"/>
                <w:sz w:val="21"/>
                <w:szCs w:val="21"/>
                <w:u w:val="none"/>
              </w:rPr>
            </w:pPr>
            <w:r>
              <w:rPr>
                <w:rFonts w:hint="default" w:ascii="Arial" w:hAnsi="Arial" w:eastAsia="宋体" w:cs="Arial"/>
                <w:i w:val="0"/>
                <w:iCs w:val="0"/>
                <w:snapToGrid w:val="0"/>
                <w:color w:val="000000"/>
                <w:kern w:val="0"/>
                <w:sz w:val="21"/>
                <w:szCs w:val="21"/>
                <w:u w:val="none"/>
                <w:lang w:val="en-US" w:eastAsia="zh-CN" w:bidi="ar"/>
              </w:rPr>
              <w:t>无硫，自然色</w:t>
            </w:r>
          </w:p>
        </w:tc>
      </w:tr>
      <w:tr w14:paraId="760B7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90" w:hRule="atLeast"/>
        </w:trPr>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54DF26">
            <w:pPr>
              <w:jc w:val="center"/>
              <w:rPr>
                <w:rFonts w:hint="eastAsia" w:ascii="宋体" w:hAnsi="宋体" w:eastAsia="宋体" w:cs="宋体"/>
                <w:i w:val="0"/>
                <w:iCs w:val="0"/>
                <w:color w:val="000000"/>
                <w:sz w:val="20"/>
                <w:szCs w:val="20"/>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A1A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E3F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败酱草</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5A1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kg</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B5F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19.55</w:t>
            </w:r>
          </w:p>
        </w:tc>
        <w:tc>
          <w:tcPr>
            <w:tcW w:w="2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B82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败酱草科黄花败酱或白花败酱的干燥全草</w:t>
            </w:r>
          </w:p>
        </w:tc>
        <w:tc>
          <w:tcPr>
            <w:tcW w:w="5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70C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本品为不规则的段，根、茎、叶、花、果实混合。根茎圆柱形，表面暗棕色至紫棕色，有节，节上有细根。茎圆柱形，表面黄绿色或黄棕色，节明显，常有倒生的毛；质脆，切面中部有髓或呈空洞。叶片薄，多卷缩、破碎。叶分裂或部分裂，边缘有粗锯齿，上表面深绿色或黄棕色，下表面色较浅，两面疏生白色茸毛。气特异，味微苦。</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CC6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统货</w:t>
            </w:r>
          </w:p>
        </w:tc>
        <w:tc>
          <w:tcPr>
            <w:tcW w:w="12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EE63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附检验合格单</w:t>
            </w: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F7DB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臭败酱</w:t>
            </w:r>
          </w:p>
        </w:tc>
      </w:tr>
      <w:tr w14:paraId="3D5621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EFE00C">
            <w:pPr>
              <w:jc w:val="center"/>
              <w:rPr>
                <w:rFonts w:hint="eastAsia" w:ascii="宋体" w:hAnsi="宋体" w:eastAsia="宋体" w:cs="宋体"/>
                <w:i w:val="0"/>
                <w:iCs w:val="0"/>
                <w:color w:val="000000"/>
                <w:sz w:val="20"/>
                <w:szCs w:val="20"/>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335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9B4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薄菏</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E97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kg</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B8E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30</w:t>
            </w:r>
          </w:p>
        </w:tc>
        <w:tc>
          <w:tcPr>
            <w:tcW w:w="2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D10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唇形科薄荷的干燥地上部分</w:t>
            </w:r>
          </w:p>
        </w:tc>
        <w:tc>
          <w:tcPr>
            <w:tcW w:w="5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CDD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呈不规则的段。茎方柱形，表面紫棕色或淡绿色，具纵棱线，棱角处具茸毛。切面白色，中空。叶多破碎，上表面深绿色，下表面灰绿色，稀被茸毛。轮伞花序腋生，花萼钟状，先端5齿裂，花冠淡紫色。揉搓后有特殊清凉香气，味辛凉。</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88E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统货</w:t>
            </w:r>
          </w:p>
        </w:tc>
        <w:tc>
          <w:tcPr>
            <w:tcW w:w="12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EC12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附检验合格单</w:t>
            </w: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E2AA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叶&gt;30%</w:t>
            </w:r>
          </w:p>
        </w:tc>
      </w:tr>
      <w:tr w14:paraId="7743AF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90" w:hRule="atLeast"/>
        </w:trPr>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3DFF4E">
            <w:pPr>
              <w:jc w:val="center"/>
              <w:rPr>
                <w:rFonts w:hint="eastAsia" w:ascii="宋体" w:hAnsi="宋体" w:eastAsia="宋体" w:cs="宋体"/>
                <w:i w:val="0"/>
                <w:iCs w:val="0"/>
                <w:color w:val="000000"/>
                <w:sz w:val="20"/>
                <w:szCs w:val="20"/>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78E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5</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9DC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扁蓄</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A0F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kg</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549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26.45</w:t>
            </w:r>
          </w:p>
        </w:tc>
        <w:tc>
          <w:tcPr>
            <w:tcW w:w="2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C51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蓼科萹蓄属植物扁蓄的干燥地上部分</w:t>
            </w:r>
          </w:p>
        </w:tc>
        <w:tc>
          <w:tcPr>
            <w:tcW w:w="5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B6B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茎呈圆柱形而略扁，有分枝，长15～40cm，直径0.2～0.3cm。表面灰绿色或棕红色，有细密微突起的纵纹；节部稍膨大，有浅棕色膜质的托叶鞘，节间长约3cm；质硬，易折断，断面髓部白色。叶互生，近无柄或具短柄，叶片多脱落或皱缩、破碎，完整者展平后呈披针形，全缘，两面均呈棕绿色或灰绿色。气微，味微苦。</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66A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统货</w:t>
            </w:r>
          </w:p>
        </w:tc>
        <w:tc>
          <w:tcPr>
            <w:tcW w:w="12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BDED11">
            <w:pPr>
              <w:jc w:val="center"/>
              <w:rPr>
                <w:rFonts w:hint="eastAsia" w:ascii="宋体" w:hAnsi="宋体" w:eastAsia="宋体" w:cs="宋体"/>
                <w:i w:val="0"/>
                <w:iCs w:val="0"/>
                <w:color w:val="000000"/>
                <w:sz w:val="18"/>
                <w:szCs w:val="18"/>
                <w:u w:val="none"/>
              </w:rPr>
            </w:pP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E607FB">
            <w:pPr>
              <w:jc w:val="center"/>
              <w:rPr>
                <w:rFonts w:hint="eastAsia" w:ascii="宋体" w:hAnsi="宋体" w:eastAsia="宋体" w:cs="宋体"/>
                <w:i w:val="0"/>
                <w:iCs w:val="0"/>
                <w:color w:val="000000"/>
                <w:sz w:val="18"/>
                <w:szCs w:val="18"/>
                <w:u w:val="none"/>
              </w:rPr>
            </w:pPr>
          </w:p>
        </w:tc>
      </w:tr>
      <w:tr w14:paraId="358827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2B313A">
            <w:pPr>
              <w:jc w:val="center"/>
              <w:rPr>
                <w:rFonts w:hint="eastAsia" w:ascii="宋体" w:hAnsi="宋体" w:eastAsia="宋体" w:cs="宋体"/>
                <w:i w:val="0"/>
                <w:iCs w:val="0"/>
                <w:color w:val="000000"/>
                <w:sz w:val="20"/>
                <w:szCs w:val="20"/>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CF9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6</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A33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苍术</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15F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kg</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AAC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180</w:t>
            </w:r>
          </w:p>
        </w:tc>
        <w:tc>
          <w:tcPr>
            <w:tcW w:w="2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7D2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本品为菊科植物茅苍术或北苍术的干燥根茎。春、秋二季釆挖，除去泥沙，晒干，撞去须根。</w:t>
            </w:r>
          </w:p>
        </w:tc>
        <w:tc>
          <w:tcPr>
            <w:tcW w:w="5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3B9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本品呈不规则类圆形或条形厚片。外表皮灰棕色至黄棕色，有皱纹，有时可见根痕。切面黄白色或灰白色，散有多数橙黄色或棕红色油室，有的可析出白色细针状结晶。气香特异，味微甘、辛、苦。</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9E3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统货</w:t>
            </w:r>
          </w:p>
        </w:tc>
        <w:tc>
          <w:tcPr>
            <w:tcW w:w="12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1E47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附检验合格单</w:t>
            </w: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ECF8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茅苍术</w:t>
            </w:r>
          </w:p>
        </w:tc>
      </w:tr>
      <w:tr w14:paraId="15F70C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2940B5">
            <w:pPr>
              <w:jc w:val="center"/>
              <w:rPr>
                <w:rFonts w:hint="eastAsia" w:ascii="宋体" w:hAnsi="宋体" w:eastAsia="宋体" w:cs="宋体"/>
                <w:i w:val="0"/>
                <w:iCs w:val="0"/>
                <w:color w:val="000000"/>
                <w:sz w:val="20"/>
                <w:szCs w:val="20"/>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26E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F89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炒白扁豆</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AB9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kg</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3D8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47.15</w:t>
            </w:r>
          </w:p>
        </w:tc>
        <w:tc>
          <w:tcPr>
            <w:tcW w:w="2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914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豆科植物扁豆的干燥成熟种子。</w:t>
            </w:r>
          </w:p>
        </w:tc>
        <w:tc>
          <w:tcPr>
            <w:tcW w:w="5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25C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本品呈扁椭圆形或扁卵圆形，长8～13mm，宽6~9mm，厚约7mm。表面淡黄白色或淡黄色，平滑，略有光泽，一侧边缘有隆起的白色眉状种阜。质坚硬。种皮薄而脆，子叶2，肥厚，黄白色。气微，味淡，嚼之有豆腥气。</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82B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统货</w:t>
            </w:r>
          </w:p>
        </w:tc>
        <w:tc>
          <w:tcPr>
            <w:tcW w:w="12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E9835E">
            <w:pPr>
              <w:jc w:val="center"/>
              <w:rPr>
                <w:rFonts w:hint="eastAsia" w:ascii="宋体" w:hAnsi="宋体" w:eastAsia="宋体" w:cs="宋体"/>
                <w:i w:val="0"/>
                <w:iCs w:val="0"/>
                <w:color w:val="000000"/>
                <w:sz w:val="18"/>
                <w:szCs w:val="18"/>
                <w:u w:val="none"/>
              </w:rPr>
            </w:pP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95CFE1">
            <w:pPr>
              <w:jc w:val="center"/>
              <w:rPr>
                <w:rFonts w:hint="eastAsia" w:ascii="宋体" w:hAnsi="宋体" w:eastAsia="宋体" w:cs="宋体"/>
                <w:i w:val="0"/>
                <w:iCs w:val="0"/>
                <w:color w:val="000000"/>
                <w:sz w:val="18"/>
                <w:szCs w:val="18"/>
                <w:u w:val="none"/>
              </w:rPr>
            </w:pPr>
          </w:p>
        </w:tc>
      </w:tr>
      <w:tr w14:paraId="7ABFAB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946895">
            <w:pPr>
              <w:jc w:val="center"/>
              <w:rPr>
                <w:rFonts w:hint="eastAsia" w:ascii="宋体" w:hAnsi="宋体" w:eastAsia="宋体" w:cs="宋体"/>
                <w:i w:val="0"/>
                <w:iCs w:val="0"/>
                <w:color w:val="000000"/>
                <w:sz w:val="20"/>
                <w:szCs w:val="20"/>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087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8</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CCD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炒麦芽</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D39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kg</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14E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19.55</w:t>
            </w:r>
          </w:p>
        </w:tc>
        <w:tc>
          <w:tcPr>
            <w:tcW w:w="2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068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禾本科植物大麦的成熟果实经发芽干燥的炮制加工品。</w:t>
            </w:r>
          </w:p>
        </w:tc>
        <w:tc>
          <w:tcPr>
            <w:tcW w:w="5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F48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本品呈梭形，长8~12mm，直径3~4mm。表面淡黄色，背面为外稃包围，具5脉；腹面为内稃包围。除去内外稃后，腹面有1条纵沟；基部胚根处生出幼芽和须根，幼芽长披针状条形，长约5mm。须根数条，纤细而弯曲。质硬，断面白色，粉性。</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8EC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统货</w:t>
            </w:r>
          </w:p>
        </w:tc>
        <w:tc>
          <w:tcPr>
            <w:tcW w:w="12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46D5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附检验合格单</w:t>
            </w: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B72E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表面棕黄色水检</w:t>
            </w:r>
          </w:p>
        </w:tc>
      </w:tr>
      <w:tr w14:paraId="088665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2D50C0">
            <w:pPr>
              <w:jc w:val="center"/>
              <w:rPr>
                <w:rFonts w:hint="eastAsia" w:ascii="宋体" w:hAnsi="宋体" w:eastAsia="宋体" w:cs="宋体"/>
                <w:i w:val="0"/>
                <w:iCs w:val="0"/>
                <w:color w:val="000000"/>
                <w:sz w:val="20"/>
                <w:szCs w:val="20"/>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5BB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C1A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陈皮</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D88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kg</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B03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40</w:t>
            </w:r>
          </w:p>
        </w:tc>
        <w:tc>
          <w:tcPr>
            <w:tcW w:w="2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6AB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芸香科植物橘及其栽培变种的干燥成熟果皮。</w:t>
            </w:r>
          </w:p>
        </w:tc>
        <w:tc>
          <w:tcPr>
            <w:tcW w:w="5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088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本品呈不规则的条状或丝状。外表面橙红色或红棕色，有细皱纹和凹下的点状油室。内表面浅黄白色，粗糙，附黄白色或黄棕色筋络状维管束。气香，味辛、苦。</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295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统货</w:t>
            </w:r>
          </w:p>
        </w:tc>
        <w:tc>
          <w:tcPr>
            <w:tcW w:w="12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B354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附检验合格单</w:t>
            </w: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5586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切丝，两年以上货</w:t>
            </w:r>
          </w:p>
        </w:tc>
      </w:tr>
      <w:tr w14:paraId="59520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90" w:hRule="atLeast"/>
        </w:trPr>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706044">
            <w:pPr>
              <w:jc w:val="center"/>
              <w:rPr>
                <w:rFonts w:hint="eastAsia" w:ascii="宋体" w:hAnsi="宋体" w:eastAsia="宋体" w:cs="宋体"/>
                <w:i w:val="0"/>
                <w:iCs w:val="0"/>
                <w:color w:val="000000"/>
                <w:sz w:val="20"/>
                <w:szCs w:val="20"/>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338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10</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B45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川贝母</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1B4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kg</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1B2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1228.5</w:t>
            </w:r>
          </w:p>
        </w:tc>
        <w:tc>
          <w:tcPr>
            <w:tcW w:w="2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21F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百合科植物的干燥根</w:t>
            </w:r>
          </w:p>
        </w:tc>
        <w:tc>
          <w:tcPr>
            <w:tcW w:w="5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B1A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松贝呈类圆锥形或近球形，高0.3~0.8cm，直径0.3~0.9cm。表面类白色。外层鳞叶2瓣，大小悬，大瓣紧抱小瓣，未抱部分呈新月形，习称“怀中抱月“；顶部闭合，内有类圆柱形、顶端稍尖的心芽和小鳞叶1~2枚；先端钝圆或稍尖，底部平，微凹入，中心有1灰褐色的鳞茎盘，偶有残存个须根。质硬而脆，断面白色，富粉性。气微，味微苦</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E66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统货</w:t>
            </w:r>
          </w:p>
        </w:tc>
        <w:tc>
          <w:tcPr>
            <w:tcW w:w="12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A471CF">
            <w:pPr>
              <w:jc w:val="center"/>
              <w:rPr>
                <w:rFonts w:hint="eastAsia" w:ascii="宋体" w:hAnsi="宋体" w:eastAsia="宋体" w:cs="宋体"/>
                <w:i w:val="0"/>
                <w:iCs w:val="0"/>
                <w:color w:val="000000"/>
                <w:sz w:val="18"/>
                <w:szCs w:val="18"/>
                <w:u w:val="none"/>
              </w:rPr>
            </w:pP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42CA8C">
            <w:pPr>
              <w:jc w:val="center"/>
              <w:rPr>
                <w:rFonts w:hint="eastAsia" w:ascii="宋体" w:hAnsi="宋体" w:eastAsia="宋体" w:cs="宋体"/>
                <w:i w:val="0"/>
                <w:iCs w:val="0"/>
                <w:color w:val="000000"/>
                <w:sz w:val="18"/>
                <w:szCs w:val="18"/>
                <w:u w:val="none"/>
              </w:rPr>
            </w:pPr>
          </w:p>
        </w:tc>
      </w:tr>
      <w:tr w14:paraId="59E428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5F4210">
            <w:pPr>
              <w:jc w:val="center"/>
              <w:rPr>
                <w:rFonts w:hint="eastAsia" w:ascii="宋体" w:hAnsi="宋体" w:eastAsia="宋体" w:cs="宋体"/>
                <w:i w:val="0"/>
                <w:iCs w:val="0"/>
                <w:color w:val="000000"/>
                <w:sz w:val="20"/>
                <w:szCs w:val="20"/>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54F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11</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03E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大腹毛</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38E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kg</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9CF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20.125</w:t>
            </w:r>
          </w:p>
        </w:tc>
        <w:tc>
          <w:tcPr>
            <w:tcW w:w="2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B9E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本品为棕榈科植物槟榔的干燥果皮。</w:t>
            </w:r>
          </w:p>
        </w:tc>
        <w:tc>
          <w:tcPr>
            <w:tcW w:w="5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BC0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略呈椭圆形或长卵形瓢状，长4~7cm，宽2~3.5cm，厚0.2~0.5cm。外果皮深棕色至近黑色，具不规则的纵皱纹及隆起的横纹，顶端有花柱残痕，基部有果梗及残存萼片。</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A0B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统货</w:t>
            </w:r>
          </w:p>
        </w:tc>
        <w:tc>
          <w:tcPr>
            <w:tcW w:w="12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8DA7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附检验合格单</w:t>
            </w: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D2E8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水检</w:t>
            </w:r>
          </w:p>
        </w:tc>
      </w:tr>
      <w:tr w14:paraId="17F559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11BA73">
            <w:pPr>
              <w:jc w:val="center"/>
              <w:rPr>
                <w:rFonts w:hint="eastAsia" w:ascii="宋体" w:hAnsi="宋体" w:eastAsia="宋体" w:cs="宋体"/>
                <w:i w:val="0"/>
                <w:iCs w:val="0"/>
                <w:color w:val="000000"/>
                <w:sz w:val="20"/>
                <w:szCs w:val="20"/>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E6B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12</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EEB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胆南星</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F99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kg</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518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81.65</w:t>
            </w:r>
          </w:p>
        </w:tc>
        <w:tc>
          <w:tcPr>
            <w:tcW w:w="2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ACA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本品为制天南星的细粉与牛、羊或猪胆汁经加工而成，或为生天南星细粉与牛、羊或猪胆汁经发酵加工而成。</w:t>
            </w:r>
          </w:p>
        </w:tc>
        <w:tc>
          <w:tcPr>
            <w:tcW w:w="5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91E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本品呈方块状或圆柱状。棕黄色、灰棕色或棕黑色。质硬。气微腥，味苦。</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457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统货</w:t>
            </w:r>
          </w:p>
        </w:tc>
        <w:tc>
          <w:tcPr>
            <w:tcW w:w="12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D32CFB">
            <w:pPr>
              <w:jc w:val="center"/>
              <w:rPr>
                <w:rFonts w:hint="eastAsia" w:ascii="宋体" w:hAnsi="宋体" w:eastAsia="宋体" w:cs="宋体"/>
                <w:i w:val="0"/>
                <w:iCs w:val="0"/>
                <w:color w:val="000000"/>
                <w:sz w:val="18"/>
                <w:szCs w:val="18"/>
                <w:u w:val="none"/>
              </w:rPr>
            </w:pP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1EC4C7">
            <w:pPr>
              <w:jc w:val="center"/>
              <w:rPr>
                <w:rFonts w:hint="eastAsia" w:ascii="宋体" w:hAnsi="宋体" w:eastAsia="宋体" w:cs="宋体"/>
                <w:i w:val="0"/>
                <w:iCs w:val="0"/>
                <w:color w:val="000000"/>
                <w:sz w:val="18"/>
                <w:szCs w:val="18"/>
                <w:u w:val="none"/>
              </w:rPr>
            </w:pPr>
          </w:p>
        </w:tc>
      </w:tr>
      <w:tr w14:paraId="2D097C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A77A4D">
            <w:pPr>
              <w:jc w:val="center"/>
              <w:rPr>
                <w:rFonts w:hint="eastAsia" w:ascii="宋体" w:hAnsi="宋体" w:eastAsia="宋体" w:cs="宋体"/>
                <w:i w:val="0"/>
                <w:iCs w:val="0"/>
                <w:color w:val="000000"/>
                <w:sz w:val="20"/>
                <w:szCs w:val="20"/>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89E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13</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B5C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党参片</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FD3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kg</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F45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200.215</w:t>
            </w:r>
          </w:p>
        </w:tc>
        <w:tc>
          <w:tcPr>
            <w:tcW w:w="2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45C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桔梗科植物党参、素花党参或川党参的干燥根。</w:t>
            </w:r>
          </w:p>
        </w:tc>
        <w:tc>
          <w:tcPr>
            <w:tcW w:w="5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852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本品呈类圆形的厚片。外表皮灰黄色、黄棕色至灰棕色，有时可见根头部有多数疣状突起的茎痕和芽。切面皮部淡棕黄色至黄棕色，木部淡黄色至黄色，有裂隙或放射状纹理。有特殊香气，味微甜。</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8D5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统货</w:t>
            </w:r>
          </w:p>
        </w:tc>
        <w:tc>
          <w:tcPr>
            <w:tcW w:w="12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F198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附检验合格单</w:t>
            </w: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D75C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用党参，厚</w:t>
            </w:r>
            <w:r>
              <w:rPr>
                <w:rFonts w:hint="eastAsia" w:ascii="宋体" w:hAnsi="宋体" w:eastAsia="宋体" w:cs="宋体"/>
                <w:i w:val="0"/>
                <w:iCs w:val="0"/>
                <w:snapToGrid w:val="0"/>
                <w:color w:val="000000"/>
                <w:kern w:val="0"/>
                <w:sz w:val="21"/>
                <w:szCs w:val="21"/>
                <w:u w:val="none"/>
                <w:lang w:val="en-US" w:eastAsia="zh-CN" w:bidi="ar"/>
              </w:rPr>
              <w:t>片，质软无硫，直径</w:t>
            </w:r>
            <w:r>
              <w:rPr>
                <w:rFonts w:hint="default" w:ascii="Arial" w:hAnsi="Arial" w:eastAsia="宋体" w:cs="Arial"/>
                <w:i w:val="0"/>
                <w:iCs w:val="0"/>
                <w:snapToGrid w:val="0"/>
                <w:color w:val="000000"/>
                <w:kern w:val="0"/>
                <w:sz w:val="21"/>
                <w:szCs w:val="21"/>
                <w:u w:val="none"/>
                <w:lang w:val="en-US" w:eastAsia="zh-CN" w:bidi="ar"/>
              </w:rPr>
              <w:t>0.5cm</w:t>
            </w:r>
            <w:r>
              <w:rPr>
                <w:rFonts w:hint="eastAsia" w:ascii="宋体" w:hAnsi="宋体" w:eastAsia="宋体" w:cs="宋体"/>
                <w:i w:val="0"/>
                <w:iCs w:val="0"/>
                <w:snapToGrid w:val="0"/>
                <w:color w:val="000000"/>
                <w:kern w:val="0"/>
                <w:sz w:val="21"/>
                <w:szCs w:val="21"/>
                <w:u w:val="none"/>
                <w:lang w:val="en-US" w:eastAsia="zh-CN" w:bidi="ar"/>
              </w:rPr>
              <w:t>以上</w:t>
            </w:r>
          </w:p>
        </w:tc>
      </w:tr>
      <w:tr w14:paraId="68ECFC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61DDF6">
            <w:pPr>
              <w:jc w:val="center"/>
              <w:rPr>
                <w:rFonts w:hint="eastAsia" w:ascii="宋体" w:hAnsi="宋体" w:eastAsia="宋体" w:cs="宋体"/>
                <w:i w:val="0"/>
                <w:iCs w:val="0"/>
                <w:color w:val="000000"/>
                <w:sz w:val="20"/>
                <w:szCs w:val="20"/>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CB6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14</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408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地肤子</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328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kg</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AD5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50.6</w:t>
            </w:r>
          </w:p>
        </w:tc>
        <w:tc>
          <w:tcPr>
            <w:tcW w:w="2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E2A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茄科枸杞或宁夏枸杞的干燥根皮</w:t>
            </w:r>
          </w:p>
        </w:tc>
        <w:tc>
          <w:tcPr>
            <w:tcW w:w="5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609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本品呈筒状或槽状，长短不一。外表面灰黄色至棕黄色，粗糙，有不规则纵裂纹，易成鳞片状剥落。内表面黄白色至灰黄色，较平坦，有细纵纹。体轻，质脆，易折断，断面不平坦，外层黄棕色，内层灰白色。气微，味微甘而后苦。</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EAD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统货</w:t>
            </w:r>
          </w:p>
        </w:tc>
        <w:tc>
          <w:tcPr>
            <w:tcW w:w="12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71E9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附检验合格单</w:t>
            </w: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73A4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先甜后苦，用根皮</w:t>
            </w:r>
          </w:p>
        </w:tc>
      </w:tr>
      <w:tr w14:paraId="4BB81A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6D697E">
            <w:pPr>
              <w:jc w:val="center"/>
              <w:rPr>
                <w:rFonts w:hint="eastAsia" w:ascii="宋体" w:hAnsi="宋体" w:eastAsia="宋体" w:cs="宋体"/>
                <w:i w:val="0"/>
                <w:iCs w:val="0"/>
                <w:color w:val="000000"/>
                <w:sz w:val="20"/>
                <w:szCs w:val="20"/>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5A4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15</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076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地黄</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F68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kg</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4F3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73</w:t>
            </w:r>
          </w:p>
        </w:tc>
        <w:tc>
          <w:tcPr>
            <w:tcW w:w="2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B0F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玄参科植物地黄的新鲜或干燥块根。</w:t>
            </w:r>
          </w:p>
        </w:tc>
        <w:tc>
          <w:tcPr>
            <w:tcW w:w="5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C2A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鲜地黄呈纺锤形或条状，长8~24cm，直径2~9cm。外皮薄，表面浅红黄色，具弯曲的纵皱纹、芽痕、横长皮孔样突起及不规则疤痕。肉质，易断，断面皮部淡黄白色，可见橘红色油点，木部黄白色，导管呈放射状排列。气微，味微甜、微苦。</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CB1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统货</w:t>
            </w:r>
          </w:p>
        </w:tc>
        <w:tc>
          <w:tcPr>
            <w:tcW w:w="12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B89B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附检验合格单</w:t>
            </w: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3948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质重，断</w:t>
            </w:r>
            <w:r>
              <w:rPr>
                <w:rFonts w:hint="eastAsia" w:ascii="宋体" w:hAnsi="宋体" w:eastAsia="宋体" w:cs="宋体"/>
                <w:i w:val="0"/>
                <w:iCs w:val="0"/>
                <w:snapToGrid w:val="0"/>
                <w:color w:val="000000"/>
                <w:kern w:val="0"/>
                <w:sz w:val="20"/>
                <w:szCs w:val="20"/>
                <w:u w:val="none"/>
                <w:lang w:val="en-US" w:eastAsia="zh-CN" w:bidi="ar"/>
              </w:rPr>
              <w:t>面灰褐色，片形均匀</w:t>
            </w:r>
          </w:p>
        </w:tc>
      </w:tr>
      <w:tr w14:paraId="73F85C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0" w:hRule="atLeast"/>
        </w:trPr>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C4B383">
            <w:pPr>
              <w:jc w:val="center"/>
              <w:rPr>
                <w:rFonts w:hint="eastAsia" w:ascii="宋体" w:hAnsi="宋体" w:eastAsia="宋体" w:cs="宋体"/>
                <w:i w:val="0"/>
                <w:iCs w:val="0"/>
                <w:color w:val="000000"/>
                <w:sz w:val="20"/>
                <w:szCs w:val="20"/>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B7C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16</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F07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地龙</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6BC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kg</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5B2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415.15</w:t>
            </w:r>
          </w:p>
        </w:tc>
        <w:tc>
          <w:tcPr>
            <w:tcW w:w="2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932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本品为钜蚓科动物参环毛蚓的干燥体</w:t>
            </w:r>
          </w:p>
        </w:tc>
        <w:tc>
          <w:tcPr>
            <w:tcW w:w="5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D67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呈长条状薄片，弯曲，边缘略卷，长15~20cm，宽1～2cm。全体具环节，背部棕褐色至紫灰色，腹部浅黄棕色；第14～16环节为生殖带，习称"白颈"，较光亮。体前端稍尖，尾端钝圆，刚毛圈粗糙而硬，色稍浅。雄生殖孔在第18环节腹侧刚毛圈一小孔突上，外缘有数环绕的浅皮褶，内侧刚毛圈隆起，前面两边有横排（一排或二排）小乳突，每边10~20个不等。受精囊孔2对，位于7/8至8/9环节间一椭圆形突起上，约占节周5/11。体轻，略呈革质，不易折断。气腥，味微咸。</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D3A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统货</w:t>
            </w:r>
          </w:p>
        </w:tc>
        <w:tc>
          <w:tcPr>
            <w:tcW w:w="12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AE3B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附检验合格单</w:t>
            </w: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6AF708">
            <w:pPr>
              <w:jc w:val="center"/>
              <w:rPr>
                <w:rFonts w:hint="eastAsia" w:ascii="宋体" w:hAnsi="宋体" w:eastAsia="宋体" w:cs="宋体"/>
                <w:i w:val="0"/>
                <w:iCs w:val="0"/>
                <w:color w:val="000000"/>
                <w:sz w:val="18"/>
                <w:szCs w:val="18"/>
                <w:u w:val="none"/>
              </w:rPr>
            </w:pPr>
          </w:p>
        </w:tc>
      </w:tr>
      <w:tr w14:paraId="092A49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C91B47">
            <w:pPr>
              <w:jc w:val="center"/>
              <w:rPr>
                <w:rFonts w:hint="eastAsia" w:ascii="宋体" w:hAnsi="宋体" w:eastAsia="宋体" w:cs="宋体"/>
                <w:i w:val="0"/>
                <w:iCs w:val="0"/>
                <w:color w:val="000000"/>
                <w:sz w:val="20"/>
                <w:szCs w:val="20"/>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5EC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17</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C15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杜仲</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364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kg</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07E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63.25</w:t>
            </w:r>
          </w:p>
        </w:tc>
        <w:tc>
          <w:tcPr>
            <w:tcW w:w="2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A66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杜仲科植物杜仲的干燥树皮</w:t>
            </w:r>
          </w:p>
        </w:tc>
        <w:tc>
          <w:tcPr>
            <w:tcW w:w="5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9EA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本品呈板状或两边稍向内卷，大小不一，厚3~7mm，外表淡棕色或灰褐色，有明显的皱纹或纵裂槽纹，质脆易折断，断面有细密且银白色的胶丝，气微，味稍苦</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72B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统货</w:t>
            </w:r>
          </w:p>
        </w:tc>
        <w:tc>
          <w:tcPr>
            <w:tcW w:w="12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DBD60F">
            <w:pPr>
              <w:jc w:val="center"/>
              <w:rPr>
                <w:rFonts w:hint="eastAsia" w:ascii="宋体" w:hAnsi="宋体" w:eastAsia="宋体" w:cs="宋体"/>
                <w:i w:val="0"/>
                <w:iCs w:val="0"/>
                <w:color w:val="000000"/>
                <w:sz w:val="18"/>
                <w:szCs w:val="18"/>
                <w:u w:val="none"/>
              </w:rPr>
            </w:pP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F03094">
            <w:pPr>
              <w:jc w:val="center"/>
              <w:rPr>
                <w:rFonts w:hint="eastAsia" w:ascii="宋体" w:hAnsi="宋体" w:eastAsia="宋体" w:cs="宋体"/>
                <w:i w:val="0"/>
                <w:iCs w:val="0"/>
                <w:color w:val="000000"/>
                <w:sz w:val="18"/>
                <w:szCs w:val="18"/>
                <w:u w:val="none"/>
              </w:rPr>
            </w:pPr>
          </w:p>
        </w:tc>
      </w:tr>
      <w:tr w14:paraId="182E60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CA8656">
            <w:pPr>
              <w:jc w:val="center"/>
              <w:rPr>
                <w:rFonts w:hint="eastAsia" w:ascii="宋体" w:hAnsi="宋体" w:eastAsia="宋体" w:cs="宋体"/>
                <w:i w:val="0"/>
                <w:iCs w:val="0"/>
                <w:color w:val="000000"/>
                <w:sz w:val="20"/>
                <w:szCs w:val="20"/>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76B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18</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463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莪术</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2A2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kg</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ED6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34.5</w:t>
            </w:r>
          </w:p>
        </w:tc>
        <w:tc>
          <w:tcPr>
            <w:tcW w:w="2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000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姜科植物莪术的干燥根茎</w:t>
            </w:r>
          </w:p>
        </w:tc>
        <w:tc>
          <w:tcPr>
            <w:tcW w:w="5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17F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根茎类圆形、卵圆形、长圆形，顶端多钝尖，基部钝圆，长2-5cm，直径1.5-2.5cm。表面土黄色至灰黄色，上部环节明显，两侧各有1列下陷的芽痕和类圆形的侧生根茎痕；体重，质坚实，断面深绿黄色至棕色，常附有棕黄色粉末。皮层与中柱易分离。气微香，味微苦而辛。</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8D4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统货</w:t>
            </w:r>
          </w:p>
        </w:tc>
        <w:tc>
          <w:tcPr>
            <w:tcW w:w="12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CDDC0E">
            <w:pPr>
              <w:jc w:val="center"/>
              <w:rPr>
                <w:rFonts w:hint="eastAsia" w:ascii="宋体" w:hAnsi="宋体" w:eastAsia="宋体" w:cs="宋体"/>
                <w:i w:val="0"/>
                <w:iCs w:val="0"/>
                <w:color w:val="000000"/>
                <w:sz w:val="18"/>
                <w:szCs w:val="18"/>
                <w:u w:val="none"/>
              </w:rPr>
            </w:pP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D77FE0">
            <w:pPr>
              <w:jc w:val="center"/>
              <w:rPr>
                <w:rFonts w:hint="eastAsia" w:ascii="宋体" w:hAnsi="宋体" w:eastAsia="宋体" w:cs="宋体"/>
                <w:i w:val="0"/>
                <w:iCs w:val="0"/>
                <w:color w:val="000000"/>
                <w:sz w:val="18"/>
                <w:szCs w:val="18"/>
                <w:u w:val="none"/>
              </w:rPr>
            </w:pPr>
          </w:p>
        </w:tc>
      </w:tr>
      <w:tr w14:paraId="2E5D32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903B90">
            <w:pPr>
              <w:jc w:val="center"/>
              <w:rPr>
                <w:rFonts w:hint="eastAsia" w:ascii="宋体" w:hAnsi="宋体" w:eastAsia="宋体" w:cs="宋体"/>
                <w:i w:val="0"/>
                <w:iCs w:val="0"/>
                <w:color w:val="000000"/>
                <w:sz w:val="20"/>
                <w:szCs w:val="20"/>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3FF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19</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98E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佛手</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A9B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kg</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9BD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109</w:t>
            </w:r>
          </w:p>
        </w:tc>
        <w:tc>
          <w:tcPr>
            <w:tcW w:w="2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38E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菊科植物白术的干燥根茎</w:t>
            </w:r>
          </w:p>
        </w:tc>
        <w:tc>
          <w:tcPr>
            <w:tcW w:w="5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6BF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本品为不规则的肥厚团块，长3~13cm，直径1.5～7cm。表面灰黄色或灰棕色，有瘤状突起及断续的纵皱和沟纹，并有须根痕，顶端有残留茎基和芽痕。质坚硬不易折断，断面不平坦，黄白色至淡棕色，有棕黄色的点状油室散在；烘干者断面角质样，色较深或有裂隙。</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046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统货</w:t>
            </w:r>
          </w:p>
        </w:tc>
        <w:tc>
          <w:tcPr>
            <w:tcW w:w="12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1F80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附检验合格单</w:t>
            </w: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53D7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表面黄褐色，水检</w:t>
            </w:r>
          </w:p>
        </w:tc>
      </w:tr>
      <w:tr w14:paraId="2ACB58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AD3D55">
            <w:pPr>
              <w:jc w:val="center"/>
              <w:rPr>
                <w:rFonts w:hint="eastAsia" w:ascii="宋体" w:hAnsi="宋体" w:eastAsia="宋体" w:cs="宋体"/>
                <w:i w:val="0"/>
                <w:iCs w:val="0"/>
                <w:color w:val="000000"/>
                <w:sz w:val="20"/>
                <w:szCs w:val="20"/>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C80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CEB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覆盆子</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099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kg</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4D7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317</w:t>
            </w:r>
          </w:p>
        </w:tc>
        <w:tc>
          <w:tcPr>
            <w:tcW w:w="2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227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为蔷薇科植物华东覆盆子的干燥果实。</w:t>
            </w:r>
          </w:p>
        </w:tc>
        <w:tc>
          <w:tcPr>
            <w:tcW w:w="5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10C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本品为聚合果，由多数小核果聚合而成，呈圆锥形或扁圆锥形，高0.6~1.3cm，直径0.5~1.2cm。表面黄绿色或淡棕色，顶端钝圆，基部中心凹入。宿萼棕褐色，下有果梗痕。小果易剥落，每个小果呈半月形，背面密被灰白色茸毛，两侧有明显的网纹，腹部有突起的棱线。体轻，质硬。气微，味微酸涩。</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333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统货</w:t>
            </w:r>
          </w:p>
        </w:tc>
        <w:tc>
          <w:tcPr>
            <w:tcW w:w="12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882B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附检验合格单</w:t>
            </w: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2D17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水分不得超过12%</w:t>
            </w:r>
          </w:p>
        </w:tc>
      </w:tr>
      <w:tr w14:paraId="27B25B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AE2A85">
            <w:pPr>
              <w:jc w:val="center"/>
              <w:rPr>
                <w:rFonts w:hint="eastAsia" w:ascii="宋体" w:hAnsi="宋体" w:eastAsia="宋体" w:cs="宋体"/>
                <w:i w:val="0"/>
                <w:iCs w:val="0"/>
                <w:color w:val="000000"/>
                <w:sz w:val="20"/>
                <w:szCs w:val="20"/>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6F1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21</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868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干鱼腥草</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8E1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kg</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CB9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27</w:t>
            </w:r>
          </w:p>
        </w:tc>
        <w:tc>
          <w:tcPr>
            <w:tcW w:w="2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EE5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三白草科植物蕺菜的新鲜全草或干燥地上部分。</w:t>
            </w:r>
          </w:p>
        </w:tc>
        <w:tc>
          <w:tcPr>
            <w:tcW w:w="5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03A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茎呈扁圆柱形，扭曲，表面黄棕色，具纵棱数条；质脆，易折断。叶片卷折皱缩，展平后呈心形，上表币暗黄绿色至暗棕色，下表面灰绿色或灰棕色。穗状花序黄标色。</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55D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统货</w:t>
            </w:r>
          </w:p>
        </w:tc>
        <w:tc>
          <w:tcPr>
            <w:tcW w:w="12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58845D">
            <w:pPr>
              <w:jc w:val="center"/>
              <w:rPr>
                <w:rFonts w:hint="eastAsia" w:ascii="宋体" w:hAnsi="宋体" w:eastAsia="宋体" w:cs="宋体"/>
                <w:i w:val="0"/>
                <w:iCs w:val="0"/>
                <w:color w:val="000000"/>
                <w:sz w:val="18"/>
                <w:szCs w:val="18"/>
                <w:u w:val="none"/>
              </w:rPr>
            </w:pP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2FB03C">
            <w:pPr>
              <w:jc w:val="center"/>
              <w:rPr>
                <w:rFonts w:hint="eastAsia" w:ascii="宋体" w:hAnsi="宋体" w:eastAsia="宋体" w:cs="宋体"/>
                <w:i w:val="0"/>
                <w:iCs w:val="0"/>
                <w:color w:val="000000"/>
                <w:sz w:val="18"/>
                <w:szCs w:val="18"/>
                <w:u w:val="none"/>
              </w:rPr>
            </w:pPr>
          </w:p>
        </w:tc>
      </w:tr>
      <w:tr w14:paraId="696897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6A7BB2">
            <w:pPr>
              <w:jc w:val="center"/>
              <w:rPr>
                <w:rFonts w:hint="eastAsia" w:ascii="宋体" w:hAnsi="宋体" w:eastAsia="宋体" w:cs="宋体"/>
                <w:i w:val="0"/>
                <w:iCs w:val="0"/>
                <w:color w:val="000000"/>
                <w:sz w:val="20"/>
                <w:szCs w:val="20"/>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16D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22</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1EC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狗脊</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329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kg</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FA1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58</w:t>
            </w:r>
          </w:p>
        </w:tc>
        <w:tc>
          <w:tcPr>
            <w:tcW w:w="2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B58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为蚌壳蕨科植物金毛狗脊的干燥根茎。</w:t>
            </w:r>
          </w:p>
        </w:tc>
        <w:tc>
          <w:tcPr>
            <w:tcW w:w="5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74B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本品呈不规则的长块状，表面深棕色，残留金黄色绒毛；上面有数个红棕色的木质叶柄，下面残存黑色细根。质坚硬，不易折断。无臭，味淡、微涩。切面浅棕色，有金黄色绒毛残留；质脆，易折断，有粉性。</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1A6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统货</w:t>
            </w:r>
          </w:p>
        </w:tc>
        <w:tc>
          <w:tcPr>
            <w:tcW w:w="12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F247D8">
            <w:pPr>
              <w:jc w:val="center"/>
              <w:rPr>
                <w:rFonts w:hint="eastAsia" w:ascii="宋体" w:hAnsi="宋体" w:eastAsia="宋体" w:cs="宋体"/>
                <w:i w:val="0"/>
                <w:iCs w:val="0"/>
                <w:color w:val="000000"/>
                <w:sz w:val="18"/>
                <w:szCs w:val="18"/>
                <w:u w:val="none"/>
              </w:rPr>
            </w:pP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3BA32C">
            <w:pPr>
              <w:jc w:val="center"/>
              <w:rPr>
                <w:rFonts w:hint="eastAsia" w:ascii="宋体" w:hAnsi="宋体" w:eastAsia="宋体" w:cs="宋体"/>
                <w:i w:val="0"/>
                <w:iCs w:val="0"/>
                <w:color w:val="000000"/>
                <w:sz w:val="18"/>
                <w:szCs w:val="18"/>
                <w:u w:val="none"/>
              </w:rPr>
            </w:pPr>
          </w:p>
        </w:tc>
      </w:tr>
      <w:tr w14:paraId="63874C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AFDD7D">
            <w:pPr>
              <w:jc w:val="center"/>
              <w:rPr>
                <w:rFonts w:hint="eastAsia" w:ascii="宋体" w:hAnsi="宋体" w:eastAsia="宋体" w:cs="宋体"/>
                <w:i w:val="0"/>
                <w:iCs w:val="0"/>
                <w:color w:val="000000"/>
                <w:sz w:val="20"/>
                <w:szCs w:val="20"/>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9A6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23</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87C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瓜蒌皮</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5C9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kg</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E59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88</w:t>
            </w:r>
          </w:p>
        </w:tc>
        <w:tc>
          <w:tcPr>
            <w:tcW w:w="2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F35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葫芦科植物栝楼的干燥成熟果皮。</w:t>
            </w:r>
          </w:p>
        </w:tc>
        <w:tc>
          <w:tcPr>
            <w:tcW w:w="5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F5B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本品常切成2至数瓣，边缘向内卷曲，长6~12cm。外表面橙红色或橙黄色，皱缩，有的有残存果梗；内表面黄白色。质较脆，易折断。具焦糖气，味淡、微酸。</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6C1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统货</w:t>
            </w:r>
          </w:p>
        </w:tc>
        <w:tc>
          <w:tcPr>
            <w:tcW w:w="12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EB9EE8">
            <w:pPr>
              <w:jc w:val="center"/>
              <w:rPr>
                <w:rFonts w:hint="eastAsia" w:ascii="宋体" w:hAnsi="宋体" w:eastAsia="宋体" w:cs="宋体"/>
                <w:i w:val="0"/>
                <w:iCs w:val="0"/>
                <w:color w:val="000000"/>
                <w:sz w:val="18"/>
                <w:szCs w:val="18"/>
                <w:u w:val="none"/>
              </w:rPr>
            </w:pP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B8CA72">
            <w:pPr>
              <w:jc w:val="center"/>
              <w:rPr>
                <w:rFonts w:hint="eastAsia" w:ascii="宋体" w:hAnsi="宋体" w:eastAsia="宋体" w:cs="宋体"/>
                <w:i w:val="0"/>
                <w:iCs w:val="0"/>
                <w:color w:val="000000"/>
                <w:sz w:val="18"/>
                <w:szCs w:val="18"/>
                <w:u w:val="none"/>
              </w:rPr>
            </w:pPr>
          </w:p>
        </w:tc>
      </w:tr>
      <w:tr w14:paraId="31EBEB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7E4445">
            <w:pPr>
              <w:jc w:val="center"/>
              <w:rPr>
                <w:rFonts w:hint="eastAsia" w:ascii="宋体" w:hAnsi="宋体" w:eastAsia="宋体" w:cs="宋体"/>
                <w:i w:val="0"/>
                <w:iCs w:val="0"/>
                <w:color w:val="000000"/>
                <w:sz w:val="20"/>
                <w:szCs w:val="20"/>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D11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24</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FF0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海螵蛸</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D27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kg</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417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148.35</w:t>
            </w:r>
          </w:p>
        </w:tc>
        <w:tc>
          <w:tcPr>
            <w:tcW w:w="2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BAC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本品为乌贼科动物无针乌贼或金乌贼的干燥内壳</w:t>
            </w:r>
          </w:p>
        </w:tc>
        <w:tc>
          <w:tcPr>
            <w:tcW w:w="5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0A2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无针乌贼呈扁长椭圆形，中间厚，边缘薄，长9~14cm，宽2.5~3.5cm，厚约1.3cm。背面有磁白色脊状隆起，两侧略显微红色，有不甚明显的细小疣点；腹面白色，自尾端到中部有细密波状横层纹；角质缘半透明，尾部较宽平，无骨针。</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1BB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统货</w:t>
            </w:r>
          </w:p>
        </w:tc>
        <w:tc>
          <w:tcPr>
            <w:tcW w:w="12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33971F">
            <w:pPr>
              <w:jc w:val="center"/>
              <w:rPr>
                <w:rFonts w:hint="eastAsia" w:ascii="宋体" w:hAnsi="宋体" w:eastAsia="宋体" w:cs="宋体"/>
                <w:i w:val="0"/>
                <w:iCs w:val="0"/>
                <w:color w:val="000000"/>
                <w:sz w:val="18"/>
                <w:szCs w:val="18"/>
                <w:u w:val="none"/>
              </w:rPr>
            </w:pP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1CCF7A">
            <w:pPr>
              <w:jc w:val="center"/>
              <w:rPr>
                <w:rFonts w:hint="eastAsia" w:ascii="宋体" w:hAnsi="宋体" w:eastAsia="宋体" w:cs="宋体"/>
                <w:i w:val="0"/>
                <w:iCs w:val="0"/>
                <w:color w:val="000000"/>
                <w:sz w:val="18"/>
                <w:szCs w:val="18"/>
                <w:u w:val="none"/>
              </w:rPr>
            </w:pPr>
          </w:p>
        </w:tc>
      </w:tr>
      <w:tr w14:paraId="4BAC12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B7107E">
            <w:pPr>
              <w:jc w:val="center"/>
              <w:rPr>
                <w:rFonts w:hint="eastAsia" w:ascii="宋体" w:hAnsi="宋体" w:eastAsia="宋体" w:cs="宋体"/>
                <w:i w:val="0"/>
                <w:iCs w:val="0"/>
                <w:color w:val="000000"/>
                <w:sz w:val="20"/>
                <w:szCs w:val="20"/>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6B3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25</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C2D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荷叶</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C61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kg</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95B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36</w:t>
            </w:r>
          </w:p>
        </w:tc>
        <w:tc>
          <w:tcPr>
            <w:tcW w:w="2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BD6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睡莲科植物莲的干燥叶</w:t>
            </w:r>
          </w:p>
        </w:tc>
        <w:tc>
          <w:tcPr>
            <w:tcW w:w="5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B1B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品呈半圆形或折扇形，展开后呈类圆形，全缘或稍呈波状，直径20~50cm。上表面深绿色或黄绿色，较粗糙；下表面淡灰棕色，较光滑，有粗脉21～22条，自中心向四周射出；中心有突起的叶柄残基。质脆，易破碎。稍有清香气，味微苦。</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5C4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统货</w:t>
            </w:r>
          </w:p>
        </w:tc>
        <w:tc>
          <w:tcPr>
            <w:tcW w:w="12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0677C6">
            <w:pPr>
              <w:jc w:val="center"/>
              <w:rPr>
                <w:rFonts w:hint="eastAsia" w:ascii="宋体" w:hAnsi="宋体" w:eastAsia="宋体" w:cs="宋体"/>
                <w:i w:val="0"/>
                <w:iCs w:val="0"/>
                <w:color w:val="000000"/>
                <w:sz w:val="18"/>
                <w:szCs w:val="18"/>
                <w:u w:val="none"/>
              </w:rPr>
            </w:pP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374CD2">
            <w:pPr>
              <w:jc w:val="center"/>
              <w:rPr>
                <w:rFonts w:hint="eastAsia" w:ascii="宋体" w:hAnsi="宋体" w:eastAsia="宋体" w:cs="宋体"/>
                <w:i w:val="0"/>
                <w:iCs w:val="0"/>
                <w:color w:val="000000"/>
                <w:sz w:val="18"/>
                <w:szCs w:val="18"/>
                <w:u w:val="none"/>
              </w:rPr>
            </w:pPr>
          </w:p>
        </w:tc>
      </w:tr>
      <w:tr w14:paraId="685575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6EE712">
            <w:pPr>
              <w:jc w:val="center"/>
              <w:rPr>
                <w:rFonts w:hint="eastAsia" w:ascii="宋体" w:hAnsi="宋体" w:eastAsia="宋体" w:cs="宋体"/>
                <w:i w:val="0"/>
                <w:iCs w:val="0"/>
                <w:color w:val="000000"/>
                <w:sz w:val="20"/>
                <w:szCs w:val="20"/>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2FD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26</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CC1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厚朴</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075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kg</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B54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35.65</w:t>
            </w:r>
          </w:p>
        </w:tc>
        <w:tc>
          <w:tcPr>
            <w:tcW w:w="2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66F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木兰科厚朴或凹叶厚朴的干燥干皮、根皮及枝皮</w:t>
            </w:r>
          </w:p>
        </w:tc>
        <w:tc>
          <w:tcPr>
            <w:tcW w:w="5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4E9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本品呈弯曲的丝条状或单、双卷筒状。外表面灰褐色，有时可见椭圆形皮孔或纵皱纹。内表面紫棕色或深紫褐色，较平滑，具细密纵纹，划之显油痕。切面颗粒性，有油性，有的可见小亮星。气香，味辛辣、微苦。</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C6E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统货</w:t>
            </w:r>
          </w:p>
        </w:tc>
        <w:tc>
          <w:tcPr>
            <w:tcW w:w="12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6403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附检验合格单</w:t>
            </w: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941D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皮厚，去</w:t>
            </w:r>
            <w:r>
              <w:rPr>
                <w:rFonts w:hint="eastAsia" w:ascii="宋体" w:hAnsi="宋体" w:eastAsia="宋体" w:cs="宋体"/>
                <w:i w:val="0"/>
                <w:iCs w:val="0"/>
                <w:snapToGrid w:val="0"/>
                <w:color w:val="000000"/>
                <w:kern w:val="0"/>
                <w:sz w:val="21"/>
                <w:szCs w:val="21"/>
                <w:u w:val="none"/>
                <w:lang w:val="en-US" w:eastAsia="zh-CN" w:bidi="ar"/>
              </w:rPr>
              <w:t>粗皮，有划痕</w:t>
            </w:r>
          </w:p>
        </w:tc>
      </w:tr>
      <w:tr w14:paraId="40A47C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887EBC">
            <w:pPr>
              <w:jc w:val="center"/>
              <w:rPr>
                <w:rFonts w:hint="eastAsia" w:ascii="宋体" w:hAnsi="宋体" w:eastAsia="宋体" w:cs="宋体"/>
                <w:i w:val="0"/>
                <w:iCs w:val="0"/>
                <w:color w:val="000000"/>
                <w:sz w:val="20"/>
                <w:szCs w:val="20"/>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684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27</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F1F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化橘红</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643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kg</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EB8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42</w:t>
            </w:r>
          </w:p>
        </w:tc>
        <w:tc>
          <w:tcPr>
            <w:tcW w:w="2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655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芸香科植物化州柚或柚的未成熟或近成熟的干燥外层果皮</w:t>
            </w:r>
          </w:p>
        </w:tc>
        <w:tc>
          <w:tcPr>
            <w:tcW w:w="5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F84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化州柚呈对折的七角或展平的五角星状，单片呈柳叶形。完整者展平后直径15～28cm，厚0.2~0.5cm。外表面黄绿色，密布茸毛，有皱纹及小油室；内表面黄白色或淡黄棕色，有脉络纹。质脆，易折断，断面不整齐，外缘有1列不整齐的下凹的油室，内侧稍柔而有弹性。气芳香，味苦、微辛</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73E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统货</w:t>
            </w:r>
          </w:p>
        </w:tc>
        <w:tc>
          <w:tcPr>
            <w:tcW w:w="12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415130">
            <w:pPr>
              <w:jc w:val="center"/>
              <w:rPr>
                <w:rFonts w:hint="eastAsia" w:ascii="宋体" w:hAnsi="宋体" w:eastAsia="宋体" w:cs="宋体"/>
                <w:i w:val="0"/>
                <w:iCs w:val="0"/>
                <w:color w:val="000000"/>
                <w:sz w:val="18"/>
                <w:szCs w:val="18"/>
                <w:u w:val="none"/>
              </w:rPr>
            </w:pP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FA76C3">
            <w:pPr>
              <w:jc w:val="center"/>
              <w:rPr>
                <w:rFonts w:hint="eastAsia" w:ascii="宋体" w:hAnsi="宋体" w:eastAsia="宋体" w:cs="宋体"/>
                <w:i w:val="0"/>
                <w:iCs w:val="0"/>
                <w:color w:val="000000"/>
                <w:sz w:val="18"/>
                <w:szCs w:val="18"/>
                <w:u w:val="none"/>
              </w:rPr>
            </w:pPr>
          </w:p>
        </w:tc>
      </w:tr>
      <w:tr w14:paraId="3D8130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8D3F83">
            <w:pPr>
              <w:jc w:val="center"/>
              <w:rPr>
                <w:rFonts w:hint="eastAsia" w:ascii="宋体" w:hAnsi="宋体" w:eastAsia="宋体" w:cs="宋体"/>
                <w:i w:val="0"/>
                <w:iCs w:val="0"/>
                <w:color w:val="000000"/>
                <w:sz w:val="20"/>
                <w:szCs w:val="20"/>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BF4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28</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2B1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黄精</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4DF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kg</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B60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164.2</w:t>
            </w:r>
          </w:p>
        </w:tc>
        <w:tc>
          <w:tcPr>
            <w:tcW w:w="2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D25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百合科植物滇黄精、黄精或多花黄精的干燥根茎。</w:t>
            </w:r>
          </w:p>
        </w:tc>
        <w:tc>
          <w:tcPr>
            <w:tcW w:w="5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F41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本品呈不规则的厚片，外表皮淡黄色至黄棕色。切面略呈角质样，淡黄色至黄棕色，可见多数淡黄色筋脉小点。质稍硬而韧。气微，味甜，嚼之有黏性。药性鉴别</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C21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统货</w:t>
            </w:r>
          </w:p>
        </w:tc>
        <w:tc>
          <w:tcPr>
            <w:tcW w:w="12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E2EE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附检验合格单</w:t>
            </w: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6F7E13">
            <w:pPr>
              <w:jc w:val="center"/>
              <w:rPr>
                <w:rFonts w:hint="eastAsia" w:ascii="宋体" w:hAnsi="宋体" w:eastAsia="宋体" w:cs="宋体"/>
                <w:i w:val="0"/>
                <w:iCs w:val="0"/>
                <w:color w:val="000000"/>
                <w:sz w:val="18"/>
                <w:szCs w:val="18"/>
                <w:u w:val="none"/>
              </w:rPr>
            </w:pPr>
          </w:p>
        </w:tc>
      </w:tr>
      <w:tr w14:paraId="2034D0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81DC34">
            <w:pPr>
              <w:jc w:val="center"/>
              <w:rPr>
                <w:rFonts w:hint="eastAsia" w:ascii="宋体" w:hAnsi="宋体" w:eastAsia="宋体" w:cs="宋体"/>
                <w:i w:val="0"/>
                <w:iCs w:val="0"/>
                <w:color w:val="000000"/>
                <w:sz w:val="20"/>
                <w:szCs w:val="20"/>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95E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29</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DFE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火麻仁</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7EC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kg</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CAF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62.1</w:t>
            </w:r>
          </w:p>
        </w:tc>
        <w:tc>
          <w:tcPr>
            <w:tcW w:w="2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3AB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桑科植物大麻的干燥成熟果实</w:t>
            </w:r>
          </w:p>
        </w:tc>
        <w:tc>
          <w:tcPr>
            <w:tcW w:w="5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A86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本品呈卵圆形，表面灰灰绿色或灰黄色，有微细的白色或棕色网纹，果皮薄而脆，易破碎，种皮绿色子叶乳白色，富油性，气微，味淡</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8B8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统货</w:t>
            </w:r>
          </w:p>
        </w:tc>
        <w:tc>
          <w:tcPr>
            <w:tcW w:w="12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CC927D">
            <w:pPr>
              <w:jc w:val="center"/>
              <w:rPr>
                <w:rFonts w:hint="eastAsia" w:ascii="宋体" w:hAnsi="宋体" w:eastAsia="宋体" w:cs="宋体"/>
                <w:i w:val="0"/>
                <w:iCs w:val="0"/>
                <w:color w:val="000000"/>
                <w:sz w:val="18"/>
                <w:szCs w:val="18"/>
                <w:u w:val="none"/>
              </w:rPr>
            </w:pP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B93551">
            <w:pPr>
              <w:jc w:val="center"/>
              <w:rPr>
                <w:rFonts w:hint="eastAsia" w:ascii="宋体" w:hAnsi="宋体" w:eastAsia="宋体" w:cs="宋体"/>
                <w:i w:val="0"/>
                <w:iCs w:val="0"/>
                <w:color w:val="000000"/>
                <w:sz w:val="18"/>
                <w:szCs w:val="18"/>
                <w:u w:val="none"/>
              </w:rPr>
            </w:pPr>
          </w:p>
        </w:tc>
      </w:tr>
      <w:tr w14:paraId="2E3C1F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DEC4FD">
            <w:pPr>
              <w:jc w:val="center"/>
              <w:rPr>
                <w:rFonts w:hint="eastAsia" w:ascii="宋体" w:hAnsi="宋体" w:eastAsia="宋体" w:cs="宋体"/>
                <w:i w:val="0"/>
                <w:iCs w:val="0"/>
                <w:color w:val="000000"/>
                <w:sz w:val="20"/>
                <w:szCs w:val="20"/>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624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30</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028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姜半夏</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1E8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kg</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C61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245</w:t>
            </w:r>
          </w:p>
        </w:tc>
        <w:tc>
          <w:tcPr>
            <w:tcW w:w="2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00B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半夏的炮制加工品</w:t>
            </w:r>
          </w:p>
        </w:tc>
        <w:tc>
          <w:tcPr>
            <w:tcW w:w="5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BBC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净半夏，大小分开，用水浸泡至内无干心时，取出；另取生姜切片煎汤，加白矾与半夏共煮透，取出，晾干，或晾至半干，干燥；或切薄片，干燥。本品呈片状、不规则颗粒状或类球形。表面棕色至棕褐色。质硬脆，断面淡黄棕色，常具角质样光泽。气微香，味淡、微有麻舌感，嚼之略粘牙。</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09A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统货</w:t>
            </w:r>
          </w:p>
        </w:tc>
        <w:tc>
          <w:tcPr>
            <w:tcW w:w="12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B3AF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附检验合格单</w:t>
            </w: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5294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片状或球状，直径大于0.5cm</w:t>
            </w:r>
          </w:p>
        </w:tc>
      </w:tr>
      <w:tr w14:paraId="27DF5D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37A48F">
            <w:pPr>
              <w:jc w:val="center"/>
              <w:rPr>
                <w:rFonts w:hint="eastAsia" w:ascii="宋体" w:hAnsi="宋体" w:eastAsia="宋体" w:cs="宋体"/>
                <w:i w:val="0"/>
                <w:iCs w:val="0"/>
                <w:color w:val="000000"/>
                <w:sz w:val="20"/>
                <w:szCs w:val="20"/>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D93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31</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F63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金银花</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FB8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kg</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450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217.35</w:t>
            </w:r>
          </w:p>
        </w:tc>
        <w:tc>
          <w:tcPr>
            <w:tcW w:w="2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A2F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忍冬科植物忍冬的干燥花蕾或带初开的花</w:t>
            </w:r>
          </w:p>
        </w:tc>
        <w:tc>
          <w:tcPr>
            <w:tcW w:w="5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BE3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本品呈棒状，上粗下细，略弯曲，长2~3cm，上部直径约3mm，下部直径约1.5mm。表面黄白色或绿白色（贮久色渐深），密被短柔毛。偶见叶状苞片。花萼绿色，先端5裂，裂片有毛，长约2mm。开放者花冠筒状，先端二唇形；雄蕊5，附于筒壁，黄色；雌蕊1，子房无毛。气清香，味淡、微苦。</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BDA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统货</w:t>
            </w:r>
          </w:p>
        </w:tc>
        <w:tc>
          <w:tcPr>
            <w:tcW w:w="12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776317">
            <w:pPr>
              <w:jc w:val="center"/>
              <w:rPr>
                <w:rFonts w:hint="eastAsia" w:ascii="宋体" w:hAnsi="宋体" w:eastAsia="宋体" w:cs="宋体"/>
                <w:i w:val="0"/>
                <w:iCs w:val="0"/>
                <w:color w:val="000000"/>
                <w:sz w:val="18"/>
                <w:szCs w:val="18"/>
                <w:u w:val="none"/>
              </w:rPr>
            </w:pP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291836">
            <w:pPr>
              <w:jc w:val="center"/>
              <w:rPr>
                <w:rFonts w:hint="eastAsia" w:ascii="宋体" w:hAnsi="宋体" w:eastAsia="宋体" w:cs="宋体"/>
                <w:i w:val="0"/>
                <w:iCs w:val="0"/>
                <w:color w:val="000000"/>
                <w:sz w:val="18"/>
                <w:szCs w:val="18"/>
                <w:u w:val="none"/>
              </w:rPr>
            </w:pPr>
          </w:p>
        </w:tc>
      </w:tr>
      <w:tr w14:paraId="5ADB09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58417E">
            <w:pPr>
              <w:jc w:val="center"/>
              <w:rPr>
                <w:rFonts w:hint="eastAsia" w:ascii="宋体" w:hAnsi="宋体" w:eastAsia="宋体" w:cs="宋体"/>
                <w:i w:val="0"/>
                <w:iCs w:val="0"/>
                <w:color w:val="000000"/>
                <w:sz w:val="20"/>
                <w:szCs w:val="20"/>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79D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32</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D54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酒大黄</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BC1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kg</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37C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61</w:t>
            </w:r>
          </w:p>
        </w:tc>
        <w:tc>
          <w:tcPr>
            <w:tcW w:w="2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285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大黄药材炮制品</w:t>
            </w:r>
          </w:p>
        </w:tc>
        <w:tc>
          <w:tcPr>
            <w:tcW w:w="5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FDD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形如大黄片，表面深褐色，偶有焦斑，略有酒气。</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AD1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统货</w:t>
            </w:r>
          </w:p>
        </w:tc>
        <w:tc>
          <w:tcPr>
            <w:tcW w:w="12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20140B">
            <w:pPr>
              <w:jc w:val="center"/>
              <w:rPr>
                <w:rFonts w:hint="eastAsia" w:ascii="宋体" w:hAnsi="宋体" w:eastAsia="宋体" w:cs="宋体"/>
                <w:i w:val="0"/>
                <w:iCs w:val="0"/>
                <w:color w:val="000000"/>
                <w:sz w:val="18"/>
                <w:szCs w:val="18"/>
                <w:u w:val="none"/>
              </w:rPr>
            </w:pP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D40D09">
            <w:pPr>
              <w:jc w:val="center"/>
              <w:rPr>
                <w:rFonts w:hint="eastAsia" w:ascii="宋体" w:hAnsi="宋体" w:eastAsia="宋体" w:cs="宋体"/>
                <w:i w:val="0"/>
                <w:iCs w:val="0"/>
                <w:color w:val="000000"/>
                <w:sz w:val="18"/>
                <w:szCs w:val="18"/>
                <w:u w:val="none"/>
              </w:rPr>
            </w:pPr>
          </w:p>
        </w:tc>
      </w:tr>
      <w:tr w14:paraId="1D0A03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88621D">
            <w:pPr>
              <w:jc w:val="center"/>
              <w:rPr>
                <w:rFonts w:hint="eastAsia" w:ascii="宋体" w:hAnsi="宋体" w:eastAsia="宋体" w:cs="宋体"/>
                <w:i w:val="0"/>
                <w:iCs w:val="0"/>
                <w:color w:val="000000"/>
                <w:sz w:val="20"/>
                <w:szCs w:val="20"/>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2E6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33</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3D4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决明子</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AB2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kg</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817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31.05</w:t>
            </w:r>
          </w:p>
        </w:tc>
        <w:tc>
          <w:tcPr>
            <w:tcW w:w="2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836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豆科植物钝叶决明的干燥成熟种子</w:t>
            </w:r>
          </w:p>
        </w:tc>
        <w:tc>
          <w:tcPr>
            <w:tcW w:w="5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A3D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略呈菱方形或短圆柱形，两端平行倾斜，长3~7mm，宽2~4mm。表面绿棕色或暗棕色，平滑有光泽。一端较平坦，另端斜尖，背腹面各有1条突起的棱线，棱线两侧各有1条斜向对称而色较浅的线形凹纹。质坚硬，不易破碎。种皮薄，子叶2，黄色，呈"S"形折曲并重叠。气微，味微苦。</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CE7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统货</w:t>
            </w:r>
          </w:p>
        </w:tc>
        <w:tc>
          <w:tcPr>
            <w:tcW w:w="12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0DE799">
            <w:pPr>
              <w:jc w:val="center"/>
              <w:rPr>
                <w:rFonts w:hint="eastAsia" w:ascii="宋体" w:hAnsi="宋体" w:eastAsia="宋体" w:cs="宋体"/>
                <w:i w:val="0"/>
                <w:iCs w:val="0"/>
                <w:color w:val="000000"/>
                <w:sz w:val="18"/>
                <w:szCs w:val="18"/>
                <w:u w:val="none"/>
              </w:rPr>
            </w:pP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2383B5">
            <w:pPr>
              <w:jc w:val="center"/>
              <w:rPr>
                <w:rFonts w:hint="eastAsia" w:ascii="宋体" w:hAnsi="宋体" w:eastAsia="宋体" w:cs="宋体"/>
                <w:i w:val="0"/>
                <w:iCs w:val="0"/>
                <w:color w:val="000000"/>
                <w:sz w:val="18"/>
                <w:szCs w:val="18"/>
                <w:u w:val="none"/>
              </w:rPr>
            </w:pPr>
          </w:p>
        </w:tc>
      </w:tr>
      <w:tr w14:paraId="7BC864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0" w:hRule="atLeast"/>
        </w:trPr>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0D8E91">
            <w:pPr>
              <w:jc w:val="center"/>
              <w:rPr>
                <w:rFonts w:hint="eastAsia" w:ascii="宋体" w:hAnsi="宋体" w:eastAsia="宋体" w:cs="宋体"/>
                <w:i w:val="0"/>
                <w:iCs w:val="0"/>
                <w:color w:val="000000"/>
                <w:sz w:val="20"/>
                <w:szCs w:val="20"/>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250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34</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F2B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昆布</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A58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kg</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241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63</w:t>
            </w:r>
          </w:p>
        </w:tc>
        <w:tc>
          <w:tcPr>
            <w:tcW w:w="2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A52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海带科植物海带或翅藻科植物昆布的干燥叶状体。夏、秋二季采捞，晒干。</w:t>
            </w:r>
          </w:p>
        </w:tc>
        <w:tc>
          <w:tcPr>
            <w:tcW w:w="5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2E8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海带卷曲折叠成团状，或缠结成把。全体呈黑褐色或绿褐色，表面附有白霜。用水浸软则膨胀成扁平长带状，长50～150cm，宽10～40cm，中部较厚，边缘较薄而呈波状。类革质，残存柄部扁圆柱状。气腥，味咸。昆布卷曲皱缩成不规则团状。全体呈黑色，较薄。用水浸软则膨胀呈扁平的叶状，长宽约为16~26cm，厚约1.6mm；两侧呈羽状深裂，裂片呈长舌状，边缘有小齿或全缘。质柔滑。</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477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统货</w:t>
            </w:r>
          </w:p>
        </w:tc>
        <w:tc>
          <w:tcPr>
            <w:tcW w:w="12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1ABC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附检验合格单</w:t>
            </w: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540A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厚度大于1.5mm</w:t>
            </w:r>
          </w:p>
        </w:tc>
      </w:tr>
      <w:tr w14:paraId="6A8C06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2F78F0">
            <w:pPr>
              <w:jc w:val="center"/>
              <w:rPr>
                <w:rFonts w:hint="eastAsia" w:ascii="宋体" w:hAnsi="宋体" w:eastAsia="宋体" w:cs="宋体"/>
                <w:i w:val="0"/>
                <w:iCs w:val="0"/>
                <w:color w:val="000000"/>
                <w:sz w:val="20"/>
                <w:szCs w:val="20"/>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378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35</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717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灵芝片</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48D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kg</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FE9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60.95</w:t>
            </w:r>
          </w:p>
        </w:tc>
        <w:tc>
          <w:tcPr>
            <w:tcW w:w="2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46B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多孔菌科真菌赤芝的干燥子实体</w:t>
            </w:r>
          </w:p>
        </w:tc>
        <w:tc>
          <w:tcPr>
            <w:tcW w:w="5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7E0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赤芝外形呈伞状，菌盖肾形、半圆形或近圆形，直径10~18cm，厚1～2cm。皮壳坚硬，黄褐色至红褐色，有光泽，具环状棱纹和辐射状皱纹，边缘薄而平截，常稍内卷。菌肉白色至淡棕色。菌柄圆柱形，侧生，少偏生，长7~15cm，直径1~3.5cm，红褐色至紧褐色，光亮。孢子细小，黄褐色。气微香，味苦涩。</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EFF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统货</w:t>
            </w:r>
          </w:p>
        </w:tc>
        <w:tc>
          <w:tcPr>
            <w:tcW w:w="12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3146B1">
            <w:pPr>
              <w:jc w:val="center"/>
              <w:rPr>
                <w:rFonts w:hint="eastAsia" w:ascii="宋体" w:hAnsi="宋体" w:eastAsia="宋体" w:cs="宋体"/>
                <w:i w:val="0"/>
                <w:iCs w:val="0"/>
                <w:color w:val="000000"/>
                <w:sz w:val="18"/>
                <w:szCs w:val="18"/>
                <w:u w:val="none"/>
              </w:rPr>
            </w:pP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E1E119">
            <w:pPr>
              <w:jc w:val="center"/>
              <w:rPr>
                <w:rFonts w:hint="eastAsia" w:ascii="宋体" w:hAnsi="宋体" w:eastAsia="宋体" w:cs="宋体"/>
                <w:i w:val="0"/>
                <w:iCs w:val="0"/>
                <w:color w:val="000000"/>
                <w:sz w:val="18"/>
                <w:szCs w:val="18"/>
                <w:u w:val="none"/>
              </w:rPr>
            </w:pPr>
          </w:p>
        </w:tc>
      </w:tr>
      <w:tr w14:paraId="353200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779007">
            <w:pPr>
              <w:jc w:val="center"/>
              <w:rPr>
                <w:rFonts w:hint="eastAsia" w:ascii="宋体" w:hAnsi="宋体" w:eastAsia="宋体" w:cs="宋体"/>
                <w:i w:val="0"/>
                <w:iCs w:val="0"/>
                <w:color w:val="000000"/>
                <w:sz w:val="20"/>
                <w:szCs w:val="20"/>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540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36</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2C1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龙眼肉</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25F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kg</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C2D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118</w:t>
            </w:r>
          </w:p>
        </w:tc>
        <w:tc>
          <w:tcPr>
            <w:tcW w:w="2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F3B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无患子科植物龙眼的假种皮。夏、秋二季采收成熟果实，干燥，除去壳、核，晒至干爽不黏。</w:t>
            </w:r>
          </w:p>
        </w:tc>
        <w:tc>
          <w:tcPr>
            <w:tcW w:w="5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FEA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本品为纵向破裂的不规则薄片，或呈囊状，长约1.5cm，宽2～4cm，厚约0.1cm。棕黄色至棕褐色，半透明。外表面皱缩不平，内表面光亮而有细纵皱纹。薄片者质柔润，囊状者质稍硬。气微香，味甜。</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FBC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统货</w:t>
            </w:r>
          </w:p>
        </w:tc>
        <w:tc>
          <w:tcPr>
            <w:tcW w:w="12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BF5B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附检验合格单</w:t>
            </w: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D195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生晒品，红棕色，味甜</w:t>
            </w:r>
          </w:p>
        </w:tc>
      </w:tr>
      <w:tr w14:paraId="649967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8F9EEA">
            <w:pPr>
              <w:jc w:val="center"/>
              <w:rPr>
                <w:rFonts w:hint="eastAsia" w:ascii="宋体" w:hAnsi="宋体" w:eastAsia="宋体" w:cs="宋体"/>
                <w:i w:val="0"/>
                <w:iCs w:val="0"/>
                <w:color w:val="000000"/>
                <w:sz w:val="20"/>
                <w:szCs w:val="20"/>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B27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37</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AAD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麻黄</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400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kg</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F8D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34.5</w:t>
            </w:r>
          </w:p>
        </w:tc>
        <w:tc>
          <w:tcPr>
            <w:tcW w:w="2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5F0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麻黄科植物草麻黄、中麻黄或木贼麻黄的干燥草质茎。秋季采割绿色的草质茎，晒干。</w:t>
            </w:r>
          </w:p>
        </w:tc>
        <w:tc>
          <w:tcPr>
            <w:tcW w:w="5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70F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本品呈圆柱形的段。表面淡黄绿色至黄绿色，粗糙，有细纵脊线，节上有细小鳞叶。切面中心显红黄色。气微香，味涩、微苦。</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A0C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统货</w:t>
            </w:r>
          </w:p>
        </w:tc>
        <w:tc>
          <w:tcPr>
            <w:tcW w:w="12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76A1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附检验合格单</w:t>
            </w: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0149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表面黄绿色，髓部红棕色明显</w:t>
            </w:r>
          </w:p>
        </w:tc>
      </w:tr>
      <w:tr w14:paraId="4C35F4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4AA99D">
            <w:pPr>
              <w:jc w:val="center"/>
              <w:rPr>
                <w:rFonts w:hint="eastAsia" w:ascii="宋体" w:hAnsi="宋体" w:eastAsia="宋体" w:cs="宋体"/>
                <w:i w:val="0"/>
                <w:iCs w:val="0"/>
                <w:color w:val="000000"/>
                <w:sz w:val="20"/>
                <w:szCs w:val="20"/>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4BC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38</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4BF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马齿苋</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068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kg</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DF6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42</w:t>
            </w:r>
          </w:p>
        </w:tc>
        <w:tc>
          <w:tcPr>
            <w:tcW w:w="2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9B2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马齿苋科植物马齿苋的干燥地上部分</w:t>
            </w:r>
          </w:p>
        </w:tc>
        <w:tc>
          <w:tcPr>
            <w:tcW w:w="5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C0E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本品多皱缩卷曲，常结成团。茎圆柱形，长可达30cm，直径0.1~0.2cm，表面黄褐色，有明显纵沟纹。叶对生或互生，易破碎，完整叶片倒卵形，长1~2.5cm，宽0.5~1.5cm；绿褐色，先端钝平或微缺，全缘。花小，3~5朵生于枝端，花瓣5，黄色。蒴果圆锥形，长约5mm，内含多数细小种子。</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F7B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统货</w:t>
            </w:r>
          </w:p>
        </w:tc>
        <w:tc>
          <w:tcPr>
            <w:tcW w:w="12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202EE8">
            <w:pPr>
              <w:jc w:val="center"/>
              <w:rPr>
                <w:rFonts w:hint="eastAsia" w:ascii="宋体" w:hAnsi="宋体" w:eastAsia="宋体" w:cs="宋体"/>
                <w:i w:val="0"/>
                <w:iCs w:val="0"/>
                <w:color w:val="000000"/>
                <w:sz w:val="18"/>
                <w:szCs w:val="18"/>
                <w:u w:val="none"/>
              </w:rPr>
            </w:pP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4B006C">
            <w:pPr>
              <w:jc w:val="center"/>
              <w:rPr>
                <w:rFonts w:hint="eastAsia" w:ascii="宋体" w:hAnsi="宋体" w:eastAsia="宋体" w:cs="宋体"/>
                <w:i w:val="0"/>
                <w:iCs w:val="0"/>
                <w:color w:val="000000"/>
                <w:sz w:val="18"/>
                <w:szCs w:val="18"/>
                <w:u w:val="none"/>
              </w:rPr>
            </w:pPr>
          </w:p>
        </w:tc>
      </w:tr>
      <w:tr w14:paraId="11B9AB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0" w:hRule="atLeast"/>
        </w:trPr>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93BE76">
            <w:pPr>
              <w:jc w:val="center"/>
              <w:rPr>
                <w:rFonts w:hint="eastAsia" w:ascii="宋体" w:hAnsi="宋体" w:eastAsia="宋体" w:cs="宋体"/>
                <w:i w:val="0"/>
                <w:iCs w:val="0"/>
                <w:color w:val="000000"/>
                <w:sz w:val="20"/>
                <w:szCs w:val="20"/>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C26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39</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FFA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没药</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C2F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kg</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871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159.85</w:t>
            </w:r>
          </w:p>
        </w:tc>
        <w:tc>
          <w:tcPr>
            <w:tcW w:w="2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CCD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橄榄科植物地丁树或哈地丁树的干燥树脂</w:t>
            </w:r>
          </w:p>
        </w:tc>
        <w:tc>
          <w:tcPr>
            <w:tcW w:w="5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906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天然没药：呈不规则颗粒性团块，大小不等，大者直径长达6cm以上。表面黄棕色或红棕色，近半透明部分呈棕黑色，被有黄色粉尘。质坚脆，破碎面不整齐，无光泽。有特异香气，味苦而微辛。2、胶质没药：呈不规则块状和颗粒，多黏结成大小不等的团块，大者直径长达6cm以上，表面棕黄色至棕褐色，不透明，质坚实或疏松，有特异香气，味苦而有黏性。</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E17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统货</w:t>
            </w:r>
          </w:p>
        </w:tc>
        <w:tc>
          <w:tcPr>
            <w:tcW w:w="12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950AFC">
            <w:pPr>
              <w:jc w:val="center"/>
              <w:rPr>
                <w:rFonts w:hint="eastAsia" w:ascii="宋体" w:hAnsi="宋体" w:eastAsia="宋体" w:cs="宋体"/>
                <w:i w:val="0"/>
                <w:iCs w:val="0"/>
                <w:color w:val="000000"/>
                <w:sz w:val="18"/>
                <w:szCs w:val="18"/>
                <w:u w:val="none"/>
              </w:rPr>
            </w:pP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07A8FB">
            <w:pPr>
              <w:jc w:val="center"/>
              <w:rPr>
                <w:rFonts w:hint="eastAsia" w:ascii="宋体" w:hAnsi="宋体" w:eastAsia="宋体" w:cs="宋体"/>
                <w:i w:val="0"/>
                <w:iCs w:val="0"/>
                <w:color w:val="000000"/>
                <w:sz w:val="18"/>
                <w:szCs w:val="18"/>
                <w:u w:val="none"/>
              </w:rPr>
            </w:pPr>
          </w:p>
        </w:tc>
      </w:tr>
      <w:tr w14:paraId="3DC0B5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F56462">
            <w:pPr>
              <w:jc w:val="center"/>
              <w:rPr>
                <w:rFonts w:hint="eastAsia" w:ascii="宋体" w:hAnsi="宋体" w:eastAsia="宋体" w:cs="宋体"/>
                <w:i w:val="0"/>
                <w:iCs w:val="0"/>
                <w:color w:val="000000"/>
                <w:sz w:val="20"/>
                <w:szCs w:val="20"/>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2D8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40</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61F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蜜麻黄</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D64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kg</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00B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34.5</w:t>
            </w:r>
          </w:p>
        </w:tc>
        <w:tc>
          <w:tcPr>
            <w:tcW w:w="2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8A6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麻黄科植物草麻黄、中麻黄或木贼麻黄的干燥草质茎。秋季采割绿色的草质茎，晒干。</w:t>
            </w:r>
          </w:p>
        </w:tc>
        <w:tc>
          <w:tcPr>
            <w:tcW w:w="5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A8A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表面深黄色，微有光泽，略具黏性。有蜜香气，味甜。</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A16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统货</w:t>
            </w:r>
          </w:p>
        </w:tc>
        <w:tc>
          <w:tcPr>
            <w:tcW w:w="12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EB8F0D">
            <w:pPr>
              <w:jc w:val="center"/>
              <w:rPr>
                <w:rFonts w:hint="eastAsia" w:ascii="宋体" w:hAnsi="宋体" w:eastAsia="宋体" w:cs="宋体"/>
                <w:i w:val="0"/>
                <w:iCs w:val="0"/>
                <w:color w:val="000000"/>
                <w:sz w:val="18"/>
                <w:szCs w:val="18"/>
                <w:u w:val="none"/>
              </w:rPr>
            </w:pP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01A4B4">
            <w:pPr>
              <w:jc w:val="center"/>
              <w:rPr>
                <w:rFonts w:hint="eastAsia" w:ascii="宋体" w:hAnsi="宋体" w:eastAsia="宋体" w:cs="宋体"/>
                <w:i w:val="0"/>
                <w:iCs w:val="0"/>
                <w:color w:val="000000"/>
                <w:sz w:val="18"/>
                <w:szCs w:val="18"/>
                <w:u w:val="none"/>
              </w:rPr>
            </w:pPr>
          </w:p>
        </w:tc>
      </w:tr>
      <w:tr w14:paraId="1B68B5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4F5A3D">
            <w:pPr>
              <w:jc w:val="center"/>
              <w:rPr>
                <w:rFonts w:hint="eastAsia" w:ascii="宋体" w:hAnsi="宋体" w:eastAsia="宋体" w:cs="宋体"/>
                <w:i w:val="0"/>
                <w:iCs w:val="0"/>
                <w:color w:val="000000"/>
                <w:sz w:val="20"/>
                <w:szCs w:val="20"/>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5B3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41</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268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墨旱莲</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DA8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kg</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497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46</w:t>
            </w:r>
          </w:p>
        </w:tc>
        <w:tc>
          <w:tcPr>
            <w:tcW w:w="2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470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菊科植物鳢肠的干燥地上部分。花开时采割，晒干。</w:t>
            </w:r>
          </w:p>
        </w:tc>
        <w:tc>
          <w:tcPr>
            <w:tcW w:w="5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F4A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本品呈不规则的段。茎圆柱形，表面绿褐色或墨绿色，具纵棱，有白毛，切面中空或有白色髓。叶多皱缩或破碎，墨绿色，密生白毛，展平后，可见边缘全缘或具浅锯齿。头状花序。气微，味微咸。</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FF0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统货</w:t>
            </w:r>
          </w:p>
        </w:tc>
        <w:tc>
          <w:tcPr>
            <w:tcW w:w="12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922C1E">
            <w:pPr>
              <w:jc w:val="center"/>
              <w:rPr>
                <w:rFonts w:hint="eastAsia" w:ascii="宋体" w:hAnsi="宋体" w:eastAsia="宋体" w:cs="宋体"/>
                <w:i w:val="0"/>
                <w:iCs w:val="0"/>
                <w:color w:val="000000"/>
                <w:sz w:val="18"/>
                <w:szCs w:val="18"/>
                <w:u w:val="none"/>
              </w:rPr>
            </w:pP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C5ED66">
            <w:pPr>
              <w:jc w:val="center"/>
              <w:rPr>
                <w:rFonts w:hint="eastAsia" w:ascii="宋体" w:hAnsi="宋体" w:eastAsia="宋体" w:cs="宋体"/>
                <w:i w:val="0"/>
                <w:iCs w:val="0"/>
                <w:color w:val="000000"/>
                <w:sz w:val="18"/>
                <w:szCs w:val="18"/>
                <w:u w:val="none"/>
              </w:rPr>
            </w:pPr>
          </w:p>
        </w:tc>
      </w:tr>
      <w:tr w14:paraId="71073B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C3201C">
            <w:pPr>
              <w:jc w:val="center"/>
              <w:rPr>
                <w:rFonts w:hint="eastAsia" w:ascii="宋体" w:hAnsi="宋体" w:eastAsia="宋体" w:cs="宋体"/>
                <w:i w:val="0"/>
                <w:iCs w:val="0"/>
                <w:color w:val="000000"/>
                <w:sz w:val="20"/>
                <w:szCs w:val="20"/>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EE5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42</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939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木蝴蝶</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36F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kg</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41F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154.1</w:t>
            </w:r>
          </w:p>
        </w:tc>
        <w:tc>
          <w:tcPr>
            <w:tcW w:w="2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4FD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紫科植物木蝴蝶的干燥成熟种子。</w:t>
            </w:r>
          </w:p>
        </w:tc>
        <w:tc>
          <w:tcPr>
            <w:tcW w:w="5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D42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本品为蝶形薄片，除基部外三面延长成宽大菲薄的翅，长5~8cm，宽3.5~4.5cm。表面浅黄白色，翅半透明，有绢丝样光泽，上有放射状纹理，边缘多破裂。体轻，剥去种皮，可见一层薄膜状的胚乳紧裹于子叶之外。子叶2，蝶形，黄绿色或黄色，长径I~1.5cm。气微，味微苦。</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75D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统货</w:t>
            </w:r>
          </w:p>
        </w:tc>
        <w:tc>
          <w:tcPr>
            <w:tcW w:w="12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49BB8F">
            <w:pPr>
              <w:jc w:val="center"/>
              <w:rPr>
                <w:rFonts w:hint="eastAsia" w:ascii="宋体" w:hAnsi="宋体" w:eastAsia="宋体" w:cs="宋体"/>
                <w:i w:val="0"/>
                <w:iCs w:val="0"/>
                <w:color w:val="000000"/>
                <w:sz w:val="18"/>
                <w:szCs w:val="18"/>
                <w:u w:val="none"/>
              </w:rPr>
            </w:pP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CDC088">
            <w:pPr>
              <w:jc w:val="center"/>
              <w:rPr>
                <w:rFonts w:hint="eastAsia" w:ascii="宋体" w:hAnsi="宋体" w:eastAsia="宋体" w:cs="宋体"/>
                <w:i w:val="0"/>
                <w:iCs w:val="0"/>
                <w:color w:val="000000"/>
                <w:sz w:val="21"/>
                <w:szCs w:val="21"/>
                <w:u w:val="none"/>
              </w:rPr>
            </w:pPr>
          </w:p>
        </w:tc>
      </w:tr>
      <w:tr w14:paraId="2433D1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4228F5">
            <w:pPr>
              <w:jc w:val="center"/>
              <w:rPr>
                <w:rFonts w:hint="eastAsia" w:ascii="宋体" w:hAnsi="宋体" w:eastAsia="宋体" w:cs="宋体"/>
                <w:i w:val="0"/>
                <w:iCs w:val="0"/>
                <w:color w:val="000000"/>
                <w:sz w:val="20"/>
                <w:szCs w:val="20"/>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8D7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43</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5BE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牛蒡子</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838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kg</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1DB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50</w:t>
            </w:r>
          </w:p>
        </w:tc>
        <w:tc>
          <w:tcPr>
            <w:tcW w:w="2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19F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菊科二年生草本植物牛蒡的干燥成熟果实</w:t>
            </w:r>
          </w:p>
        </w:tc>
        <w:tc>
          <w:tcPr>
            <w:tcW w:w="5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814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呈长倒卵形，略扁，微弯曲，长5～7mm，宽2～3mm。表面灰褐色，带紫黑色斑点，有数条纵棱，通常中间1～2条较明显。顶端钝圆，稍宽，顶面有圆环，中间具点状花柱残迹；基部略窄，着生面色较淡。果皮较硬，子叶2，淡黄白色，富油性。</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3DD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统货</w:t>
            </w:r>
          </w:p>
        </w:tc>
        <w:tc>
          <w:tcPr>
            <w:tcW w:w="12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660C1F">
            <w:pPr>
              <w:jc w:val="center"/>
              <w:rPr>
                <w:rFonts w:hint="eastAsia" w:ascii="宋体" w:hAnsi="宋体" w:eastAsia="宋体" w:cs="宋体"/>
                <w:i w:val="0"/>
                <w:iCs w:val="0"/>
                <w:color w:val="000000"/>
                <w:sz w:val="18"/>
                <w:szCs w:val="18"/>
                <w:u w:val="none"/>
              </w:rPr>
            </w:pP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2C57C9">
            <w:pPr>
              <w:jc w:val="center"/>
              <w:rPr>
                <w:rFonts w:hint="eastAsia" w:ascii="宋体" w:hAnsi="宋体" w:eastAsia="宋体" w:cs="宋体"/>
                <w:i w:val="0"/>
                <w:iCs w:val="0"/>
                <w:color w:val="000000"/>
                <w:sz w:val="18"/>
                <w:szCs w:val="18"/>
                <w:u w:val="none"/>
              </w:rPr>
            </w:pPr>
          </w:p>
        </w:tc>
      </w:tr>
      <w:tr w14:paraId="6C8409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432926">
            <w:pPr>
              <w:jc w:val="center"/>
              <w:rPr>
                <w:rFonts w:hint="eastAsia" w:ascii="宋体" w:hAnsi="宋体" w:eastAsia="宋体" w:cs="宋体"/>
                <w:i w:val="0"/>
                <w:iCs w:val="0"/>
                <w:color w:val="000000"/>
                <w:sz w:val="20"/>
                <w:szCs w:val="20"/>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A48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44</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713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枇杷叶</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062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kg</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1D6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20.7</w:t>
            </w:r>
          </w:p>
        </w:tc>
        <w:tc>
          <w:tcPr>
            <w:tcW w:w="2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4F6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蔷薇科植物枇杷的叶子</w:t>
            </w:r>
          </w:p>
        </w:tc>
        <w:tc>
          <w:tcPr>
            <w:tcW w:w="5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BD8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本品呈长圆形或倒卵形，长度在12～30厘米之间，宽度在4～9厘米之间。叶片的先端尖锐，基部楔形，边缘有疏锯齿，近基部全缘。上表面呈现灰绿色、黄棕色或红棕色，较为光滑；下表面密被黄色绒毛，主脉在下表面显著突起，侧脉羽状；叶柄极短，被棕黄色绒毛</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7C4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统货</w:t>
            </w:r>
          </w:p>
        </w:tc>
        <w:tc>
          <w:tcPr>
            <w:tcW w:w="12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DCFF78">
            <w:pPr>
              <w:jc w:val="center"/>
              <w:rPr>
                <w:rFonts w:hint="eastAsia" w:ascii="宋体" w:hAnsi="宋体" w:eastAsia="宋体" w:cs="宋体"/>
                <w:i w:val="0"/>
                <w:iCs w:val="0"/>
                <w:color w:val="000000"/>
                <w:sz w:val="18"/>
                <w:szCs w:val="18"/>
                <w:u w:val="none"/>
              </w:rPr>
            </w:pP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63D9D7">
            <w:pPr>
              <w:jc w:val="center"/>
              <w:rPr>
                <w:rFonts w:hint="eastAsia" w:ascii="宋体" w:hAnsi="宋体" w:eastAsia="宋体" w:cs="宋体"/>
                <w:i w:val="0"/>
                <w:iCs w:val="0"/>
                <w:color w:val="000000"/>
                <w:sz w:val="18"/>
                <w:szCs w:val="18"/>
                <w:u w:val="none"/>
              </w:rPr>
            </w:pPr>
          </w:p>
        </w:tc>
      </w:tr>
      <w:tr w14:paraId="3BB9DC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F057A4">
            <w:pPr>
              <w:jc w:val="center"/>
              <w:rPr>
                <w:rFonts w:hint="eastAsia" w:ascii="宋体" w:hAnsi="宋体" w:eastAsia="宋体" w:cs="宋体"/>
                <w:i w:val="0"/>
                <w:iCs w:val="0"/>
                <w:color w:val="000000"/>
                <w:sz w:val="20"/>
                <w:szCs w:val="20"/>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82D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45</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AF8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秦艽</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C7D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kg</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89A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197.8</w:t>
            </w:r>
          </w:p>
        </w:tc>
        <w:tc>
          <w:tcPr>
            <w:tcW w:w="2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4BA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龙胆科植物秦艽.、麻花秦艽粗茎秦艽或小秦艽的干燥根。</w:t>
            </w:r>
          </w:p>
        </w:tc>
        <w:tc>
          <w:tcPr>
            <w:tcW w:w="5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0B7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呈类圆柱形，上粗下细，扭曲不直，长10~30cm，直径1~3cm。表面黄棕色或灰黄色，有纵向或扭曲的纵皱纹，顶端有残存茎基及纤维状叶鞘。质硬而脆，易折断，断面略显油性，皮部黄色或棕黄色，木部黄色。气特异，味苦、微涩。</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DDE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统货</w:t>
            </w:r>
          </w:p>
        </w:tc>
        <w:tc>
          <w:tcPr>
            <w:tcW w:w="12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A761DC">
            <w:pPr>
              <w:jc w:val="center"/>
              <w:rPr>
                <w:rFonts w:hint="eastAsia" w:ascii="宋体" w:hAnsi="宋体" w:eastAsia="宋体" w:cs="宋体"/>
                <w:i w:val="0"/>
                <w:iCs w:val="0"/>
                <w:color w:val="000000"/>
                <w:sz w:val="18"/>
                <w:szCs w:val="18"/>
                <w:u w:val="none"/>
              </w:rPr>
            </w:pP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77097D">
            <w:pPr>
              <w:jc w:val="center"/>
              <w:rPr>
                <w:rFonts w:hint="eastAsia" w:ascii="宋体" w:hAnsi="宋体" w:eastAsia="宋体" w:cs="宋体"/>
                <w:i w:val="0"/>
                <w:iCs w:val="0"/>
                <w:color w:val="000000"/>
                <w:sz w:val="18"/>
                <w:szCs w:val="18"/>
                <w:u w:val="none"/>
              </w:rPr>
            </w:pPr>
          </w:p>
        </w:tc>
      </w:tr>
      <w:tr w14:paraId="515CC5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2BD3B8">
            <w:pPr>
              <w:jc w:val="center"/>
              <w:rPr>
                <w:rFonts w:hint="eastAsia" w:ascii="宋体" w:hAnsi="宋体" w:eastAsia="宋体" w:cs="宋体"/>
                <w:i w:val="0"/>
                <w:iCs w:val="0"/>
                <w:color w:val="000000"/>
                <w:sz w:val="20"/>
                <w:szCs w:val="20"/>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C8B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46</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BB4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人参片</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FBD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kg</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AA6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922.3</w:t>
            </w:r>
          </w:p>
        </w:tc>
        <w:tc>
          <w:tcPr>
            <w:tcW w:w="2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D74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本品为五加科植物人参的干燥根和根茎</w:t>
            </w:r>
          </w:p>
        </w:tc>
        <w:tc>
          <w:tcPr>
            <w:tcW w:w="5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EE1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本品呈圆形或类圆形薄片。外表皮灰黄色。切面淡黄白色或类白色，显粉性，形成层环纹棕黄色，皮部有黄机“色的点状树脂道及放射性裂隙。体轻，质脆。香气特异，味微苦、甘。</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37F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统货</w:t>
            </w:r>
          </w:p>
        </w:tc>
        <w:tc>
          <w:tcPr>
            <w:tcW w:w="12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3969AF">
            <w:pPr>
              <w:jc w:val="center"/>
              <w:rPr>
                <w:rFonts w:hint="eastAsia" w:ascii="宋体" w:hAnsi="宋体" w:eastAsia="宋体" w:cs="宋体"/>
                <w:i w:val="0"/>
                <w:iCs w:val="0"/>
                <w:color w:val="000000"/>
                <w:sz w:val="18"/>
                <w:szCs w:val="18"/>
                <w:u w:val="none"/>
              </w:rPr>
            </w:pP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F87F14">
            <w:pPr>
              <w:jc w:val="center"/>
              <w:rPr>
                <w:rFonts w:hint="eastAsia" w:ascii="宋体" w:hAnsi="宋体" w:eastAsia="宋体" w:cs="宋体"/>
                <w:i w:val="0"/>
                <w:iCs w:val="0"/>
                <w:color w:val="000000"/>
                <w:sz w:val="18"/>
                <w:szCs w:val="18"/>
                <w:u w:val="none"/>
              </w:rPr>
            </w:pPr>
          </w:p>
        </w:tc>
      </w:tr>
      <w:tr w14:paraId="3295AC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56C530">
            <w:pPr>
              <w:jc w:val="center"/>
              <w:rPr>
                <w:rFonts w:hint="eastAsia" w:ascii="宋体" w:hAnsi="宋体" w:eastAsia="宋体" w:cs="宋体"/>
                <w:i w:val="0"/>
                <w:iCs w:val="0"/>
                <w:color w:val="000000"/>
                <w:sz w:val="20"/>
                <w:szCs w:val="20"/>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E4B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47</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504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桑寄生</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FF2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kg</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A08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21.85</w:t>
            </w:r>
          </w:p>
        </w:tc>
        <w:tc>
          <w:tcPr>
            <w:tcW w:w="2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002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桑寄生科植物桑寄生的干燥带叶茎枝。冬季至次春采割，除去粗茎，切段，干燥，或蒸后干燥。</w:t>
            </w:r>
          </w:p>
        </w:tc>
        <w:tc>
          <w:tcPr>
            <w:tcW w:w="5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C95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本品为厚片或不规则短段。外表皮红褐色或灰褐色，具细纵纹，并有多数细小突起的棕色皮孔，嫩枝有的可见棕褐色茸毛。切面皮部红棕色，木部色较浅。叶多卷曲或破碎，完整者展平后呈卵形或椭圆形，表面黄褐色，幼叶被细茸毛，先端钝圆，基部圆形或宽楔形，全缘；革质。气微，味涩。</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DF7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统货</w:t>
            </w:r>
          </w:p>
        </w:tc>
        <w:tc>
          <w:tcPr>
            <w:tcW w:w="12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C2683B">
            <w:pPr>
              <w:jc w:val="center"/>
              <w:rPr>
                <w:rFonts w:hint="eastAsia" w:ascii="宋体" w:hAnsi="宋体" w:eastAsia="宋体" w:cs="宋体"/>
                <w:i w:val="0"/>
                <w:iCs w:val="0"/>
                <w:color w:val="000000"/>
                <w:sz w:val="18"/>
                <w:szCs w:val="18"/>
                <w:u w:val="none"/>
              </w:rPr>
            </w:pP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890B82">
            <w:pPr>
              <w:jc w:val="center"/>
              <w:rPr>
                <w:rFonts w:hint="eastAsia" w:ascii="宋体" w:hAnsi="宋体" w:eastAsia="宋体" w:cs="宋体"/>
                <w:i w:val="0"/>
                <w:iCs w:val="0"/>
                <w:color w:val="000000"/>
                <w:sz w:val="18"/>
                <w:szCs w:val="18"/>
                <w:u w:val="none"/>
              </w:rPr>
            </w:pPr>
          </w:p>
        </w:tc>
      </w:tr>
      <w:tr w14:paraId="62EC06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16C37E">
            <w:pPr>
              <w:jc w:val="center"/>
              <w:rPr>
                <w:rFonts w:hint="eastAsia" w:ascii="宋体" w:hAnsi="宋体" w:eastAsia="宋体" w:cs="宋体"/>
                <w:i w:val="0"/>
                <w:iCs w:val="0"/>
                <w:color w:val="000000"/>
                <w:sz w:val="20"/>
                <w:szCs w:val="20"/>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BE4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48</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8BB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桑叶</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E87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kg</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040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21.85</w:t>
            </w:r>
          </w:p>
        </w:tc>
        <w:tc>
          <w:tcPr>
            <w:tcW w:w="2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E19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桑科植物桑的干燥叶。</w:t>
            </w:r>
          </w:p>
        </w:tc>
        <w:tc>
          <w:tcPr>
            <w:tcW w:w="5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CC7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本品多皱缩、破碎。完整者有柄，叶片展平后呈卵形或宽卵形，长8~15cm，宽7~13cm。先端渐尖，基部截形、圆形或心形，边缘有锯齿或钝锯齿，有的不规则分裂。上表面黄绿色或浅黄棕色，有的有小疣状突起；下表面颜色稍浅，叶脉突出，小脉网状，脉上被疏毛，脉基具簇毛。质脆。气微，味淡、微苦涩。</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2E7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统货</w:t>
            </w:r>
          </w:p>
        </w:tc>
        <w:tc>
          <w:tcPr>
            <w:tcW w:w="12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B5B353">
            <w:pPr>
              <w:jc w:val="center"/>
              <w:rPr>
                <w:rFonts w:hint="eastAsia" w:ascii="宋体" w:hAnsi="宋体" w:eastAsia="宋体" w:cs="宋体"/>
                <w:i w:val="0"/>
                <w:iCs w:val="0"/>
                <w:color w:val="000000"/>
                <w:sz w:val="18"/>
                <w:szCs w:val="18"/>
                <w:u w:val="none"/>
              </w:rPr>
            </w:pP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0DEDC3">
            <w:pPr>
              <w:jc w:val="center"/>
              <w:rPr>
                <w:rFonts w:hint="eastAsia" w:ascii="宋体" w:hAnsi="宋体" w:eastAsia="宋体" w:cs="宋体"/>
                <w:i w:val="0"/>
                <w:iCs w:val="0"/>
                <w:color w:val="000000"/>
                <w:sz w:val="18"/>
                <w:szCs w:val="18"/>
                <w:u w:val="none"/>
              </w:rPr>
            </w:pPr>
          </w:p>
        </w:tc>
      </w:tr>
      <w:tr w14:paraId="39BE10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30DA32">
            <w:pPr>
              <w:jc w:val="center"/>
              <w:rPr>
                <w:rFonts w:hint="eastAsia" w:ascii="宋体" w:hAnsi="宋体" w:eastAsia="宋体" w:cs="宋体"/>
                <w:i w:val="0"/>
                <w:iCs w:val="0"/>
                <w:color w:val="000000"/>
                <w:sz w:val="20"/>
                <w:szCs w:val="20"/>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E76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49</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52B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沙苑子</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E41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kg</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C4A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261</w:t>
            </w:r>
          </w:p>
        </w:tc>
        <w:tc>
          <w:tcPr>
            <w:tcW w:w="2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853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豆科植物扁茎黄芪的干燥成熟种子</w:t>
            </w:r>
          </w:p>
        </w:tc>
        <w:tc>
          <w:tcPr>
            <w:tcW w:w="5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40D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本品略呈肾形而稍扁，长2～2.5mm，宽1.5～2mm，厚约1mm。表面光滑，褐绿色或灰褐色，边缘一侧微凹处具圆形种脐。质坚硬，不易破碎。子叶2，淡黄色，胚根弯曲，长约1mm。气微，味淡，嚼之有豆腥味。</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AB9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统货</w:t>
            </w:r>
          </w:p>
        </w:tc>
        <w:tc>
          <w:tcPr>
            <w:tcW w:w="12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2AA9A0">
            <w:pPr>
              <w:jc w:val="center"/>
              <w:rPr>
                <w:rFonts w:hint="eastAsia" w:ascii="宋体" w:hAnsi="宋体" w:eastAsia="宋体" w:cs="宋体"/>
                <w:i w:val="0"/>
                <w:iCs w:val="0"/>
                <w:color w:val="000000"/>
                <w:sz w:val="18"/>
                <w:szCs w:val="18"/>
                <w:u w:val="none"/>
              </w:rPr>
            </w:pP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8BD230">
            <w:pPr>
              <w:jc w:val="center"/>
              <w:rPr>
                <w:rFonts w:hint="eastAsia" w:ascii="宋体" w:hAnsi="宋体" w:eastAsia="宋体" w:cs="宋体"/>
                <w:i w:val="0"/>
                <w:iCs w:val="0"/>
                <w:color w:val="000000"/>
                <w:sz w:val="18"/>
                <w:szCs w:val="18"/>
                <w:u w:val="none"/>
              </w:rPr>
            </w:pPr>
          </w:p>
        </w:tc>
      </w:tr>
      <w:tr w14:paraId="7C3AE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54EC46">
            <w:pPr>
              <w:jc w:val="center"/>
              <w:rPr>
                <w:rFonts w:hint="eastAsia" w:ascii="宋体" w:hAnsi="宋体" w:eastAsia="宋体" w:cs="宋体"/>
                <w:i w:val="0"/>
                <w:iCs w:val="0"/>
                <w:color w:val="000000"/>
                <w:sz w:val="20"/>
                <w:szCs w:val="20"/>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03F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50</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5F2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蛇床子</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263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kg</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FA3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69</w:t>
            </w:r>
          </w:p>
        </w:tc>
        <w:tc>
          <w:tcPr>
            <w:tcW w:w="2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A55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伞形科植物蛇床的干燥成熟果实</w:t>
            </w:r>
          </w:p>
        </w:tc>
        <w:tc>
          <w:tcPr>
            <w:tcW w:w="5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83C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本品为双悬果，呈椭圆形，长2～4mm，直径约2mm。表面灰黄色或灰褐色，顶端有2枚向外弯曲的柱基，基部偶有细梗。分果的背面有薄而突起的纵棱5条，接合面平坦，有2条棕色略突起的纵棱线。果皮松脆，揉搓易脱落。种子细小，灰棕色，显油性。气香，味辛凉，有麻舌感。</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753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统货</w:t>
            </w:r>
          </w:p>
        </w:tc>
        <w:tc>
          <w:tcPr>
            <w:tcW w:w="12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6ABD51">
            <w:pPr>
              <w:jc w:val="center"/>
              <w:rPr>
                <w:rFonts w:hint="eastAsia" w:ascii="宋体" w:hAnsi="宋体" w:eastAsia="宋体" w:cs="宋体"/>
                <w:i w:val="0"/>
                <w:iCs w:val="0"/>
                <w:color w:val="000000"/>
                <w:sz w:val="18"/>
                <w:szCs w:val="18"/>
                <w:u w:val="none"/>
              </w:rPr>
            </w:pP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0B4BDE">
            <w:pPr>
              <w:jc w:val="center"/>
              <w:rPr>
                <w:rFonts w:hint="eastAsia" w:ascii="宋体" w:hAnsi="宋体" w:eastAsia="宋体" w:cs="宋体"/>
                <w:i w:val="0"/>
                <w:iCs w:val="0"/>
                <w:color w:val="000000"/>
                <w:sz w:val="18"/>
                <w:szCs w:val="18"/>
                <w:u w:val="none"/>
              </w:rPr>
            </w:pPr>
          </w:p>
        </w:tc>
      </w:tr>
      <w:tr w14:paraId="12F21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18DDC7">
            <w:pPr>
              <w:jc w:val="center"/>
              <w:rPr>
                <w:rFonts w:hint="eastAsia" w:ascii="宋体" w:hAnsi="宋体" w:eastAsia="宋体" w:cs="宋体"/>
                <w:i w:val="0"/>
                <w:iCs w:val="0"/>
                <w:color w:val="000000"/>
                <w:sz w:val="20"/>
                <w:szCs w:val="20"/>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E0D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51</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456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生石膏</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982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kg</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8DB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17</w:t>
            </w:r>
          </w:p>
        </w:tc>
        <w:tc>
          <w:tcPr>
            <w:tcW w:w="2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C2B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本品为硫酸盐类矿物硬石膏族石膏，主含含水硫酸钙，采挖后，除去杂石及泥沙</w:t>
            </w:r>
          </w:p>
        </w:tc>
        <w:tc>
          <w:tcPr>
            <w:tcW w:w="5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479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本品为纤维状的集合体，呈长块状、板块状或不规则块状。白色、灰白色或淡黄色，有的半透明。体重，质软，纵断面具绢丝样光泽。气微，味淡。</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363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统货</w:t>
            </w:r>
          </w:p>
        </w:tc>
        <w:tc>
          <w:tcPr>
            <w:tcW w:w="12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BEA0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附检验合格单</w:t>
            </w: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BCE2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类白色，体重，断面绢丝样光泽</w:t>
            </w:r>
          </w:p>
        </w:tc>
      </w:tr>
      <w:tr w14:paraId="483D84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E2FF1A">
            <w:pPr>
              <w:jc w:val="center"/>
              <w:rPr>
                <w:rFonts w:hint="eastAsia" w:ascii="宋体" w:hAnsi="宋体" w:eastAsia="宋体" w:cs="宋体"/>
                <w:i w:val="0"/>
                <w:iCs w:val="0"/>
                <w:color w:val="000000"/>
                <w:sz w:val="20"/>
                <w:szCs w:val="20"/>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BE1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52</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976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首乌藤</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AF3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kg</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2BC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29.9</w:t>
            </w:r>
          </w:p>
        </w:tc>
        <w:tc>
          <w:tcPr>
            <w:tcW w:w="2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4F4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蓼科植物何首乌的干燥藤茎。秋、冬二季采割，除去残叶，捆成把或趁鲜切段，干燥。</w:t>
            </w:r>
          </w:p>
        </w:tc>
        <w:tc>
          <w:tcPr>
            <w:tcW w:w="5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8AB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本品呈圆柱形的段。外表面紫红色或紫褐色。切面皮部紫红色，木部黄白色或淡棕色，导管孔明显，髓部疏松，类白色。气微，味微苦涩。</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F9B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统货</w:t>
            </w:r>
          </w:p>
        </w:tc>
        <w:tc>
          <w:tcPr>
            <w:tcW w:w="12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9312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附检验合格单</w:t>
            </w: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4A07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直径4~7mm</w:t>
            </w:r>
          </w:p>
        </w:tc>
      </w:tr>
      <w:tr w14:paraId="446ACC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77B4DE">
            <w:pPr>
              <w:jc w:val="center"/>
              <w:rPr>
                <w:rFonts w:hint="eastAsia" w:ascii="宋体" w:hAnsi="宋体" w:eastAsia="宋体" w:cs="宋体"/>
                <w:i w:val="0"/>
                <w:iCs w:val="0"/>
                <w:color w:val="000000"/>
                <w:sz w:val="20"/>
                <w:szCs w:val="20"/>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C1A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53</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7D3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酸枣仁</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036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kg</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4E6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1000</w:t>
            </w:r>
          </w:p>
        </w:tc>
        <w:tc>
          <w:tcPr>
            <w:tcW w:w="2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A23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本品为鼠李科植物酸枣的干燥成熟种子</w:t>
            </w:r>
          </w:p>
        </w:tc>
        <w:tc>
          <w:tcPr>
            <w:tcW w:w="5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350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0.3cm</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57E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统货</w:t>
            </w:r>
          </w:p>
        </w:tc>
        <w:tc>
          <w:tcPr>
            <w:tcW w:w="12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135F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附检验合格单</w:t>
            </w: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CAA050">
            <w:pPr>
              <w:jc w:val="center"/>
              <w:rPr>
                <w:rFonts w:hint="eastAsia" w:ascii="宋体" w:hAnsi="宋体" w:eastAsia="宋体" w:cs="宋体"/>
                <w:i w:val="0"/>
                <w:iCs w:val="0"/>
                <w:color w:val="000000"/>
                <w:sz w:val="18"/>
                <w:szCs w:val="18"/>
                <w:u w:val="none"/>
              </w:rPr>
            </w:pPr>
          </w:p>
        </w:tc>
      </w:tr>
      <w:tr w14:paraId="3BF63D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87673B">
            <w:pPr>
              <w:jc w:val="center"/>
              <w:rPr>
                <w:rFonts w:hint="eastAsia" w:ascii="宋体" w:hAnsi="宋体" w:eastAsia="宋体" w:cs="宋体"/>
                <w:i w:val="0"/>
                <w:iCs w:val="0"/>
                <w:color w:val="000000"/>
                <w:sz w:val="20"/>
                <w:szCs w:val="20"/>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7C6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54</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2B4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天花粉</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0AA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kg</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B12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118</w:t>
            </w:r>
          </w:p>
        </w:tc>
        <w:tc>
          <w:tcPr>
            <w:tcW w:w="2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CDE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葫芦科植物栝楼或双边栝楼的干燥根。秋、冬二季采挖，洗净，除去外皮，切段或纵剖成瓣，干燥</w:t>
            </w:r>
          </w:p>
        </w:tc>
        <w:tc>
          <w:tcPr>
            <w:tcW w:w="5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49B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本品呈类圆形、半圆形或不规则形的厚片。外表皮黄白色或淡棕黄色。切面可见黄色木质部小孔，略呈放射状排列。气微，味微苦。</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A49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统货</w:t>
            </w:r>
          </w:p>
        </w:tc>
        <w:tc>
          <w:tcPr>
            <w:tcW w:w="12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D090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附检验合格单</w:t>
            </w: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8C84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去外皮，粉性，筋脉点放射状，低硫或无硫</w:t>
            </w:r>
          </w:p>
        </w:tc>
      </w:tr>
      <w:tr w14:paraId="3039BD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57B333">
            <w:pPr>
              <w:jc w:val="center"/>
              <w:rPr>
                <w:rFonts w:hint="eastAsia" w:ascii="宋体" w:hAnsi="宋体" w:eastAsia="宋体" w:cs="宋体"/>
                <w:i w:val="0"/>
                <w:iCs w:val="0"/>
                <w:color w:val="000000"/>
                <w:sz w:val="20"/>
                <w:szCs w:val="20"/>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692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55</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A99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通草</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645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kg</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ACC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689</w:t>
            </w:r>
          </w:p>
        </w:tc>
        <w:tc>
          <w:tcPr>
            <w:tcW w:w="2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B17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五加科植物通脱木的干燥茎髓</w:t>
            </w:r>
          </w:p>
        </w:tc>
        <w:tc>
          <w:tcPr>
            <w:tcW w:w="5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C39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本品呈圆柱形，长20~40cm，直径1~2.5cm。表面白色或淡黄色，有浅纵沟纹。体轻，质松软，稍有弹性，易折断，断面平坦，显银白色光泽，中部有直径0.3~1.5cm的空心或半透明的薄膜，纵剖面呈梯状排列，实心者少见。气微，味淡。</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3CC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统货</w:t>
            </w:r>
          </w:p>
        </w:tc>
        <w:tc>
          <w:tcPr>
            <w:tcW w:w="12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386C5A">
            <w:pPr>
              <w:jc w:val="center"/>
              <w:rPr>
                <w:rFonts w:hint="eastAsia" w:ascii="宋体" w:hAnsi="宋体" w:eastAsia="宋体" w:cs="宋体"/>
                <w:i w:val="0"/>
                <w:iCs w:val="0"/>
                <w:color w:val="000000"/>
                <w:sz w:val="18"/>
                <w:szCs w:val="18"/>
                <w:u w:val="none"/>
              </w:rPr>
            </w:pP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3A253A">
            <w:pPr>
              <w:jc w:val="center"/>
              <w:rPr>
                <w:rFonts w:hint="eastAsia" w:ascii="宋体" w:hAnsi="宋体" w:eastAsia="宋体" w:cs="宋体"/>
                <w:i w:val="0"/>
                <w:iCs w:val="0"/>
                <w:color w:val="000000"/>
                <w:sz w:val="18"/>
                <w:szCs w:val="18"/>
                <w:u w:val="none"/>
              </w:rPr>
            </w:pPr>
          </w:p>
        </w:tc>
      </w:tr>
      <w:tr w14:paraId="5928CC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0" w:hRule="atLeast"/>
        </w:trPr>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952424">
            <w:pPr>
              <w:jc w:val="center"/>
              <w:rPr>
                <w:rFonts w:hint="eastAsia" w:ascii="宋体" w:hAnsi="宋体" w:eastAsia="宋体" w:cs="宋体"/>
                <w:i w:val="0"/>
                <w:iCs w:val="0"/>
                <w:color w:val="000000"/>
                <w:sz w:val="20"/>
                <w:szCs w:val="20"/>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CDC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56</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CEA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瓦楞子</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BFA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kg</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53F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13</w:t>
            </w:r>
          </w:p>
        </w:tc>
        <w:tc>
          <w:tcPr>
            <w:tcW w:w="2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ACC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蚶科动物毛蚶、泥蚶或魁蚶的贝壳。秋、冬至次年春捕捞，洗净，置沸水中略煮，去肉，干燥。</w:t>
            </w:r>
          </w:p>
        </w:tc>
        <w:tc>
          <w:tcPr>
            <w:tcW w:w="5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4CD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毛蚶略呈三角形或扇形，长4～5cm，高3～4cm。壳外面隆起，有棕褐色茸毛或已脱落；壳顶突出，向内卷曲；自壳顶至腹面有延伸的放射肋30～34条。壳内面平滑，白色，壳缘有与壳外面直楞相对应的凹陷，铰合部具小齿1列。质坚。气微，味淡。泥蚶长2.5～4cm，高2～3cm。壳外面无棕褐色茸毛，放射肋18~21条，肋上有颗粒状突起。魁蚶长7～9cm，高6～8cm。壳外面放射肋42～48条。煅瓦楞子取净瓦楞子，照明煅法（通则0213）煅至酥脆。形如瓦楞子，灰白色至深灰色。质酥脆。气微，味淡。</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DC5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统货</w:t>
            </w:r>
          </w:p>
        </w:tc>
        <w:tc>
          <w:tcPr>
            <w:tcW w:w="12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2177A9">
            <w:pPr>
              <w:jc w:val="center"/>
              <w:rPr>
                <w:rFonts w:hint="eastAsia" w:ascii="宋体" w:hAnsi="宋体" w:eastAsia="宋体" w:cs="宋体"/>
                <w:i w:val="0"/>
                <w:iCs w:val="0"/>
                <w:color w:val="000000"/>
                <w:sz w:val="18"/>
                <w:szCs w:val="18"/>
                <w:u w:val="none"/>
              </w:rPr>
            </w:pP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95905F">
            <w:pPr>
              <w:jc w:val="center"/>
              <w:rPr>
                <w:rFonts w:hint="eastAsia" w:ascii="宋体" w:hAnsi="宋体" w:eastAsia="宋体" w:cs="宋体"/>
                <w:i w:val="0"/>
                <w:iCs w:val="0"/>
                <w:color w:val="000000"/>
                <w:sz w:val="18"/>
                <w:szCs w:val="18"/>
                <w:u w:val="none"/>
              </w:rPr>
            </w:pPr>
          </w:p>
        </w:tc>
      </w:tr>
      <w:tr w14:paraId="4B523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4EBDEF">
            <w:pPr>
              <w:jc w:val="center"/>
              <w:rPr>
                <w:rFonts w:hint="eastAsia" w:ascii="宋体" w:hAnsi="宋体" w:eastAsia="宋体" w:cs="宋体"/>
                <w:i w:val="0"/>
                <w:iCs w:val="0"/>
                <w:color w:val="000000"/>
                <w:sz w:val="20"/>
                <w:szCs w:val="20"/>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FFF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57</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D79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巫山淫羊霍</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9D3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kg</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A21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305</w:t>
            </w:r>
          </w:p>
        </w:tc>
        <w:tc>
          <w:tcPr>
            <w:tcW w:w="2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F9F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小檗科植物淫羊藿、箭叶淫羊藿、柔毛淫羊藿或朝鲜淫羊藿的干燥叶</w:t>
            </w:r>
          </w:p>
        </w:tc>
        <w:tc>
          <w:tcPr>
            <w:tcW w:w="5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9A2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本品呈丝片状。上表面绿色、黄绿色或浅黄色，下表面灰绿色，网脉明显，中脉及细脉凸出，边缘具黄色刺毛状细锯齿。近革质。气微，味微苦。</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70E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统货</w:t>
            </w:r>
          </w:p>
        </w:tc>
        <w:tc>
          <w:tcPr>
            <w:tcW w:w="12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834F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附检验合格单</w:t>
            </w: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61E0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用淫羊藿</w:t>
            </w:r>
          </w:p>
        </w:tc>
      </w:tr>
      <w:tr w14:paraId="743BCD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90" w:hRule="atLeast"/>
        </w:trPr>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8D2191">
            <w:pPr>
              <w:jc w:val="center"/>
              <w:rPr>
                <w:rFonts w:hint="eastAsia" w:ascii="宋体" w:hAnsi="宋体" w:eastAsia="宋体" w:cs="宋体"/>
                <w:i w:val="0"/>
                <w:iCs w:val="0"/>
                <w:color w:val="000000"/>
                <w:sz w:val="20"/>
                <w:szCs w:val="20"/>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D91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58</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E05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香附</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01C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kg</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27F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38</w:t>
            </w:r>
          </w:p>
        </w:tc>
        <w:tc>
          <w:tcPr>
            <w:tcW w:w="2187" w:type="dxa"/>
            <w:tcBorders>
              <w:top w:val="nil"/>
              <w:left w:val="nil"/>
              <w:bottom w:val="nil"/>
              <w:right w:val="nil"/>
            </w:tcBorders>
            <w:shd w:val="clear" w:color="auto" w:fill="auto"/>
            <w:vAlign w:val="center"/>
          </w:tcPr>
          <w:p w14:paraId="6C0BF4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莎草科莎草属植物莎草的干燥根茎</w:t>
            </w:r>
          </w:p>
        </w:tc>
        <w:tc>
          <w:tcPr>
            <w:tcW w:w="5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391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本品多呈纺锤形，有的略弯曲，长2～3.5cm，直径0.5～1cm。表面棕褐色或黑褐色，有纵皱纹，并有6～10个略隆起的环节，节上有未除净的棕色毛须和须根断痕；去净毛须者较光滑，环节不明显。质硬,经蒸煮者断面黄棕色或红棕色，角质样；生晒者断面色白而显粉性，内皮层环纹明显，中柱色较深，点状维管束散在。气香，味微苦。</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128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统货</w:t>
            </w:r>
          </w:p>
        </w:tc>
        <w:tc>
          <w:tcPr>
            <w:tcW w:w="12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27CE0D">
            <w:pPr>
              <w:jc w:val="center"/>
              <w:rPr>
                <w:rFonts w:hint="eastAsia" w:ascii="宋体" w:hAnsi="宋体" w:eastAsia="宋体" w:cs="宋体"/>
                <w:i w:val="0"/>
                <w:iCs w:val="0"/>
                <w:color w:val="000000"/>
                <w:sz w:val="18"/>
                <w:szCs w:val="18"/>
                <w:u w:val="none"/>
              </w:rPr>
            </w:pP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3BF740">
            <w:pPr>
              <w:jc w:val="center"/>
              <w:rPr>
                <w:rFonts w:hint="eastAsia" w:ascii="宋体" w:hAnsi="宋体" w:eastAsia="宋体" w:cs="宋体"/>
                <w:i w:val="0"/>
                <w:iCs w:val="0"/>
                <w:color w:val="000000"/>
                <w:sz w:val="18"/>
                <w:szCs w:val="18"/>
                <w:u w:val="none"/>
              </w:rPr>
            </w:pPr>
          </w:p>
        </w:tc>
      </w:tr>
      <w:tr w14:paraId="355B28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493B1C">
            <w:pPr>
              <w:jc w:val="center"/>
              <w:rPr>
                <w:rFonts w:hint="eastAsia" w:ascii="宋体" w:hAnsi="宋体" w:eastAsia="宋体" w:cs="宋体"/>
                <w:i w:val="0"/>
                <w:iCs w:val="0"/>
                <w:color w:val="000000"/>
                <w:sz w:val="20"/>
                <w:szCs w:val="20"/>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1C6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59</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7C5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新疆紫草</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7A6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kg</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43F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867</w:t>
            </w:r>
          </w:p>
        </w:tc>
        <w:tc>
          <w:tcPr>
            <w:tcW w:w="2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644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紫草科植物新疆紫草内蒙紫草的干燥根</w:t>
            </w:r>
          </w:p>
        </w:tc>
        <w:tc>
          <w:tcPr>
            <w:tcW w:w="5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9D6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呈不规则的长圆柱形，多扭曲，长7～20cm，直径1～2.5cm。表面紫红色或紫褐色，皮部疏松，呈条形片状，常10余层重叠，易剥落。顶端有的可见分歧的茎残基。体轻，质松软，易折断，断面不整齐，木部较小，黄白色或黄色。气特异，味微苦、涩。</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FE7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统货</w:t>
            </w:r>
          </w:p>
        </w:tc>
        <w:tc>
          <w:tcPr>
            <w:tcW w:w="12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28DADF">
            <w:pPr>
              <w:jc w:val="center"/>
              <w:rPr>
                <w:rFonts w:hint="eastAsia" w:ascii="宋体" w:hAnsi="宋体" w:eastAsia="宋体" w:cs="宋体"/>
                <w:i w:val="0"/>
                <w:iCs w:val="0"/>
                <w:color w:val="000000"/>
                <w:sz w:val="18"/>
                <w:szCs w:val="18"/>
                <w:u w:val="none"/>
              </w:rPr>
            </w:pP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4CC11D">
            <w:pPr>
              <w:jc w:val="center"/>
              <w:rPr>
                <w:rFonts w:hint="eastAsia" w:ascii="宋体" w:hAnsi="宋体" w:eastAsia="宋体" w:cs="宋体"/>
                <w:i w:val="0"/>
                <w:iCs w:val="0"/>
                <w:color w:val="000000"/>
                <w:sz w:val="18"/>
                <w:szCs w:val="18"/>
                <w:u w:val="none"/>
              </w:rPr>
            </w:pPr>
          </w:p>
        </w:tc>
      </w:tr>
      <w:tr w14:paraId="1F31ED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E774E8">
            <w:pPr>
              <w:jc w:val="center"/>
              <w:rPr>
                <w:rFonts w:hint="eastAsia" w:ascii="宋体" w:hAnsi="宋体" w:eastAsia="宋体" w:cs="宋体"/>
                <w:i w:val="0"/>
                <w:iCs w:val="0"/>
                <w:color w:val="000000"/>
                <w:sz w:val="20"/>
                <w:szCs w:val="20"/>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D57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60</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060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茵陈</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20C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kg</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53F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47.15</w:t>
            </w:r>
          </w:p>
        </w:tc>
        <w:tc>
          <w:tcPr>
            <w:tcW w:w="2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5FD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菊科植物滨蒿或茵陈蒿的干燥地上部分。春季幼苗高6～10cm时采收或秋季花蕾长成至花初开时采割，除去杂质和老茎，晒干。春季采收的习称“绵茵陈”，秋季采割的称“花茵陈”。</w:t>
            </w:r>
          </w:p>
        </w:tc>
        <w:tc>
          <w:tcPr>
            <w:tcW w:w="5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9E6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绵茵陈多卷曲成团状，灰白色或灰绿色，全体密被白色茸毛，绵软如绒。茎细小，长1.5～2.5cm，直径0.1～0.2cm，除去表面白色茸毛后可见明显纵纹；质脆，易折断。叶具柄；展平后叶片呈一至三回羽状分裂，叶片长1～3cm，宽约1cm；小裂片卵形或稍呈倒披针形、条形，先端锐尖。气清香，味微苦。</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BC6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统货</w:t>
            </w:r>
          </w:p>
        </w:tc>
        <w:tc>
          <w:tcPr>
            <w:tcW w:w="12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EB20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附检验合格单</w:t>
            </w: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598D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绵茵陈，无枝梗，色灰绿，柔软，清香</w:t>
            </w:r>
          </w:p>
        </w:tc>
      </w:tr>
      <w:tr w14:paraId="02CE46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F9C5D8">
            <w:pPr>
              <w:jc w:val="center"/>
              <w:rPr>
                <w:rFonts w:hint="eastAsia" w:ascii="宋体" w:hAnsi="宋体" w:eastAsia="宋体" w:cs="宋体"/>
                <w:i w:val="0"/>
                <w:iCs w:val="0"/>
                <w:color w:val="000000"/>
                <w:sz w:val="20"/>
                <w:szCs w:val="20"/>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42F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61</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673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皂角刺</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B9C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kg</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615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106</w:t>
            </w:r>
          </w:p>
        </w:tc>
        <w:tc>
          <w:tcPr>
            <w:tcW w:w="2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ADC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豆科植物皂荚的干燥棘刺</w:t>
            </w:r>
          </w:p>
        </w:tc>
        <w:tc>
          <w:tcPr>
            <w:tcW w:w="5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0F4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为不规则的厚片。表面木部黄白色，髓呈海绵状淡红棕色，周边棕紫色或棕褐色，质脆，易折断，味淡。</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1ED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统货</w:t>
            </w:r>
          </w:p>
        </w:tc>
        <w:tc>
          <w:tcPr>
            <w:tcW w:w="12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A67690">
            <w:pPr>
              <w:jc w:val="center"/>
              <w:rPr>
                <w:rFonts w:hint="eastAsia" w:ascii="宋体" w:hAnsi="宋体" w:eastAsia="宋体" w:cs="宋体"/>
                <w:i w:val="0"/>
                <w:iCs w:val="0"/>
                <w:color w:val="000000"/>
                <w:sz w:val="18"/>
                <w:szCs w:val="18"/>
                <w:u w:val="none"/>
              </w:rPr>
            </w:pP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5E2D78">
            <w:pPr>
              <w:jc w:val="center"/>
              <w:rPr>
                <w:rFonts w:hint="eastAsia" w:ascii="宋体" w:hAnsi="宋体" w:eastAsia="宋体" w:cs="宋体"/>
                <w:i w:val="0"/>
                <w:iCs w:val="0"/>
                <w:color w:val="000000"/>
                <w:sz w:val="18"/>
                <w:szCs w:val="18"/>
                <w:u w:val="none"/>
              </w:rPr>
            </w:pPr>
          </w:p>
        </w:tc>
      </w:tr>
      <w:tr w14:paraId="3B5725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30" w:hRule="atLeast"/>
        </w:trPr>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36FE8A">
            <w:pPr>
              <w:jc w:val="center"/>
              <w:rPr>
                <w:rFonts w:hint="eastAsia" w:ascii="宋体" w:hAnsi="宋体" w:eastAsia="宋体" w:cs="宋体"/>
                <w:i w:val="0"/>
                <w:iCs w:val="0"/>
                <w:color w:val="000000"/>
                <w:sz w:val="20"/>
                <w:szCs w:val="20"/>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DF7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62</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9E1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泽兰</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509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kg</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3AB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31</w:t>
            </w:r>
          </w:p>
        </w:tc>
        <w:tc>
          <w:tcPr>
            <w:tcW w:w="2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A9C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唇形科植物毛叶地瓜儿苗的干燥地上部分</w:t>
            </w:r>
          </w:p>
        </w:tc>
        <w:tc>
          <w:tcPr>
            <w:tcW w:w="5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B15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本品茎呈方柱形，少分枝，四面均有浅纵沟，长50~100cm，直径0.2~0.6cm；表面黄绿色或带紫色，节处紫色明显，有白色茸毛；质脆，断面黄白色，髓部中空。叶对生，有短柄或近无柄；叶片多皱缩，展平后呈披针形或长圆形，长5~10cm；上表面黑绿色或暗绿色，下表面灰绿色，密具腺点，两面均有短毛；先端尖，基部渐狭，边缘有锯齿。轮伞花序腋生，花冠多脱落，苞片和花萼宿存，“小苞片披针形缘毛，花萼钟形，5齿。气微，味淡。</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C09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统货</w:t>
            </w:r>
          </w:p>
        </w:tc>
        <w:tc>
          <w:tcPr>
            <w:tcW w:w="12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BE6CFC">
            <w:pPr>
              <w:jc w:val="center"/>
              <w:rPr>
                <w:rFonts w:hint="eastAsia" w:ascii="宋体" w:hAnsi="宋体" w:eastAsia="宋体" w:cs="宋体"/>
                <w:i w:val="0"/>
                <w:iCs w:val="0"/>
                <w:color w:val="000000"/>
                <w:sz w:val="18"/>
                <w:szCs w:val="18"/>
                <w:u w:val="none"/>
              </w:rPr>
            </w:pP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E25D11">
            <w:pPr>
              <w:jc w:val="center"/>
              <w:rPr>
                <w:rFonts w:hint="eastAsia" w:ascii="宋体" w:hAnsi="宋体" w:eastAsia="宋体" w:cs="宋体"/>
                <w:i w:val="0"/>
                <w:iCs w:val="0"/>
                <w:color w:val="000000"/>
                <w:sz w:val="18"/>
                <w:szCs w:val="18"/>
                <w:u w:val="none"/>
              </w:rPr>
            </w:pPr>
          </w:p>
        </w:tc>
      </w:tr>
      <w:tr w14:paraId="1F1C57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0F6FE6">
            <w:pPr>
              <w:jc w:val="center"/>
              <w:rPr>
                <w:rFonts w:hint="eastAsia" w:ascii="宋体" w:hAnsi="宋体" w:eastAsia="宋体" w:cs="宋体"/>
                <w:i w:val="0"/>
                <w:iCs w:val="0"/>
                <w:color w:val="000000"/>
                <w:sz w:val="20"/>
                <w:szCs w:val="20"/>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726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63</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9E9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珍珠母</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393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kg</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835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10.35</w:t>
            </w:r>
          </w:p>
        </w:tc>
        <w:tc>
          <w:tcPr>
            <w:tcW w:w="2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57E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蚌科动物三角帆蚌、褶纹冠蚌或珍珠贝科动物马氏珍珠贝的贝壳</w:t>
            </w:r>
          </w:p>
        </w:tc>
        <w:tc>
          <w:tcPr>
            <w:tcW w:w="5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DAB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三角帆蚌略呈不等边四角形。壳面生长轮呈同心环状排列。后背缘向上突起，形成大的三角形帆状后翼。壳内面外套痕明显；前闭壳肌痕呈卵圆形，后闭壳肌痕略呈三角形。左右壳均具两枚拟主齿，左壳具两枚长条形侧齿，右壳具一枚长条形侧齿；具光泽。质坚硬。气微腥，味淡。</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5C2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统货</w:t>
            </w:r>
          </w:p>
        </w:tc>
        <w:tc>
          <w:tcPr>
            <w:tcW w:w="12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2085EE">
            <w:pPr>
              <w:jc w:val="center"/>
              <w:rPr>
                <w:rFonts w:hint="eastAsia" w:ascii="宋体" w:hAnsi="宋体" w:eastAsia="宋体" w:cs="宋体"/>
                <w:i w:val="0"/>
                <w:iCs w:val="0"/>
                <w:color w:val="000000"/>
                <w:sz w:val="18"/>
                <w:szCs w:val="18"/>
                <w:u w:val="none"/>
              </w:rPr>
            </w:pP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8654FD">
            <w:pPr>
              <w:jc w:val="center"/>
              <w:rPr>
                <w:rFonts w:hint="eastAsia" w:ascii="宋体" w:hAnsi="宋体" w:eastAsia="宋体" w:cs="宋体"/>
                <w:i w:val="0"/>
                <w:iCs w:val="0"/>
                <w:color w:val="000000"/>
                <w:sz w:val="18"/>
                <w:szCs w:val="18"/>
                <w:u w:val="none"/>
              </w:rPr>
            </w:pPr>
          </w:p>
        </w:tc>
      </w:tr>
      <w:tr w14:paraId="0A6480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0C9DC9">
            <w:pPr>
              <w:jc w:val="center"/>
              <w:rPr>
                <w:rFonts w:hint="eastAsia" w:ascii="宋体" w:hAnsi="宋体" w:eastAsia="宋体" w:cs="宋体"/>
                <w:i w:val="0"/>
                <w:iCs w:val="0"/>
                <w:color w:val="000000"/>
                <w:sz w:val="20"/>
                <w:szCs w:val="20"/>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8CD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64</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B74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枳实</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42E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kg</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EBE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48.3</w:t>
            </w:r>
          </w:p>
        </w:tc>
        <w:tc>
          <w:tcPr>
            <w:tcW w:w="2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D58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芸香科植物酸橙及其栽培变种或甜橙的干燥幼果</w:t>
            </w:r>
          </w:p>
        </w:tc>
        <w:tc>
          <w:tcPr>
            <w:tcW w:w="5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C78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本品呈半球形，少数为球形，直径0.5～2.5cm。外果皮黑绿色或暗棕绿色，具颗粒状突起和皱纹，有明显的花柱残迹或果梗痕。切面中果皮略隆起，厚0.3~1.2cm，黄白色或黄褐色，边缘有1～2列油室，瓤囊棕褐色。质坚硬。气清香，味苦、微酸。</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C60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统货</w:t>
            </w:r>
          </w:p>
        </w:tc>
        <w:tc>
          <w:tcPr>
            <w:tcW w:w="12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B31887">
            <w:pPr>
              <w:jc w:val="center"/>
              <w:rPr>
                <w:rFonts w:hint="eastAsia" w:ascii="宋体" w:hAnsi="宋体" w:eastAsia="宋体" w:cs="宋体"/>
                <w:i w:val="0"/>
                <w:iCs w:val="0"/>
                <w:color w:val="000000"/>
                <w:sz w:val="18"/>
                <w:szCs w:val="18"/>
                <w:u w:val="none"/>
              </w:rPr>
            </w:pP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DDAACF">
            <w:pPr>
              <w:jc w:val="center"/>
              <w:rPr>
                <w:rFonts w:hint="eastAsia" w:ascii="宋体" w:hAnsi="宋体" w:eastAsia="宋体" w:cs="宋体"/>
                <w:i w:val="0"/>
                <w:iCs w:val="0"/>
                <w:color w:val="000000"/>
                <w:sz w:val="18"/>
                <w:szCs w:val="18"/>
                <w:u w:val="none"/>
              </w:rPr>
            </w:pPr>
          </w:p>
        </w:tc>
      </w:tr>
      <w:tr w14:paraId="43C560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D6FE12">
            <w:pPr>
              <w:jc w:val="center"/>
              <w:rPr>
                <w:rFonts w:hint="eastAsia" w:ascii="宋体" w:hAnsi="宋体" w:eastAsia="宋体" w:cs="宋体"/>
                <w:i w:val="0"/>
                <w:iCs w:val="0"/>
                <w:color w:val="000000"/>
                <w:sz w:val="20"/>
                <w:szCs w:val="20"/>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02D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65</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71F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炙甘草</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129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kg</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B13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78.2</w:t>
            </w:r>
          </w:p>
        </w:tc>
        <w:tc>
          <w:tcPr>
            <w:tcW w:w="2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D62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甘草的炮制加工品</w:t>
            </w:r>
          </w:p>
        </w:tc>
        <w:tc>
          <w:tcPr>
            <w:tcW w:w="5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70D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本品呈类圆形或椭圆形切片。外表皮红棕色或灰棕色，微有光泽。切面黄色至深黄色，形成层环明显，射线放射状。略有黏性。具焦香气，味甜。</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E13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统货</w:t>
            </w:r>
          </w:p>
        </w:tc>
        <w:tc>
          <w:tcPr>
            <w:tcW w:w="12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7F0E67">
            <w:pPr>
              <w:jc w:val="center"/>
              <w:rPr>
                <w:rFonts w:hint="eastAsia" w:ascii="宋体" w:hAnsi="宋体" w:eastAsia="宋体" w:cs="宋体"/>
                <w:i w:val="0"/>
                <w:iCs w:val="0"/>
                <w:color w:val="000000"/>
                <w:sz w:val="18"/>
                <w:szCs w:val="18"/>
                <w:u w:val="none"/>
              </w:rPr>
            </w:pP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C653F0">
            <w:pPr>
              <w:jc w:val="center"/>
              <w:rPr>
                <w:rFonts w:hint="eastAsia" w:ascii="宋体" w:hAnsi="宋体" w:eastAsia="宋体" w:cs="宋体"/>
                <w:i w:val="0"/>
                <w:iCs w:val="0"/>
                <w:color w:val="000000"/>
                <w:sz w:val="18"/>
                <w:szCs w:val="18"/>
                <w:u w:val="none"/>
              </w:rPr>
            </w:pPr>
          </w:p>
        </w:tc>
      </w:tr>
      <w:tr w14:paraId="7CE29A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90" w:hRule="atLeast"/>
        </w:trPr>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5217DC">
            <w:pPr>
              <w:jc w:val="center"/>
              <w:rPr>
                <w:rFonts w:hint="eastAsia" w:ascii="宋体" w:hAnsi="宋体" w:eastAsia="宋体" w:cs="宋体"/>
                <w:i w:val="0"/>
                <w:iCs w:val="0"/>
                <w:color w:val="000000"/>
                <w:sz w:val="20"/>
                <w:szCs w:val="20"/>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454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66</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648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紫河车</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744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kg</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D53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2560</w:t>
            </w:r>
          </w:p>
        </w:tc>
        <w:tc>
          <w:tcPr>
            <w:tcW w:w="2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2B7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健康产妇娩出的胎盘</w:t>
            </w:r>
          </w:p>
        </w:tc>
        <w:tc>
          <w:tcPr>
            <w:tcW w:w="5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368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呈不规则蝶状半圆形或椭圆形，直径9-16cm，厚约1cm。黄白色或黄棕色。近子宫面粗糙，凹凸不平，有纵横交错深浅不一的沟纹，可见无色膜衣；近胎儿面较平滑，中央或一侧有脐带或残痕，周围有无色或带血的网状血管。质坚脆，可折断，断面有白色或白色点连成的白色斑块及大小不等的孔穴，形似海绵状。有腥气。</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89C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统货</w:t>
            </w:r>
          </w:p>
        </w:tc>
        <w:tc>
          <w:tcPr>
            <w:tcW w:w="12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5D09F0">
            <w:pPr>
              <w:jc w:val="center"/>
              <w:rPr>
                <w:rFonts w:hint="eastAsia" w:ascii="宋体" w:hAnsi="宋体" w:eastAsia="宋体" w:cs="宋体"/>
                <w:i w:val="0"/>
                <w:iCs w:val="0"/>
                <w:color w:val="000000"/>
                <w:sz w:val="18"/>
                <w:szCs w:val="18"/>
                <w:u w:val="none"/>
              </w:rPr>
            </w:pP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B48588">
            <w:pPr>
              <w:jc w:val="center"/>
              <w:rPr>
                <w:rFonts w:hint="eastAsia" w:ascii="宋体" w:hAnsi="宋体" w:eastAsia="宋体" w:cs="宋体"/>
                <w:i w:val="0"/>
                <w:iCs w:val="0"/>
                <w:color w:val="000000"/>
                <w:sz w:val="18"/>
                <w:szCs w:val="18"/>
                <w:u w:val="none"/>
              </w:rPr>
            </w:pPr>
          </w:p>
        </w:tc>
      </w:tr>
      <w:tr w14:paraId="385131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D1999B">
            <w:pPr>
              <w:jc w:val="center"/>
              <w:rPr>
                <w:rFonts w:hint="eastAsia" w:ascii="宋体" w:hAnsi="宋体" w:eastAsia="宋体" w:cs="宋体"/>
                <w:i w:val="0"/>
                <w:iCs w:val="0"/>
                <w:color w:val="000000"/>
                <w:sz w:val="20"/>
                <w:szCs w:val="20"/>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820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67</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CD9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紫菀</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E68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kg</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901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241</w:t>
            </w:r>
          </w:p>
        </w:tc>
        <w:tc>
          <w:tcPr>
            <w:tcW w:w="2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B6E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菊科植物紫菀的干燥根和根茎</w:t>
            </w:r>
          </w:p>
        </w:tc>
        <w:tc>
          <w:tcPr>
            <w:tcW w:w="5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9E7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本品根茎呈不规则块状，大小不一，顶端有茎、叶的残基；质稍硬。根茎簇生多数细根，长3～15cm，直径0.1～0.3cm，多编成辫状；表面紫红色或灰红色，有纵皱纹；质较柔韧。气微香，味甜、微苦。</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016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统货</w:t>
            </w:r>
          </w:p>
        </w:tc>
        <w:tc>
          <w:tcPr>
            <w:tcW w:w="12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807EC2">
            <w:pPr>
              <w:jc w:val="center"/>
              <w:rPr>
                <w:rFonts w:hint="eastAsia" w:ascii="宋体" w:hAnsi="宋体" w:eastAsia="宋体" w:cs="宋体"/>
                <w:i w:val="0"/>
                <w:iCs w:val="0"/>
                <w:color w:val="000000"/>
                <w:sz w:val="18"/>
                <w:szCs w:val="18"/>
                <w:u w:val="none"/>
              </w:rPr>
            </w:pP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20130B">
            <w:pPr>
              <w:jc w:val="center"/>
              <w:rPr>
                <w:rFonts w:hint="eastAsia" w:ascii="宋体" w:hAnsi="宋体" w:eastAsia="宋体" w:cs="宋体"/>
                <w:i w:val="0"/>
                <w:iCs w:val="0"/>
                <w:color w:val="000000"/>
                <w:sz w:val="18"/>
                <w:szCs w:val="18"/>
                <w:u w:val="none"/>
              </w:rPr>
            </w:pPr>
          </w:p>
        </w:tc>
      </w:tr>
      <w:tr w14:paraId="03EDB7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90" w:hRule="atLeast"/>
        </w:trPr>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1C72FE">
            <w:pPr>
              <w:jc w:val="center"/>
              <w:rPr>
                <w:rFonts w:hint="eastAsia" w:ascii="宋体" w:hAnsi="宋体" w:eastAsia="宋体" w:cs="宋体"/>
                <w:i w:val="0"/>
                <w:iCs w:val="0"/>
                <w:color w:val="000000"/>
                <w:sz w:val="20"/>
                <w:szCs w:val="20"/>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B78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68</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82C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马钱子</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680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kg</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434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169.05</w:t>
            </w:r>
          </w:p>
        </w:tc>
        <w:tc>
          <w:tcPr>
            <w:tcW w:w="2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F17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马钱科植物马钱的干燥成熟种子.</w:t>
            </w:r>
          </w:p>
        </w:tc>
        <w:tc>
          <w:tcPr>
            <w:tcW w:w="5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631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本品呈纽扣状圆板形，常一面隆起，一面稍凹下，直径1.5~3cm，厚0.3~0.6cm。表面密被灰棕色或灰绿色绢状茸毛，自中间向四周呈辐射状排列，有丝样光泽。边缘稍隆起，较厚，有突起的珠孔，底面中心有突起的圆点状种脐。质坚硬，平行剖面可见淡黄白色胚乳，角质状，子叶心形，叶脉5~7条。气微，味极苦。</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EC3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统货</w:t>
            </w:r>
          </w:p>
        </w:tc>
        <w:tc>
          <w:tcPr>
            <w:tcW w:w="12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1624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附检验合格单</w:t>
            </w: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A4A9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水分不得超过12%</w:t>
            </w:r>
          </w:p>
        </w:tc>
      </w:tr>
      <w:tr w14:paraId="26AB75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90" w:hRule="atLeast"/>
        </w:trPr>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92C997">
            <w:pPr>
              <w:jc w:val="center"/>
              <w:rPr>
                <w:rFonts w:hint="eastAsia" w:ascii="宋体" w:hAnsi="宋体" w:eastAsia="宋体" w:cs="宋体"/>
                <w:i w:val="0"/>
                <w:iCs w:val="0"/>
                <w:color w:val="000000"/>
                <w:sz w:val="20"/>
                <w:szCs w:val="20"/>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BCF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69</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EAE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锦灯笼</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B4A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kg</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6C1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290.95</w:t>
            </w:r>
          </w:p>
        </w:tc>
        <w:tc>
          <w:tcPr>
            <w:tcW w:w="2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80F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茄科植物酸浆的干燥宿萼或带果实的宿萼.</w:t>
            </w:r>
          </w:p>
        </w:tc>
        <w:tc>
          <w:tcPr>
            <w:tcW w:w="5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5B3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本品略呈灯笼状，多压扁，长3~4.5cm，宽2.5~4cm。表面橙红色或橙黄色，有5条明显的纵棱，棱间有网状的细脉纹。顶端渐尖，微5裂，基部略平截，中心凹陷有果梗。体轻，质柔韧，中空，或内有棕红色或橙红色果实。果实球形，多压扁，直径1~1.5cm，果皮皱缩，内含种子多数。气微，宿萼味苦，果实味甘、微酸。</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E04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统货</w:t>
            </w:r>
          </w:p>
        </w:tc>
        <w:tc>
          <w:tcPr>
            <w:tcW w:w="12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22A0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附检验合格单</w:t>
            </w: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384ED6">
            <w:pPr>
              <w:jc w:val="center"/>
              <w:rPr>
                <w:rFonts w:hint="eastAsia" w:ascii="宋体" w:hAnsi="宋体" w:eastAsia="宋体" w:cs="宋体"/>
                <w:i w:val="0"/>
                <w:iCs w:val="0"/>
                <w:color w:val="000000"/>
                <w:sz w:val="20"/>
                <w:szCs w:val="20"/>
                <w:u w:val="none"/>
              </w:rPr>
            </w:pPr>
          </w:p>
        </w:tc>
      </w:tr>
    </w:tbl>
    <w:p w14:paraId="31DC6806">
      <w:pPr>
        <w:spacing w:before="1" w:line="214" w:lineRule="auto"/>
        <w:ind w:left="2689"/>
        <w:outlineLvl w:val="0"/>
        <w:rPr>
          <w:rFonts w:ascii="黑体" w:hAnsi="黑体" w:eastAsia="黑体" w:cs="黑体"/>
          <w:spacing w:val="9"/>
          <w:sz w:val="35"/>
          <w:szCs w:val="35"/>
          <w14:textOutline w14:w="6537" w14:cap="sq" w14:cmpd="sng">
            <w14:solidFill>
              <w14:srgbClr w14:val="000000"/>
            </w14:solidFill>
            <w14:prstDash w14:val="solid"/>
            <w14:bevel/>
          </w14:textOutline>
        </w:rPr>
        <w:sectPr>
          <w:pgSz w:w="16839" w:h="11906" w:orient="landscape"/>
          <w:pgMar w:top="1080" w:right="1440" w:bottom="1080" w:left="1440" w:header="0" w:footer="989" w:gutter="0"/>
          <w:pgNumType w:fmt="decimal"/>
          <w:cols w:space="720" w:num="1"/>
        </w:sectPr>
      </w:pPr>
    </w:p>
    <w:p w14:paraId="7E1D82D6">
      <w:pPr>
        <w:spacing w:before="1" w:line="214" w:lineRule="auto"/>
        <w:ind w:left="2689"/>
        <w:outlineLvl w:val="0"/>
        <w:rPr>
          <w:rFonts w:ascii="黑体" w:hAnsi="黑体" w:eastAsia="黑体" w:cs="黑体"/>
          <w:spacing w:val="9"/>
          <w:sz w:val="35"/>
          <w:szCs w:val="35"/>
          <w14:textOutline w14:w="6537" w14:cap="sq" w14:cmpd="sng">
            <w14:solidFill>
              <w14:srgbClr w14:val="000000"/>
            </w14:solidFill>
            <w14:prstDash w14:val="solid"/>
            <w14:bevel/>
          </w14:textOutline>
        </w:rPr>
      </w:pPr>
    </w:p>
    <w:p w14:paraId="7359B4F8">
      <w:pPr>
        <w:spacing w:before="1" w:line="214" w:lineRule="auto"/>
        <w:ind w:left="2689"/>
        <w:outlineLvl w:val="0"/>
        <w:rPr>
          <w:rFonts w:ascii="黑体" w:hAnsi="黑体" w:eastAsia="黑体" w:cs="黑体"/>
          <w:spacing w:val="9"/>
          <w:sz w:val="35"/>
          <w:szCs w:val="35"/>
          <w14:textOutline w14:w="6537" w14:cap="sq" w14:cmpd="sng">
            <w14:solidFill>
              <w14:srgbClr w14:val="000000"/>
            </w14:solidFill>
            <w14:prstDash w14:val="solid"/>
            <w14:bevel/>
          </w14:textOutline>
        </w:rPr>
      </w:pPr>
    </w:p>
    <w:p w14:paraId="6DF4D0C8">
      <w:pPr>
        <w:spacing w:before="1" w:line="214" w:lineRule="auto"/>
        <w:ind w:left="2689"/>
        <w:outlineLvl w:val="0"/>
        <w:rPr>
          <w:rFonts w:ascii="黑体" w:hAnsi="黑体" w:eastAsia="黑体" w:cs="黑体"/>
          <w:sz w:val="35"/>
          <w:szCs w:val="35"/>
        </w:rPr>
      </w:pPr>
      <w:r>
        <w:rPr>
          <w:rFonts w:ascii="黑体" w:hAnsi="黑体" w:eastAsia="黑体" w:cs="黑体"/>
          <w:spacing w:val="9"/>
          <w:sz w:val="35"/>
          <w:szCs w:val="35"/>
          <w14:textOutline w14:w="6537" w14:cap="sq" w14:cmpd="sng">
            <w14:solidFill>
              <w14:srgbClr w14:val="000000"/>
            </w14:solidFill>
            <w14:prstDash w14:val="solid"/>
            <w14:bevel/>
          </w14:textOutline>
        </w:rPr>
        <w:t>第五章</w:t>
      </w:r>
      <w:r>
        <w:rPr>
          <w:rFonts w:ascii="黑体" w:hAnsi="黑体" w:eastAsia="黑体" w:cs="黑体"/>
          <w:spacing w:val="9"/>
          <w:sz w:val="35"/>
          <w:szCs w:val="35"/>
        </w:rPr>
        <w:t xml:space="preserve"> </w:t>
      </w:r>
      <w:r>
        <w:rPr>
          <w:rFonts w:ascii="黑体" w:hAnsi="黑体" w:eastAsia="黑体" w:cs="黑体"/>
          <w:spacing w:val="9"/>
          <w:sz w:val="35"/>
          <w:szCs w:val="35"/>
          <w14:textOutline w14:w="6537" w14:cap="sq" w14:cmpd="sng">
            <w14:solidFill>
              <w14:srgbClr w14:val="000000"/>
            </w14:solidFill>
            <w14:prstDash w14:val="solid"/>
            <w14:bevel/>
          </w14:textOutline>
        </w:rPr>
        <w:t>磋商响应文件格式</w:t>
      </w:r>
    </w:p>
    <w:p w14:paraId="33E222A7">
      <w:pPr>
        <w:spacing w:before="173" w:line="905" w:lineRule="exact"/>
      </w:pPr>
    </w:p>
    <w:p w14:paraId="242D8D0C">
      <w:pPr>
        <w:spacing w:before="9" w:line="194" w:lineRule="auto"/>
        <w:ind w:left="48"/>
        <w:rPr>
          <w:rFonts w:ascii="宋体" w:hAnsi="宋体" w:eastAsia="宋体" w:cs="宋体"/>
          <w:sz w:val="31"/>
          <w:szCs w:val="31"/>
        </w:rPr>
      </w:pPr>
      <w:r>
        <w:rPr>
          <w:rFonts w:ascii="宋体" w:hAnsi="宋体" w:eastAsia="宋体" w:cs="宋体"/>
          <w:spacing w:val="3"/>
          <w:sz w:val="31"/>
          <w:szCs w:val="31"/>
          <w:u w:val="single" w:color="000000"/>
          <w14:textOutline w14:w="5793" w14:cap="sq" w14:cmpd="sng">
            <w14:solidFill>
              <w14:srgbClr w14:val="000000"/>
            </w14:solidFill>
            <w14:prstDash w14:val="solid"/>
            <w14:bevel/>
          </w14:textOutline>
        </w:rPr>
        <w:t>磋商响应封面格式</w:t>
      </w:r>
    </w:p>
    <w:tbl>
      <w:tblPr>
        <w:tblStyle w:val="14"/>
        <w:tblW w:w="1985" w:type="dxa"/>
        <w:tblInd w:w="6623"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1985"/>
      </w:tblGrid>
      <w:tr w14:paraId="3F463D4F">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1399" w:hRule="atLeast"/>
        </w:trPr>
        <w:tc>
          <w:tcPr>
            <w:tcW w:w="1985" w:type="dxa"/>
            <w:vAlign w:val="top"/>
          </w:tcPr>
          <w:p w14:paraId="64F5F16B">
            <w:pPr>
              <w:spacing w:line="365" w:lineRule="auto"/>
              <w:rPr>
                <w:rFonts w:ascii="Arial"/>
                <w:sz w:val="21"/>
              </w:rPr>
            </w:pPr>
          </w:p>
          <w:p w14:paraId="66462CF9">
            <w:pPr>
              <w:spacing w:before="98" w:line="219" w:lineRule="auto"/>
              <w:ind w:left="250"/>
              <w:rPr>
                <w:rFonts w:ascii="宋体" w:hAnsi="宋体" w:eastAsia="宋体" w:cs="宋体"/>
                <w:sz w:val="30"/>
                <w:szCs w:val="30"/>
              </w:rPr>
            </w:pPr>
            <w:r>
              <w:rPr>
                <w:rFonts w:ascii="宋体" w:hAnsi="宋体" w:eastAsia="宋体" w:cs="宋体"/>
                <w:spacing w:val="-3"/>
                <w:sz w:val="30"/>
                <w:szCs w:val="30"/>
              </w:rPr>
              <w:t>标明正副本</w:t>
            </w:r>
          </w:p>
        </w:tc>
      </w:tr>
    </w:tbl>
    <w:p w14:paraId="45A5C553">
      <w:pPr>
        <w:pStyle w:val="4"/>
        <w:spacing w:line="299" w:lineRule="auto"/>
      </w:pPr>
    </w:p>
    <w:p w14:paraId="4EBFB796">
      <w:pPr>
        <w:pStyle w:val="4"/>
        <w:spacing w:line="299" w:lineRule="auto"/>
      </w:pPr>
    </w:p>
    <w:p w14:paraId="0B046687">
      <w:pPr>
        <w:pStyle w:val="4"/>
        <w:spacing w:line="300" w:lineRule="auto"/>
      </w:pPr>
    </w:p>
    <w:p w14:paraId="6380C3B7">
      <w:pPr>
        <w:spacing w:before="97" w:line="220" w:lineRule="auto"/>
        <w:ind w:left="28"/>
        <w:rPr>
          <w:rFonts w:ascii="宋体" w:hAnsi="宋体" w:eastAsia="宋体" w:cs="宋体"/>
          <w:sz w:val="30"/>
          <w:szCs w:val="30"/>
        </w:rPr>
      </w:pPr>
      <w:r>
        <w:rPr>
          <w:rFonts w:ascii="宋体" w:hAnsi="宋体" w:eastAsia="宋体" w:cs="宋体"/>
          <w:spacing w:val="-3"/>
          <w:sz w:val="30"/>
          <w:szCs w:val="30"/>
          <w14:textOutline w14:w="5448" w14:cap="sq" w14:cmpd="sng">
            <w14:solidFill>
              <w14:srgbClr w14:val="000000"/>
            </w14:solidFill>
            <w14:prstDash w14:val="solid"/>
            <w14:bevel/>
          </w14:textOutline>
        </w:rPr>
        <w:t>项目名称：</w:t>
      </w:r>
    </w:p>
    <w:p w14:paraId="3ACD7A34">
      <w:pPr>
        <w:pStyle w:val="4"/>
        <w:spacing w:line="263" w:lineRule="auto"/>
      </w:pPr>
    </w:p>
    <w:p w14:paraId="4782E72C">
      <w:pPr>
        <w:spacing w:before="97" w:line="220" w:lineRule="auto"/>
        <w:ind w:left="28"/>
        <w:rPr>
          <w:rFonts w:hint="eastAsia" w:ascii="宋体" w:hAnsi="宋体" w:eastAsia="宋体" w:cs="宋体"/>
          <w:spacing w:val="-3"/>
          <w:sz w:val="30"/>
          <w:szCs w:val="30"/>
          <w:lang w:eastAsia="zh-CN"/>
          <w14:textOutline w14:w="5448" w14:cap="sq" w14:cmpd="sng">
            <w14:solidFill>
              <w14:srgbClr w14:val="000000"/>
            </w14:solidFill>
            <w14:prstDash w14:val="solid"/>
            <w14:bevel/>
          </w14:textOutline>
        </w:rPr>
      </w:pPr>
      <w:r>
        <w:rPr>
          <w:rFonts w:hint="eastAsia" w:ascii="宋体" w:hAnsi="宋体" w:eastAsia="宋体" w:cs="宋体"/>
          <w:spacing w:val="-3"/>
          <w:sz w:val="30"/>
          <w:szCs w:val="30"/>
          <w:lang w:eastAsia="zh-CN"/>
          <w14:textOutline w14:w="5448" w14:cap="sq" w14:cmpd="sng">
            <w14:solidFill>
              <w14:srgbClr w14:val="000000"/>
            </w14:solidFill>
            <w14:prstDash w14:val="solid"/>
            <w14:bevel/>
          </w14:textOutline>
        </w:rPr>
        <w:t>标项名称：</w:t>
      </w:r>
    </w:p>
    <w:p w14:paraId="7C773021">
      <w:pPr>
        <w:spacing w:before="325" w:line="220" w:lineRule="auto"/>
        <w:ind w:left="1191"/>
        <w:outlineLvl w:val="0"/>
        <w:rPr>
          <w:rFonts w:ascii="宋体" w:hAnsi="宋体" w:eastAsia="宋体" w:cs="宋体"/>
          <w:sz w:val="100"/>
          <w:szCs w:val="100"/>
        </w:rPr>
      </w:pPr>
      <w:r>
        <w:rPr>
          <w:rFonts w:ascii="宋体" w:hAnsi="宋体" w:eastAsia="宋体" w:cs="宋体"/>
          <w:spacing w:val="-3"/>
          <w:sz w:val="100"/>
          <w:szCs w:val="100"/>
          <w14:textOutline w14:w="18179" w14:cap="sq" w14:cmpd="sng">
            <w14:solidFill>
              <w14:srgbClr w14:val="000000"/>
            </w14:solidFill>
            <w14:prstDash w14:val="solid"/>
            <w14:bevel/>
          </w14:textOutline>
        </w:rPr>
        <w:t>磋商响应文件</w:t>
      </w:r>
    </w:p>
    <w:p w14:paraId="43EBF2C0">
      <w:pPr>
        <w:pStyle w:val="4"/>
        <w:spacing w:line="253" w:lineRule="auto"/>
      </w:pPr>
    </w:p>
    <w:p w14:paraId="1AA989DA">
      <w:pPr>
        <w:pStyle w:val="4"/>
        <w:spacing w:line="253" w:lineRule="auto"/>
      </w:pPr>
    </w:p>
    <w:p w14:paraId="46CBFEBB">
      <w:pPr>
        <w:pStyle w:val="4"/>
        <w:spacing w:line="253" w:lineRule="auto"/>
      </w:pPr>
    </w:p>
    <w:p w14:paraId="59EA2981">
      <w:pPr>
        <w:pStyle w:val="4"/>
        <w:spacing w:line="254" w:lineRule="auto"/>
      </w:pPr>
    </w:p>
    <w:p w14:paraId="517E6FF1">
      <w:pPr>
        <w:pStyle w:val="4"/>
        <w:spacing w:line="254" w:lineRule="auto"/>
      </w:pPr>
    </w:p>
    <w:p w14:paraId="67E889C2">
      <w:pPr>
        <w:pStyle w:val="4"/>
        <w:spacing w:line="254" w:lineRule="auto"/>
      </w:pPr>
    </w:p>
    <w:p w14:paraId="18BE4F6B">
      <w:pPr>
        <w:pStyle w:val="4"/>
        <w:spacing w:line="254" w:lineRule="auto"/>
      </w:pPr>
    </w:p>
    <w:p w14:paraId="4224ACE1">
      <w:pPr>
        <w:pStyle w:val="4"/>
        <w:spacing w:line="254" w:lineRule="auto"/>
      </w:pPr>
    </w:p>
    <w:p w14:paraId="1FA2EC66">
      <w:pPr>
        <w:pStyle w:val="4"/>
        <w:spacing w:line="254" w:lineRule="auto"/>
      </w:pPr>
    </w:p>
    <w:p w14:paraId="2BEAEDE5">
      <w:pPr>
        <w:spacing w:before="91" w:line="220" w:lineRule="auto"/>
        <w:ind w:left="1287"/>
        <w:rPr>
          <w:rFonts w:ascii="宋体" w:hAnsi="宋体" w:eastAsia="宋体" w:cs="宋体"/>
          <w:sz w:val="28"/>
          <w:szCs w:val="28"/>
        </w:rPr>
      </w:pPr>
      <w:r>
        <w:rPr>
          <w:rFonts w:ascii="宋体" w:hAnsi="宋体" w:eastAsia="宋体" w:cs="宋体"/>
          <w:spacing w:val="-3"/>
          <w:sz w:val="28"/>
          <w:szCs w:val="28"/>
        </w:rPr>
        <w:t>项目编号：</w:t>
      </w:r>
    </w:p>
    <w:p w14:paraId="594FD67E">
      <w:pPr>
        <w:spacing w:before="266" w:line="600" w:lineRule="exact"/>
        <w:ind w:left="1282"/>
        <w:rPr>
          <w:rFonts w:ascii="宋体" w:hAnsi="宋体" w:eastAsia="宋体" w:cs="宋体"/>
          <w:sz w:val="28"/>
          <w:szCs w:val="28"/>
        </w:rPr>
      </w:pPr>
      <w:r>
        <w:rPr>
          <w:rFonts w:ascii="宋体" w:hAnsi="宋体" w:eastAsia="宋体" w:cs="宋体"/>
          <w:spacing w:val="-3"/>
          <w:position w:val="24"/>
          <w:sz w:val="28"/>
          <w:szCs w:val="28"/>
        </w:rPr>
        <w:t>供   应   商：</w:t>
      </w:r>
      <w:r>
        <w:rPr>
          <w:rFonts w:ascii="宋体" w:hAnsi="宋体" w:eastAsia="宋体" w:cs="宋体"/>
          <w:spacing w:val="-82"/>
          <w:position w:val="24"/>
          <w:sz w:val="28"/>
          <w:szCs w:val="28"/>
        </w:rPr>
        <w:t xml:space="preserve"> </w:t>
      </w:r>
      <w:r>
        <w:rPr>
          <w:rFonts w:ascii="宋体" w:hAnsi="宋体" w:eastAsia="宋体" w:cs="宋体"/>
          <w:spacing w:val="-3"/>
          <w:position w:val="24"/>
          <w:sz w:val="28"/>
          <w:szCs w:val="28"/>
        </w:rPr>
        <w:t>×××××××（加盖公章）</w:t>
      </w:r>
    </w:p>
    <w:p w14:paraId="1E4F5F97">
      <w:pPr>
        <w:spacing w:before="2" w:line="219" w:lineRule="auto"/>
        <w:ind w:left="1283"/>
        <w:rPr>
          <w:rFonts w:ascii="宋体" w:hAnsi="宋体" w:eastAsia="宋体" w:cs="宋体"/>
          <w:sz w:val="28"/>
          <w:szCs w:val="28"/>
        </w:rPr>
      </w:pPr>
      <w:r>
        <w:rPr>
          <w:rFonts w:ascii="宋体" w:hAnsi="宋体" w:eastAsia="宋体" w:cs="宋体"/>
          <w:spacing w:val="-4"/>
          <w:sz w:val="28"/>
          <w:szCs w:val="28"/>
        </w:rPr>
        <w:t>法定代表人或委托代理人：</w:t>
      </w:r>
      <w:r>
        <w:rPr>
          <w:rFonts w:ascii="宋体" w:hAnsi="宋体" w:eastAsia="宋体" w:cs="宋体"/>
          <w:spacing w:val="-77"/>
          <w:sz w:val="28"/>
          <w:szCs w:val="28"/>
        </w:rPr>
        <w:t xml:space="preserve"> </w:t>
      </w:r>
      <w:r>
        <w:rPr>
          <w:rFonts w:ascii="宋体" w:hAnsi="宋体" w:eastAsia="宋体" w:cs="宋体"/>
          <w:spacing w:val="-4"/>
          <w:sz w:val="28"/>
          <w:szCs w:val="28"/>
        </w:rPr>
        <w:t>×××（签字</w:t>
      </w:r>
      <w:r>
        <w:rPr>
          <w:rFonts w:hint="eastAsia" w:ascii="宋体" w:hAnsi="宋体" w:eastAsia="宋体" w:cs="宋体"/>
          <w:spacing w:val="-4"/>
          <w:sz w:val="28"/>
          <w:szCs w:val="28"/>
          <w:lang w:eastAsia="zh-CN"/>
        </w:rPr>
        <w:t>或盖章</w:t>
      </w:r>
      <w:r>
        <w:rPr>
          <w:rFonts w:ascii="宋体" w:hAnsi="宋体" w:eastAsia="宋体" w:cs="宋体"/>
          <w:spacing w:val="-4"/>
          <w:sz w:val="28"/>
          <w:szCs w:val="28"/>
        </w:rPr>
        <w:t>）</w:t>
      </w:r>
    </w:p>
    <w:p w14:paraId="35AFB83D">
      <w:pPr>
        <w:spacing w:before="266" w:line="222" w:lineRule="auto"/>
        <w:ind w:left="1283"/>
        <w:rPr>
          <w:rFonts w:ascii="宋体" w:hAnsi="宋体" w:eastAsia="宋体" w:cs="宋体"/>
          <w:sz w:val="28"/>
          <w:szCs w:val="28"/>
        </w:rPr>
      </w:pPr>
      <w:r>
        <w:rPr>
          <w:rFonts w:ascii="宋体" w:hAnsi="宋体" w:eastAsia="宋体" w:cs="宋体"/>
          <w:spacing w:val="-3"/>
          <w:sz w:val="28"/>
          <w:szCs w:val="28"/>
        </w:rPr>
        <w:t>联系人：</w:t>
      </w:r>
    </w:p>
    <w:p w14:paraId="166FD942">
      <w:pPr>
        <w:spacing w:before="264" w:line="222" w:lineRule="auto"/>
        <w:ind w:left="1283"/>
        <w:rPr>
          <w:rFonts w:ascii="宋体" w:hAnsi="宋体" w:eastAsia="宋体" w:cs="宋体"/>
          <w:sz w:val="28"/>
          <w:szCs w:val="28"/>
        </w:rPr>
      </w:pPr>
      <w:r>
        <w:rPr>
          <w:rFonts w:ascii="宋体" w:hAnsi="宋体" w:eastAsia="宋体" w:cs="宋体"/>
          <w:spacing w:val="-3"/>
          <w:sz w:val="28"/>
          <w:szCs w:val="28"/>
        </w:rPr>
        <w:t>联系电话：</w:t>
      </w:r>
    </w:p>
    <w:p w14:paraId="619F48B3">
      <w:pPr>
        <w:spacing w:before="263" w:line="220" w:lineRule="auto"/>
        <w:ind w:left="1285"/>
        <w:rPr>
          <w:rFonts w:ascii="宋体" w:hAnsi="宋体" w:eastAsia="宋体" w:cs="宋体"/>
          <w:sz w:val="28"/>
          <w:szCs w:val="28"/>
        </w:rPr>
      </w:pPr>
      <w:r>
        <w:rPr>
          <w:rFonts w:ascii="宋体" w:hAnsi="宋体" w:eastAsia="宋体" w:cs="宋体"/>
          <w:spacing w:val="-8"/>
          <w:sz w:val="28"/>
          <w:szCs w:val="28"/>
        </w:rPr>
        <w:t>投 标</w:t>
      </w:r>
      <w:r>
        <w:rPr>
          <w:rFonts w:ascii="宋体" w:hAnsi="宋体" w:eastAsia="宋体" w:cs="宋体"/>
          <w:spacing w:val="66"/>
          <w:sz w:val="28"/>
          <w:szCs w:val="28"/>
        </w:rPr>
        <w:t xml:space="preserve"> </w:t>
      </w:r>
      <w:r>
        <w:rPr>
          <w:rFonts w:ascii="宋体" w:hAnsi="宋体" w:eastAsia="宋体" w:cs="宋体"/>
          <w:spacing w:val="-8"/>
          <w:sz w:val="28"/>
          <w:szCs w:val="28"/>
        </w:rPr>
        <w:t>日</w:t>
      </w:r>
      <w:r>
        <w:rPr>
          <w:rFonts w:ascii="宋体" w:hAnsi="宋体" w:eastAsia="宋体" w:cs="宋体"/>
          <w:spacing w:val="13"/>
          <w:sz w:val="28"/>
          <w:szCs w:val="28"/>
        </w:rPr>
        <w:t xml:space="preserve"> </w:t>
      </w:r>
      <w:r>
        <w:rPr>
          <w:rFonts w:ascii="宋体" w:hAnsi="宋体" w:eastAsia="宋体" w:cs="宋体"/>
          <w:spacing w:val="-8"/>
          <w:sz w:val="28"/>
          <w:szCs w:val="28"/>
        </w:rPr>
        <w:t>期：XX年</w:t>
      </w:r>
      <w:r>
        <w:rPr>
          <w:rFonts w:ascii="宋体" w:hAnsi="宋体" w:eastAsia="宋体" w:cs="宋体"/>
          <w:spacing w:val="-65"/>
          <w:sz w:val="28"/>
          <w:szCs w:val="28"/>
        </w:rPr>
        <w:t xml:space="preserve"> </w:t>
      </w:r>
      <w:r>
        <w:rPr>
          <w:rFonts w:ascii="宋体" w:hAnsi="宋体" w:eastAsia="宋体" w:cs="宋体"/>
          <w:spacing w:val="-8"/>
          <w:sz w:val="28"/>
          <w:szCs w:val="28"/>
        </w:rPr>
        <w:t>XX</w:t>
      </w:r>
      <w:r>
        <w:rPr>
          <w:rFonts w:ascii="宋体" w:hAnsi="宋体" w:eastAsia="宋体" w:cs="宋体"/>
          <w:spacing w:val="-54"/>
          <w:sz w:val="28"/>
          <w:szCs w:val="28"/>
        </w:rPr>
        <w:t xml:space="preserve"> </w:t>
      </w:r>
      <w:r>
        <w:rPr>
          <w:rFonts w:ascii="宋体" w:hAnsi="宋体" w:eastAsia="宋体" w:cs="宋体"/>
          <w:spacing w:val="-8"/>
          <w:sz w:val="28"/>
          <w:szCs w:val="28"/>
        </w:rPr>
        <w:t>月</w:t>
      </w:r>
      <w:r>
        <w:rPr>
          <w:rFonts w:ascii="宋体" w:hAnsi="宋体" w:eastAsia="宋体" w:cs="宋体"/>
          <w:spacing w:val="-63"/>
          <w:sz w:val="28"/>
          <w:szCs w:val="28"/>
        </w:rPr>
        <w:t xml:space="preserve"> </w:t>
      </w:r>
      <w:r>
        <w:rPr>
          <w:rFonts w:ascii="宋体" w:hAnsi="宋体" w:eastAsia="宋体" w:cs="宋体"/>
          <w:spacing w:val="-8"/>
          <w:sz w:val="28"/>
          <w:szCs w:val="28"/>
        </w:rPr>
        <w:t>XX 日</w:t>
      </w:r>
    </w:p>
    <w:p w14:paraId="591AA85D">
      <w:pPr>
        <w:spacing w:before="65" w:line="232" w:lineRule="auto"/>
        <w:ind w:left="4216"/>
        <w:rPr>
          <w:rFonts w:ascii="仿宋" w:hAnsi="仿宋" w:eastAsia="仿宋" w:cs="仿宋"/>
          <w:b/>
          <w:bCs/>
          <w:spacing w:val="-18"/>
          <w:sz w:val="32"/>
          <w:szCs w:val="32"/>
        </w:rPr>
      </w:pPr>
    </w:p>
    <w:p w14:paraId="381AD73B">
      <w:pPr>
        <w:spacing w:before="65" w:line="232" w:lineRule="auto"/>
        <w:ind w:left="4216"/>
        <w:rPr>
          <w:rFonts w:ascii="仿宋" w:hAnsi="仿宋" w:eastAsia="仿宋" w:cs="仿宋"/>
          <w:sz w:val="32"/>
          <w:szCs w:val="32"/>
        </w:rPr>
      </w:pPr>
      <w:r>
        <w:rPr>
          <w:rFonts w:ascii="仿宋" w:hAnsi="仿宋" w:eastAsia="仿宋" w:cs="仿宋"/>
          <w:b/>
          <w:bCs/>
          <w:spacing w:val="-18"/>
          <w:sz w:val="32"/>
          <w:szCs w:val="32"/>
        </w:rPr>
        <w:t>目录</w:t>
      </w:r>
    </w:p>
    <w:p w14:paraId="14B17BB4">
      <w:pPr>
        <w:pStyle w:val="4"/>
        <w:spacing w:line="243" w:lineRule="auto"/>
      </w:pPr>
    </w:p>
    <w:p w14:paraId="3D17BD57">
      <w:pPr>
        <w:pStyle w:val="4"/>
        <w:spacing w:line="244" w:lineRule="auto"/>
      </w:pPr>
    </w:p>
    <w:p w14:paraId="1A257AB0">
      <w:pPr>
        <w:keepNext w:val="0"/>
        <w:keepLines w:val="0"/>
        <w:pageBreakBefore w:val="0"/>
        <w:widowControl/>
        <w:kinsoku w:val="0"/>
        <w:wordWrap/>
        <w:overflowPunct/>
        <w:topLinePunct w:val="0"/>
        <w:autoSpaceDE w:val="0"/>
        <w:autoSpaceDN w:val="0"/>
        <w:bidi w:val="0"/>
        <w:adjustRightInd w:val="0"/>
        <w:snapToGrid w:val="0"/>
        <w:spacing w:before="65" w:line="440" w:lineRule="exact"/>
        <w:ind w:left="670"/>
        <w:textAlignment w:val="baseline"/>
        <w:outlineLvl w:val="1"/>
        <w:rPr>
          <w:rFonts w:ascii="仿宋" w:hAnsi="仿宋" w:eastAsia="仿宋" w:cs="仿宋"/>
          <w:sz w:val="24"/>
          <w:szCs w:val="24"/>
        </w:rPr>
      </w:pPr>
      <w:r>
        <w:rPr>
          <w:rFonts w:ascii="仿宋" w:hAnsi="仿宋" w:eastAsia="仿宋" w:cs="仿宋"/>
          <w:b/>
          <w:bCs/>
          <w:spacing w:val="1"/>
          <w:sz w:val="24"/>
          <w:szCs w:val="24"/>
        </w:rPr>
        <w:t>1.</w:t>
      </w:r>
      <w:r>
        <w:rPr>
          <w:rFonts w:hint="eastAsia" w:ascii="仿宋" w:hAnsi="仿宋" w:eastAsia="仿宋" w:cs="仿宋"/>
          <w:b/>
          <w:bCs/>
          <w:spacing w:val="1"/>
          <w:sz w:val="24"/>
          <w:szCs w:val="24"/>
          <w:lang w:eastAsia="zh-CN"/>
        </w:rPr>
        <w:t>响应</w:t>
      </w:r>
      <w:r>
        <w:rPr>
          <w:rFonts w:ascii="仿宋" w:hAnsi="仿宋" w:eastAsia="仿宋" w:cs="仿宋"/>
          <w:b/>
          <w:bCs/>
          <w:spacing w:val="1"/>
          <w:sz w:val="24"/>
          <w:szCs w:val="24"/>
        </w:rPr>
        <w:t>函</w:t>
      </w:r>
    </w:p>
    <w:p w14:paraId="0514CD16">
      <w:pPr>
        <w:keepNext w:val="0"/>
        <w:keepLines w:val="0"/>
        <w:pageBreakBefore w:val="0"/>
        <w:widowControl/>
        <w:kinsoku w:val="0"/>
        <w:wordWrap/>
        <w:overflowPunct/>
        <w:topLinePunct w:val="0"/>
        <w:autoSpaceDE w:val="0"/>
        <w:autoSpaceDN w:val="0"/>
        <w:bidi w:val="0"/>
        <w:adjustRightInd w:val="0"/>
        <w:snapToGrid w:val="0"/>
        <w:spacing w:before="150" w:line="440" w:lineRule="exact"/>
        <w:ind w:left="657"/>
        <w:textAlignment w:val="baseline"/>
        <w:rPr>
          <w:rFonts w:ascii="仿宋" w:hAnsi="仿宋" w:eastAsia="仿宋" w:cs="仿宋"/>
          <w:sz w:val="24"/>
          <w:szCs w:val="24"/>
        </w:rPr>
      </w:pPr>
      <w:r>
        <w:rPr>
          <w:rFonts w:ascii="仿宋" w:hAnsi="仿宋" w:eastAsia="仿宋" w:cs="仿宋"/>
          <w:b/>
          <w:bCs/>
          <w:spacing w:val="6"/>
          <w:position w:val="14"/>
          <w:sz w:val="24"/>
          <w:szCs w:val="24"/>
        </w:rPr>
        <w:t>2.</w:t>
      </w:r>
      <w:r>
        <w:rPr>
          <w:rFonts w:hint="eastAsia" w:ascii="仿宋" w:hAnsi="仿宋" w:eastAsia="仿宋" w:cs="仿宋"/>
          <w:b/>
          <w:bCs/>
          <w:spacing w:val="6"/>
          <w:position w:val="14"/>
          <w:sz w:val="24"/>
          <w:szCs w:val="24"/>
          <w:lang w:eastAsia="zh-CN"/>
        </w:rPr>
        <w:t>响应</w:t>
      </w:r>
      <w:r>
        <w:rPr>
          <w:rFonts w:ascii="仿宋" w:hAnsi="仿宋" w:eastAsia="仿宋" w:cs="仿宋"/>
          <w:b/>
          <w:bCs/>
          <w:spacing w:val="6"/>
          <w:position w:val="14"/>
          <w:sz w:val="24"/>
          <w:szCs w:val="24"/>
        </w:rPr>
        <w:t>报价一览表</w:t>
      </w:r>
    </w:p>
    <w:p w14:paraId="3A3E9E88">
      <w:pPr>
        <w:keepNext w:val="0"/>
        <w:keepLines w:val="0"/>
        <w:pageBreakBefore w:val="0"/>
        <w:widowControl/>
        <w:kinsoku w:val="0"/>
        <w:wordWrap/>
        <w:overflowPunct/>
        <w:topLinePunct w:val="0"/>
        <w:autoSpaceDE w:val="0"/>
        <w:autoSpaceDN w:val="0"/>
        <w:bidi w:val="0"/>
        <w:adjustRightInd w:val="0"/>
        <w:snapToGrid w:val="0"/>
        <w:spacing w:before="1" w:line="440" w:lineRule="exact"/>
        <w:ind w:left="659"/>
        <w:textAlignment w:val="baseline"/>
        <w:rPr>
          <w:rFonts w:ascii="仿宋" w:hAnsi="仿宋" w:eastAsia="仿宋" w:cs="仿宋"/>
          <w:b/>
          <w:bCs/>
          <w:spacing w:val="6"/>
          <w:sz w:val="24"/>
          <w:szCs w:val="24"/>
        </w:rPr>
      </w:pPr>
      <w:r>
        <w:rPr>
          <w:rFonts w:ascii="仿宋" w:hAnsi="仿宋" w:eastAsia="仿宋" w:cs="仿宋"/>
          <w:b/>
          <w:bCs/>
          <w:spacing w:val="6"/>
          <w:sz w:val="24"/>
          <w:szCs w:val="24"/>
        </w:rPr>
        <w:t>3.分项报价明细表</w:t>
      </w:r>
    </w:p>
    <w:p w14:paraId="77AFC621">
      <w:pPr>
        <w:keepNext w:val="0"/>
        <w:keepLines w:val="0"/>
        <w:pageBreakBefore w:val="0"/>
        <w:widowControl/>
        <w:kinsoku w:val="0"/>
        <w:wordWrap/>
        <w:overflowPunct/>
        <w:topLinePunct w:val="0"/>
        <w:autoSpaceDE w:val="0"/>
        <w:autoSpaceDN w:val="0"/>
        <w:bidi w:val="0"/>
        <w:adjustRightInd w:val="0"/>
        <w:snapToGrid w:val="0"/>
        <w:spacing w:before="150" w:line="440" w:lineRule="exact"/>
        <w:ind w:left="657"/>
        <w:textAlignment w:val="baseline"/>
        <w:rPr>
          <w:rFonts w:ascii="仿宋" w:hAnsi="仿宋" w:eastAsia="仿宋" w:cs="仿宋"/>
          <w:b/>
          <w:bCs/>
          <w:spacing w:val="6"/>
          <w:position w:val="14"/>
          <w:sz w:val="24"/>
          <w:szCs w:val="24"/>
        </w:rPr>
      </w:pPr>
      <w:r>
        <w:rPr>
          <w:rFonts w:hint="eastAsia" w:ascii="仿宋" w:hAnsi="仿宋" w:eastAsia="仿宋" w:cs="仿宋"/>
          <w:b/>
          <w:bCs/>
          <w:spacing w:val="6"/>
          <w:position w:val="14"/>
          <w:sz w:val="24"/>
          <w:szCs w:val="24"/>
          <w:lang w:val="en-US" w:eastAsia="zh-CN"/>
        </w:rPr>
        <w:t>4.</w:t>
      </w:r>
      <w:r>
        <w:rPr>
          <w:rFonts w:ascii="仿宋" w:hAnsi="仿宋" w:eastAsia="仿宋" w:cs="仿宋"/>
          <w:b/>
          <w:bCs/>
          <w:spacing w:val="6"/>
          <w:position w:val="14"/>
          <w:sz w:val="24"/>
          <w:szCs w:val="24"/>
        </w:rPr>
        <w:t>法定代表人身份证明</w:t>
      </w:r>
    </w:p>
    <w:p w14:paraId="44EF7949">
      <w:pPr>
        <w:keepNext w:val="0"/>
        <w:keepLines w:val="0"/>
        <w:pageBreakBefore w:val="0"/>
        <w:widowControl/>
        <w:kinsoku w:val="0"/>
        <w:wordWrap/>
        <w:overflowPunct/>
        <w:topLinePunct w:val="0"/>
        <w:autoSpaceDE w:val="0"/>
        <w:autoSpaceDN w:val="0"/>
        <w:bidi w:val="0"/>
        <w:adjustRightInd w:val="0"/>
        <w:snapToGrid w:val="0"/>
        <w:spacing w:before="150" w:line="440" w:lineRule="exact"/>
        <w:ind w:left="657"/>
        <w:textAlignment w:val="baseline"/>
        <w:rPr>
          <w:rFonts w:ascii="仿宋" w:hAnsi="仿宋" w:eastAsia="仿宋" w:cs="仿宋"/>
          <w:b/>
          <w:bCs/>
          <w:spacing w:val="6"/>
          <w:position w:val="14"/>
          <w:sz w:val="24"/>
          <w:szCs w:val="24"/>
        </w:rPr>
      </w:pPr>
      <w:r>
        <w:rPr>
          <w:rFonts w:hint="eastAsia" w:ascii="仿宋" w:hAnsi="仿宋" w:eastAsia="仿宋" w:cs="仿宋"/>
          <w:b/>
          <w:bCs/>
          <w:spacing w:val="6"/>
          <w:position w:val="14"/>
          <w:sz w:val="24"/>
          <w:szCs w:val="24"/>
          <w:lang w:val="en-US" w:eastAsia="zh-CN"/>
        </w:rPr>
        <w:t>5</w:t>
      </w:r>
      <w:r>
        <w:rPr>
          <w:rFonts w:ascii="仿宋" w:hAnsi="仿宋" w:eastAsia="仿宋" w:cs="仿宋"/>
          <w:b/>
          <w:bCs/>
          <w:spacing w:val="6"/>
          <w:position w:val="14"/>
          <w:sz w:val="24"/>
          <w:szCs w:val="24"/>
        </w:rPr>
        <w:t>.法定代表人授权委托书</w:t>
      </w:r>
    </w:p>
    <w:p w14:paraId="7903E24E">
      <w:pPr>
        <w:keepNext w:val="0"/>
        <w:keepLines w:val="0"/>
        <w:pageBreakBefore w:val="0"/>
        <w:widowControl/>
        <w:kinsoku w:val="0"/>
        <w:wordWrap/>
        <w:overflowPunct/>
        <w:topLinePunct w:val="0"/>
        <w:autoSpaceDE w:val="0"/>
        <w:autoSpaceDN w:val="0"/>
        <w:bidi w:val="0"/>
        <w:adjustRightInd w:val="0"/>
        <w:snapToGrid w:val="0"/>
        <w:spacing w:before="150" w:line="440" w:lineRule="exact"/>
        <w:ind w:left="657"/>
        <w:textAlignment w:val="baseline"/>
        <w:rPr>
          <w:rFonts w:ascii="仿宋" w:hAnsi="仿宋" w:eastAsia="仿宋" w:cs="仿宋"/>
          <w:b/>
          <w:bCs/>
          <w:spacing w:val="6"/>
          <w:position w:val="14"/>
          <w:sz w:val="24"/>
          <w:szCs w:val="24"/>
        </w:rPr>
      </w:pPr>
      <w:r>
        <w:rPr>
          <w:rFonts w:hint="eastAsia" w:ascii="仿宋" w:hAnsi="仿宋" w:eastAsia="仿宋" w:cs="仿宋"/>
          <w:b/>
          <w:bCs/>
          <w:spacing w:val="6"/>
          <w:position w:val="14"/>
          <w:sz w:val="24"/>
          <w:szCs w:val="24"/>
          <w:lang w:val="en-US" w:eastAsia="zh-CN"/>
        </w:rPr>
        <w:t>6</w:t>
      </w:r>
      <w:r>
        <w:rPr>
          <w:rFonts w:ascii="仿宋" w:hAnsi="仿宋" w:eastAsia="仿宋" w:cs="仿宋"/>
          <w:b/>
          <w:bCs/>
          <w:spacing w:val="6"/>
          <w:position w:val="14"/>
          <w:sz w:val="24"/>
          <w:szCs w:val="24"/>
        </w:rPr>
        <w:t>.</w:t>
      </w:r>
      <w:r>
        <w:rPr>
          <w:rFonts w:hint="eastAsia" w:ascii="仿宋" w:hAnsi="仿宋" w:eastAsia="仿宋" w:cs="仿宋"/>
          <w:b/>
          <w:bCs/>
          <w:spacing w:val="6"/>
          <w:position w:val="14"/>
          <w:sz w:val="24"/>
          <w:szCs w:val="24"/>
          <w:lang w:eastAsia="zh-CN"/>
        </w:rPr>
        <w:t>供应商</w:t>
      </w:r>
      <w:r>
        <w:rPr>
          <w:rFonts w:ascii="仿宋" w:hAnsi="仿宋" w:eastAsia="仿宋" w:cs="仿宋"/>
          <w:b/>
          <w:bCs/>
          <w:spacing w:val="6"/>
          <w:position w:val="14"/>
          <w:sz w:val="24"/>
          <w:szCs w:val="24"/>
        </w:rPr>
        <w:t>基本情况</w:t>
      </w:r>
    </w:p>
    <w:p w14:paraId="3F4FAE24">
      <w:pPr>
        <w:keepNext w:val="0"/>
        <w:keepLines w:val="0"/>
        <w:pageBreakBefore w:val="0"/>
        <w:widowControl/>
        <w:kinsoku w:val="0"/>
        <w:wordWrap/>
        <w:overflowPunct/>
        <w:topLinePunct w:val="0"/>
        <w:autoSpaceDE w:val="0"/>
        <w:autoSpaceDN w:val="0"/>
        <w:bidi w:val="0"/>
        <w:adjustRightInd w:val="0"/>
        <w:snapToGrid w:val="0"/>
        <w:spacing w:before="150" w:line="440" w:lineRule="exact"/>
        <w:ind w:left="657"/>
        <w:textAlignment w:val="baseline"/>
        <w:rPr>
          <w:rFonts w:ascii="仿宋" w:hAnsi="仿宋" w:eastAsia="仿宋" w:cs="仿宋"/>
          <w:b/>
          <w:bCs/>
          <w:spacing w:val="6"/>
          <w:position w:val="14"/>
          <w:sz w:val="24"/>
          <w:szCs w:val="24"/>
        </w:rPr>
      </w:pPr>
      <w:r>
        <w:rPr>
          <w:rFonts w:hint="eastAsia" w:ascii="仿宋" w:hAnsi="仿宋" w:eastAsia="仿宋" w:cs="仿宋"/>
          <w:b/>
          <w:bCs/>
          <w:spacing w:val="6"/>
          <w:position w:val="14"/>
          <w:sz w:val="24"/>
          <w:szCs w:val="24"/>
          <w:lang w:val="en-US" w:eastAsia="zh-CN"/>
        </w:rPr>
        <w:t>7</w:t>
      </w:r>
      <w:r>
        <w:rPr>
          <w:rFonts w:ascii="仿宋" w:hAnsi="仿宋" w:eastAsia="仿宋" w:cs="仿宋"/>
          <w:b/>
          <w:bCs/>
          <w:spacing w:val="6"/>
          <w:position w:val="14"/>
          <w:sz w:val="24"/>
          <w:szCs w:val="24"/>
        </w:rPr>
        <w:t>.近三年无重大违法记录声明</w:t>
      </w:r>
    </w:p>
    <w:p w14:paraId="5A3220EA">
      <w:pPr>
        <w:keepNext w:val="0"/>
        <w:keepLines w:val="0"/>
        <w:pageBreakBefore w:val="0"/>
        <w:widowControl/>
        <w:kinsoku w:val="0"/>
        <w:wordWrap/>
        <w:overflowPunct/>
        <w:topLinePunct w:val="0"/>
        <w:autoSpaceDE w:val="0"/>
        <w:autoSpaceDN w:val="0"/>
        <w:bidi w:val="0"/>
        <w:adjustRightInd w:val="0"/>
        <w:snapToGrid w:val="0"/>
        <w:spacing w:before="150" w:line="440" w:lineRule="exact"/>
        <w:ind w:left="657"/>
        <w:textAlignment w:val="baseline"/>
        <w:rPr>
          <w:rFonts w:hint="eastAsia" w:ascii="仿宋" w:hAnsi="仿宋" w:eastAsia="仿宋" w:cs="仿宋"/>
          <w:b/>
          <w:bCs/>
          <w:spacing w:val="6"/>
          <w:position w:val="14"/>
          <w:sz w:val="24"/>
          <w:szCs w:val="24"/>
          <w:lang w:val="en-US" w:eastAsia="zh-CN"/>
        </w:rPr>
      </w:pPr>
      <w:r>
        <w:rPr>
          <w:rFonts w:hint="eastAsia" w:ascii="仿宋" w:hAnsi="仿宋" w:eastAsia="仿宋" w:cs="仿宋"/>
          <w:b/>
          <w:bCs/>
          <w:spacing w:val="6"/>
          <w:position w:val="14"/>
          <w:sz w:val="24"/>
          <w:szCs w:val="24"/>
          <w:lang w:val="en-US" w:eastAsia="zh-CN"/>
        </w:rPr>
        <w:t>8.具有履行合同所必须的设备和专业技术能力的承诺函</w:t>
      </w:r>
    </w:p>
    <w:p w14:paraId="5C967F78">
      <w:pPr>
        <w:keepNext w:val="0"/>
        <w:keepLines w:val="0"/>
        <w:pageBreakBefore w:val="0"/>
        <w:widowControl/>
        <w:kinsoku w:val="0"/>
        <w:wordWrap/>
        <w:overflowPunct/>
        <w:topLinePunct w:val="0"/>
        <w:autoSpaceDE w:val="0"/>
        <w:autoSpaceDN w:val="0"/>
        <w:bidi w:val="0"/>
        <w:adjustRightInd w:val="0"/>
        <w:snapToGrid w:val="0"/>
        <w:spacing w:before="150" w:line="440" w:lineRule="exact"/>
        <w:ind w:left="657"/>
        <w:textAlignment w:val="baseline"/>
        <w:rPr>
          <w:rFonts w:hint="eastAsia" w:ascii="仿宋" w:hAnsi="仿宋" w:eastAsia="仿宋" w:cs="仿宋"/>
          <w:b/>
          <w:bCs/>
          <w:spacing w:val="6"/>
          <w:position w:val="14"/>
          <w:sz w:val="24"/>
          <w:szCs w:val="24"/>
          <w:lang w:val="en-US" w:eastAsia="zh-CN"/>
        </w:rPr>
      </w:pPr>
      <w:r>
        <w:rPr>
          <w:rFonts w:hint="eastAsia" w:ascii="仿宋" w:hAnsi="仿宋" w:eastAsia="仿宋" w:cs="仿宋"/>
          <w:b/>
          <w:bCs/>
          <w:spacing w:val="6"/>
          <w:position w:val="14"/>
          <w:sz w:val="24"/>
          <w:szCs w:val="24"/>
          <w:lang w:val="en-US" w:eastAsia="zh-CN"/>
        </w:rPr>
        <w:t>9.提供单位负责人为同一人或者存在直接控股、管理关系的不同供应商，不得参加同一合同项下的政府采购活动的书面声明（格式自拟）</w:t>
      </w:r>
    </w:p>
    <w:p w14:paraId="432BA38D">
      <w:pPr>
        <w:keepNext w:val="0"/>
        <w:keepLines w:val="0"/>
        <w:pageBreakBefore w:val="0"/>
        <w:widowControl/>
        <w:kinsoku w:val="0"/>
        <w:wordWrap/>
        <w:overflowPunct/>
        <w:topLinePunct w:val="0"/>
        <w:autoSpaceDE w:val="0"/>
        <w:autoSpaceDN w:val="0"/>
        <w:bidi w:val="0"/>
        <w:adjustRightInd w:val="0"/>
        <w:snapToGrid w:val="0"/>
        <w:spacing w:before="150" w:line="440" w:lineRule="exact"/>
        <w:ind w:left="657"/>
        <w:textAlignment w:val="baseline"/>
        <w:rPr>
          <w:rFonts w:hint="eastAsia" w:ascii="仿宋" w:hAnsi="仿宋" w:eastAsia="仿宋" w:cs="仿宋"/>
          <w:b/>
          <w:bCs/>
          <w:spacing w:val="6"/>
          <w:position w:val="14"/>
          <w:sz w:val="24"/>
          <w:szCs w:val="24"/>
          <w:lang w:val="en-US" w:eastAsia="zh-CN"/>
        </w:rPr>
      </w:pPr>
      <w:r>
        <w:rPr>
          <w:rFonts w:hint="eastAsia" w:ascii="仿宋" w:hAnsi="仿宋" w:eastAsia="仿宋" w:cs="仿宋"/>
          <w:b/>
          <w:bCs/>
          <w:spacing w:val="6"/>
          <w:position w:val="14"/>
          <w:sz w:val="24"/>
          <w:szCs w:val="24"/>
          <w:lang w:val="en-US" w:eastAsia="zh-CN"/>
        </w:rPr>
        <w:t>10.拟投入本项目管理、服务、其他人员情况表</w:t>
      </w:r>
    </w:p>
    <w:p w14:paraId="43272B10">
      <w:pPr>
        <w:keepNext w:val="0"/>
        <w:keepLines w:val="0"/>
        <w:pageBreakBefore w:val="0"/>
        <w:widowControl/>
        <w:kinsoku w:val="0"/>
        <w:wordWrap/>
        <w:overflowPunct/>
        <w:topLinePunct w:val="0"/>
        <w:autoSpaceDE w:val="0"/>
        <w:autoSpaceDN w:val="0"/>
        <w:bidi w:val="0"/>
        <w:adjustRightInd w:val="0"/>
        <w:snapToGrid w:val="0"/>
        <w:spacing w:before="150" w:line="440" w:lineRule="exact"/>
        <w:ind w:left="657"/>
        <w:textAlignment w:val="baseline"/>
        <w:rPr>
          <w:rFonts w:hint="eastAsia" w:ascii="仿宋" w:hAnsi="仿宋" w:eastAsia="仿宋" w:cs="仿宋"/>
          <w:b/>
          <w:bCs/>
          <w:spacing w:val="6"/>
          <w:position w:val="14"/>
          <w:sz w:val="24"/>
          <w:szCs w:val="24"/>
          <w:lang w:val="en-US" w:eastAsia="zh-CN"/>
        </w:rPr>
      </w:pPr>
      <w:r>
        <w:rPr>
          <w:rFonts w:hint="eastAsia" w:ascii="仿宋" w:hAnsi="仿宋" w:eastAsia="仿宋" w:cs="仿宋"/>
          <w:b/>
          <w:bCs/>
          <w:spacing w:val="6"/>
          <w:position w:val="14"/>
          <w:sz w:val="24"/>
          <w:szCs w:val="24"/>
          <w:lang w:val="en-US" w:eastAsia="zh-CN"/>
        </w:rPr>
        <w:t>11.保证金缴存证明（符合采购文件要求）本项目不做要求</w:t>
      </w:r>
    </w:p>
    <w:p w14:paraId="260E5EB4">
      <w:pPr>
        <w:keepNext w:val="0"/>
        <w:keepLines w:val="0"/>
        <w:pageBreakBefore w:val="0"/>
        <w:widowControl/>
        <w:kinsoku w:val="0"/>
        <w:wordWrap/>
        <w:overflowPunct/>
        <w:topLinePunct w:val="0"/>
        <w:autoSpaceDE w:val="0"/>
        <w:autoSpaceDN w:val="0"/>
        <w:bidi w:val="0"/>
        <w:adjustRightInd w:val="0"/>
        <w:snapToGrid w:val="0"/>
        <w:spacing w:before="150" w:line="440" w:lineRule="exact"/>
        <w:ind w:left="657"/>
        <w:textAlignment w:val="baseline"/>
        <w:rPr>
          <w:rFonts w:hint="eastAsia" w:ascii="仿宋" w:hAnsi="仿宋" w:eastAsia="仿宋" w:cs="仿宋"/>
          <w:b/>
          <w:bCs/>
          <w:spacing w:val="6"/>
          <w:position w:val="14"/>
          <w:sz w:val="24"/>
          <w:szCs w:val="24"/>
          <w:lang w:val="en-US" w:eastAsia="zh-CN"/>
        </w:rPr>
      </w:pPr>
      <w:r>
        <w:rPr>
          <w:rFonts w:hint="eastAsia" w:ascii="仿宋" w:hAnsi="仿宋" w:eastAsia="仿宋" w:cs="仿宋"/>
          <w:b/>
          <w:bCs/>
          <w:spacing w:val="6"/>
          <w:position w:val="14"/>
          <w:sz w:val="24"/>
          <w:szCs w:val="24"/>
          <w:lang w:val="en-US" w:eastAsia="zh-CN"/>
        </w:rPr>
        <w:t>12.方案</w:t>
      </w:r>
    </w:p>
    <w:p w14:paraId="52613816">
      <w:pPr>
        <w:keepNext w:val="0"/>
        <w:keepLines w:val="0"/>
        <w:pageBreakBefore w:val="0"/>
        <w:widowControl/>
        <w:kinsoku w:val="0"/>
        <w:wordWrap/>
        <w:overflowPunct/>
        <w:topLinePunct w:val="0"/>
        <w:autoSpaceDE w:val="0"/>
        <w:autoSpaceDN w:val="0"/>
        <w:bidi w:val="0"/>
        <w:adjustRightInd w:val="0"/>
        <w:snapToGrid w:val="0"/>
        <w:spacing w:before="150" w:line="440" w:lineRule="exact"/>
        <w:ind w:left="657"/>
        <w:textAlignment w:val="baseline"/>
        <w:rPr>
          <w:rFonts w:hint="eastAsia" w:ascii="仿宋" w:hAnsi="仿宋" w:eastAsia="仿宋" w:cs="仿宋"/>
          <w:b/>
          <w:bCs/>
          <w:spacing w:val="6"/>
          <w:position w:val="14"/>
          <w:sz w:val="24"/>
          <w:szCs w:val="24"/>
          <w:lang w:val="en-US" w:eastAsia="zh-CN"/>
        </w:rPr>
      </w:pPr>
      <w:r>
        <w:rPr>
          <w:rFonts w:hint="eastAsia" w:ascii="仿宋" w:hAnsi="仿宋" w:eastAsia="仿宋" w:cs="仿宋"/>
          <w:b/>
          <w:bCs/>
          <w:spacing w:val="6"/>
          <w:position w:val="14"/>
          <w:sz w:val="24"/>
          <w:szCs w:val="24"/>
          <w:lang w:val="en-US" w:eastAsia="zh-CN"/>
        </w:rPr>
        <w:t>13.其它证明材料</w:t>
      </w:r>
    </w:p>
    <w:p w14:paraId="6532FB5F">
      <w:pPr>
        <w:keepNext w:val="0"/>
        <w:keepLines w:val="0"/>
        <w:pageBreakBefore w:val="0"/>
        <w:widowControl/>
        <w:kinsoku w:val="0"/>
        <w:wordWrap/>
        <w:overflowPunct/>
        <w:topLinePunct w:val="0"/>
        <w:autoSpaceDE w:val="0"/>
        <w:autoSpaceDN w:val="0"/>
        <w:bidi w:val="0"/>
        <w:adjustRightInd w:val="0"/>
        <w:snapToGrid w:val="0"/>
        <w:spacing w:before="150" w:line="440" w:lineRule="exact"/>
        <w:ind w:left="657"/>
        <w:textAlignment w:val="baseline"/>
        <w:rPr>
          <w:rFonts w:hint="eastAsia" w:ascii="仿宋" w:hAnsi="仿宋" w:eastAsia="仿宋" w:cs="仿宋"/>
          <w:b/>
          <w:bCs/>
          <w:spacing w:val="6"/>
          <w:position w:val="14"/>
          <w:sz w:val="24"/>
          <w:szCs w:val="24"/>
          <w:lang w:val="en-US" w:eastAsia="zh-CN"/>
        </w:rPr>
      </w:pPr>
      <w:r>
        <w:rPr>
          <w:rFonts w:hint="eastAsia" w:ascii="仿宋" w:hAnsi="仿宋" w:eastAsia="仿宋" w:cs="仿宋"/>
          <w:b/>
          <w:bCs/>
          <w:spacing w:val="6"/>
          <w:position w:val="14"/>
          <w:sz w:val="24"/>
          <w:szCs w:val="24"/>
          <w:lang w:val="en-US" w:eastAsia="zh-CN"/>
        </w:rPr>
        <w:t>14.声明函</w:t>
      </w:r>
    </w:p>
    <w:p w14:paraId="0D7F7F8B">
      <w:pPr>
        <w:spacing w:before="182" w:line="534" w:lineRule="exact"/>
        <w:ind w:left="3440"/>
        <w:rPr>
          <w:rFonts w:ascii="仿宋" w:hAnsi="仿宋" w:eastAsia="仿宋" w:cs="仿宋"/>
          <w:b/>
          <w:bCs/>
          <w:spacing w:val="1"/>
          <w:position w:val="15"/>
          <w:sz w:val="31"/>
          <w:szCs w:val="31"/>
        </w:rPr>
      </w:pPr>
    </w:p>
    <w:p w14:paraId="6BF2A36D">
      <w:pPr>
        <w:spacing w:before="182" w:line="534" w:lineRule="exact"/>
        <w:ind w:left="3440"/>
        <w:rPr>
          <w:rFonts w:ascii="仿宋" w:hAnsi="仿宋" w:eastAsia="仿宋" w:cs="仿宋"/>
          <w:b/>
          <w:bCs/>
          <w:spacing w:val="1"/>
          <w:position w:val="15"/>
          <w:sz w:val="31"/>
          <w:szCs w:val="31"/>
        </w:rPr>
      </w:pPr>
    </w:p>
    <w:p w14:paraId="4481991D">
      <w:pPr>
        <w:spacing w:before="182" w:line="534" w:lineRule="exact"/>
        <w:ind w:left="3440"/>
        <w:rPr>
          <w:rFonts w:ascii="仿宋" w:hAnsi="仿宋" w:eastAsia="仿宋" w:cs="仿宋"/>
          <w:b/>
          <w:bCs/>
          <w:spacing w:val="1"/>
          <w:position w:val="15"/>
          <w:sz w:val="31"/>
          <w:szCs w:val="31"/>
        </w:rPr>
      </w:pPr>
    </w:p>
    <w:p w14:paraId="5EC5A98E">
      <w:pPr>
        <w:spacing w:before="182" w:line="534" w:lineRule="exact"/>
        <w:ind w:left="3440"/>
        <w:rPr>
          <w:rFonts w:hint="eastAsia" w:ascii="仿宋" w:hAnsi="仿宋" w:eastAsia="仿宋" w:cs="仿宋"/>
          <w:b/>
          <w:bCs/>
          <w:spacing w:val="1"/>
          <w:position w:val="15"/>
          <w:sz w:val="31"/>
          <w:szCs w:val="31"/>
          <w:lang w:eastAsia="zh-CN"/>
        </w:rPr>
      </w:pPr>
    </w:p>
    <w:p w14:paraId="7175E5DC">
      <w:pPr>
        <w:spacing w:before="182" w:line="534" w:lineRule="exact"/>
        <w:ind w:left="3440"/>
        <w:rPr>
          <w:rFonts w:hint="eastAsia" w:ascii="仿宋" w:hAnsi="仿宋" w:eastAsia="仿宋" w:cs="仿宋"/>
          <w:b/>
          <w:bCs/>
          <w:spacing w:val="1"/>
          <w:position w:val="15"/>
          <w:sz w:val="31"/>
          <w:szCs w:val="31"/>
          <w:lang w:eastAsia="zh-CN"/>
        </w:rPr>
      </w:pPr>
    </w:p>
    <w:p w14:paraId="012288EC">
      <w:pPr>
        <w:pStyle w:val="2"/>
        <w:rPr>
          <w:rFonts w:hint="eastAsia"/>
          <w:lang w:eastAsia="zh-CN"/>
        </w:rPr>
      </w:pPr>
    </w:p>
    <w:p w14:paraId="478B4459">
      <w:pPr>
        <w:spacing w:before="182" w:line="534" w:lineRule="exact"/>
        <w:ind w:left="3440"/>
        <w:rPr>
          <w:rFonts w:ascii="仿宋" w:hAnsi="仿宋" w:eastAsia="仿宋" w:cs="仿宋"/>
          <w:sz w:val="31"/>
          <w:szCs w:val="31"/>
        </w:rPr>
      </w:pPr>
      <w:r>
        <w:rPr>
          <w:rFonts w:ascii="仿宋" w:hAnsi="仿宋" w:eastAsia="仿宋" w:cs="仿宋"/>
          <w:b/>
          <w:bCs/>
          <w:spacing w:val="1"/>
          <w:position w:val="15"/>
          <w:sz w:val="31"/>
          <w:szCs w:val="31"/>
        </w:rPr>
        <w:t>（报价文件）</w:t>
      </w:r>
    </w:p>
    <w:p w14:paraId="7955EBAB">
      <w:pPr>
        <w:spacing w:line="230" w:lineRule="auto"/>
        <w:ind w:left="3925"/>
        <w:rPr>
          <w:rFonts w:ascii="仿宋" w:hAnsi="仿宋" w:eastAsia="仿宋" w:cs="仿宋"/>
          <w:sz w:val="24"/>
          <w:szCs w:val="24"/>
        </w:rPr>
      </w:pPr>
      <w:r>
        <w:rPr>
          <w:rFonts w:ascii="仿宋" w:hAnsi="仿宋" w:eastAsia="仿宋" w:cs="仿宋"/>
          <w:b/>
          <w:bCs/>
          <w:spacing w:val="-1"/>
          <w:sz w:val="24"/>
          <w:szCs w:val="24"/>
        </w:rPr>
        <w:t>1.</w:t>
      </w:r>
      <w:r>
        <w:rPr>
          <w:rFonts w:ascii="仿宋" w:hAnsi="仿宋" w:eastAsia="仿宋" w:cs="仿宋"/>
          <w:spacing w:val="21"/>
          <w:sz w:val="24"/>
          <w:szCs w:val="24"/>
        </w:rPr>
        <w:t xml:space="preserve"> </w:t>
      </w:r>
      <w:r>
        <w:rPr>
          <w:rFonts w:hint="eastAsia" w:ascii="仿宋" w:hAnsi="仿宋" w:eastAsia="仿宋" w:cs="仿宋"/>
          <w:b/>
          <w:bCs/>
          <w:spacing w:val="-1"/>
          <w:sz w:val="24"/>
          <w:szCs w:val="24"/>
          <w:lang w:eastAsia="zh-CN"/>
        </w:rPr>
        <w:t>响应</w:t>
      </w:r>
      <w:r>
        <w:rPr>
          <w:rFonts w:ascii="仿宋" w:hAnsi="仿宋" w:eastAsia="仿宋" w:cs="仿宋"/>
          <w:b/>
          <w:bCs/>
          <w:spacing w:val="-1"/>
          <w:sz w:val="24"/>
          <w:szCs w:val="24"/>
        </w:rPr>
        <w:t>函</w:t>
      </w:r>
    </w:p>
    <w:p w14:paraId="4CB863BD">
      <w:pPr>
        <w:keepNext w:val="0"/>
        <w:keepLines w:val="0"/>
        <w:pageBreakBefore w:val="0"/>
        <w:widowControl/>
        <w:kinsoku w:val="0"/>
        <w:wordWrap/>
        <w:overflowPunct/>
        <w:topLinePunct w:val="0"/>
        <w:autoSpaceDE w:val="0"/>
        <w:autoSpaceDN w:val="0"/>
        <w:bidi w:val="0"/>
        <w:adjustRightInd w:val="0"/>
        <w:snapToGrid w:val="0"/>
        <w:spacing w:before="230" w:line="440" w:lineRule="exact"/>
        <w:ind w:left="238" w:right="17" w:firstLine="0"/>
        <w:textAlignment w:val="baseline"/>
        <w:rPr>
          <w:rFonts w:ascii="仿宋" w:hAnsi="仿宋" w:eastAsia="仿宋" w:cs="仿宋"/>
          <w:spacing w:val="7"/>
          <w:sz w:val="24"/>
          <w:szCs w:val="24"/>
        </w:rPr>
      </w:pPr>
      <w:r>
        <w:rPr>
          <w:rFonts w:ascii="仿宋" w:hAnsi="仿宋" w:eastAsia="仿宋" w:cs="仿宋"/>
          <w:spacing w:val="7"/>
          <w:sz w:val="24"/>
          <w:szCs w:val="24"/>
        </w:rPr>
        <w:t>致：</w:t>
      </w:r>
      <w:r>
        <w:rPr>
          <w:rFonts w:ascii="仿宋" w:hAnsi="仿宋" w:eastAsia="仿宋" w:cs="仿宋"/>
          <w:spacing w:val="7"/>
          <w:sz w:val="24"/>
          <w:szCs w:val="24"/>
          <w:u w:val="single"/>
        </w:rPr>
        <w:t xml:space="preserve">             (</w:t>
      </w:r>
      <w:r>
        <w:rPr>
          <w:rFonts w:hint="eastAsia" w:ascii="仿宋" w:hAnsi="仿宋" w:eastAsia="仿宋" w:cs="仿宋"/>
          <w:spacing w:val="7"/>
          <w:sz w:val="24"/>
          <w:szCs w:val="24"/>
          <w:u w:val="single"/>
          <w:lang w:eastAsia="zh-CN"/>
        </w:rPr>
        <w:t>采购人</w:t>
      </w:r>
      <w:r>
        <w:rPr>
          <w:rFonts w:ascii="仿宋" w:hAnsi="仿宋" w:eastAsia="仿宋" w:cs="仿宋"/>
          <w:spacing w:val="7"/>
          <w:sz w:val="24"/>
          <w:szCs w:val="24"/>
          <w:u w:val="single"/>
        </w:rPr>
        <w:t>)：</w:t>
      </w:r>
    </w:p>
    <w:p w14:paraId="643BD404">
      <w:pPr>
        <w:keepNext w:val="0"/>
        <w:keepLines w:val="0"/>
        <w:pageBreakBefore w:val="0"/>
        <w:widowControl/>
        <w:kinsoku w:val="0"/>
        <w:wordWrap/>
        <w:overflowPunct/>
        <w:topLinePunct w:val="0"/>
        <w:autoSpaceDE w:val="0"/>
        <w:autoSpaceDN w:val="0"/>
        <w:bidi w:val="0"/>
        <w:adjustRightInd w:val="0"/>
        <w:snapToGrid w:val="0"/>
        <w:spacing w:before="230" w:line="440" w:lineRule="exact"/>
        <w:ind w:left="238" w:right="17" w:firstLine="0"/>
        <w:textAlignment w:val="baseline"/>
        <w:rPr>
          <w:rFonts w:ascii="仿宋" w:hAnsi="仿宋" w:eastAsia="仿宋" w:cs="仿宋"/>
          <w:spacing w:val="7"/>
          <w:sz w:val="24"/>
          <w:szCs w:val="24"/>
        </w:rPr>
      </w:pPr>
      <w:r>
        <w:rPr>
          <w:rFonts w:ascii="仿宋" w:hAnsi="仿宋" w:eastAsia="仿宋" w:cs="仿宋"/>
          <w:spacing w:val="7"/>
          <w:sz w:val="24"/>
          <w:szCs w:val="24"/>
        </w:rPr>
        <w:t>根据贵方为</w:t>
      </w:r>
      <w:r>
        <w:rPr>
          <w:rFonts w:ascii="仿宋" w:hAnsi="仿宋" w:eastAsia="仿宋" w:cs="仿宋"/>
          <w:spacing w:val="7"/>
          <w:sz w:val="24"/>
          <w:szCs w:val="24"/>
          <w:u w:val="single"/>
        </w:rPr>
        <w:t xml:space="preserve">           （</w:t>
      </w:r>
      <w:r>
        <w:rPr>
          <w:rFonts w:hint="eastAsia" w:ascii="仿宋" w:hAnsi="仿宋" w:eastAsia="仿宋" w:cs="仿宋"/>
          <w:spacing w:val="7"/>
          <w:sz w:val="24"/>
          <w:szCs w:val="24"/>
          <w:u w:val="single"/>
          <w:lang w:eastAsia="zh-CN"/>
        </w:rPr>
        <w:t>标项名称</w:t>
      </w:r>
      <w:r>
        <w:rPr>
          <w:rFonts w:ascii="仿宋" w:hAnsi="仿宋" w:eastAsia="仿宋" w:cs="仿宋"/>
          <w:spacing w:val="7"/>
          <w:sz w:val="24"/>
          <w:szCs w:val="24"/>
          <w:u w:val="single"/>
        </w:rPr>
        <w:t>）</w:t>
      </w:r>
      <w:r>
        <w:rPr>
          <w:rFonts w:ascii="仿宋" w:hAnsi="仿宋" w:eastAsia="仿宋" w:cs="仿宋"/>
          <w:spacing w:val="7"/>
          <w:sz w:val="24"/>
          <w:szCs w:val="24"/>
        </w:rPr>
        <w:t>的要求，签字代表</w:t>
      </w:r>
      <w:r>
        <w:rPr>
          <w:rFonts w:ascii="仿宋" w:hAnsi="仿宋" w:eastAsia="仿宋" w:cs="仿宋"/>
          <w:spacing w:val="7"/>
          <w:sz w:val="24"/>
          <w:szCs w:val="24"/>
          <w:u w:val="single"/>
        </w:rPr>
        <w:t xml:space="preserve">         （姓名、 职务）</w:t>
      </w:r>
      <w:r>
        <w:rPr>
          <w:rFonts w:ascii="仿宋" w:hAnsi="仿宋" w:eastAsia="仿宋" w:cs="仿宋"/>
          <w:spacing w:val="7"/>
          <w:sz w:val="24"/>
          <w:szCs w:val="24"/>
        </w:rPr>
        <w:t>经正式授权并代表</w:t>
      </w:r>
      <w:r>
        <w:rPr>
          <w:rFonts w:hint="eastAsia" w:ascii="仿宋" w:hAnsi="仿宋" w:eastAsia="仿宋" w:cs="仿宋"/>
          <w:spacing w:val="7"/>
          <w:sz w:val="24"/>
          <w:szCs w:val="24"/>
          <w:lang w:eastAsia="zh-CN"/>
        </w:rPr>
        <w:t>供应商</w:t>
      </w:r>
      <w:r>
        <w:rPr>
          <w:rFonts w:ascii="仿宋" w:hAnsi="仿宋" w:eastAsia="仿宋" w:cs="仿宋"/>
          <w:spacing w:val="7"/>
          <w:sz w:val="24"/>
          <w:szCs w:val="24"/>
          <w:u w:val="single"/>
        </w:rPr>
        <w:t xml:space="preserve">        （</w:t>
      </w:r>
      <w:r>
        <w:rPr>
          <w:rFonts w:hint="eastAsia" w:ascii="仿宋" w:hAnsi="仿宋" w:eastAsia="仿宋" w:cs="仿宋"/>
          <w:spacing w:val="7"/>
          <w:sz w:val="24"/>
          <w:szCs w:val="24"/>
          <w:u w:val="single"/>
          <w:lang w:eastAsia="zh-CN"/>
        </w:rPr>
        <w:t>供应商</w:t>
      </w:r>
      <w:r>
        <w:rPr>
          <w:rFonts w:ascii="仿宋" w:hAnsi="仿宋" w:eastAsia="仿宋" w:cs="仿宋"/>
          <w:spacing w:val="7"/>
          <w:sz w:val="24"/>
          <w:szCs w:val="24"/>
          <w:u w:val="single"/>
        </w:rPr>
        <w:t>名称、地址）</w:t>
      </w:r>
      <w:r>
        <w:rPr>
          <w:rFonts w:ascii="仿宋" w:hAnsi="仿宋" w:eastAsia="仿宋" w:cs="仿宋"/>
          <w:spacing w:val="7"/>
          <w:sz w:val="24"/>
          <w:szCs w:val="24"/>
        </w:rPr>
        <w:t>提交下述</w:t>
      </w:r>
      <w:r>
        <w:rPr>
          <w:rFonts w:hint="eastAsia" w:ascii="仿宋" w:hAnsi="仿宋" w:eastAsia="仿宋" w:cs="仿宋"/>
          <w:spacing w:val="7"/>
          <w:sz w:val="24"/>
          <w:szCs w:val="24"/>
          <w:lang w:eastAsia="zh-CN"/>
        </w:rPr>
        <w:t>磋商响应文件</w:t>
      </w:r>
      <w:r>
        <w:rPr>
          <w:rFonts w:ascii="仿宋" w:hAnsi="仿宋" w:eastAsia="仿宋" w:cs="仿宋"/>
          <w:spacing w:val="7"/>
          <w:sz w:val="24"/>
          <w:szCs w:val="24"/>
        </w:rPr>
        <w:t>并在此声明，所递交的</w:t>
      </w:r>
      <w:r>
        <w:rPr>
          <w:rFonts w:hint="eastAsia" w:ascii="仿宋" w:hAnsi="仿宋" w:eastAsia="仿宋" w:cs="仿宋"/>
          <w:spacing w:val="7"/>
          <w:sz w:val="24"/>
          <w:szCs w:val="24"/>
          <w:lang w:eastAsia="zh-CN"/>
        </w:rPr>
        <w:t>磋商响应文件</w:t>
      </w:r>
      <w:r>
        <w:rPr>
          <w:rFonts w:ascii="仿宋" w:hAnsi="仿宋" w:eastAsia="仿宋" w:cs="仿宋"/>
          <w:spacing w:val="7"/>
          <w:sz w:val="24"/>
          <w:szCs w:val="24"/>
        </w:rPr>
        <w:t>内容完整、真实。在此，签字代表承诺如下：</w:t>
      </w:r>
    </w:p>
    <w:p w14:paraId="6AB8C706">
      <w:pPr>
        <w:keepNext w:val="0"/>
        <w:keepLines w:val="0"/>
        <w:pageBreakBefore w:val="0"/>
        <w:widowControl/>
        <w:kinsoku w:val="0"/>
        <w:wordWrap/>
        <w:overflowPunct/>
        <w:topLinePunct w:val="0"/>
        <w:autoSpaceDE w:val="0"/>
        <w:autoSpaceDN w:val="0"/>
        <w:bidi w:val="0"/>
        <w:adjustRightInd w:val="0"/>
        <w:snapToGrid w:val="0"/>
        <w:spacing w:before="230" w:line="440" w:lineRule="exact"/>
        <w:ind w:left="238" w:right="17" w:firstLine="0"/>
        <w:textAlignment w:val="baseline"/>
        <w:rPr>
          <w:rFonts w:ascii="仿宋" w:hAnsi="仿宋" w:eastAsia="仿宋" w:cs="仿宋"/>
          <w:spacing w:val="7"/>
          <w:sz w:val="24"/>
          <w:szCs w:val="24"/>
        </w:rPr>
      </w:pPr>
      <w:r>
        <w:rPr>
          <w:rFonts w:ascii="仿宋" w:hAnsi="仿宋" w:eastAsia="仿宋" w:cs="仿宋"/>
          <w:spacing w:val="7"/>
          <w:sz w:val="24"/>
          <w:szCs w:val="24"/>
        </w:rPr>
        <w:t>1、我方在详细阅读</w:t>
      </w:r>
      <w:r>
        <w:rPr>
          <w:rFonts w:hint="eastAsia" w:ascii="仿宋" w:hAnsi="仿宋" w:eastAsia="仿宋" w:cs="仿宋"/>
          <w:spacing w:val="7"/>
          <w:sz w:val="24"/>
          <w:szCs w:val="24"/>
          <w:lang w:eastAsia="zh-CN"/>
        </w:rPr>
        <w:t>采购文件</w:t>
      </w:r>
      <w:r>
        <w:rPr>
          <w:rFonts w:ascii="仿宋" w:hAnsi="仿宋" w:eastAsia="仿宋" w:cs="仿宋"/>
          <w:spacing w:val="7"/>
          <w:sz w:val="24"/>
          <w:szCs w:val="24"/>
        </w:rPr>
        <w:t>各项要求，根据对应采购内容及采购要求规定愿以</w:t>
      </w:r>
      <w:r>
        <w:rPr>
          <w:rFonts w:hint="eastAsia" w:ascii="仿宋" w:hAnsi="仿宋" w:eastAsia="仿宋" w:cs="仿宋"/>
          <w:spacing w:val="7"/>
          <w:sz w:val="24"/>
          <w:szCs w:val="24"/>
          <w:lang w:eastAsia="zh-CN"/>
        </w:rPr>
        <w:t>单价下浮率报价（</w:t>
      </w:r>
      <w:r>
        <w:rPr>
          <w:rFonts w:hint="eastAsia" w:ascii="仿宋" w:hAnsi="仿宋" w:eastAsia="仿宋" w:cs="仿宋"/>
          <w:spacing w:val="7"/>
          <w:sz w:val="24"/>
          <w:szCs w:val="24"/>
          <w:lang w:val="en-US" w:eastAsia="zh-CN"/>
        </w:rPr>
        <w:t>%</w:t>
      </w:r>
      <w:r>
        <w:rPr>
          <w:rFonts w:hint="eastAsia" w:ascii="仿宋" w:hAnsi="仿宋" w:eastAsia="仿宋" w:cs="仿宋"/>
          <w:spacing w:val="7"/>
          <w:sz w:val="24"/>
          <w:szCs w:val="24"/>
          <w:lang w:eastAsia="zh-CN"/>
        </w:rPr>
        <w:t>）：</w:t>
      </w:r>
      <w:r>
        <w:rPr>
          <w:rFonts w:ascii="仿宋" w:hAnsi="仿宋" w:eastAsia="仿宋" w:cs="仿宋"/>
          <w:spacing w:val="7"/>
          <w:sz w:val="24"/>
          <w:szCs w:val="24"/>
          <w:u w:val="single"/>
        </w:rPr>
        <w:t xml:space="preserve"> </w:t>
      </w:r>
      <w:r>
        <w:rPr>
          <w:rFonts w:hint="eastAsia" w:ascii="仿宋" w:hAnsi="仿宋" w:eastAsia="仿宋" w:cs="仿宋"/>
          <w:spacing w:val="7"/>
          <w:sz w:val="24"/>
          <w:szCs w:val="24"/>
          <w:u w:val="single"/>
          <w:lang w:val="en-US" w:eastAsia="zh-CN"/>
        </w:rPr>
        <w:t xml:space="preserve">  下浮   %       </w:t>
      </w:r>
      <w:r>
        <w:rPr>
          <w:rFonts w:ascii="仿宋" w:hAnsi="仿宋" w:eastAsia="仿宋" w:cs="仿宋"/>
          <w:spacing w:val="7"/>
          <w:sz w:val="24"/>
          <w:szCs w:val="24"/>
          <w:u w:val="single"/>
        </w:rPr>
        <w:t>(大写：            )</w:t>
      </w:r>
      <w:r>
        <w:rPr>
          <w:rFonts w:ascii="仿宋" w:hAnsi="仿宋" w:eastAsia="仿宋" w:cs="仿宋"/>
          <w:spacing w:val="7"/>
          <w:sz w:val="24"/>
          <w:szCs w:val="24"/>
        </w:rPr>
        <w:t>完成本项目全部相关服务。</w:t>
      </w:r>
    </w:p>
    <w:p w14:paraId="4AA2C7A1">
      <w:pPr>
        <w:keepNext w:val="0"/>
        <w:keepLines w:val="0"/>
        <w:pageBreakBefore w:val="0"/>
        <w:widowControl/>
        <w:kinsoku w:val="0"/>
        <w:wordWrap/>
        <w:overflowPunct/>
        <w:topLinePunct w:val="0"/>
        <w:autoSpaceDE w:val="0"/>
        <w:autoSpaceDN w:val="0"/>
        <w:bidi w:val="0"/>
        <w:adjustRightInd w:val="0"/>
        <w:snapToGrid w:val="0"/>
        <w:spacing w:before="230" w:line="440" w:lineRule="exact"/>
        <w:ind w:left="238" w:right="17" w:firstLine="0"/>
        <w:textAlignment w:val="baseline"/>
        <w:rPr>
          <w:rFonts w:ascii="仿宋" w:hAnsi="仿宋" w:eastAsia="仿宋" w:cs="仿宋"/>
          <w:spacing w:val="7"/>
          <w:sz w:val="24"/>
          <w:szCs w:val="24"/>
        </w:rPr>
      </w:pPr>
      <w:r>
        <w:rPr>
          <w:rFonts w:ascii="仿宋" w:hAnsi="仿宋" w:eastAsia="仿宋" w:cs="仿宋"/>
          <w:spacing w:val="7"/>
          <w:sz w:val="24"/>
          <w:szCs w:val="24"/>
        </w:rPr>
        <w:t>2、我方将按</w:t>
      </w:r>
      <w:r>
        <w:rPr>
          <w:rFonts w:hint="eastAsia" w:ascii="仿宋" w:hAnsi="仿宋" w:eastAsia="仿宋" w:cs="仿宋"/>
          <w:spacing w:val="7"/>
          <w:sz w:val="24"/>
          <w:szCs w:val="24"/>
          <w:lang w:eastAsia="zh-CN"/>
        </w:rPr>
        <w:t>采购文件</w:t>
      </w:r>
      <w:r>
        <w:rPr>
          <w:rFonts w:ascii="仿宋" w:hAnsi="仿宋" w:eastAsia="仿宋" w:cs="仿宋"/>
          <w:spacing w:val="7"/>
          <w:sz w:val="24"/>
          <w:szCs w:val="24"/>
        </w:rPr>
        <w:t>的规定履行合同责任和义务。</w:t>
      </w:r>
    </w:p>
    <w:p w14:paraId="646D27C8">
      <w:pPr>
        <w:keepNext w:val="0"/>
        <w:keepLines w:val="0"/>
        <w:pageBreakBefore w:val="0"/>
        <w:widowControl/>
        <w:kinsoku w:val="0"/>
        <w:wordWrap/>
        <w:overflowPunct/>
        <w:topLinePunct w:val="0"/>
        <w:autoSpaceDE w:val="0"/>
        <w:autoSpaceDN w:val="0"/>
        <w:bidi w:val="0"/>
        <w:adjustRightInd w:val="0"/>
        <w:snapToGrid w:val="0"/>
        <w:spacing w:before="230" w:line="440" w:lineRule="exact"/>
        <w:ind w:left="238" w:right="17" w:firstLine="0"/>
        <w:textAlignment w:val="baseline"/>
        <w:rPr>
          <w:rFonts w:ascii="仿宋" w:hAnsi="仿宋" w:eastAsia="仿宋" w:cs="仿宋"/>
          <w:spacing w:val="7"/>
          <w:sz w:val="24"/>
          <w:szCs w:val="24"/>
        </w:rPr>
      </w:pPr>
      <w:r>
        <w:rPr>
          <w:rFonts w:ascii="仿宋" w:hAnsi="仿宋" w:eastAsia="仿宋" w:cs="仿宋"/>
          <w:spacing w:val="7"/>
          <w:sz w:val="24"/>
          <w:szCs w:val="24"/>
        </w:rPr>
        <w:t>3、我方已详细审查全部</w:t>
      </w:r>
      <w:r>
        <w:rPr>
          <w:rFonts w:hint="eastAsia" w:ascii="仿宋" w:hAnsi="仿宋" w:eastAsia="仿宋" w:cs="仿宋"/>
          <w:spacing w:val="7"/>
          <w:sz w:val="24"/>
          <w:szCs w:val="24"/>
          <w:lang w:eastAsia="zh-CN"/>
        </w:rPr>
        <w:t>采购文件</w:t>
      </w:r>
      <w:r>
        <w:rPr>
          <w:rFonts w:ascii="仿宋" w:hAnsi="仿宋" w:eastAsia="仿宋" w:cs="仿宋"/>
          <w:spacing w:val="7"/>
          <w:sz w:val="24"/>
          <w:szCs w:val="24"/>
        </w:rPr>
        <w:t>，我们完全理解并同意放弃对这方面有不明及误解的权力。</w:t>
      </w:r>
    </w:p>
    <w:p w14:paraId="4D03210F">
      <w:pPr>
        <w:keepNext w:val="0"/>
        <w:keepLines w:val="0"/>
        <w:pageBreakBefore w:val="0"/>
        <w:widowControl/>
        <w:kinsoku w:val="0"/>
        <w:wordWrap/>
        <w:overflowPunct/>
        <w:topLinePunct w:val="0"/>
        <w:autoSpaceDE w:val="0"/>
        <w:autoSpaceDN w:val="0"/>
        <w:bidi w:val="0"/>
        <w:adjustRightInd w:val="0"/>
        <w:snapToGrid w:val="0"/>
        <w:spacing w:before="230" w:line="440" w:lineRule="exact"/>
        <w:ind w:left="238" w:right="17" w:firstLine="0"/>
        <w:textAlignment w:val="baseline"/>
        <w:rPr>
          <w:rFonts w:ascii="仿宋" w:hAnsi="仿宋" w:eastAsia="仿宋" w:cs="仿宋"/>
          <w:spacing w:val="7"/>
          <w:sz w:val="24"/>
          <w:szCs w:val="24"/>
        </w:rPr>
      </w:pPr>
      <w:r>
        <w:rPr>
          <w:rFonts w:ascii="仿宋" w:hAnsi="仿宋" w:eastAsia="仿宋" w:cs="仿宋"/>
          <w:spacing w:val="7"/>
          <w:sz w:val="24"/>
          <w:szCs w:val="24"/>
        </w:rPr>
        <w:t>4、若我方取得</w:t>
      </w:r>
      <w:r>
        <w:rPr>
          <w:rFonts w:hint="eastAsia" w:ascii="仿宋" w:hAnsi="仿宋" w:eastAsia="仿宋" w:cs="仿宋"/>
          <w:spacing w:val="7"/>
          <w:sz w:val="24"/>
          <w:szCs w:val="24"/>
          <w:lang w:eastAsia="zh-CN"/>
        </w:rPr>
        <w:t>成交</w:t>
      </w:r>
      <w:r>
        <w:rPr>
          <w:rFonts w:ascii="仿宋" w:hAnsi="仿宋" w:eastAsia="仿宋" w:cs="仿宋"/>
          <w:spacing w:val="7"/>
          <w:sz w:val="24"/>
          <w:szCs w:val="24"/>
        </w:rPr>
        <w:t>资格，愿以本项目</w:t>
      </w:r>
      <w:r>
        <w:rPr>
          <w:rFonts w:hint="eastAsia" w:ascii="仿宋" w:hAnsi="仿宋" w:eastAsia="仿宋" w:cs="仿宋"/>
          <w:spacing w:val="7"/>
          <w:sz w:val="24"/>
          <w:szCs w:val="24"/>
          <w:lang w:eastAsia="zh-CN"/>
        </w:rPr>
        <w:t>采购文件</w:t>
      </w:r>
      <w:r>
        <w:rPr>
          <w:rFonts w:ascii="仿宋" w:hAnsi="仿宋" w:eastAsia="仿宋" w:cs="仿宋"/>
          <w:spacing w:val="7"/>
          <w:sz w:val="24"/>
          <w:szCs w:val="24"/>
        </w:rPr>
        <w:t>规定，向</w:t>
      </w:r>
      <w:r>
        <w:rPr>
          <w:rFonts w:hint="eastAsia" w:ascii="仿宋" w:hAnsi="仿宋" w:eastAsia="仿宋" w:cs="仿宋"/>
          <w:spacing w:val="7"/>
          <w:sz w:val="24"/>
          <w:szCs w:val="24"/>
          <w:lang w:eastAsia="zh-CN"/>
        </w:rPr>
        <w:t>采购代理机构</w:t>
      </w:r>
      <w:r>
        <w:rPr>
          <w:rFonts w:ascii="仿宋" w:hAnsi="仿宋" w:eastAsia="仿宋" w:cs="仿宋"/>
          <w:spacing w:val="7"/>
          <w:sz w:val="24"/>
          <w:szCs w:val="24"/>
        </w:rPr>
        <w:t>缴纳招标代理服务费。</w:t>
      </w:r>
    </w:p>
    <w:p w14:paraId="2F8114E1">
      <w:pPr>
        <w:keepNext w:val="0"/>
        <w:keepLines w:val="0"/>
        <w:pageBreakBefore w:val="0"/>
        <w:widowControl/>
        <w:kinsoku w:val="0"/>
        <w:wordWrap/>
        <w:overflowPunct/>
        <w:topLinePunct w:val="0"/>
        <w:autoSpaceDE w:val="0"/>
        <w:autoSpaceDN w:val="0"/>
        <w:bidi w:val="0"/>
        <w:adjustRightInd w:val="0"/>
        <w:snapToGrid w:val="0"/>
        <w:spacing w:before="230" w:line="440" w:lineRule="exact"/>
        <w:ind w:left="238" w:right="17" w:firstLine="0"/>
        <w:textAlignment w:val="baseline"/>
        <w:rPr>
          <w:rFonts w:ascii="仿宋" w:hAnsi="仿宋" w:eastAsia="仿宋" w:cs="仿宋"/>
          <w:spacing w:val="7"/>
          <w:sz w:val="24"/>
          <w:szCs w:val="24"/>
        </w:rPr>
      </w:pPr>
      <w:r>
        <w:rPr>
          <w:rFonts w:hint="eastAsia" w:ascii="仿宋" w:hAnsi="仿宋" w:eastAsia="仿宋" w:cs="仿宋"/>
          <w:spacing w:val="7"/>
          <w:sz w:val="24"/>
          <w:szCs w:val="24"/>
          <w:lang w:val="en-US" w:eastAsia="zh-CN"/>
        </w:rPr>
        <w:t>5</w:t>
      </w:r>
      <w:r>
        <w:rPr>
          <w:rFonts w:ascii="仿宋" w:hAnsi="仿宋" w:eastAsia="仿宋" w:cs="仿宋"/>
          <w:spacing w:val="7"/>
          <w:sz w:val="24"/>
          <w:szCs w:val="24"/>
        </w:rPr>
        <w:t>、我方同意提供贵方可能要求的与其</w:t>
      </w:r>
      <w:r>
        <w:rPr>
          <w:rFonts w:hint="eastAsia" w:ascii="仿宋" w:hAnsi="仿宋" w:eastAsia="仿宋" w:cs="仿宋"/>
          <w:spacing w:val="7"/>
          <w:sz w:val="24"/>
          <w:szCs w:val="24"/>
          <w:lang w:eastAsia="zh-CN"/>
        </w:rPr>
        <w:t>响应</w:t>
      </w:r>
      <w:r>
        <w:rPr>
          <w:rFonts w:ascii="仿宋" w:hAnsi="仿宋" w:eastAsia="仿宋" w:cs="仿宋"/>
          <w:spacing w:val="7"/>
          <w:sz w:val="24"/>
          <w:szCs w:val="24"/>
        </w:rPr>
        <w:t>有关的一切数据或资料。</w:t>
      </w:r>
    </w:p>
    <w:p w14:paraId="62858FD1">
      <w:pPr>
        <w:keepNext w:val="0"/>
        <w:keepLines w:val="0"/>
        <w:pageBreakBefore w:val="0"/>
        <w:widowControl/>
        <w:kinsoku w:val="0"/>
        <w:wordWrap/>
        <w:overflowPunct/>
        <w:topLinePunct w:val="0"/>
        <w:autoSpaceDE w:val="0"/>
        <w:autoSpaceDN w:val="0"/>
        <w:bidi w:val="0"/>
        <w:adjustRightInd w:val="0"/>
        <w:snapToGrid w:val="0"/>
        <w:spacing w:before="230" w:line="440" w:lineRule="exact"/>
        <w:ind w:left="238" w:right="17" w:firstLine="0"/>
        <w:textAlignment w:val="baseline"/>
        <w:rPr>
          <w:rFonts w:hint="eastAsia" w:ascii="仿宋" w:hAnsi="仿宋" w:eastAsia="仿宋" w:cs="仿宋"/>
          <w:spacing w:val="7"/>
          <w:sz w:val="24"/>
          <w:szCs w:val="24"/>
          <w:lang w:val="en-US" w:eastAsia="zh-CN"/>
        </w:rPr>
      </w:pPr>
      <w:r>
        <w:rPr>
          <w:rFonts w:hint="eastAsia" w:ascii="仿宋" w:hAnsi="仿宋" w:eastAsia="仿宋" w:cs="仿宋"/>
          <w:spacing w:val="7"/>
          <w:sz w:val="24"/>
          <w:szCs w:val="24"/>
          <w:lang w:val="en-US" w:eastAsia="zh-CN"/>
        </w:rPr>
        <w:t>6、</w:t>
      </w:r>
      <w:r>
        <w:rPr>
          <w:rFonts w:hint="eastAsia" w:ascii="仿宋" w:hAnsi="仿宋" w:eastAsia="仿宋" w:cs="仿宋"/>
          <w:spacing w:val="7"/>
          <w:sz w:val="24"/>
          <w:szCs w:val="24"/>
          <w:u w:val="single"/>
          <w:lang w:val="en-US" w:eastAsia="zh-CN"/>
        </w:rPr>
        <w:t xml:space="preserve">                                           </w:t>
      </w:r>
      <w:r>
        <w:rPr>
          <w:rFonts w:hint="eastAsia" w:ascii="仿宋" w:hAnsi="仿宋" w:eastAsia="仿宋" w:cs="仿宋"/>
          <w:spacing w:val="7"/>
          <w:sz w:val="24"/>
          <w:szCs w:val="24"/>
          <w:lang w:val="en-US" w:eastAsia="zh-CN"/>
        </w:rPr>
        <w:t>（供应商认为需要的其他补充说明）。</w:t>
      </w:r>
    </w:p>
    <w:p w14:paraId="0E917C95">
      <w:pPr>
        <w:keepNext w:val="0"/>
        <w:keepLines w:val="0"/>
        <w:pageBreakBefore w:val="0"/>
        <w:widowControl/>
        <w:kinsoku w:val="0"/>
        <w:wordWrap/>
        <w:overflowPunct/>
        <w:topLinePunct w:val="0"/>
        <w:autoSpaceDE w:val="0"/>
        <w:autoSpaceDN w:val="0"/>
        <w:bidi w:val="0"/>
        <w:adjustRightInd w:val="0"/>
        <w:snapToGrid w:val="0"/>
        <w:spacing w:before="230" w:line="440" w:lineRule="exact"/>
        <w:ind w:left="238" w:right="17" w:firstLine="0"/>
        <w:textAlignment w:val="baseline"/>
        <w:rPr>
          <w:rFonts w:ascii="仿宋" w:hAnsi="仿宋" w:eastAsia="仿宋" w:cs="仿宋"/>
          <w:spacing w:val="7"/>
          <w:sz w:val="24"/>
          <w:szCs w:val="24"/>
        </w:rPr>
      </w:pPr>
      <w:r>
        <w:rPr>
          <w:rFonts w:ascii="仿宋" w:hAnsi="仿宋" w:eastAsia="仿宋" w:cs="仿宋"/>
          <w:spacing w:val="7"/>
          <w:sz w:val="24"/>
          <w:szCs w:val="24"/>
        </w:rPr>
        <w:t>7、与本</w:t>
      </w:r>
      <w:r>
        <w:rPr>
          <w:rFonts w:hint="eastAsia" w:ascii="仿宋" w:hAnsi="仿宋" w:eastAsia="仿宋" w:cs="仿宋"/>
          <w:spacing w:val="7"/>
          <w:sz w:val="24"/>
          <w:szCs w:val="24"/>
          <w:lang w:eastAsia="zh-CN"/>
        </w:rPr>
        <w:t>采购活动</w:t>
      </w:r>
      <w:r>
        <w:rPr>
          <w:rFonts w:ascii="仿宋" w:hAnsi="仿宋" w:eastAsia="仿宋" w:cs="仿宋"/>
          <w:spacing w:val="7"/>
          <w:sz w:val="24"/>
          <w:szCs w:val="24"/>
        </w:rPr>
        <w:t>有关的一切正式往来信函请寄：</w:t>
      </w:r>
    </w:p>
    <w:p w14:paraId="1C9F0E46">
      <w:pPr>
        <w:keepNext w:val="0"/>
        <w:keepLines w:val="0"/>
        <w:pageBreakBefore w:val="0"/>
        <w:widowControl/>
        <w:kinsoku w:val="0"/>
        <w:wordWrap/>
        <w:overflowPunct/>
        <w:topLinePunct w:val="0"/>
        <w:autoSpaceDE w:val="0"/>
        <w:autoSpaceDN w:val="0"/>
        <w:bidi w:val="0"/>
        <w:adjustRightInd w:val="0"/>
        <w:snapToGrid w:val="0"/>
        <w:spacing w:before="230" w:line="440" w:lineRule="exact"/>
        <w:ind w:left="238" w:right="17" w:firstLine="0"/>
        <w:textAlignment w:val="baseline"/>
        <w:rPr>
          <w:rFonts w:ascii="仿宋" w:hAnsi="仿宋" w:eastAsia="仿宋" w:cs="仿宋"/>
          <w:spacing w:val="7"/>
          <w:sz w:val="24"/>
          <w:szCs w:val="24"/>
          <w:u w:val="single"/>
        </w:rPr>
      </w:pPr>
      <w:r>
        <w:rPr>
          <w:rFonts w:ascii="仿宋" w:hAnsi="仿宋" w:eastAsia="仿宋" w:cs="仿宋"/>
          <w:spacing w:val="7"/>
          <w:sz w:val="24"/>
          <w:szCs w:val="24"/>
          <w:u w:val="single"/>
        </w:rPr>
        <w:t xml:space="preserve">地址：              邮编：         电话：              传真：         </w:t>
      </w:r>
    </w:p>
    <w:p w14:paraId="43DAD292">
      <w:pPr>
        <w:keepNext w:val="0"/>
        <w:keepLines w:val="0"/>
        <w:pageBreakBefore w:val="0"/>
        <w:widowControl/>
        <w:kinsoku w:val="0"/>
        <w:wordWrap/>
        <w:overflowPunct/>
        <w:topLinePunct w:val="0"/>
        <w:autoSpaceDE w:val="0"/>
        <w:autoSpaceDN w:val="0"/>
        <w:bidi w:val="0"/>
        <w:adjustRightInd w:val="0"/>
        <w:snapToGrid w:val="0"/>
        <w:spacing w:before="230" w:line="440" w:lineRule="exact"/>
        <w:ind w:left="238" w:right="17" w:firstLine="0"/>
        <w:textAlignment w:val="baseline"/>
        <w:rPr>
          <w:rFonts w:ascii="仿宋" w:hAnsi="仿宋" w:eastAsia="仿宋" w:cs="仿宋"/>
          <w:spacing w:val="7"/>
          <w:sz w:val="24"/>
          <w:szCs w:val="24"/>
        </w:rPr>
      </w:pPr>
      <w:r>
        <w:rPr>
          <w:rFonts w:hint="eastAsia" w:ascii="仿宋" w:hAnsi="仿宋" w:eastAsia="仿宋" w:cs="仿宋"/>
          <w:spacing w:val="7"/>
          <w:sz w:val="24"/>
          <w:szCs w:val="24"/>
          <w:lang w:eastAsia="zh-CN"/>
        </w:rPr>
        <w:t>供应商</w:t>
      </w:r>
      <w:r>
        <w:rPr>
          <w:rFonts w:ascii="仿宋" w:hAnsi="仿宋" w:eastAsia="仿宋" w:cs="仿宋"/>
          <w:spacing w:val="7"/>
          <w:sz w:val="24"/>
          <w:szCs w:val="24"/>
        </w:rPr>
        <w:t>名称(盖公章)：</w:t>
      </w:r>
      <w:r>
        <w:rPr>
          <w:rFonts w:ascii="仿宋" w:hAnsi="仿宋" w:eastAsia="仿宋" w:cs="仿宋"/>
          <w:spacing w:val="7"/>
          <w:sz w:val="24"/>
          <w:szCs w:val="24"/>
          <w:u w:val="single"/>
        </w:rPr>
        <w:t xml:space="preserve">                              </w:t>
      </w:r>
    </w:p>
    <w:p w14:paraId="4A84E7E8">
      <w:pPr>
        <w:keepNext w:val="0"/>
        <w:keepLines w:val="0"/>
        <w:pageBreakBefore w:val="0"/>
        <w:widowControl/>
        <w:kinsoku w:val="0"/>
        <w:wordWrap/>
        <w:overflowPunct/>
        <w:topLinePunct w:val="0"/>
        <w:autoSpaceDE w:val="0"/>
        <w:autoSpaceDN w:val="0"/>
        <w:bidi w:val="0"/>
        <w:adjustRightInd w:val="0"/>
        <w:snapToGrid w:val="0"/>
        <w:spacing w:before="230" w:line="440" w:lineRule="exact"/>
        <w:ind w:left="238" w:right="17" w:firstLine="0"/>
        <w:textAlignment w:val="baseline"/>
        <w:rPr>
          <w:rFonts w:ascii="仿宋" w:hAnsi="仿宋" w:eastAsia="仿宋" w:cs="仿宋"/>
          <w:spacing w:val="7"/>
          <w:sz w:val="24"/>
          <w:szCs w:val="24"/>
        </w:rPr>
      </w:pPr>
      <w:r>
        <w:rPr>
          <w:rFonts w:ascii="仿宋" w:hAnsi="仿宋" w:eastAsia="仿宋" w:cs="仿宋"/>
          <w:spacing w:val="7"/>
          <w:sz w:val="24"/>
          <w:szCs w:val="24"/>
        </w:rPr>
        <w:t>法定代表人或其授权的代理人（签字</w:t>
      </w:r>
      <w:r>
        <w:rPr>
          <w:rFonts w:hint="eastAsia" w:ascii="仿宋" w:hAnsi="仿宋" w:eastAsia="仿宋" w:cs="仿宋"/>
          <w:spacing w:val="7"/>
          <w:sz w:val="24"/>
          <w:szCs w:val="24"/>
          <w:lang w:val="en-US" w:eastAsia="zh-Hans"/>
        </w:rPr>
        <w:t>或盖章</w:t>
      </w:r>
      <w:r>
        <w:rPr>
          <w:rFonts w:ascii="仿宋" w:hAnsi="仿宋" w:eastAsia="仿宋" w:cs="仿宋"/>
          <w:spacing w:val="7"/>
          <w:sz w:val="24"/>
          <w:szCs w:val="24"/>
        </w:rPr>
        <w:t>）：</w:t>
      </w:r>
      <w:r>
        <w:rPr>
          <w:rFonts w:ascii="仿宋" w:hAnsi="仿宋" w:eastAsia="仿宋" w:cs="仿宋"/>
          <w:spacing w:val="7"/>
          <w:sz w:val="24"/>
          <w:szCs w:val="24"/>
          <w:u w:val="single"/>
        </w:rPr>
        <w:t xml:space="preserve">         </w:t>
      </w:r>
      <w:r>
        <w:rPr>
          <w:rFonts w:hint="eastAsia" w:ascii="仿宋" w:hAnsi="仿宋" w:eastAsia="仿宋" w:cs="仿宋"/>
          <w:spacing w:val="7"/>
          <w:sz w:val="24"/>
          <w:szCs w:val="24"/>
          <w:u w:val="single"/>
          <w:lang w:val="en-US" w:eastAsia="zh-CN"/>
        </w:rPr>
        <w:t xml:space="preserve"> </w:t>
      </w:r>
      <w:r>
        <w:rPr>
          <w:rFonts w:ascii="仿宋" w:hAnsi="仿宋" w:eastAsia="仿宋" w:cs="仿宋"/>
          <w:spacing w:val="7"/>
          <w:sz w:val="24"/>
          <w:szCs w:val="24"/>
          <w:u w:val="single"/>
        </w:rPr>
        <w:t xml:space="preserve">       </w:t>
      </w:r>
    </w:p>
    <w:p w14:paraId="2097B58B">
      <w:pPr>
        <w:keepNext w:val="0"/>
        <w:keepLines w:val="0"/>
        <w:pageBreakBefore w:val="0"/>
        <w:widowControl/>
        <w:kinsoku w:val="0"/>
        <w:wordWrap/>
        <w:overflowPunct/>
        <w:topLinePunct w:val="0"/>
        <w:autoSpaceDE w:val="0"/>
        <w:autoSpaceDN w:val="0"/>
        <w:bidi w:val="0"/>
        <w:adjustRightInd w:val="0"/>
        <w:snapToGrid w:val="0"/>
        <w:spacing w:before="230" w:line="440" w:lineRule="exact"/>
        <w:ind w:left="238" w:right="17" w:firstLine="0"/>
        <w:textAlignment w:val="baseline"/>
        <w:rPr>
          <w:rFonts w:ascii="仿宋" w:hAnsi="仿宋" w:eastAsia="仿宋" w:cs="仿宋"/>
          <w:spacing w:val="7"/>
          <w:sz w:val="24"/>
          <w:szCs w:val="24"/>
          <w:u w:val="single"/>
        </w:rPr>
      </w:pPr>
      <w:r>
        <w:rPr>
          <w:rFonts w:ascii="仿宋" w:hAnsi="仿宋" w:eastAsia="仿宋" w:cs="仿宋"/>
          <w:spacing w:val="7"/>
          <w:sz w:val="24"/>
          <w:szCs w:val="24"/>
        </w:rPr>
        <w:t>日期：</w:t>
      </w:r>
      <w:r>
        <w:rPr>
          <w:rFonts w:ascii="仿宋" w:hAnsi="仿宋" w:eastAsia="仿宋" w:cs="仿宋"/>
          <w:spacing w:val="7"/>
          <w:sz w:val="24"/>
          <w:szCs w:val="24"/>
          <w:u w:val="single"/>
        </w:rPr>
        <w:t xml:space="preserve">           年       月      日</w:t>
      </w:r>
    </w:p>
    <w:p w14:paraId="11D0AD4C">
      <w:pPr>
        <w:keepNext w:val="0"/>
        <w:keepLines w:val="0"/>
        <w:pageBreakBefore w:val="0"/>
        <w:widowControl/>
        <w:kinsoku w:val="0"/>
        <w:wordWrap/>
        <w:overflowPunct/>
        <w:topLinePunct w:val="0"/>
        <w:autoSpaceDE w:val="0"/>
        <w:autoSpaceDN w:val="0"/>
        <w:bidi w:val="0"/>
        <w:adjustRightInd w:val="0"/>
        <w:snapToGrid w:val="0"/>
        <w:spacing w:before="230" w:line="440" w:lineRule="exact"/>
        <w:ind w:left="238" w:right="17" w:firstLine="0"/>
        <w:textAlignment w:val="baseline"/>
        <w:rPr>
          <w:rFonts w:ascii="仿宋" w:hAnsi="仿宋" w:eastAsia="仿宋" w:cs="仿宋"/>
          <w:spacing w:val="7"/>
          <w:sz w:val="24"/>
          <w:szCs w:val="24"/>
        </w:rPr>
        <w:sectPr>
          <w:pgSz w:w="11906" w:h="16839"/>
          <w:pgMar w:top="1440" w:right="1080" w:bottom="1440" w:left="1080" w:header="0" w:footer="989" w:gutter="0"/>
          <w:pgNumType w:fmt="decimal"/>
          <w:cols w:space="720" w:num="1"/>
        </w:sectPr>
      </w:pPr>
    </w:p>
    <w:p w14:paraId="6E367A54">
      <w:pPr>
        <w:spacing w:before="274" w:line="231" w:lineRule="auto"/>
        <w:ind w:left="3620"/>
        <w:outlineLvl w:val="2"/>
        <w:rPr>
          <w:rFonts w:ascii="仿宋" w:hAnsi="仿宋" w:eastAsia="仿宋" w:cs="仿宋"/>
          <w:sz w:val="24"/>
          <w:szCs w:val="24"/>
        </w:rPr>
      </w:pPr>
      <w:r>
        <w:rPr>
          <w:rFonts w:ascii="仿宋" w:hAnsi="仿宋" w:eastAsia="仿宋" w:cs="仿宋"/>
          <w:b/>
          <w:bCs/>
          <w:spacing w:val="6"/>
          <w:sz w:val="24"/>
          <w:szCs w:val="24"/>
        </w:rPr>
        <w:t>2.</w:t>
      </w:r>
      <w:r>
        <w:rPr>
          <w:rFonts w:hint="eastAsia" w:ascii="仿宋" w:hAnsi="仿宋" w:eastAsia="仿宋" w:cs="仿宋"/>
          <w:b/>
          <w:bCs/>
          <w:spacing w:val="6"/>
          <w:sz w:val="24"/>
          <w:szCs w:val="24"/>
          <w:lang w:eastAsia="zh-CN"/>
        </w:rPr>
        <w:t>响应</w:t>
      </w:r>
      <w:r>
        <w:rPr>
          <w:rFonts w:ascii="仿宋" w:hAnsi="仿宋" w:eastAsia="仿宋" w:cs="仿宋"/>
          <w:b/>
          <w:bCs/>
          <w:spacing w:val="6"/>
          <w:sz w:val="24"/>
          <w:szCs w:val="24"/>
        </w:rPr>
        <w:t>报价一览表</w:t>
      </w:r>
    </w:p>
    <w:p w14:paraId="2EC76B3E">
      <w:pPr>
        <w:pStyle w:val="4"/>
        <w:spacing w:line="448" w:lineRule="auto"/>
      </w:pPr>
    </w:p>
    <w:p w14:paraId="101F8639">
      <w:pPr>
        <w:spacing w:before="78" w:line="221" w:lineRule="auto"/>
        <w:ind w:left="319"/>
      </w:pPr>
      <w:r>
        <w:rPr>
          <w:rFonts w:hint="eastAsia" w:ascii="仿宋" w:hAnsi="仿宋" w:eastAsia="仿宋" w:cs="仿宋"/>
          <w:spacing w:val="-2"/>
          <w:sz w:val="24"/>
          <w:szCs w:val="24"/>
          <w:lang w:eastAsia="zh-CN"/>
        </w:rPr>
        <w:t>标项</w:t>
      </w:r>
      <w:r>
        <w:rPr>
          <w:rFonts w:ascii="仿宋" w:hAnsi="仿宋" w:eastAsia="仿宋" w:cs="仿宋"/>
          <w:spacing w:val="-2"/>
          <w:sz w:val="24"/>
          <w:szCs w:val="24"/>
        </w:rPr>
        <w:t>名称：</w:t>
      </w:r>
      <w:r>
        <w:rPr>
          <w:rFonts w:ascii="仿宋" w:hAnsi="仿宋" w:eastAsia="仿宋" w:cs="仿宋"/>
          <w:spacing w:val="-2"/>
          <w:sz w:val="24"/>
          <w:szCs w:val="24"/>
          <w:u w:val="single" w:color="auto"/>
        </w:rPr>
        <w:t xml:space="preserve">              </w:t>
      </w:r>
      <w:r>
        <w:rPr>
          <w:rFonts w:ascii="仿宋" w:hAnsi="仿宋" w:eastAsia="仿宋" w:cs="仿宋"/>
          <w:spacing w:val="1"/>
          <w:sz w:val="24"/>
          <w:szCs w:val="24"/>
        </w:rPr>
        <w:t xml:space="preserve">                </w:t>
      </w:r>
    </w:p>
    <w:p w14:paraId="3F66DD74">
      <w:pPr>
        <w:spacing w:before="68"/>
      </w:pPr>
    </w:p>
    <w:tbl>
      <w:tblPr>
        <w:tblStyle w:val="14"/>
        <w:tblW w:w="890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963"/>
        <w:gridCol w:w="5939"/>
      </w:tblGrid>
      <w:tr w14:paraId="6E3645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70" w:hRule="atLeast"/>
        </w:trPr>
        <w:tc>
          <w:tcPr>
            <w:tcW w:w="2963" w:type="dxa"/>
            <w:vMerge w:val="restart"/>
            <w:tcBorders>
              <w:bottom w:val="nil"/>
            </w:tcBorders>
            <w:vAlign w:val="top"/>
          </w:tcPr>
          <w:p w14:paraId="40481863">
            <w:pPr>
              <w:spacing w:line="254" w:lineRule="auto"/>
              <w:rPr>
                <w:rFonts w:ascii="Arial"/>
                <w:sz w:val="24"/>
                <w:szCs w:val="24"/>
              </w:rPr>
            </w:pPr>
          </w:p>
          <w:p w14:paraId="20493FB6">
            <w:pPr>
              <w:spacing w:line="254" w:lineRule="auto"/>
              <w:rPr>
                <w:rFonts w:ascii="Arial"/>
                <w:sz w:val="24"/>
                <w:szCs w:val="24"/>
              </w:rPr>
            </w:pPr>
          </w:p>
          <w:p w14:paraId="66628B00">
            <w:pPr>
              <w:spacing w:line="254" w:lineRule="auto"/>
              <w:rPr>
                <w:rFonts w:ascii="Arial"/>
                <w:sz w:val="24"/>
                <w:szCs w:val="24"/>
              </w:rPr>
            </w:pPr>
          </w:p>
          <w:p w14:paraId="5E8BFFA4">
            <w:pPr>
              <w:spacing w:line="254" w:lineRule="auto"/>
              <w:rPr>
                <w:rFonts w:ascii="Arial"/>
                <w:sz w:val="24"/>
                <w:szCs w:val="24"/>
              </w:rPr>
            </w:pPr>
          </w:p>
          <w:p w14:paraId="5BE20CD3">
            <w:pPr>
              <w:spacing w:line="254" w:lineRule="auto"/>
              <w:rPr>
                <w:rFonts w:ascii="Arial"/>
                <w:sz w:val="24"/>
                <w:szCs w:val="24"/>
              </w:rPr>
            </w:pPr>
          </w:p>
          <w:p w14:paraId="70F6CB9C">
            <w:pPr>
              <w:spacing w:line="255" w:lineRule="auto"/>
              <w:rPr>
                <w:rFonts w:ascii="Arial"/>
                <w:sz w:val="24"/>
                <w:szCs w:val="24"/>
              </w:rPr>
            </w:pPr>
          </w:p>
          <w:p w14:paraId="184BA1D4">
            <w:pPr>
              <w:pStyle w:val="15"/>
              <w:spacing w:before="78" w:line="222" w:lineRule="auto"/>
              <w:jc w:val="center"/>
              <w:rPr>
                <w:sz w:val="24"/>
                <w:szCs w:val="24"/>
              </w:rPr>
            </w:pPr>
            <w:r>
              <w:rPr>
                <w:rFonts w:hint="eastAsia"/>
                <w:spacing w:val="-2"/>
                <w:sz w:val="24"/>
                <w:szCs w:val="24"/>
                <w:lang w:eastAsia="zh-CN"/>
              </w:rPr>
              <w:t>响应报价（下浮率</w:t>
            </w:r>
            <w:r>
              <w:rPr>
                <w:rFonts w:hint="eastAsia"/>
                <w:spacing w:val="-2"/>
                <w:sz w:val="24"/>
                <w:szCs w:val="24"/>
                <w:lang w:val="en-US" w:eastAsia="zh-CN"/>
              </w:rPr>
              <w:t>%</w:t>
            </w:r>
            <w:r>
              <w:rPr>
                <w:rFonts w:hint="eastAsia"/>
                <w:spacing w:val="-2"/>
                <w:sz w:val="24"/>
                <w:szCs w:val="24"/>
                <w:lang w:eastAsia="zh-CN"/>
              </w:rPr>
              <w:t>）</w:t>
            </w:r>
          </w:p>
        </w:tc>
        <w:tc>
          <w:tcPr>
            <w:tcW w:w="5939" w:type="dxa"/>
            <w:vAlign w:val="top"/>
          </w:tcPr>
          <w:p w14:paraId="1DBFC0F0">
            <w:pPr>
              <w:spacing w:line="341" w:lineRule="auto"/>
              <w:rPr>
                <w:rFonts w:ascii="Arial"/>
                <w:sz w:val="24"/>
                <w:szCs w:val="24"/>
              </w:rPr>
            </w:pPr>
          </w:p>
          <w:p w14:paraId="6A5235B4">
            <w:pPr>
              <w:spacing w:line="342" w:lineRule="auto"/>
              <w:rPr>
                <w:rFonts w:ascii="Arial"/>
                <w:sz w:val="24"/>
                <w:szCs w:val="24"/>
              </w:rPr>
            </w:pPr>
          </w:p>
          <w:p w14:paraId="2E7FFE80">
            <w:pPr>
              <w:pStyle w:val="15"/>
              <w:spacing w:before="78" w:line="224" w:lineRule="auto"/>
              <w:ind w:left="27"/>
              <w:rPr>
                <w:sz w:val="24"/>
                <w:szCs w:val="24"/>
              </w:rPr>
            </w:pPr>
            <w:r>
              <w:rPr>
                <w:spacing w:val="-6"/>
                <w:sz w:val="24"/>
                <w:szCs w:val="24"/>
              </w:rPr>
              <w:t>小写：</w:t>
            </w:r>
            <w:r>
              <w:rPr>
                <w:sz w:val="24"/>
                <w:szCs w:val="24"/>
                <w:u w:val="single" w:color="auto"/>
              </w:rPr>
              <w:t xml:space="preserve">    </w:t>
            </w:r>
            <w:r>
              <w:rPr>
                <w:rFonts w:hint="eastAsia"/>
                <w:sz w:val="24"/>
                <w:szCs w:val="24"/>
                <w:u w:val="single" w:color="auto"/>
                <w:lang w:eastAsia="zh-CN"/>
              </w:rPr>
              <w:t>单价下浮</w:t>
            </w:r>
            <w:r>
              <w:rPr>
                <w:rFonts w:hint="eastAsia"/>
                <w:sz w:val="24"/>
                <w:szCs w:val="24"/>
                <w:u w:val="single" w:color="auto"/>
                <w:lang w:val="en-US" w:eastAsia="zh-CN"/>
              </w:rPr>
              <w:t xml:space="preserve">     %</w:t>
            </w:r>
            <w:r>
              <w:rPr>
                <w:sz w:val="24"/>
                <w:szCs w:val="24"/>
                <w:u w:val="single" w:color="auto"/>
              </w:rPr>
              <w:t xml:space="preserve">       </w:t>
            </w:r>
          </w:p>
        </w:tc>
      </w:tr>
      <w:tr w14:paraId="454988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90" w:hRule="atLeast"/>
        </w:trPr>
        <w:tc>
          <w:tcPr>
            <w:tcW w:w="2963" w:type="dxa"/>
            <w:vMerge w:val="continue"/>
            <w:tcBorders>
              <w:top w:val="nil"/>
            </w:tcBorders>
            <w:vAlign w:val="top"/>
          </w:tcPr>
          <w:p w14:paraId="74E0300B">
            <w:pPr>
              <w:rPr>
                <w:rFonts w:ascii="Arial"/>
                <w:sz w:val="24"/>
                <w:szCs w:val="24"/>
              </w:rPr>
            </w:pPr>
          </w:p>
        </w:tc>
        <w:tc>
          <w:tcPr>
            <w:tcW w:w="5939" w:type="dxa"/>
            <w:vAlign w:val="top"/>
          </w:tcPr>
          <w:p w14:paraId="2C35465F">
            <w:pPr>
              <w:spacing w:line="320" w:lineRule="auto"/>
              <w:rPr>
                <w:rFonts w:ascii="Arial"/>
                <w:sz w:val="24"/>
                <w:szCs w:val="24"/>
              </w:rPr>
            </w:pPr>
          </w:p>
          <w:p w14:paraId="0EBC54A7">
            <w:pPr>
              <w:spacing w:line="320" w:lineRule="auto"/>
              <w:rPr>
                <w:rFonts w:ascii="Arial"/>
                <w:sz w:val="24"/>
                <w:szCs w:val="24"/>
              </w:rPr>
            </w:pPr>
          </w:p>
          <w:p w14:paraId="067CEB35">
            <w:pPr>
              <w:pStyle w:val="15"/>
              <w:spacing w:before="78" w:line="224" w:lineRule="auto"/>
              <w:ind w:left="29"/>
              <w:rPr>
                <w:sz w:val="24"/>
                <w:szCs w:val="24"/>
              </w:rPr>
            </w:pPr>
            <w:r>
              <w:rPr>
                <w:spacing w:val="-7"/>
                <w:sz w:val="24"/>
                <w:szCs w:val="24"/>
              </w:rPr>
              <w:t>大写：</w:t>
            </w:r>
            <w:r>
              <w:rPr>
                <w:sz w:val="24"/>
                <w:szCs w:val="24"/>
                <w:u w:val="single" w:color="auto"/>
              </w:rPr>
              <w:t xml:space="preserve">                    </w:t>
            </w:r>
          </w:p>
        </w:tc>
      </w:tr>
      <w:tr w14:paraId="270EAE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9" w:hRule="atLeast"/>
        </w:trPr>
        <w:tc>
          <w:tcPr>
            <w:tcW w:w="2963" w:type="dxa"/>
            <w:vAlign w:val="top"/>
          </w:tcPr>
          <w:p w14:paraId="05021B56">
            <w:pPr>
              <w:spacing w:line="404" w:lineRule="auto"/>
              <w:rPr>
                <w:rFonts w:ascii="Arial"/>
                <w:sz w:val="24"/>
                <w:szCs w:val="24"/>
              </w:rPr>
            </w:pPr>
          </w:p>
          <w:p w14:paraId="4E5E7A99">
            <w:pPr>
              <w:pStyle w:val="15"/>
              <w:spacing w:before="78" w:line="222" w:lineRule="auto"/>
              <w:jc w:val="center"/>
              <w:rPr>
                <w:sz w:val="24"/>
                <w:szCs w:val="24"/>
              </w:rPr>
            </w:pPr>
            <w:r>
              <w:rPr>
                <w:rFonts w:hint="eastAsia"/>
                <w:sz w:val="24"/>
                <w:szCs w:val="24"/>
                <w:lang w:eastAsia="zh-CN"/>
              </w:rPr>
              <w:t>服务期限</w:t>
            </w:r>
          </w:p>
        </w:tc>
        <w:tc>
          <w:tcPr>
            <w:tcW w:w="5939" w:type="dxa"/>
            <w:vAlign w:val="top"/>
          </w:tcPr>
          <w:p w14:paraId="6138484D">
            <w:pPr>
              <w:rPr>
                <w:rFonts w:ascii="Arial"/>
                <w:sz w:val="24"/>
                <w:szCs w:val="24"/>
              </w:rPr>
            </w:pPr>
          </w:p>
        </w:tc>
      </w:tr>
      <w:tr w14:paraId="4CB0D0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9" w:hRule="atLeast"/>
        </w:trPr>
        <w:tc>
          <w:tcPr>
            <w:tcW w:w="2963" w:type="dxa"/>
            <w:vAlign w:val="top"/>
          </w:tcPr>
          <w:p w14:paraId="42643D8C">
            <w:pPr>
              <w:spacing w:line="404" w:lineRule="auto"/>
              <w:rPr>
                <w:rFonts w:ascii="Arial"/>
                <w:sz w:val="24"/>
                <w:szCs w:val="24"/>
              </w:rPr>
            </w:pPr>
          </w:p>
          <w:p w14:paraId="584C52F1">
            <w:pPr>
              <w:pStyle w:val="15"/>
              <w:spacing w:before="78" w:line="223" w:lineRule="auto"/>
              <w:ind w:left="295"/>
              <w:rPr>
                <w:sz w:val="24"/>
                <w:szCs w:val="24"/>
              </w:rPr>
            </w:pPr>
            <w:r>
              <w:rPr>
                <w:spacing w:val="-2"/>
                <w:sz w:val="24"/>
                <w:szCs w:val="24"/>
              </w:rPr>
              <w:t>项目负责人及联系方式</w:t>
            </w:r>
          </w:p>
        </w:tc>
        <w:tc>
          <w:tcPr>
            <w:tcW w:w="5939" w:type="dxa"/>
            <w:vAlign w:val="top"/>
          </w:tcPr>
          <w:p w14:paraId="3C390E96">
            <w:pPr>
              <w:rPr>
                <w:rFonts w:ascii="Arial"/>
                <w:sz w:val="24"/>
                <w:szCs w:val="24"/>
              </w:rPr>
            </w:pPr>
          </w:p>
        </w:tc>
      </w:tr>
      <w:tr w14:paraId="1D3DD0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14" w:hRule="atLeast"/>
        </w:trPr>
        <w:tc>
          <w:tcPr>
            <w:tcW w:w="2963" w:type="dxa"/>
            <w:vAlign w:val="top"/>
          </w:tcPr>
          <w:p w14:paraId="3547DEC6">
            <w:pPr>
              <w:spacing w:line="407" w:lineRule="auto"/>
              <w:rPr>
                <w:rFonts w:ascii="Arial"/>
                <w:sz w:val="24"/>
                <w:szCs w:val="24"/>
              </w:rPr>
            </w:pPr>
          </w:p>
          <w:p w14:paraId="6D7EEAE0">
            <w:pPr>
              <w:pStyle w:val="15"/>
              <w:spacing w:before="78" w:line="224" w:lineRule="auto"/>
              <w:ind w:left="1256"/>
              <w:rPr>
                <w:sz w:val="24"/>
                <w:szCs w:val="24"/>
              </w:rPr>
            </w:pPr>
            <w:r>
              <w:rPr>
                <w:spacing w:val="-9"/>
                <w:sz w:val="24"/>
                <w:szCs w:val="24"/>
              </w:rPr>
              <w:t>备注</w:t>
            </w:r>
          </w:p>
        </w:tc>
        <w:tc>
          <w:tcPr>
            <w:tcW w:w="5939" w:type="dxa"/>
            <w:vAlign w:val="top"/>
          </w:tcPr>
          <w:p w14:paraId="3287D72E">
            <w:pPr>
              <w:rPr>
                <w:rFonts w:ascii="Arial"/>
                <w:sz w:val="24"/>
                <w:szCs w:val="24"/>
              </w:rPr>
            </w:pPr>
          </w:p>
        </w:tc>
      </w:tr>
    </w:tbl>
    <w:p w14:paraId="1E0BF2BF">
      <w:pPr>
        <w:spacing w:before="302" w:line="503" w:lineRule="auto"/>
        <w:ind w:left="1926"/>
        <w:rPr>
          <w:rFonts w:ascii="仿宋" w:hAnsi="仿宋" w:eastAsia="仿宋" w:cs="仿宋"/>
          <w:sz w:val="24"/>
          <w:szCs w:val="24"/>
        </w:rPr>
      </w:pPr>
      <w:r>
        <w:rPr>
          <w:rFonts w:hint="eastAsia" w:ascii="仿宋" w:hAnsi="仿宋" w:eastAsia="仿宋" w:cs="仿宋"/>
          <w:spacing w:val="8"/>
          <w:sz w:val="24"/>
          <w:szCs w:val="24"/>
          <w:lang w:eastAsia="zh-CN"/>
        </w:rPr>
        <w:t>供应商</w:t>
      </w:r>
      <w:r>
        <w:rPr>
          <w:rFonts w:ascii="仿宋" w:hAnsi="仿宋" w:eastAsia="仿宋" w:cs="仿宋"/>
          <w:spacing w:val="8"/>
          <w:sz w:val="24"/>
          <w:szCs w:val="24"/>
        </w:rPr>
        <w:t>名称（盖公章</w:t>
      </w:r>
      <w:r>
        <w:rPr>
          <w:rFonts w:ascii="仿宋" w:hAnsi="仿宋" w:eastAsia="仿宋" w:cs="仿宋"/>
          <w:spacing w:val="-10"/>
          <w:sz w:val="24"/>
          <w:szCs w:val="24"/>
        </w:rPr>
        <w:t>）</w:t>
      </w:r>
      <w:r>
        <w:rPr>
          <w:rFonts w:ascii="仿宋" w:hAnsi="仿宋" w:eastAsia="仿宋" w:cs="仿宋"/>
          <w:spacing w:val="-59"/>
          <w:sz w:val="24"/>
          <w:szCs w:val="24"/>
        </w:rPr>
        <w:t xml:space="preserve"> </w:t>
      </w:r>
      <w:r>
        <w:rPr>
          <w:rFonts w:ascii="仿宋" w:hAnsi="仿宋" w:eastAsia="仿宋" w:cs="仿宋"/>
          <w:spacing w:val="-10"/>
          <w:sz w:val="24"/>
          <w:szCs w:val="24"/>
        </w:rPr>
        <w:t>：</w:t>
      </w:r>
      <w:r>
        <w:rPr>
          <w:rFonts w:ascii="仿宋" w:hAnsi="仿宋" w:eastAsia="仿宋" w:cs="仿宋"/>
          <w:spacing w:val="1"/>
          <w:sz w:val="24"/>
          <w:szCs w:val="24"/>
          <w:u w:val="single" w:color="auto"/>
        </w:rPr>
        <w:t xml:space="preserve">                             </w:t>
      </w:r>
      <w:r>
        <w:rPr>
          <w:rFonts w:ascii="仿宋" w:hAnsi="仿宋" w:eastAsia="仿宋" w:cs="仿宋"/>
          <w:spacing w:val="8"/>
          <w:sz w:val="24"/>
          <w:szCs w:val="24"/>
        </w:rPr>
        <w:t>_</w:t>
      </w:r>
    </w:p>
    <w:p w14:paraId="24305971">
      <w:pPr>
        <w:spacing w:before="1" w:line="226" w:lineRule="auto"/>
        <w:ind w:left="1934"/>
        <w:rPr>
          <w:rFonts w:ascii="仿宋" w:hAnsi="仿宋" w:eastAsia="仿宋" w:cs="仿宋"/>
          <w:sz w:val="24"/>
          <w:szCs w:val="24"/>
        </w:rPr>
      </w:pPr>
      <w:r>
        <w:rPr>
          <w:rFonts w:ascii="仿宋" w:hAnsi="仿宋" w:eastAsia="仿宋" w:cs="仿宋"/>
          <w:spacing w:val="7"/>
          <w:sz w:val="24"/>
          <w:szCs w:val="24"/>
        </w:rPr>
        <w:t>法定代表人或其授权委托人</w:t>
      </w:r>
      <w:r>
        <w:rPr>
          <w:rFonts w:ascii="仿宋" w:hAnsi="仿宋" w:eastAsia="仿宋" w:cs="仿宋"/>
          <w:spacing w:val="8"/>
          <w:sz w:val="24"/>
          <w:szCs w:val="24"/>
        </w:rPr>
        <w:t>（签字</w:t>
      </w:r>
      <w:r>
        <w:rPr>
          <w:rFonts w:hint="eastAsia" w:ascii="仿宋" w:hAnsi="仿宋" w:eastAsia="仿宋" w:cs="仿宋"/>
          <w:spacing w:val="8"/>
          <w:sz w:val="24"/>
          <w:szCs w:val="24"/>
          <w:lang w:val="en-US" w:eastAsia="zh-Hans"/>
        </w:rPr>
        <w:t>或盖章</w:t>
      </w:r>
      <w:r>
        <w:rPr>
          <w:rFonts w:ascii="仿宋" w:hAnsi="仿宋" w:eastAsia="仿宋" w:cs="仿宋"/>
          <w:spacing w:val="8"/>
          <w:sz w:val="24"/>
          <w:szCs w:val="24"/>
        </w:rPr>
        <w:t>）</w:t>
      </w:r>
      <w:r>
        <w:rPr>
          <w:rFonts w:ascii="仿宋" w:hAnsi="仿宋" w:eastAsia="仿宋" w:cs="仿宋"/>
          <w:spacing w:val="7"/>
          <w:sz w:val="24"/>
          <w:szCs w:val="24"/>
        </w:rPr>
        <w:t>：</w:t>
      </w:r>
      <w:r>
        <w:rPr>
          <w:rFonts w:ascii="仿宋" w:hAnsi="仿宋" w:eastAsia="仿宋" w:cs="仿宋"/>
          <w:spacing w:val="7"/>
          <w:sz w:val="24"/>
          <w:szCs w:val="24"/>
          <w:u w:val="single" w:color="auto"/>
        </w:rPr>
        <w:t xml:space="preserve">        </w:t>
      </w:r>
      <w:r>
        <w:rPr>
          <w:rFonts w:ascii="仿宋" w:hAnsi="仿宋" w:eastAsia="仿宋" w:cs="仿宋"/>
          <w:spacing w:val="-99"/>
          <w:sz w:val="24"/>
          <w:szCs w:val="24"/>
        </w:rPr>
        <w:t xml:space="preserve"> </w:t>
      </w:r>
      <w:r>
        <w:rPr>
          <w:rFonts w:ascii="仿宋" w:hAnsi="仿宋" w:eastAsia="仿宋" w:cs="仿宋"/>
          <w:spacing w:val="7"/>
          <w:sz w:val="24"/>
          <w:szCs w:val="24"/>
        </w:rPr>
        <w:t>_</w:t>
      </w:r>
    </w:p>
    <w:p w14:paraId="3C715235">
      <w:pPr>
        <w:spacing w:before="299" w:line="231" w:lineRule="auto"/>
        <w:ind w:left="1971"/>
        <w:rPr>
          <w:rFonts w:ascii="仿宋" w:hAnsi="仿宋" w:eastAsia="仿宋" w:cs="仿宋"/>
          <w:sz w:val="24"/>
          <w:szCs w:val="24"/>
        </w:rPr>
      </w:pPr>
      <w:r>
        <w:rPr>
          <w:rFonts w:ascii="仿宋" w:hAnsi="仿宋" w:eastAsia="仿宋" w:cs="仿宋"/>
          <w:spacing w:val="-9"/>
          <w:sz w:val="24"/>
          <w:szCs w:val="24"/>
        </w:rPr>
        <w:t>日期：</w:t>
      </w:r>
      <w:r>
        <w:rPr>
          <w:rFonts w:ascii="仿宋" w:hAnsi="仿宋" w:eastAsia="仿宋" w:cs="仿宋"/>
          <w:spacing w:val="5"/>
          <w:sz w:val="24"/>
          <w:szCs w:val="24"/>
          <w:u w:val="single" w:color="auto"/>
        </w:rPr>
        <w:t xml:space="preserve">          </w:t>
      </w:r>
      <w:r>
        <w:rPr>
          <w:rFonts w:ascii="仿宋" w:hAnsi="仿宋" w:eastAsia="仿宋" w:cs="仿宋"/>
          <w:spacing w:val="-81"/>
          <w:sz w:val="24"/>
          <w:szCs w:val="24"/>
        </w:rPr>
        <w:t xml:space="preserve"> </w:t>
      </w:r>
      <w:r>
        <w:rPr>
          <w:rFonts w:ascii="仿宋" w:hAnsi="仿宋" w:eastAsia="仿宋" w:cs="仿宋"/>
          <w:spacing w:val="-9"/>
          <w:sz w:val="24"/>
          <w:szCs w:val="24"/>
        </w:rPr>
        <w:t>年</w:t>
      </w:r>
      <w:r>
        <w:rPr>
          <w:rFonts w:ascii="仿宋" w:hAnsi="仿宋" w:eastAsia="仿宋" w:cs="仿宋"/>
          <w:spacing w:val="-98"/>
          <w:sz w:val="24"/>
          <w:szCs w:val="24"/>
        </w:rPr>
        <w:t xml:space="preserve"> </w:t>
      </w:r>
      <w:r>
        <w:rPr>
          <w:rFonts w:ascii="仿宋" w:hAnsi="仿宋" w:eastAsia="仿宋" w:cs="仿宋"/>
          <w:spacing w:val="4"/>
          <w:sz w:val="24"/>
          <w:szCs w:val="24"/>
          <w:u w:val="single" w:color="auto"/>
        </w:rPr>
        <w:t xml:space="preserve">      </w:t>
      </w:r>
      <w:r>
        <w:rPr>
          <w:rFonts w:ascii="仿宋" w:hAnsi="仿宋" w:eastAsia="仿宋" w:cs="仿宋"/>
          <w:spacing w:val="-71"/>
          <w:sz w:val="24"/>
          <w:szCs w:val="24"/>
        </w:rPr>
        <w:t xml:space="preserve"> </w:t>
      </w:r>
      <w:r>
        <w:rPr>
          <w:rFonts w:ascii="仿宋" w:hAnsi="仿宋" w:eastAsia="仿宋" w:cs="仿宋"/>
          <w:spacing w:val="-9"/>
          <w:sz w:val="24"/>
          <w:szCs w:val="24"/>
        </w:rPr>
        <w:t>月</w:t>
      </w:r>
      <w:r>
        <w:rPr>
          <w:rFonts w:ascii="仿宋" w:hAnsi="仿宋" w:eastAsia="仿宋" w:cs="仿宋"/>
          <w:spacing w:val="-98"/>
          <w:sz w:val="24"/>
          <w:szCs w:val="24"/>
        </w:rPr>
        <w:t xml:space="preserve"> </w:t>
      </w:r>
      <w:r>
        <w:rPr>
          <w:rFonts w:ascii="仿宋" w:hAnsi="仿宋" w:eastAsia="仿宋" w:cs="仿宋"/>
          <w:spacing w:val="5"/>
          <w:sz w:val="24"/>
          <w:szCs w:val="24"/>
          <w:u w:val="single" w:color="auto"/>
        </w:rPr>
        <w:t xml:space="preserve">     </w:t>
      </w:r>
      <w:r>
        <w:rPr>
          <w:rFonts w:ascii="仿宋" w:hAnsi="仿宋" w:eastAsia="仿宋" w:cs="仿宋"/>
          <w:spacing w:val="-42"/>
          <w:sz w:val="24"/>
          <w:szCs w:val="24"/>
        </w:rPr>
        <w:t xml:space="preserve"> </w:t>
      </w:r>
      <w:r>
        <w:rPr>
          <w:rFonts w:ascii="仿宋" w:hAnsi="仿宋" w:eastAsia="仿宋" w:cs="仿宋"/>
          <w:spacing w:val="-9"/>
          <w:sz w:val="24"/>
          <w:szCs w:val="24"/>
        </w:rPr>
        <w:t>日</w:t>
      </w:r>
    </w:p>
    <w:p w14:paraId="6E27E7AA">
      <w:pPr>
        <w:spacing w:before="17" w:line="224" w:lineRule="auto"/>
        <w:ind w:left="740"/>
        <w:rPr>
          <w:rFonts w:ascii="仿宋" w:hAnsi="仿宋" w:eastAsia="仿宋" w:cs="仿宋"/>
          <w:sz w:val="24"/>
          <w:szCs w:val="24"/>
        </w:rPr>
      </w:pPr>
      <w:r>
        <w:rPr>
          <w:rFonts w:ascii="仿宋" w:hAnsi="仿宋" w:eastAsia="仿宋" w:cs="仿宋"/>
          <w:b/>
          <w:bCs/>
          <w:spacing w:val="-7"/>
          <w:sz w:val="24"/>
          <w:szCs w:val="24"/>
        </w:rPr>
        <w:t>说明：</w:t>
      </w:r>
    </w:p>
    <w:p w14:paraId="75D713DF">
      <w:pPr>
        <w:spacing w:before="65" w:line="253" w:lineRule="auto"/>
        <w:ind w:left="744" w:right="319" w:firstLine="3"/>
        <w:rPr>
          <w:rFonts w:ascii="仿宋" w:hAnsi="仿宋" w:eastAsia="仿宋" w:cs="仿宋"/>
          <w:sz w:val="24"/>
          <w:szCs w:val="24"/>
        </w:rPr>
      </w:pPr>
      <w:r>
        <w:rPr>
          <w:rFonts w:ascii="仿宋" w:hAnsi="仿宋" w:eastAsia="仿宋" w:cs="仿宋"/>
          <w:b/>
          <w:bCs/>
          <w:spacing w:val="-2"/>
          <w:sz w:val="24"/>
          <w:szCs w:val="24"/>
        </w:rPr>
        <w:t>1、请严格按此“</w:t>
      </w:r>
      <w:r>
        <w:rPr>
          <w:rFonts w:hint="eastAsia" w:ascii="仿宋" w:hAnsi="仿宋" w:eastAsia="仿宋" w:cs="仿宋"/>
          <w:b/>
          <w:bCs/>
          <w:spacing w:val="-2"/>
          <w:sz w:val="24"/>
          <w:szCs w:val="24"/>
          <w:lang w:eastAsia="zh-CN"/>
        </w:rPr>
        <w:t>响应</w:t>
      </w:r>
      <w:r>
        <w:rPr>
          <w:rFonts w:ascii="仿宋" w:hAnsi="仿宋" w:eastAsia="仿宋" w:cs="仿宋"/>
          <w:b/>
          <w:bCs/>
          <w:spacing w:val="-2"/>
          <w:sz w:val="24"/>
          <w:szCs w:val="24"/>
        </w:rPr>
        <w:t>报价一览表</w:t>
      </w:r>
      <w:r>
        <w:rPr>
          <w:rFonts w:ascii="仿宋" w:hAnsi="仿宋" w:eastAsia="仿宋" w:cs="仿宋"/>
          <w:spacing w:val="-66"/>
          <w:sz w:val="24"/>
          <w:szCs w:val="24"/>
        </w:rPr>
        <w:t xml:space="preserve"> </w:t>
      </w:r>
      <w:r>
        <w:rPr>
          <w:rFonts w:ascii="仿宋" w:hAnsi="仿宋" w:eastAsia="仿宋" w:cs="仿宋"/>
          <w:b/>
          <w:bCs/>
          <w:spacing w:val="-2"/>
          <w:sz w:val="24"/>
          <w:szCs w:val="24"/>
        </w:rPr>
        <w:t>”格式填写，</w:t>
      </w:r>
      <w:r>
        <w:rPr>
          <w:rFonts w:hint="eastAsia" w:ascii="仿宋" w:hAnsi="仿宋" w:eastAsia="仿宋" w:cs="仿宋"/>
          <w:b/>
          <w:bCs/>
          <w:spacing w:val="-2"/>
          <w:sz w:val="24"/>
          <w:szCs w:val="24"/>
          <w:lang w:eastAsia="zh-CN"/>
        </w:rPr>
        <w:t>供应商</w:t>
      </w:r>
      <w:r>
        <w:rPr>
          <w:rFonts w:ascii="仿宋" w:hAnsi="仿宋" w:eastAsia="仿宋" w:cs="仿宋"/>
          <w:b/>
          <w:bCs/>
          <w:spacing w:val="-2"/>
          <w:sz w:val="24"/>
          <w:szCs w:val="24"/>
        </w:rPr>
        <w:t>报价时应详细</w:t>
      </w:r>
      <w:r>
        <w:rPr>
          <w:rFonts w:ascii="仿宋" w:hAnsi="仿宋" w:eastAsia="仿宋" w:cs="仿宋"/>
          <w:b/>
          <w:bCs/>
          <w:spacing w:val="-3"/>
          <w:sz w:val="24"/>
          <w:szCs w:val="24"/>
        </w:rPr>
        <w:t>阅读</w:t>
      </w:r>
      <w:r>
        <w:rPr>
          <w:rFonts w:hint="eastAsia" w:ascii="仿宋" w:hAnsi="仿宋" w:eastAsia="仿宋" w:cs="仿宋"/>
          <w:b/>
          <w:bCs/>
          <w:spacing w:val="-3"/>
          <w:sz w:val="24"/>
          <w:szCs w:val="24"/>
          <w:lang w:eastAsia="zh-CN"/>
        </w:rPr>
        <w:t>采购文件</w:t>
      </w:r>
      <w:r>
        <w:rPr>
          <w:rFonts w:ascii="仿宋" w:hAnsi="仿宋" w:eastAsia="仿宋" w:cs="仿宋"/>
          <w:b/>
          <w:bCs/>
          <w:spacing w:val="-3"/>
          <w:sz w:val="24"/>
          <w:szCs w:val="24"/>
        </w:rPr>
        <w:t>报价要求并自行考</w:t>
      </w:r>
      <w:r>
        <w:rPr>
          <w:rFonts w:ascii="仿宋" w:hAnsi="仿宋" w:eastAsia="仿宋" w:cs="仿宋"/>
          <w:spacing w:val="-3"/>
          <w:sz w:val="24"/>
          <w:szCs w:val="24"/>
        </w:rPr>
        <w:t xml:space="preserve"> </w:t>
      </w:r>
      <w:r>
        <w:rPr>
          <w:rFonts w:ascii="仿宋" w:hAnsi="仿宋" w:eastAsia="仿宋" w:cs="仿宋"/>
          <w:b/>
          <w:bCs/>
          <w:spacing w:val="-3"/>
          <w:sz w:val="24"/>
          <w:szCs w:val="24"/>
        </w:rPr>
        <w:t>虑市场风险以及价格合理性。</w:t>
      </w:r>
    </w:p>
    <w:p w14:paraId="243EAAED">
      <w:pPr>
        <w:spacing w:before="66" w:line="281" w:lineRule="exact"/>
        <w:ind w:left="736"/>
        <w:rPr>
          <w:rFonts w:ascii="仿宋" w:hAnsi="仿宋" w:eastAsia="仿宋" w:cs="仿宋"/>
          <w:sz w:val="24"/>
          <w:szCs w:val="24"/>
        </w:rPr>
      </w:pPr>
      <w:r>
        <w:rPr>
          <w:rFonts w:ascii="仿宋" w:hAnsi="仿宋" w:eastAsia="仿宋" w:cs="仿宋"/>
          <w:b/>
          <w:bCs/>
          <w:spacing w:val="-2"/>
          <w:position w:val="7"/>
          <w:sz w:val="24"/>
          <w:szCs w:val="24"/>
        </w:rPr>
        <w:t>2、合价之和即为</w:t>
      </w:r>
      <w:r>
        <w:rPr>
          <w:rFonts w:hint="eastAsia" w:ascii="仿宋" w:hAnsi="仿宋" w:eastAsia="仿宋" w:cs="仿宋"/>
          <w:b/>
          <w:bCs/>
          <w:spacing w:val="-2"/>
          <w:position w:val="7"/>
          <w:sz w:val="24"/>
          <w:szCs w:val="24"/>
          <w:lang w:eastAsia="zh-CN"/>
        </w:rPr>
        <w:t>响应</w:t>
      </w:r>
      <w:r>
        <w:rPr>
          <w:rFonts w:ascii="仿宋" w:hAnsi="仿宋" w:eastAsia="仿宋" w:cs="仿宋"/>
          <w:b/>
          <w:bCs/>
          <w:spacing w:val="-2"/>
          <w:position w:val="7"/>
          <w:sz w:val="24"/>
          <w:szCs w:val="24"/>
        </w:rPr>
        <w:t>总报价，合价依据为分项价格表计算得出。</w:t>
      </w:r>
    </w:p>
    <w:p w14:paraId="5B919937">
      <w:pPr>
        <w:spacing w:line="222" w:lineRule="auto"/>
        <w:ind w:left="737"/>
        <w:rPr>
          <w:rFonts w:ascii="仿宋" w:hAnsi="仿宋" w:eastAsia="仿宋" w:cs="仿宋"/>
          <w:sz w:val="24"/>
          <w:szCs w:val="24"/>
        </w:rPr>
      </w:pPr>
      <w:r>
        <w:rPr>
          <w:rFonts w:ascii="仿宋" w:hAnsi="仿宋" w:eastAsia="仿宋" w:cs="仿宋"/>
          <w:b/>
          <w:bCs/>
          <w:spacing w:val="-2"/>
          <w:sz w:val="24"/>
          <w:szCs w:val="24"/>
        </w:rPr>
        <w:t>3、</w:t>
      </w:r>
      <w:r>
        <w:rPr>
          <w:rFonts w:hint="eastAsia" w:ascii="仿宋" w:hAnsi="仿宋" w:eastAsia="仿宋" w:cs="仿宋"/>
          <w:b/>
          <w:bCs/>
          <w:spacing w:val="-2"/>
          <w:sz w:val="24"/>
          <w:szCs w:val="24"/>
          <w:lang w:eastAsia="zh-CN"/>
        </w:rPr>
        <w:t>响应</w:t>
      </w:r>
      <w:r>
        <w:rPr>
          <w:rFonts w:ascii="仿宋" w:hAnsi="仿宋" w:eastAsia="仿宋" w:cs="仿宋"/>
          <w:b/>
          <w:bCs/>
          <w:spacing w:val="-2"/>
          <w:sz w:val="24"/>
          <w:szCs w:val="24"/>
        </w:rPr>
        <w:t>报价一览表中</w:t>
      </w:r>
      <w:r>
        <w:rPr>
          <w:rFonts w:hint="eastAsia" w:ascii="仿宋" w:hAnsi="仿宋" w:eastAsia="仿宋" w:cs="仿宋"/>
          <w:b/>
          <w:bCs/>
          <w:spacing w:val="-2"/>
          <w:sz w:val="24"/>
          <w:szCs w:val="24"/>
          <w:lang w:eastAsia="zh-CN"/>
        </w:rPr>
        <w:t>响应</w:t>
      </w:r>
      <w:r>
        <w:rPr>
          <w:rFonts w:ascii="仿宋" w:hAnsi="仿宋" w:eastAsia="仿宋" w:cs="仿宋"/>
          <w:b/>
          <w:bCs/>
          <w:spacing w:val="-2"/>
          <w:sz w:val="24"/>
          <w:szCs w:val="24"/>
        </w:rPr>
        <w:t>总报价应与</w:t>
      </w:r>
      <w:r>
        <w:rPr>
          <w:rFonts w:hint="eastAsia" w:ascii="仿宋" w:hAnsi="仿宋" w:eastAsia="仿宋" w:cs="仿宋"/>
          <w:b/>
          <w:bCs/>
          <w:spacing w:val="-2"/>
          <w:sz w:val="24"/>
          <w:szCs w:val="24"/>
          <w:lang w:eastAsia="zh-CN"/>
        </w:rPr>
        <w:t>响应</w:t>
      </w:r>
      <w:r>
        <w:rPr>
          <w:rFonts w:ascii="仿宋" w:hAnsi="仿宋" w:eastAsia="仿宋" w:cs="仿宋"/>
          <w:b/>
          <w:bCs/>
          <w:spacing w:val="-2"/>
          <w:sz w:val="24"/>
          <w:szCs w:val="24"/>
        </w:rPr>
        <w:t>函一致。</w:t>
      </w:r>
    </w:p>
    <w:p w14:paraId="43592E64">
      <w:pPr>
        <w:spacing w:line="222" w:lineRule="auto"/>
        <w:rPr>
          <w:rFonts w:ascii="仿宋" w:hAnsi="仿宋" w:eastAsia="仿宋" w:cs="仿宋"/>
          <w:sz w:val="18"/>
          <w:szCs w:val="18"/>
        </w:rPr>
      </w:pPr>
    </w:p>
    <w:p w14:paraId="551AEFC3">
      <w:pPr>
        <w:pStyle w:val="4"/>
        <w:sectPr>
          <w:footerReference r:id="rId9" w:type="default"/>
          <w:pgSz w:w="11906" w:h="16839"/>
          <w:pgMar w:top="1440" w:right="1080" w:bottom="1440" w:left="1080" w:header="0" w:footer="989" w:gutter="0"/>
          <w:pgNumType w:fmt="decimal"/>
          <w:cols w:space="720" w:num="1"/>
        </w:sectPr>
      </w:pPr>
    </w:p>
    <w:p w14:paraId="36640A5F">
      <w:pPr>
        <w:spacing w:before="274" w:line="231" w:lineRule="auto"/>
        <w:jc w:val="center"/>
        <w:outlineLvl w:val="2"/>
        <w:rPr>
          <w:rFonts w:ascii="仿宋" w:hAnsi="仿宋" w:eastAsia="仿宋" w:cs="仿宋"/>
          <w:sz w:val="24"/>
          <w:szCs w:val="24"/>
        </w:rPr>
      </w:pPr>
      <w:r>
        <w:rPr>
          <w:rFonts w:ascii="仿宋" w:hAnsi="仿宋" w:eastAsia="仿宋" w:cs="仿宋"/>
          <w:b/>
          <w:bCs/>
          <w:spacing w:val="5"/>
          <w:sz w:val="24"/>
          <w:szCs w:val="24"/>
        </w:rPr>
        <w:t>3.分项报价明细表</w:t>
      </w:r>
    </w:p>
    <w:p w14:paraId="658209A6">
      <w:pPr>
        <w:spacing w:before="304" w:line="229" w:lineRule="auto"/>
        <w:ind w:left="242"/>
        <w:rPr>
          <w:rFonts w:ascii="仿宋" w:hAnsi="仿宋" w:eastAsia="仿宋" w:cs="仿宋"/>
          <w:sz w:val="20"/>
          <w:szCs w:val="20"/>
        </w:rPr>
      </w:pPr>
      <w:r>
        <w:rPr>
          <w:rFonts w:hint="eastAsia" w:ascii="仿宋" w:hAnsi="仿宋" w:eastAsia="仿宋" w:cs="仿宋"/>
          <w:spacing w:val="4"/>
          <w:sz w:val="21"/>
          <w:szCs w:val="21"/>
          <w:lang w:eastAsia="zh-CN"/>
        </w:rPr>
        <w:t>标项</w:t>
      </w:r>
      <w:r>
        <w:rPr>
          <w:rFonts w:ascii="仿宋" w:hAnsi="仿宋" w:eastAsia="仿宋" w:cs="仿宋"/>
          <w:spacing w:val="4"/>
          <w:sz w:val="21"/>
          <w:szCs w:val="21"/>
        </w:rPr>
        <w:t xml:space="preserve">名称： </w:t>
      </w:r>
      <w:r>
        <w:rPr>
          <w:rFonts w:ascii="仿宋" w:hAnsi="仿宋" w:eastAsia="仿宋" w:cs="仿宋"/>
          <w:spacing w:val="4"/>
          <w:sz w:val="20"/>
          <w:szCs w:val="20"/>
        </w:rPr>
        <w:t xml:space="preserve">              </w:t>
      </w:r>
      <w:r>
        <w:rPr>
          <w:rFonts w:ascii="仿宋" w:hAnsi="仿宋" w:eastAsia="仿宋" w:cs="仿宋"/>
          <w:spacing w:val="3"/>
          <w:sz w:val="20"/>
          <w:szCs w:val="20"/>
        </w:rPr>
        <w:t xml:space="preserve">                           </w:t>
      </w:r>
    </w:p>
    <w:p w14:paraId="63441398">
      <w:pPr>
        <w:spacing w:line="96" w:lineRule="exact"/>
      </w:pPr>
    </w:p>
    <w:tbl>
      <w:tblPr>
        <w:tblStyle w:val="14"/>
        <w:tblW w:w="9417" w:type="dxa"/>
        <w:tblInd w:w="24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25"/>
        <w:gridCol w:w="2316"/>
        <w:gridCol w:w="1007"/>
        <w:gridCol w:w="1969"/>
        <w:gridCol w:w="1321"/>
        <w:gridCol w:w="1579"/>
      </w:tblGrid>
      <w:tr w14:paraId="2CDA53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5" w:hRule="atLeast"/>
        </w:trPr>
        <w:tc>
          <w:tcPr>
            <w:tcW w:w="1225" w:type="dxa"/>
            <w:vAlign w:val="center"/>
          </w:tcPr>
          <w:p w14:paraId="15A3DA94">
            <w:pPr>
              <w:pStyle w:val="15"/>
              <w:spacing w:before="65" w:line="231" w:lineRule="auto"/>
              <w:jc w:val="center"/>
              <w:rPr>
                <w:sz w:val="20"/>
                <w:szCs w:val="20"/>
              </w:rPr>
            </w:pPr>
            <w:r>
              <w:rPr>
                <w:spacing w:val="2"/>
                <w:sz w:val="20"/>
                <w:szCs w:val="20"/>
              </w:rPr>
              <w:t>序号</w:t>
            </w:r>
          </w:p>
        </w:tc>
        <w:tc>
          <w:tcPr>
            <w:tcW w:w="2316" w:type="dxa"/>
            <w:vAlign w:val="center"/>
          </w:tcPr>
          <w:p w14:paraId="77FB0E41">
            <w:pPr>
              <w:pStyle w:val="15"/>
              <w:spacing w:before="65" w:line="229" w:lineRule="auto"/>
              <w:jc w:val="center"/>
              <w:rPr>
                <w:sz w:val="20"/>
                <w:szCs w:val="20"/>
              </w:rPr>
            </w:pPr>
            <w:r>
              <w:rPr>
                <w:rFonts w:hint="eastAsia"/>
                <w:spacing w:val="5"/>
                <w:sz w:val="20"/>
                <w:szCs w:val="20"/>
                <w:lang w:eastAsia="zh-CN"/>
              </w:rPr>
              <w:t>药</w:t>
            </w:r>
            <w:r>
              <w:rPr>
                <w:spacing w:val="5"/>
                <w:sz w:val="20"/>
                <w:szCs w:val="20"/>
              </w:rPr>
              <w:t>品名称</w:t>
            </w:r>
          </w:p>
        </w:tc>
        <w:tc>
          <w:tcPr>
            <w:tcW w:w="1007" w:type="dxa"/>
            <w:vAlign w:val="center"/>
          </w:tcPr>
          <w:p w14:paraId="4CA5C3E0">
            <w:pPr>
              <w:pStyle w:val="15"/>
              <w:spacing w:before="65" w:line="231" w:lineRule="auto"/>
              <w:jc w:val="center"/>
              <w:rPr>
                <w:rFonts w:hint="eastAsia" w:eastAsia="仿宋"/>
                <w:sz w:val="20"/>
                <w:szCs w:val="20"/>
                <w:lang w:eastAsia="zh-CN"/>
              </w:rPr>
            </w:pPr>
            <w:r>
              <w:rPr>
                <w:rFonts w:hint="eastAsia"/>
                <w:sz w:val="20"/>
                <w:szCs w:val="20"/>
                <w:lang w:eastAsia="zh-CN"/>
              </w:rPr>
              <w:t>产地</w:t>
            </w:r>
          </w:p>
        </w:tc>
        <w:tc>
          <w:tcPr>
            <w:tcW w:w="1969" w:type="dxa"/>
            <w:vAlign w:val="center"/>
          </w:tcPr>
          <w:p w14:paraId="1DF1AB3B">
            <w:pPr>
              <w:pStyle w:val="15"/>
              <w:spacing w:line="232" w:lineRule="auto"/>
              <w:jc w:val="center"/>
              <w:rPr>
                <w:rFonts w:hint="eastAsia" w:eastAsia="仿宋"/>
                <w:sz w:val="20"/>
                <w:szCs w:val="20"/>
                <w:lang w:eastAsia="zh-CN"/>
              </w:rPr>
            </w:pPr>
            <w:r>
              <w:rPr>
                <w:rFonts w:hint="eastAsia"/>
                <w:sz w:val="20"/>
                <w:szCs w:val="20"/>
                <w:lang w:eastAsia="zh-CN"/>
              </w:rPr>
              <w:t>厂家</w:t>
            </w:r>
          </w:p>
        </w:tc>
        <w:tc>
          <w:tcPr>
            <w:tcW w:w="1321" w:type="dxa"/>
            <w:vAlign w:val="center"/>
          </w:tcPr>
          <w:p w14:paraId="0711BABC">
            <w:pPr>
              <w:pStyle w:val="15"/>
              <w:spacing w:before="65" w:line="232" w:lineRule="auto"/>
              <w:jc w:val="center"/>
              <w:rPr>
                <w:sz w:val="20"/>
                <w:szCs w:val="20"/>
              </w:rPr>
            </w:pPr>
            <w:r>
              <w:rPr>
                <w:spacing w:val="-1"/>
                <w:sz w:val="20"/>
                <w:szCs w:val="20"/>
              </w:rPr>
              <w:t>单位</w:t>
            </w:r>
          </w:p>
        </w:tc>
        <w:tc>
          <w:tcPr>
            <w:tcW w:w="1579" w:type="dxa"/>
            <w:vAlign w:val="center"/>
          </w:tcPr>
          <w:p w14:paraId="362FB431">
            <w:pPr>
              <w:pStyle w:val="15"/>
              <w:spacing w:before="139" w:line="233" w:lineRule="auto"/>
              <w:jc w:val="center"/>
              <w:rPr>
                <w:sz w:val="20"/>
                <w:szCs w:val="20"/>
              </w:rPr>
            </w:pPr>
            <w:r>
              <w:rPr>
                <w:spacing w:val="1"/>
                <w:sz w:val="20"/>
                <w:szCs w:val="20"/>
              </w:rPr>
              <w:t>备注</w:t>
            </w:r>
          </w:p>
        </w:tc>
      </w:tr>
      <w:tr w14:paraId="1F616D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7" w:hRule="atLeast"/>
        </w:trPr>
        <w:tc>
          <w:tcPr>
            <w:tcW w:w="1225" w:type="dxa"/>
            <w:vAlign w:val="top"/>
          </w:tcPr>
          <w:p w14:paraId="1F657411">
            <w:pPr>
              <w:rPr>
                <w:rFonts w:ascii="Arial"/>
                <w:sz w:val="21"/>
              </w:rPr>
            </w:pPr>
          </w:p>
        </w:tc>
        <w:tc>
          <w:tcPr>
            <w:tcW w:w="2316" w:type="dxa"/>
            <w:vAlign w:val="top"/>
          </w:tcPr>
          <w:p w14:paraId="5E232B7E">
            <w:pPr>
              <w:rPr>
                <w:rFonts w:ascii="Arial"/>
                <w:sz w:val="21"/>
              </w:rPr>
            </w:pPr>
          </w:p>
        </w:tc>
        <w:tc>
          <w:tcPr>
            <w:tcW w:w="1007" w:type="dxa"/>
            <w:vAlign w:val="top"/>
          </w:tcPr>
          <w:p w14:paraId="6380B4CD">
            <w:pPr>
              <w:rPr>
                <w:rFonts w:ascii="Arial"/>
                <w:sz w:val="21"/>
              </w:rPr>
            </w:pPr>
          </w:p>
        </w:tc>
        <w:tc>
          <w:tcPr>
            <w:tcW w:w="1969" w:type="dxa"/>
            <w:vAlign w:val="top"/>
          </w:tcPr>
          <w:p w14:paraId="5B6B7C8B">
            <w:pPr>
              <w:rPr>
                <w:rFonts w:ascii="Arial"/>
                <w:sz w:val="21"/>
              </w:rPr>
            </w:pPr>
          </w:p>
        </w:tc>
        <w:tc>
          <w:tcPr>
            <w:tcW w:w="1321" w:type="dxa"/>
            <w:vAlign w:val="top"/>
          </w:tcPr>
          <w:p w14:paraId="6DB27D82">
            <w:pPr>
              <w:rPr>
                <w:rFonts w:ascii="Arial"/>
                <w:sz w:val="21"/>
              </w:rPr>
            </w:pPr>
          </w:p>
        </w:tc>
        <w:tc>
          <w:tcPr>
            <w:tcW w:w="1579" w:type="dxa"/>
            <w:vAlign w:val="top"/>
          </w:tcPr>
          <w:p w14:paraId="6928A620">
            <w:pPr>
              <w:rPr>
                <w:rFonts w:ascii="Arial"/>
                <w:sz w:val="21"/>
              </w:rPr>
            </w:pPr>
          </w:p>
        </w:tc>
      </w:tr>
      <w:tr w14:paraId="3FA422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7" w:hRule="atLeast"/>
        </w:trPr>
        <w:tc>
          <w:tcPr>
            <w:tcW w:w="1225" w:type="dxa"/>
            <w:vAlign w:val="top"/>
          </w:tcPr>
          <w:p w14:paraId="43664248">
            <w:pPr>
              <w:rPr>
                <w:rFonts w:ascii="Arial"/>
                <w:sz w:val="21"/>
              </w:rPr>
            </w:pPr>
          </w:p>
        </w:tc>
        <w:tc>
          <w:tcPr>
            <w:tcW w:w="2316" w:type="dxa"/>
            <w:vAlign w:val="top"/>
          </w:tcPr>
          <w:p w14:paraId="44A05399">
            <w:pPr>
              <w:rPr>
                <w:rFonts w:ascii="Arial"/>
                <w:sz w:val="21"/>
              </w:rPr>
            </w:pPr>
          </w:p>
        </w:tc>
        <w:tc>
          <w:tcPr>
            <w:tcW w:w="1007" w:type="dxa"/>
            <w:vAlign w:val="top"/>
          </w:tcPr>
          <w:p w14:paraId="241EF829">
            <w:pPr>
              <w:rPr>
                <w:rFonts w:ascii="Arial"/>
                <w:sz w:val="21"/>
              </w:rPr>
            </w:pPr>
          </w:p>
        </w:tc>
        <w:tc>
          <w:tcPr>
            <w:tcW w:w="1969" w:type="dxa"/>
            <w:vAlign w:val="top"/>
          </w:tcPr>
          <w:p w14:paraId="2105B9EC">
            <w:pPr>
              <w:rPr>
                <w:rFonts w:ascii="Arial"/>
                <w:sz w:val="21"/>
              </w:rPr>
            </w:pPr>
          </w:p>
        </w:tc>
        <w:tc>
          <w:tcPr>
            <w:tcW w:w="1321" w:type="dxa"/>
            <w:vAlign w:val="top"/>
          </w:tcPr>
          <w:p w14:paraId="14D9773E">
            <w:pPr>
              <w:rPr>
                <w:rFonts w:ascii="Arial"/>
                <w:sz w:val="21"/>
              </w:rPr>
            </w:pPr>
          </w:p>
        </w:tc>
        <w:tc>
          <w:tcPr>
            <w:tcW w:w="1579" w:type="dxa"/>
            <w:vAlign w:val="top"/>
          </w:tcPr>
          <w:p w14:paraId="51F98321">
            <w:pPr>
              <w:rPr>
                <w:rFonts w:ascii="Arial"/>
                <w:sz w:val="21"/>
              </w:rPr>
            </w:pPr>
          </w:p>
        </w:tc>
      </w:tr>
      <w:tr w14:paraId="436A9E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7" w:hRule="atLeast"/>
        </w:trPr>
        <w:tc>
          <w:tcPr>
            <w:tcW w:w="1225" w:type="dxa"/>
            <w:vAlign w:val="top"/>
          </w:tcPr>
          <w:p w14:paraId="7569BA6F">
            <w:pPr>
              <w:rPr>
                <w:rFonts w:ascii="Arial"/>
                <w:sz w:val="21"/>
              </w:rPr>
            </w:pPr>
          </w:p>
        </w:tc>
        <w:tc>
          <w:tcPr>
            <w:tcW w:w="2316" w:type="dxa"/>
            <w:vAlign w:val="top"/>
          </w:tcPr>
          <w:p w14:paraId="11A52F3C">
            <w:pPr>
              <w:rPr>
                <w:rFonts w:ascii="Arial"/>
                <w:sz w:val="21"/>
              </w:rPr>
            </w:pPr>
          </w:p>
        </w:tc>
        <w:tc>
          <w:tcPr>
            <w:tcW w:w="1007" w:type="dxa"/>
            <w:vAlign w:val="top"/>
          </w:tcPr>
          <w:p w14:paraId="2F2E8E4F">
            <w:pPr>
              <w:rPr>
                <w:rFonts w:ascii="Arial"/>
                <w:sz w:val="21"/>
              </w:rPr>
            </w:pPr>
          </w:p>
        </w:tc>
        <w:tc>
          <w:tcPr>
            <w:tcW w:w="1969" w:type="dxa"/>
            <w:vAlign w:val="top"/>
          </w:tcPr>
          <w:p w14:paraId="05BFE74E">
            <w:pPr>
              <w:rPr>
                <w:rFonts w:ascii="Arial"/>
                <w:sz w:val="21"/>
              </w:rPr>
            </w:pPr>
          </w:p>
        </w:tc>
        <w:tc>
          <w:tcPr>
            <w:tcW w:w="1321" w:type="dxa"/>
            <w:vAlign w:val="top"/>
          </w:tcPr>
          <w:p w14:paraId="710DA59F">
            <w:pPr>
              <w:rPr>
                <w:rFonts w:ascii="Arial"/>
                <w:sz w:val="21"/>
              </w:rPr>
            </w:pPr>
          </w:p>
        </w:tc>
        <w:tc>
          <w:tcPr>
            <w:tcW w:w="1579" w:type="dxa"/>
            <w:vAlign w:val="top"/>
          </w:tcPr>
          <w:p w14:paraId="33E2274D">
            <w:pPr>
              <w:rPr>
                <w:rFonts w:ascii="Arial"/>
                <w:sz w:val="21"/>
              </w:rPr>
            </w:pPr>
          </w:p>
        </w:tc>
      </w:tr>
      <w:tr w14:paraId="533354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7" w:hRule="atLeast"/>
        </w:trPr>
        <w:tc>
          <w:tcPr>
            <w:tcW w:w="1225" w:type="dxa"/>
            <w:vAlign w:val="top"/>
          </w:tcPr>
          <w:p w14:paraId="383D3277">
            <w:pPr>
              <w:rPr>
                <w:rFonts w:ascii="Arial"/>
                <w:sz w:val="21"/>
              </w:rPr>
            </w:pPr>
          </w:p>
        </w:tc>
        <w:tc>
          <w:tcPr>
            <w:tcW w:w="2316" w:type="dxa"/>
            <w:vAlign w:val="top"/>
          </w:tcPr>
          <w:p w14:paraId="4A0ECDD8">
            <w:pPr>
              <w:rPr>
                <w:rFonts w:ascii="Arial"/>
                <w:sz w:val="21"/>
              </w:rPr>
            </w:pPr>
          </w:p>
        </w:tc>
        <w:tc>
          <w:tcPr>
            <w:tcW w:w="1007" w:type="dxa"/>
            <w:vAlign w:val="top"/>
          </w:tcPr>
          <w:p w14:paraId="32F14D42">
            <w:pPr>
              <w:rPr>
                <w:rFonts w:ascii="Arial"/>
                <w:sz w:val="21"/>
              </w:rPr>
            </w:pPr>
          </w:p>
        </w:tc>
        <w:tc>
          <w:tcPr>
            <w:tcW w:w="1969" w:type="dxa"/>
            <w:vAlign w:val="top"/>
          </w:tcPr>
          <w:p w14:paraId="09341F3A">
            <w:pPr>
              <w:rPr>
                <w:rFonts w:ascii="Arial"/>
                <w:sz w:val="21"/>
              </w:rPr>
            </w:pPr>
          </w:p>
        </w:tc>
        <w:tc>
          <w:tcPr>
            <w:tcW w:w="1321" w:type="dxa"/>
            <w:vAlign w:val="top"/>
          </w:tcPr>
          <w:p w14:paraId="0C9F28F1">
            <w:pPr>
              <w:rPr>
                <w:rFonts w:ascii="Arial"/>
                <w:sz w:val="21"/>
              </w:rPr>
            </w:pPr>
          </w:p>
        </w:tc>
        <w:tc>
          <w:tcPr>
            <w:tcW w:w="1579" w:type="dxa"/>
            <w:vAlign w:val="top"/>
          </w:tcPr>
          <w:p w14:paraId="22481FF6">
            <w:pPr>
              <w:rPr>
                <w:rFonts w:ascii="Arial"/>
                <w:sz w:val="21"/>
              </w:rPr>
            </w:pPr>
          </w:p>
        </w:tc>
      </w:tr>
      <w:tr w14:paraId="3A5A7B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9" w:hRule="atLeast"/>
        </w:trPr>
        <w:tc>
          <w:tcPr>
            <w:tcW w:w="1225" w:type="dxa"/>
            <w:vAlign w:val="top"/>
          </w:tcPr>
          <w:p w14:paraId="565B9119">
            <w:pPr>
              <w:rPr>
                <w:rFonts w:ascii="Arial"/>
                <w:sz w:val="21"/>
              </w:rPr>
            </w:pPr>
          </w:p>
        </w:tc>
        <w:tc>
          <w:tcPr>
            <w:tcW w:w="2316" w:type="dxa"/>
            <w:vAlign w:val="top"/>
          </w:tcPr>
          <w:p w14:paraId="58CDA203">
            <w:pPr>
              <w:rPr>
                <w:rFonts w:ascii="Arial"/>
                <w:sz w:val="21"/>
              </w:rPr>
            </w:pPr>
          </w:p>
        </w:tc>
        <w:tc>
          <w:tcPr>
            <w:tcW w:w="1007" w:type="dxa"/>
            <w:vAlign w:val="top"/>
          </w:tcPr>
          <w:p w14:paraId="674A593F">
            <w:pPr>
              <w:rPr>
                <w:rFonts w:ascii="Arial"/>
                <w:sz w:val="21"/>
              </w:rPr>
            </w:pPr>
          </w:p>
        </w:tc>
        <w:tc>
          <w:tcPr>
            <w:tcW w:w="1969" w:type="dxa"/>
            <w:vAlign w:val="top"/>
          </w:tcPr>
          <w:p w14:paraId="1C5FA9DF">
            <w:pPr>
              <w:rPr>
                <w:rFonts w:ascii="Arial"/>
                <w:sz w:val="21"/>
              </w:rPr>
            </w:pPr>
          </w:p>
        </w:tc>
        <w:tc>
          <w:tcPr>
            <w:tcW w:w="1321" w:type="dxa"/>
            <w:vAlign w:val="top"/>
          </w:tcPr>
          <w:p w14:paraId="0B80BE61">
            <w:pPr>
              <w:rPr>
                <w:rFonts w:ascii="Arial"/>
                <w:sz w:val="21"/>
              </w:rPr>
            </w:pPr>
          </w:p>
        </w:tc>
        <w:tc>
          <w:tcPr>
            <w:tcW w:w="1579" w:type="dxa"/>
            <w:vAlign w:val="top"/>
          </w:tcPr>
          <w:p w14:paraId="43FB9A3D">
            <w:pPr>
              <w:rPr>
                <w:rFonts w:ascii="Arial"/>
                <w:sz w:val="21"/>
              </w:rPr>
            </w:pPr>
          </w:p>
        </w:tc>
      </w:tr>
      <w:tr w14:paraId="70751C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6" w:hRule="atLeast"/>
        </w:trPr>
        <w:tc>
          <w:tcPr>
            <w:tcW w:w="1225" w:type="dxa"/>
            <w:vAlign w:val="top"/>
          </w:tcPr>
          <w:p w14:paraId="61F3DDDE">
            <w:pPr>
              <w:rPr>
                <w:rFonts w:ascii="Arial"/>
                <w:sz w:val="21"/>
              </w:rPr>
            </w:pPr>
          </w:p>
        </w:tc>
        <w:tc>
          <w:tcPr>
            <w:tcW w:w="2316" w:type="dxa"/>
            <w:vAlign w:val="top"/>
          </w:tcPr>
          <w:p w14:paraId="7549B1C1">
            <w:pPr>
              <w:rPr>
                <w:rFonts w:ascii="Arial"/>
                <w:sz w:val="21"/>
              </w:rPr>
            </w:pPr>
          </w:p>
        </w:tc>
        <w:tc>
          <w:tcPr>
            <w:tcW w:w="1007" w:type="dxa"/>
            <w:vAlign w:val="top"/>
          </w:tcPr>
          <w:p w14:paraId="5261CA51">
            <w:pPr>
              <w:rPr>
                <w:rFonts w:ascii="Arial"/>
                <w:sz w:val="21"/>
              </w:rPr>
            </w:pPr>
          </w:p>
        </w:tc>
        <w:tc>
          <w:tcPr>
            <w:tcW w:w="1969" w:type="dxa"/>
            <w:vAlign w:val="top"/>
          </w:tcPr>
          <w:p w14:paraId="24868194">
            <w:pPr>
              <w:rPr>
                <w:rFonts w:ascii="Arial"/>
                <w:sz w:val="21"/>
              </w:rPr>
            </w:pPr>
          </w:p>
        </w:tc>
        <w:tc>
          <w:tcPr>
            <w:tcW w:w="1321" w:type="dxa"/>
            <w:vAlign w:val="top"/>
          </w:tcPr>
          <w:p w14:paraId="2D2BB91E">
            <w:pPr>
              <w:rPr>
                <w:rFonts w:ascii="Arial"/>
                <w:sz w:val="21"/>
              </w:rPr>
            </w:pPr>
          </w:p>
        </w:tc>
        <w:tc>
          <w:tcPr>
            <w:tcW w:w="1579" w:type="dxa"/>
            <w:vAlign w:val="top"/>
          </w:tcPr>
          <w:p w14:paraId="1D1A3BE2">
            <w:pPr>
              <w:rPr>
                <w:rFonts w:ascii="Arial"/>
                <w:sz w:val="21"/>
              </w:rPr>
            </w:pPr>
          </w:p>
        </w:tc>
      </w:tr>
      <w:tr w14:paraId="6509E7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9" w:hRule="atLeast"/>
        </w:trPr>
        <w:tc>
          <w:tcPr>
            <w:tcW w:w="1225" w:type="dxa"/>
            <w:vAlign w:val="top"/>
          </w:tcPr>
          <w:p w14:paraId="012E3EA1">
            <w:pPr>
              <w:rPr>
                <w:rFonts w:ascii="Arial"/>
                <w:sz w:val="21"/>
              </w:rPr>
            </w:pPr>
          </w:p>
        </w:tc>
        <w:tc>
          <w:tcPr>
            <w:tcW w:w="2316" w:type="dxa"/>
            <w:vAlign w:val="top"/>
          </w:tcPr>
          <w:p w14:paraId="59E87102">
            <w:pPr>
              <w:rPr>
                <w:rFonts w:ascii="Arial"/>
                <w:sz w:val="21"/>
              </w:rPr>
            </w:pPr>
          </w:p>
        </w:tc>
        <w:tc>
          <w:tcPr>
            <w:tcW w:w="1007" w:type="dxa"/>
            <w:vAlign w:val="top"/>
          </w:tcPr>
          <w:p w14:paraId="3B4442C6">
            <w:pPr>
              <w:rPr>
                <w:rFonts w:ascii="Arial"/>
                <w:sz w:val="21"/>
              </w:rPr>
            </w:pPr>
          </w:p>
        </w:tc>
        <w:tc>
          <w:tcPr>
            <w:tcW w:w="1969" w:type="dxa"/>
            <w:vAlign w:val="top"/>
          </w:tcPr>
          <w:p w14:paraId="4688C703">
            <w:pPr>
              <w:rPr>
                <w:rFonts w:ascii="Arial"/>
                <w:sz w:val="21"/>
              </w:rPr>
            </w:pPr>
          </w:p>
        </w:tc>
        <w:tc>
          <w:tcPr>
            <w:tcW w:w="1321" w:type="dxa"/>
            <w:vAlign w:val="top"/>
          </w:tcPr>
          <w:p w14:paraId="40AA6837">
            <w:pPr>
              <w:rPr>
                <w:rFonts w:ascii="Arial"/>
                <w:sz w:val="21"/>
              </w:rPr>
            </w:pPr>
          </w:p>
        </w:tc>
        <w:tc>
          <w:tcPr>
            <w:tcW w:w="1579" w:type="dxa"/>
            <w:vAlign w:val="top"/>
          </w:tcPr>
          <w:p w14:paraId="362B73B1">
            <w:pPr>
              <w:rPr>
                <w:rFonts w:ascii="Arial"/>
                <w:sz w:val="21"/>
              </w:rPr>
            </w:pPr>
          </w:p>
        </w:tc>
      </w:tr>
      <w:tr w14:paraId="7F7F1D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trPr>
        <w:tc>
          <w:tcPr>
            <w:tcW w:w="1225" w:type="dxa"/>
            <w:vAlign w:val="top"/>
          </w:tcPr>
          <w:p w14:paraId="60EA5470">
            <w:pPr>
              <w:rPr>
                <w:rFonts w:ascii="Arial"/>
                <w:sz w:val="21"/>
              </w:rPr>
            </w:pPr>
          </w:p>
        </w:tc>
        <w:tc>
          <w:tcPr>
            <w:tcW w:w="2316" w:type="dxa"/>
            <w:vAlign w:val="top"/>
          </w:tcPr>
          <w:p w14:paraId="18E6B84C">
            <w:pPr>
              <w:rPr>
                <w:rFonts w:ascii="Arial"/>
                <w:sz w:val="21"/>
              </w:rPr>
            </w:pPr>
          </w:p>
        </w:tc>
        <w:tc>
          <w:tcPr>
            <w:tcW w:w="1007" w:type="dxa"/>
            <w:vAlign w:val="top"/>
          </w:tcPr>
          <w:p w14:paraId="4F47A15A">
            <w:pPr>
              <w:rPr>
                <w:rFonts w:ascii="Arial"/>
                <w:sz w:val="21"/>
              </w:rPr>
            </w:pPr>
          </w:p>
        </w:tc>
        <w:tc>
          <w:tcPr>
            <w:tcW w:w="1969" w:type="dxa"/>
            <w:vAlign w:val="top"/>
          </w:tcPr>
          <w:p w14:paraId="2A82F312">
            <w:pPr>
              <w:rPr>
                <w:rFonts w:ascii="Arial"/>
                <w:sz w:val="21"/>
              </w:rPr>
            </w:pPr>
          </w:p>
        </w:tc>
        <w:tc>
          <w:tcPr>
            <w:tcW w:w="1321" w:type="dxa"/>
            <w:vAlign w:val="top"/>
          </w:tcPr>
          <w:p w14:paraId="437E2562">
            <w:pPr>
              <w:rPr>
                <w:rFonts w:ascii="Arial"/>
                <w:sz w:val="21"/>
              </w:rPr>
            </w:pPr>
          </w:p>
        </w:tc>
        <w:tc>
          <w:tcPr>
            <w:tcW w:w="1579" w:type="dxa"/>
            <w:vAlign w:val="top"/>
          </w:tcPr>
          <w:p w14:paraId="7FF28426">
            <w:pPr>
              <w:rPr>
                <w:rFonts w:ascii="Arial"/>
                <w:sz w:val="21"/>
              </w:rPr>
            </w:pPr>
          </w:p>
        </w:tc>
      </w:tr>
      <w:tr w14:paraId="7306C6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9417" w:type="dxa"/>
            <w:gridSpan w:val="6"/>
            <w:vAlign w:val="top"/>
          </w:tcPr>
          <w:p w14:paraId="4B036214">
            <w:pPr>
              <w:jc w:val="left"/>
              <w:rPr>
                <w:rFonts w:hint="default" w:ascii="Arial"/>
                <w:sz w:val="21"/>
                <w:lang w:val="en-US"/>
              </w:rPr>
            </w:pPr>
            <w:r>
              <w:rPr>
                <w:rFonts w:hint="eastAsia"/>
                <w:sz w:val="32"/>
                <w:szCs w:val="32"/>
                <w:lang w:eastAsia="zh-CN"/>
              </w:rPr>
              <w:t>（</w:t>
            </w:r>
            <w:r>
              <w:rPr>
                <w:rFonts w:hint="eastAsia" w:ascii="Arial"/>
                <w:sz w:val="32"/>
                <w:szCs w:val="32"/>
                <w:lang w:eastAsia="zh-CN"/>
              </w:rPr>
              <w:t>单价下浮率</w:t>
            </w:r>
            <w:r>
              <w:rPr>
                <w:rFonts w:hint="eastAsia"/>
                <w:sz w:val="32"/>
                <w:szCs w:val="32"/>
                <w:lang w:eastAsia="zh-CN"/>
              </w:rPr>
              <w:t>）</w:t>
            </w:r>
            <w:r>
              <w:rPr>
                <w:rFonts w:hint="eastAsia"/>
                <w:sz w:val="32"/>
                <w:szCs w:val="32"/>
                <w:lang w:val="en-US" w:eastAsia="zh-CN"/>
              </w:rPr>
              <w:t>小写：</w:t>
            </w:r>
            <w:r>
              <w:rPr>
                <w:rFonts w:hint="eastAsia"/>
                <w:sz w:val="32"/>
                <w:szCs w:val="32"/>
                <w:u w:val="single"/>
                <w:lang w:val="en-US" w:eastAsia="zh-CN"/>
              </w:rPr>
              <w:t xml:space="preserve">         % </w:t>
            </w:r>
            <w:r>
              <w:rPr>
                <w:rFonts w:hint="eastAsia"/>
                <w:sz w:val="32"/>
                <w:szCs w:val="32"/>
                <w:lang w:val="en-US" w:eastAsia="zh-CN"/>
              </w:rPr>
              <w:t xml:space="preserve">        大写：</w:t>
            </w:r>
            <w:r>
              <w:rPr>
                <w:rFonts w:hint="eastAsia"/>
                <w:sz w:val="32"/>
                <w:szCs w:val="32"/>
                <w:u w:val="single"/>
                <w:lang w:val="en-US" w:eastAsia="zh-CN"/>
              </w:rPr>
              <w:t xml:space="preserve">             </w:t>
            </w:r>
          </w:p>
        </w:tc>
      </w:tr>
    </w:tbl>
    <w:p w14:paraId="137164F6">
      <w:pPr>
        <w:spacing w:before="135" w:line="232" w:lineRule="auto"/>
        <w:ind w:left="666"/>
        <w:rPr>
          <w:rFonts w:ascii="仿宋" w:hAnsi="仿宋" w:eastAsia="仿宋" w:cs="仿宋"/>
          <w:sz w:val="20"/>
          <w:szCs w:val="20"/>
        </w:rPr>
      </w:pPr>
      <w:r>
        <w:rPr>
          <w:rFonts w:ascii="仿宋" w:hAnsi="仿宋" w:eastAsia="仿宋" w:cs="仿宋"/>
          <w:spacing w:val="5"/>
          <w:sz w:val="20"/>
          <w:szCs w:val="20"/>
        </w:rPr>
        <w:t>（此表可延长）</w:t>
      </w:r>
    </w:p>
    <w:p w14:paraId="2140ABA9">
      <w:pPr>
        <w:pStyle w:val="4"/>
        <w:spacing w:line="268" w:lineRule="auto"/>
      </w:pPr>
    </w:p>
    <w:p w14:paraId="5127F253">
      <w:pPr>
        <w:pStyle w:val="4"/>
        <w:spacing w:line="268" w:lineRule="auto"/>
      </w:pPr>
    </w:p>
    <w:p w14:paraId="1ADA0CB9">
      <w:pPr>
        <w:spacing w:before="66" w:line="503" w:lineRule="auto"/>
        <w:ind w:left="2271"/>
        <w:rPr>
          <w:rFonts w:ascii="仿宋" w:hAnsi="仿宋" w:eastAsia="仿宋" w:cs="仿宋"/>
          <w:sz w:val="20"/>
          <w:szCs w:val="20"/>
        </w:rPr>
      </w:pPr>
      <w:r>
        <w:rPr>
          <w:rFonts w:hint="eastAsia" w:ascii="仿宋" w:hAnsi="仿宋" w:eastAsia="仿宋" w:cs="仿宋"/>
          <w:spacing w:val="8"/>
          <w:sz w:val="20"/>
          <w:szCs w:val="20"/>
          <w:lang w:eastAsia="zh-CN"/>
        </w:rPr>
        <w:t>供应商</w:t>
      </w:r>
      <w:r>
        <w:rPr>
          <w:rFonts w:ascii="仿宋" w:hAnsi="仿宋" w:eastAsia="仿宋" w:cs="仿宋"/>
          <w:spacing w:val="8"/>
          <w:sz w:val="20"/>
          <w:szCs w:val="20"/>
        </w:rPr>
        <w:t>名称（盖公章</w:t>
      </w:r>
      <w:r>
        <w:rPr>
          <w:rFonts w:ascii="仿宋" w:hAnsi="仿宋" w:eastAsia="仿宋" w:cs="仿宋"/>
          <w:spacing w:val="-10"/>
          <w:sz w:val="20"/>
          <w:szCs w:val="20"/>
        </w:rPr>
        <w:t>）</w:t>
      </w:r>
      <w:r>
        <w:rPr>
          <w:rFonts w:ascii="仿宋" w:hAnsi="仿宋" w:eastAsia="仿宋" w:cs="仿宋"/>
          <w:spacing w:val="-59"/>
          <w:sz w:val="20"/>
          <w:szCs w:val="20"/>
        </w:rPr>
        <w:t xml:space="preserve"> </w:t>
      </w:r>
      <w:r>
        <w:rPr>
          <w:rFonts w:ascii="仿宋" w:hAnsi="仿宋" w:eastAsia="仿宋" w:cs="仿宋"/>
          <w:spacing w:val="-10"/>
          <w:sz w:val="20"/>
          <w:szCs w:val="20"/>
        </w:rPr>
        <w:t>：</w:t>
      </w:r>
      <w:r>
        <w:rPr>
          <w:rFonts w:ascii="仿宋" w:hAnsi="仿宋" w:eastAsia="仿宋" w:cs="仿宋"/>
          <w:spacing w:val="1"/>
          <w:sz w:val="20"/>
          <w:szCs w:val="20"/>
          <w:u w:val="single" w:color="auto"/>
        </w:rPr>
        <w:t xml:space="preserve">                             </w:t>
      </w:r>
      <w:r>
        <w:rPr>
          <w:rFonts w:ascii="仿宋" w:hAnsi="仿宋" w:eastAsia="仿宋" w:cs="仿宋"/>
          <w:spacing w:val="8"/>
          <w:sz w:val="20"/>
          <w:szCs w:val="20"/>
        </w:rPr>
        <w:t>_</w:t>
      </w:r>
    </w:p>
    <w:p w14:paraId="35A2D9E8">
      <w:pPr>
        <w:spacing w:before="1" w:line="226" w:lineRule="auto"/>
        <w:ind w:left="2278"/>
        <w:rPr>
          <w:rFonts w:ascii="仿宋" w:hAnsi="仿宋" w:eastAsia="仿宋" w:cs="仿宋"/>
          <w:sz w:val="20"/>
          <w:szCs w:val="20"/>
        </w:rPr>
      </w:pPr>
      <w:r>
        <w:rPr>
          <w:rFonts w:ascii="仿宋" w:hAnsi="仿宋" w:eastAsia="仿宋" w:cs="仿宋"/>
          <w:spacing w:val="7"/>
          <w:sz w:val="20"/>
          <w:szCs w:val="20"/>
        </w:rPr>
        <w:t>法定代表人或其授权委托人</w:t>
      </w:r>
      <w:r>
        <w:rPr>
          <w:rFonts w:ascii="仿宋" w:hAnsi="仿宋" w:eastAsia="仿宋" w:cs="仿宋"/>
          <w:spacing w:val="8"/>
          <w:sz w:val="20"/>
          <w:szCs w:val="20"/>
        </w:rPr>
        <w:t>（签字</w:t>
      </w:r>
      <w:r>
        <w:rPr>
          <w:rFonts w:hint="eastAsia" w:ascii="仿宋" w:hAnsi="仿宋" w:eastAsia="仿宋" w:cs="仿宋"/>
          <w:spacing w:val="8"/>
          <w:sz w:val="20"/>
          <w:szCs w:val="20"/>
          <w:lang w:val="en-US" w:eastAsia="zh-Hans"/>
        </w:rPr>
        <w:t>或盖章</w:t>
      </w:r>
      <w:r>
        <w:rPr>
          <w:rFonts w:ascii="仿宋" w:hAnsi="仿宋" w:eastAsia="仿宋" w:cs="仿宋"/>
          <w:spacing w:val="8"/>
          <w:sz w:val="20"/>
          <w:szCs w:val="20"/>
        </w:rPr>
        <w:t>）</w:t>
      </w:r>
      <w:r>
        <w:rPr>
          <w:rFonts w:ascii="仿宋" w:hAnsi="仿宋" w:eastAsia="仿宋" w:cs="仿宋"/>
          <w:spacing w:val="7"/>
          <w:sz w:val="20"/>
          <w:szCs w:val="20"/>
        </w:rPr>
        <w:t>：</w:t>
      </w:r>
      <w:r>
        <w:rPr>
          <w:rFonts w:ascii="仿宋" w:hAnsi="仿宋" w:eastAsia="仿宋" w:cs="仿宋"/>
          <w:spacing w:val="7"/>
          <w:sz w:val="20"/>
          <w:szCs w:val="20"/>
          <w:u w:val="single" w:color="auto"/>
        </w:rPr>
        <w:t xml:space="preserve">        </w:t>
      </w:r>
      <w:r>
        <w:rPr>
          <w:rFonts w:ascii="仿宋" w:hAnsi="仿宋" w:eastAsia="仿宋" w:cs="仿宋"/>
          <w:spacing w:val="-99"/>
          <w:sz w:val="20"/>
          <w:szCs w:val="20"/>
        </w:rPr>
        <w:t xml:space="preserve"> </w:t>
      </w:r>
      <w:r>
        <w:rPr>
          <w:rFonts w:ascii="仿宋" w:hAnsi="仿宋" w:eastAsia="仿宋" w:cs="仿宋"/>
          <w:spacing w:val="7"/>
          <w:sz w:val="20"/>
          <w:szCs w:val="20"/>
        </w:rPr>
        <w:t>_</w:t>
      </w:r>
    </w:p>
    <w:p w14:paraId="422911B9">
      <w:pPr>
        <w:spacing w:before="299" w:line="231" w:lineRule="auto"/>
        <w:ind w:left="2316"/>
        <w:rPr>
          <w:rFonts w:ascii="仿宋" w:hAnsi="仿宋" w:eastAsia="仿宋" w:cs="仿宋"/>
          <w:sz w:val="20"/>
          <w:szCs w:val="20"/>
        </w:rPr>
      </w:pPr>
      <w:r>
        <w:rPr>
          <w:rFonts w:ascii="仿宋" w:hAnsi="仿宋" w:eastAsia="仿宋" w:cs="仿宋"/>
          <w:spacing w:val="-9"/>
          <w:sz w:val="20"/>
          <w:szCs w:val="20"/>
        </w:rPr>
        <w:t>日期：</w:t>
      </w:r>
      <w:r>
        <w:rPr>
          <w:rFonts w:ascii="仿宋" w:hAnsi="仿宋" w:eastAsia="仿宋" w:cs="仿宋"/>
          <w:spacing w:val="5"/>
          <w:sz w:val="20"/>
          <w:szCs w:val="20"/>
          <w:u w:val="single" w:color="auto"/>
        </w:rPr>
        <w:t xml:space="preserve">          </w:t>
      </w:r>
      <w:r>
        <w:rPr>
          <w:rFonts w:ascii="仿宋" w:hAnsi="仿宋" w:eastAsia="仿宋" w:cs="仿宋"/>
          <w:spacing w:val="-81"/>
          <w:sz w:val="20"/>
          <w:szCs w:val="20"/>
        </w:rPr>
        <w:t xml:space="preserve"> </w:t>
      </w:r>
      <w:r>
        <w:rPr>
          <w:rFonts w:ascii="仿宋" w:hAnsi="仿宋" w:eastAsia="仿宋" w:cs="仿宋"/>
          <w:spacing w:val="-9"/>
          <w:sz w:val="20"/>
          <w:szCs w:val="20"/>
        </w:rPr>
        <w:t>年</w:t>
      </w:r>
      <w:r>
        <w:rPr>
          <w:rFonts w:ascii="仿宋" w:hAnsi="仿宋" w:eastAsia="仿宋" w:cs="仿宋"/>
          <w:spacing w:val="-98"/>
          <w:sz w:val="20"/>
          <w:szCs w:val="20"/>
        </w:rPr>
        <w:t xml:space="preserve"> </w:t>
      </w:r>
      <w:r>
        <w:rPr>
          <w:rFonts w:ascii="仿宋" w:hAnsi="仿宋" w:eastAsia="仿宋" w:cs="仿宋"/>
          <w:spacing w:val="4"/>
          <w:sz w:val="20"/>
          <w:szCs w:val="20"/>
          <w:u w:val="single" w:color="auto"/>
        </w:rPr>
        <w:t xml:space="preserve">      </w:t>
      </w:r>
      <w:r>
        <w:rPr>
          <w:rFonts w:ascii="仿宋" w:hAnsi="仿宋" w:eastAsia="仿宋" w:cs="仿宋"/>
          <w:spacing w:val="-71"/>
          <w:sz w:val="20"/>
          <w:szCs w:val="20"/>
        </w:rPr>
        <w:t xml:space="preserve"> </w:t>
      </w:r>
      <w:r>
        <w:rPr>
          <w:rFonts w:ascii="仿宋" w:hAnsi="仿宋" w:eastAsia="仿宋" w:cs="仿宋"/>
          <w:spacing w:val="-9"/>
          <w:sz w:val="20"/>
          <w:szCs w:val="20"/>
        </w:rPr>
        <w:t>月</w:t>
      </w:r>
      <w:r>
        <w:rPr>
          <w:rFonts w:ascii="仿宋" w:hAnsi="仿宋" w:eastAsia="仿宋" w:cs="仿宋"/>
          <w:spacing w:val="-98"/>
          <w:sz w:val="20"/>
          <w:szCs w:val="20"/>
        </w:rPr>
        <w:t xml:space="preserve"> </w:t>
      </w:r>
      <w:r>
        <w:rPr>
          <w:rFonts w:ascii="仿宋" w:hAnsi="仿宋" w:eastAsia="仿宋" w:cs="仿宋"/>
          <w:spacing w:val="5"/>
          <w:sz w:val="20"/>
          <w:szCs w:val="20"/>
          <w:u w:val="single" w:color="auto"/>
        </w:rPr>
        <w:t xml:space="preserve">     </w:t>
      </w:r>
      <w:r>
        <w:rPr>
          <w:rFonts w:ascii="仿宋" w:hAnsi="仿宋" w:eastAsia="仿宋" w:cs="仿宋"/>
          <w:spacing w:val="-42"/>
          <w:sz w:val="20"/>
          <w:szCs w:val="20"/>
        </w:rPr>
        <w:t xml:space="preserve"> </w:t>
      </w:r>
      <w:r>
        <w:rPr>
          <w:rFonts w:ascii="仿宋" w:hAnsi="仿宋" w:eastAsia="仿宋" w:cs="仿宋"/>
          <w:spacing w:val="-9"/>
          <w:sz w:val="20"/>
          <w:szCs w:val="20"/>
        </w:rPr>
        <w:t>日</w:t>
      </w:r>
    </w:p>
    <w:p w14:paraId="76CB85BF">
      <w:pPr>
        <w:pStyle w:val="4"/>
        <w:rPr>
          <w:rFonts w:ascii="仿宋" w:hAnsi="仿宋" w:eastAsia="仿宋" w:cs="仿宋"/>
          <w:sz w:val="20"/>
          <w:szCs w:val="20"/>
        </w:rPr>
      </w:pPr>
    </w:p>
    <w:p w14:paraId="76FE2CFA">
      <w:pPr>
        <w:pStyle w:val="4"/>
        <w:rPr>
          <w:rFonts w:ascii="仿宋" w:hAnsi="仿宋" w:eastAsia="仿宋" w:cs="仿宋"/>
          <w:sz w:val="20"/>
          <w:szCs w:val="20"/>
        </w:rPr>
      </w:pPr>
    </w:p>
    <w:p w14:paraId="1C17628C">
      <w:pPr>
        <w:pStyle w:val="4"/>
        <w:rPr>
          <w:rFonts w:ascii="仿宋" w:hAnsi="仿宋" w:eastAsia="仿宋" w:cs="仿宋"/>
          <w:sz w:val="20"/>
          <w:szCs w:val="20"/>
        </w:rPr>
        <w:sectPr>
          <w:footerReference r:id="rId10" w:type="default"/>
          <w:pgSz w:w="11906" w:h="16839"/>
          <w:pgMar w:top="1440" w:right="1080" w:bottom="1440" w:left="1080" w:header="0" w:footer="1054" w:gutter="0"/>
          <w:pgNumType w:fmt="decimal"/>
          <w:cols w:space="720" w:num="1"/>
        </w:sectPr>
      </w:pPr>
    </w:p>
    <w:p w14:paraId="19E1D79A">
      <w:pPr>
        <w:spacing w:before="140" w:line="460" w:lineRule="exact"/>
        <w:ind w:left="3770"/>
        <w:rPr>
          <w:rFonts w:ascii="仿宋" w:hAnsi="仿宋" w:eastAsia="仿宋" w:cs="仿宋"/>
          <w:sz w:val="28"/>
          <w:szCs w:val="28"/>
        </w:rPr>
      </w:pPr>
      <w:r>
        <mc:AlternateContent>
          <mc:Choice Requires="wps">
            <w:drawing>
              <wp:anchor distT="0" distB="0" distL="114300" distR="114300" simplePos="0" relativeHeight="251659264" behindDoc="0" locked="0" layoutInCell="0" allowOverlap="1">
                <wp:simplePos x="0" y="0"/>
                <wp:positionH relativeFrom="page">
                  <wp:posOffset>968375</wp:posOffset>
                </wp:positionH>
                <wp:positionV relativeFrom="page">
                  <wp:posOffset>5436870</wp:posOffset>
                </wp:positionV>
                <wp:extent cx="2654300" cy="1825625"/>
                <wp:effectExtent l="0" t="0" r="0" b="0"/>
                <wp:wrapNone/>
                <wp:docPr id="2" name="文本框 2"/>
                <wp:cNvGraphicFramePr/>
                <a:graphic xmlns:a="http://schemas.openxmlformats.org/drawingml/2006/main">
                  <a:graphicData uri="http://schemas.microsoft.com/office/word/2010/wordprocessingShape">
                    <wps:wsp>
                      <wps:cNvSpPr txBox="1"/>
                      <wps:spPr>
                        <a:xfrm>
                          <a:off x="0" y="0"/>
                          <a:ext cx="2654300" cy="1825625"/>
                        </a:xfrm>
                        <a:prstGeom prst="rect">
                          <a:avLst/>
                        </a:prstGeom>
                        <a:noFill/>
                        <a:ln>
                          <a:noFill/>
                        </a:ln>
                      </wps:spPr>
                      <wps:txbx>
                        <w:txbxContent>
                          <w:p w14:paraId="1BDFE555">
                            <w:pPr>
                              <w:spacing w:line="20" w:lineRule="exact"/>
                            </w:pPr>
                          </w:p>
                          <w:tbl>
                            <w:tblPr>
                              <w:tblStyle w:val="14"/>
                              <w:tblW w:w="4120" w:type="dxa"/>
                              <w:tblInd w:w="2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4120"/>
                            </w:tblGrid>
                            <w:tr w14:paraId="68ED5223">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2723" w:hRule="atLeast"/>
                              </w:trPr>
                              <w:tc>
                                <w:tcPr>
                                  <w:tcW w:w="4120" w:type="dxa"/>
                                  <w:tcBorders>
                                    <w:top w:val="single" w:color="auto" w:sz="4" w:space="0"/>
                                    <w:left w:val="single" w:color="auto" w:sz="4" w:space="0"/>
                                    <w:bottom w:val="single" w:color="auto" w:sz="4" w:space="0"/>
                                    <w:right w:val="single" w:color="auto" w:sz="4" w:space="0"/>
                                  </w:tcBorders>
                                  <w:vAlign w:val="top"/>
                                </w:tcPr>
                                <w:p w14:paraId="732BE12A">
                                  <w:pPr>
                                    <w:spacing w:line="260" w:lineRule="auto"/>
                                    <w:rPr>
                                      <w:rFonts w:ascii="Arial"/>
                                      <w:sz w:val="21"/>
                                    </w:rPr>
                                  </w:pPr>
                                </w:p>
                                <w:p w14:paraId="53BFF5FD">
                                  <w:pPr>
                                    <w:spacing w:line="260" w:lineRule="auto"/>
                                    <w:rPr>
                                      <w:rFonts w:ascii="Arial"/>
                                      <w:sz w:val="21"/>
                                    </w:rPr>
                                  </w:pPr>
                                </w:p>
                                <w:p w14:paraId="16F99F54">
                                  <w:pPr>
                                    <w:spacing w:line="261" w:lineRule="auto"/>
                                    <w:rPr>
                                      <w:rFonts w:ascii="Arial"/>
                                      <w:sz w:val="21"/>
                                    </w:rPr>
                                  </w:pPr>
                                </w:p>
                                <w:p w14:paraId="68282D76">
                                  <w:pPr>
                                    <w:spacing w:line="261" w:lineRule="auto"/>
                                    <w:rPr>
                                      <w:rFonts w:ascii="Arial"/>
                                      <w:sz w:val="21"/>
                                    </w:rPr>
                                  </w:pPr>
                                </w:p>
                                <w:p w14:paraId="7A436FB1">
                                  <w:pPr>
                                    <w:spacing w:line="261" w:lineRule="auto"/>
                                    <w:rPr>
                                      <w:rFonts w:ascii="Arial"/>
                                      <w:sz w:val="21"/>
                                    </w:rPr>
                                  </w:pPr>
                                </w:p>
                                <w:p w14:paraId="6A06EF44">
                                  <w:pPr>
                                    <w:spacing w:before="65" w:line="227" w:lineRule="auto"/>
                                    <w:ind w:left="1012"/>
                                    <w:rPr>
                                      <w:rFonts w:ascii="宋体" w:hAnsi="宋体" w:eastAsia="宋体" w:cs="宋体"/>
                                      <w:sz w:val="20"/>
                                      <w:szCs w:val="20"/>
                                    </w:rPr>
                                  </w:pPr>
                                  <w:r>
                                    <w:rPr>
                                      <w:rFonts w:ascii="宋体" w:hAnsi="宋体" w:eastAsia="宋体" w:cs="宋体"/>
                                      <w:spacing w:val="7"/>
                                      <w:sz w:val="20"/>
                                      <w:szCs w:val="20"/>
                                    </w:rPr>
                                    <w:t>附法人身份证复印件正面</w:t>
                                  </w:r>
                                </w:p>
                              </w:tc>
                            </w:tr>
                          </w:tbl>
                          <w:p w14:paraId="5F9B8F23">
                            <w:pPr>
                              <w:pStyle w:val="4"/>
                            </w:pPr>
                          </w:p>
                        </w:txbxContent>
                      </wps:txbx>
                      <wps:bodyPr lIns="0" tIns="0" rIns="0" bIns="0" upright="1"/>
                    </wps:wsp>
                  </a:graphicData>
                </a:graphic>
              </wp:anchor>
            </w:drawing>
          </mc:Choice>
          <mc:Fallback>
            <w:pict>
              <v:shape id="_x0000_s1026" o:spid="_x0000_s1026" o:spt="202" type="#_x0000_t202" style="position:absolute;left:0pt;margin-left:76.25pt;margin-top:428.1pt;height:143.75pt;width:209pt;mso-position-horizontal-relative:page;mso-position-vertical-relative:page;z-index:251659264;mso-width-relative:page;mso-height-relative:page;" filled="f" stroked="f" coordsize="21600,21600" o:allowincell="f" o:gfxdata="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NiZzkPaAAAADAEAAA8AAAAAAAAAAQAgAAAAIgAAAGRycy9kb3ducmV2LnhtbFBL&#10;AQIUABQAAAAIAIdO4kAN03ptuwEAAHMDAAAOAAAAAAAAAAEAIAAAACkBAABkcnMvZTJvRG9jLnht&#10;bFBLBQYAAAAABgAGAFkBAABWBQAAAAA=&#10;">
                <v:fill on="f" focussize="0,0"/>
                <v:stroke on="f"/>
                <v:imagedata o:title=""/>
                <o:lock v:ext="edit" aspectratio="f"/>
                <v:textbox inset="0mm,0mm,0mm,0mm">
                  <w:txbxContent>
                    <w:p w14:paraId="1BDFE555">
                      <w:pPr>
                        <w:spacing w:line="20" w:lineRule="exact"/>
                      </w:pPr>
                    </w:p>
                    <w:tbl>
                      <w:tblPr>
                        <w:tblStyle w:val="14"/>
                        <w:tblW w:w="4120" w:type="dxa"/>
                        <w:tblInd w:w="2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4120"/>
                      </w:tblGrid>
                      <w:tr w14:paraId="68ED5223">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2723" w:hRule="atLeast"/>
                        </w:trPr>
                        <w:tc>
                          <w:tcPr>
                            <w:tcW w:w="4120" w:type="dxa"/>
                            <w:tcBorders>
                              <w:top w:val="single" w:color="auto" w:sz="4" w:space="0"/>
                              <w:left w:val="single" w:color="auto" w:sz="4" w:space="0"/>
                              <w:bottom w:val="single" w:color="auto" w:sz="4" w:space="0"/>
                              <w:right w:val="single" w:color="auto" w:sz="4" w:space="0"/>
                            </w:tcBorders>
                            <w:vAlign w:val="top"/>
                          </w:tcPr>
                          <w:p w14:paraId="732BE12A">
                            <w:pPr>
                              <w:spacing w:line="260" w:lineRule="auto"/>
                              <w:rPr>
                                <w:rFonts w:ascii="Arial"/>
                                <w:sz w:val="21"/>
                              </w:rPr>
                            </w:pPr>
                          </w:p>
                          <w:p w14:paraId="53BFF5FD">
                            <w:pPr>
                              <w:spacing w:line="260" w:lineRule="auto"/>
                              <w:rPr>
                                <w:rFonts w:ascii="Arial"/>
                                <w:sz w:val="21"/>
                              </w:rPr>
                            </w:pPr>
                          </w:p>
                          <w:p w14:paraId="16F99F54">
                            <w:pPr>
                              <w:spacing w:line="261" w:lineRule="auto"/>
                              <w:rPr>
                                <w:rFonts w:ascii="Arial"/>
                                <w:sz w:val="21"/>
                              </w:rPr>
                            </w:pPr>
                          </w:p>
                          <w:p w14:paraId="68282D76">
                            <w:pPr>
                              <w:spacing w:line="261" w:lineRule="auto"/>
                              <w:rPr>
                                <w:rFonts w:ascii="Arial"/>
                                <w:sz w:val="21"/>
                              </w:rPr>
                            </w:pPr>
                          </w:p>
                          <w:p w14:paraId="7A436FB1">
                            <w:pPr>
                              <w:spacing w:line="261" w:lineRule="auto"/>
                              <w:rPr>
                                <w:rFonts w:ascii="Arial"/>
                                <w:sz w:val="21"/>
                              </w:rPr>
                            </w:pPr>
                          </w:p>
                          <w:p w14:paraId="6A06EF44">
                            <w:pPr>
                              <w:spacing w:before="65" w:line="227" w:lineRule="auto"/>
                              <w:ind w:left="1012"/>
                              <w:rPr>
                                <w:rFonts w:ascii="宋体" w:hAnsi="宋体" w:eastAsia="宋体" w:cs="宋体"/>
                                <w:sz w:val="20"/>
                                <w:szCs w:val="20"/>
                              </w:rPr>
                            </w:pPr>
                            <w:r>
                              <w:rPr>
                                <w:rFonts w:ascii="宋体" w:hAnsi="宋体" w:eastAsia="宋体" w:cs="宋体"/>
                                <w:spacing w:val="7"/>
                                <w:sz w:val="20"/>
                                <w:szCs w:val="20"/>
                              </w:rPr>
                              <w:t>附法人身份证复印件正面</w:t>
                            </w:r>
                          </w:p>
                        </w:tc>
                      </w:tr>
                    </w:tbl>
                    <w:p w14:paraId="5F9B8F23">
                      <w:pPr>
                        <w:pStyle w:val="4"/>
                      </w:pPr>
                    </w:p>
                  </w:txbxContent>
                </v:textbox>
              </v:shape>
            </w:pict>
          </mc:Fallback>
        </mc:AlternateContent>
      </w:r>
      <w:r>
        <w:rPr>
          <w:rFonts w:ascii="仿宋" w:hAnsi="仿宋" w:eastAsia="仿宋" w:cs="仿宋"/>
          <w:b/>
          <w:bCs/>
          <w:spacing w:val="-5"/>
          <w:position w:val="12"/>
          <w:sz w:val="28"/>
          <w:szCs w:val="28"/>
        </w:rPr>
        <w:t>（商务技术文件）</w:t>
      </w:r>
    </w:p>
    <w:p w14:paraId="413341C1">
      <w:pPr>
        <w:spacing w:line="230" w:lineRule="auto"/>
        <w:ind w:left="3827"/>
        <w:rPr>
          <w:rFonts w:ascii="仿宋" w:hAnsi="仿宋" w:eastAsia="仿宋" w:cs="仿宋"/>
          <w:sz w:val="24"/>
          <w:szCs w:val="24"/>
        </w:rPr>
      </w:pPr>
      <w:r>
        <w:rPr>
          <w:rFonts w:hint="eastAsia" w:ascii="仿宋" w:hAnsi="仿宋" w:eastAsia="仿宋" w:cs="仿宋"/>
          <w:b/>
          <w:bCs/>
          <w:spacing w:val="7"/>
          <w:sz w:val="24"/>
          <w:szCs w:val="24"/>
          <w:lang w:val="en-US" w:eastAsia="zh-CN"/>
        </w:rPr>
        <w:t>4</w:t>
      </w:r>
      <w:r>
        <w:rPr>
          <w:rFonts w:ascii="仿宋" w:hAnsi="仿宋" w:eastAsia="仿宋" w:cs="仿宋"/>
          <w:b/>
          <w:bCs/>
          <w:spacing w:val="7"/>
          <w:sz w:val="24"/>
          <w:szCs w:val="24"/>
        </w:rPr>
        <w:t>.法定代表人身份证明</w:t>
      </w:r>
    </w:p>
    <w:p w14:paraId="51A2168C">
      <w:pPr>
        <w:pStyle w:val="4"/>
        <w:spacing w:line="255" w:lineRule="auto"/>
        <w:rPr>
          <w:sz w:val="24"/>
          <w:szCs w:val="24"/>
        </w:rPr>
      </w:pPr>
    </w:p>
    <w:p w14:paraId="48971DFF">
      <w:pPr>
        <w:pStyle w:val="4"/>
        <w:spacing w:line="255" w:lineRule="auto"/>
        <w:rPr>
          <w:sz w:val="24"/>
          <w:szCs w:val="24"/>
        </w:rPr>
      </w:pPr>
    </w:p>
    <w:p w14:paraId="314031CF">
      <w:pPr>
        <w:pStyle w:val="4"/>
        <w:spacing w:line="256" w:lineRule="auto"/>
        <w:rPr>
          <w:sz w:val="24"/>
          <w:szCs w:val="24"/>
        </w:rPr>
      </w:pPr>
    </w:p>
    <w:p w14:paraId="43CFA2C8">
      <w:pPr>
        <w:pStyle w:val="4"/>
        <w:spacing w:line="256" w:lineRule="auto"/>
        <w:rPr>
          <w:sz w:val="24"/>
          <w:szCs w:val="24"/>
        </w:rPr>
      </w:pPr>
    </w:p>
    <w:p w14:paraId="58A576DD">
      <w:pPr>
        <w:pStyle w:val="4"/>
        <w:spacing w:line="256" w:lineRule="auto"/>
        <w:rPr>
          <w:sz w:val="24"/>
          <w:szCs w:val="24"/>
        </w:rPr>
      </w:pPr>
    </w:p>
    <w:p w14:paraId="5977463C">
      <w:pPr>
        <w:spacing w:before="65" w:line="229" w:lineRule="auto"/>
        <w:ind w:left="642"/>
        <w:rPr>
          <w:rFonts w:ascii="仿宋" w:hAnsi="仿宋" w:eastAsia="仿宋" w:cs="仿宋"/>
          <w:sz w:val="24"/>
          <w:szCs w:val="24"/>
        </w:rPr>
      </w:pPr>
      <w:r>
        <w:rPr>
          <w:rFonts w:hint="eastAsia" w:ascii="仿宋" w:hAnsi="仿宋" w:eastAsia="仿宋" w:cs="仿宋"/>
          <w:spacing w:val="7"/>
          <w:sz w:val="24"/>
          <w:szCs w:val="24"/>
          <w:lang w:eastAsia="zh-CN"/>
        </w:rPr>
        <w:t>供应商</w:t>
      </w:r>
      <w:r>
        <w:rPr>
          <w:rFonts w:ascii="仿宋" w:hAnsi="仿宋" w:eastAsia="仿宋" w:cs="仿宋"/>
          <w:spacing w:val="7"/>
          <w:sz w:val="24"/>
          <w:szCs w:val="24"/>
        </w:rPr>
        <w:t>名称：</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pacing w:val="1"/>
          <w:sz w:val="24"/>
          <w:szCs w:val="24"/>
        </w:rPr>
        <w:t xml:space="preserve"> </w:t>
      </w:r>
    </w:p>
    <w:p w14:paraId="77A9D549">
      <w:pPr>
        <w:spacing w:before="152" w:line="231" w:lineRule="auto"/>
        <w:ind w:left="642"/>
        <w:rPr>
          <w:rFonts w:ascii="仿宋" w:hAnsi="仿宋" w:eastAsia="仿宋" w:cs="仿宋"/>
          <w:sz w:val="24"/>
          <w:szCs w:val="24"/>
        </w:rPr>
      </w:pPr>
      <w:r>
        <w:rPr>
          <w:rFonts w:hint="eastAsia" w:ascii="仿宋" w:hAnsi="仿宋" w:eastAsia="仿宋" w:cs="仿宋"/>
          <w:spacing w:val="7"/>
          <w:sz w:val="24"/>
          <w:szCs w:val="24"/>
          <w:lang w:eastAsia="zh-CN"/>
        </w:rPr>
        <w:t>供应商</w:t>
      </w:r>
      <w:r>
        <w:rPr>
          <w:rFonts w:ascii="仿宋" w:hAnsi="仿宋" w:eastAsia="仿宋" w:cs="仿宋"/>
          <w:spacing w:val="7"/>
          <w:sz w:val="24"/>
          <w:szCs w:val="24"/>
        </w:rPr>
        <w:t>类型：</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pacing w:val="1"/>
          <w:sz w:val="24"/>
          <w:szCs w:val="24"/>
        </w:rPr>
        <w:t xml:space="preserve"> </w:t>
      </w:r>
    </w:p>
    <w:p w14:paraId="2FD23E2B">
      <w:pPr>
        <w:spacing w:before="148"/>
        <w:ind w:left="644"/>
        <w:rPr>
          <w:rFonts w:ascii="仿宋" w:hAnsi="仿宋" w:eastAsia="仿宋" w:cs="仿宋"/>
          <w:sz w:val="24"/>
          <w:szCs w:val="24"/>
        </w:rPr>
      </w:pPr>
      <w:r>
        <w:rPr>
          <w:rFonts w:ascii="仿宋" w:hAnsi="仿宋" w:eastAsia="仿宋" w:cs="仿宋"/>
          <w:spacing w:val="-1"/>
          <w:sz w:val="24"/>
          <w:szCs w:val="24"/>
        </w:rPr>
        <w:t>地</w:t>
      </w:r>
      <w:r>
        <w:rPr>
          <w:rFonts w:ascii="仿宋" w:hAnsi="仿宋" w:eastAsia="仿宋" w:cs="仿宋"/>
          <w:spacing w:val="11"/>
          <w:sz w:val="24"/>
          <w:szCs w:val="24"/>
        </w:rPr>
        <w:t xml:space="preserve">    </w:t>
      </w:r>
      <w:r>
        <w:rPr>
          <w:rFonts w:ascii="仿宋" w:hAnsi="仿宋" w:eastAsia="仿宋" w:cs="仿宋"/>
          <w:spacing w:val="-1"/>
          <w:sz w:val="24"/>
          <w:szCs w:val="24"/>
        </w:rPr>
        <w:t>址：</w:t>
      </w:r>
      <w:r>
        <w:rPr>
          <w:rFonts w:ascii="仿宋" w:hAnsi="仿宋" w:eastAsia="仿宋" w:cs="仿宋"/>
          <w:spacing w:val="-1"/>
          <w:sz w:val="24"/>
          <w:szCs w:val="24"/>
          <w:u w:val="single" w:color="auto"/>
        </w:rPr>
        <w:t xml:space="preserve">                                                      </w:t>
      </w:r>
    </w:p>
    <w:p w14:paraId="0336F6E1">
      <w:pPr>
        <w:spacing w:before="140" w:line="231" w:lineRule="auto"/>
        <w:ind w:left="649"/>
        <w:rPr>
          <w:rFonts w:ascii="仿宋" w:hAnsi="仿宋" w:eastAsia="仿宋" w:cs="仿宋"/>
          <w:sz w:val="24"/>
          <w:szCs w:val="24"/>
        </w:rPr>
      </w:pPr>
      <w:r>
        <w:rPr>
          <w:rFonts w:ascii="仿宋" w:hAnsi="仿宋" w:eastAsia="仿宋" w:cs="仿宋"/>
          <w:spacing w:val="3"/>
          <w:sz w:val="24"/>
          <w:szCs w:val="24"/>
        </w:rPr>
        <w:t>营业期限：</w:t>
      </w:r>
      <w:r>
        <w:rPr>
          <w:rFonts w:ascii="仿宋" w:hAnsi="仿宋" w:eastAsia="仿宋" w:cs="仿宋"/>
          <w:spacing w:val="3"/>
          <w:sz w:val="24"/>
          <w:szCs w:val="24"/>
          <w:u w:val="single" w:color="auto"/>
        </w:rPr>
        <w:t xml:space="preserve">                                                    </w:t>
      </w:r>
    </w:p>
    <w:p w14:paraId="02A75030">
      <w:pPr>
        <w:spacing w:before="151" w:line="232" w:lineRule="auto"/>
        <w:ind w:left="646"/>
        <w:rPr>
          <w:rFonts w:ascii="仿宋" w:hAnsi="仿宋" w:eastAsia="仿宋" w:cs="仿宋"/>
          <w:sz w:val="24"/>
          <w:szCs w:val="24"/>
        </w:rPr>
      </w:pPr>
      <w:r>
        <w:rPr>
          <w:rFonts w:ascii="仿宋" w:hAnsi="仿宋" w:eastAsia="仿宋" w:cs="仿宋"/>
          <w:spacing w:val="3"/>
          <w:sz w:val="24"/>
          <w:szCs w:val="24"/>
        </w:rPr>
        <w:t>成立时间：</w:t>
      </w:r>
      <w:r>
        <w:rPr>
          <w:rFonts w:ascii="仿宋" w:hAnsi="仿宋" w:eastAsia="仿宋" w:cs="仿宋"/>
          <w:spacing w:val="3"/>
          <w:sz w:val="24"/>
          <w:szCs w:val="24"/>
          <w:u w:val="single" w:color="auto"/>
        </w:rPr>
        <w:t xml:space="preserve">                                                    </w:t>
      </w:r>
    </w:p>
    <w:p w14:paraId="74494448">
      <w:pPr>
        <w:spacing w:before="147" w:line="229" w:lineRule="auto"/>
        <w:ind w:left="643"/>
        <w:rPr>
          <w:rFonts w:ascii="仿宋" w:hAnsi="仿宋" w:eastAsia="仿宋" w:cs="仿宋"/>
          <w:sz w:val="24"/>
          <w:szCs w:val="24"/>
        </w:rPr>
      </w:pPr>
      <w:r>
        <w:rPr>
          <w:rFonts w:ascii="仿宋" w:hAnsi="仿宋" w:eastAsia="仿宋" w:cs="仿宋"/>
          <w:spacing w:val="4"/>
          <w:sz w:val="24"/>
          <w:szCs w:val="24"/>
        </w:rPr>
        <w:t>姓名：</w:t>
      </w:r>
      <w:r>
        <w:rPr>
          <w:rFonts w:ascii="仿宋" w:hAnsi="仿宋" w:eastAsia="仿宋" w:cs="仿宋"/>
          <w:spacing w:val="5"/>
          <w:sz w:val="24"/>
          <w:szCs w:val="24"/>
          <w:u w:val="single" w:color="auto"/>
        </w:rPr>
        <w:t xml:space="preserve">                   </w:t>
      </w:r>
      <w:r>
        <w:rPr>
          <w:rFonts w:ascii="仿宋" w:hAnsi="仿宋" w:eastAsia="仿宋" w:cs="仿宋"/>
          <w:spacing w:val="9"/>
          <w:sz w:val="24"/>
          <w:szCs w:val="24"/>
        </w:rPr>
        <w:t xml:space="preserve">     </w:t>
      </w:r>
      <w:r>
        <w:rPr>
          <w:rFonts w:ascii="仿宋" w:hAnsi="仿宋" w:eastAsia="仿宋" w:cs="仿宋"/>
          <w:spacing w:val="4"/>
          <w:sz w:val="24"/>
          <w:szCs w:val="24"/>
        </w:rPr>
        <w:t>性别：</w:t>
      </w:r>
      <w:r>
        <w:rPr>
          <w:rFonts w:ascii="仿宋" w:hAnsi="仿宋" w:eastAsia="仿宋" w:cs="仿宋"/>
          <w:sz w:val="24"/>
          <w:szCs w:val="24"/>
          <w:u w:val="single" w:color="auto"/>
        </w:rPr>
        <w:t xml:space="preserve">                 </w:t>
      </w:r>
    </w:p>
    <w:p w14:paraId="5223602B">
      <w:pPr>
        <w:spacing w:before="153" w:line="231" w:lineRule="auto"/>
        <w:ind w:left="647"/>
        <w:rPr>
          <w:rFonts w:ascii="仿宋" w:hAnsi="仿宋" w:eastAsia="仿宋" w:cs="仿宋"/>
          <w:sz w:val="24"/>
          <w:szCs w:val="24"/>
        </w:rPr>
      </w:pPr>
      <w:r>
        <w:rPr>
          <w:rFonts w:ascii="仿宋" w:hAnsi="仿宋" w:eastAsia="仿宋" w:cs="仿宋"/>
          <w:spacing w:val="4"/>
          <w:sz w:val="24"/>
          <w:szCs w:val="24"/>
        </w:rPr>
        <w:t>年龄：</w:t>
      </w:r>
      <w:r>
        <w:rPr>
          <w:rFonts w:ascii="仿宋" w:hAnsi="仿宋" w:eastAsia="仿宋" w:cs="仿宋"/>
          <w:spacing w:val="5"/>
          <w:sz w:val="24"/>
          <w:szCs w:val="24"/>
          <w:u w:val="single" w:color="auto"/>
        </w:rPr>
        <w:t xml:space="preserve">                   </w:t>
      </w:r>
      <w:r>
        <w:rPr>
          <w:rFonts w:ascii="仿宋" w:hAnsi="仿宋" w:eastAsia="仿宋" w:cs="仿宋"/>
          <w:spacing w:val="8"/>
          <w:sz w:val="24"/>
          <w:szCs w:val="24"/>
        </w:rPr>
        <w:t xml:space="preserve">     </w:t>
      </w:r>
      <w:r>
        <w:rPr>
          <w:rFonts w:ascii="仿宋" w:hAnsi="仿宋" w:eastAsia="仿宋" w:cs="仿宋"/>
          <w:spacing w:val="4"/>
          <w:sz w:val="24"/>
          <w:szCs w:val="24"/>
        </w:rPr>
        <w:t>职务：</w:t>
      </w:r>
      <w:r>
        <w:rPr>
          <w:rFonts w:ascii="仿宋" w:hAnsi="仿宋" w:eastAsia="仿宋" w:cs="仿宋"/>
          <w:sz w:val="24"/>
          <w:szCs w:val="24"/>
          <w:u w:val="single" w:color="auto"/>
        </w:rPr>
        <w:t xml:space="preserve">                 </w:t>
      </w:r>
    </w:p>
    <w:p w14:paraId="0ACB2B33">
      <w:pPr>
        <w:spacing w:before="151" w:line="229" w:lineRule="auto"/>
        <w:ind w:left="651"/>
        <w:rPr>
          <w:rFonts w:ascii="仿宋" w:hAnsi="仿宋" w:eastAsia="仿宋" w:cs="仿宋"/>
          <w:sz w:val="24"/>
          <w:szCs w:val="24"/>
        </w:rPr>
      </w:pPr>
      <w:r>
        <w:rPr>
          <w:rFonts w:ascii="仿宋" w:hAnsi="仿宋" w:eastAsia="仿宋" w:cs="仿宋"/>
          <w:spacing w:val="5"/>
          <w:sz w:val="24"/>
          <w:szCs w:val="24"/>
        </w:rPr>
        <w:t xml:space="preserve">系 </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w:t>
      </w:r>
      <w:r>
        <w:rPr>
          <w:rFonts w:hint="eastAsia" w:ascii="仿宋" w:hAnsi="仿宋" w:eastAsia="仿宋" w:cs="仿宋"/>
          <w:spacing w:val="5"/>
          <w:sz w:val="24"/>
          <w:szCs w:val="24"/>
          <w:lang w:eastAsia="zh-CN"/>
        </w:rPr>
        <w:t>供应商</w:t>
      </w:r>
      <w:r>
        <w:rPr>
          <w:rFonts w:ascii="仿宋" w:hAnsi="仿宋" w:eastAsia="仿宋" w:cs="仿宋"/>
          <w:spacing w:val="5"/>
          <w:sz w:val="24"/>
          <w:szCs w:val="24"/>
        </w:rPr>
        <w:t>名称）</w:t>
      </w:r>
      <w:r>
        <w:rPr>
          <w:rFonts w:ascii="仿宋" w:hAnsi="仿宋" w:eastAsia="仿宋" w:cs="仿宋"/>
          <w:spacing w:val="5"/>
          <w:sz w:val="24"/>
          <w:szCs w:val="24"/>
          <w:u w:val="single" w:color="auto"/>
        </w:rPr>
        <w:t xml:space="preserve">               </w:t>
      </w:r>
      <w:r>
        <w:rPr>
          <w:rFonts w:ascii="仿宋" w:hAnsi="仿宋" w:eastAsia="仿宋" w:cs="仿宋"/>
          <w:spacing w:val="-61"/>
          <w:sz w:val="24"/>
          <w:szCs w:val="24"/>
        </w:rPr>
        <w:t xml:space="preserve"> </w:t>
      </w:r>
      <w:r>
        <w:rPr>
          <w:rFonts w:ascii="仿宋" w:hAnsi="仿宋" w:eastAsia="仿宋" w:cs="仿宋"/>
          <w:spacing w:val="5"/>
          <w:sz w:val="24"/>
          <w:szCs w:val="24"/>
        </w:rPr>
        <w:t>的法定代表人。</w:t>
      </w:r>
    </w:p>
    <w:p w14:paraId="3AEDF5E2">
      <w:pPr>
        <w:pStyle w:val="4"/>
        <w:spacing w:line="241" w:lineRule="auto"/>
        <w:rPr>
          <w:sz w:val="24"/>
          <w:szCs w:val="24"/>
        </w:rPr>
      </w:pPr>
    </w:p>
    <w:p w14:paraId="5AA32894">
      <w:pPr>
        <w:pStyle w:val="4"/>
        <w:spacing w:line="241" w:lineRule="auto"/>
        <w:rPr>
          <w:sz w:val="24"/>
          <w:szCs w:val="24"/>
        </w:rPr>
      </w:pPr>
    </w:p>
    <w:p w14:paraId="33C1AE28">
      <w:pPr>
        <w:spacing w:before="66" w:line="232" w:lineRule="auto"/>
        <w:ind w:left="642"/>
        <w:rPr>
          <w:rFonts w:ascii="仿宋" w:hAnsi="仿宋" w:eastAsia="仿宋" w:cs="仿宋"/>
          <w:sz w:val="24"/>
          <w:szCs w:val="24"/>
        </w:rPr>
      </w:pPr>
      <w:r>
        <w:rPr>
          <w:rFonts w:ascii="仿宋" w:hAnsi="仿宋" w:eastAsia="仿宋" w:cs="仿宋"/>
          <w:spacing w:val="4"/>
          <w:sz w:val="24"/>
          <w:szCs w:val="24"/>
        </w:rPr>
        <w:t>特此证明。</w:t>
      </w:r>
    </w:p>
    <w:p w14:paraId="16688A84">
      <w:pPr>
        <w:spacing w:before="25"/>
      </w:pPr>
    </w:p>
    <w:tbl>
      <w:tblPr>
        <w:tblStyle w:val="14"/>
        <w:tblW w:w="4251" w:type="dxa"/>
        <w:tblInd w:w="4824"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4251"/>
      </w:tblGrid>
      <w:tr w14:paraId="060FCDB5">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2800" w:hRule="atLeast"/>
        </w:trPr>
        <w:tc>
          <w:tcPr>
            <w:tcW w:w="4251" w:type="dxa"/>
            <w:vAlign w:val="top"/>
          </w:tcPr>
          <w:p w14:paraId="48FE65D2">
            <w:pPr>
              <w:spacing w:line="260" w:lineRule="auto"/>
              <w:rPr>
                <w:rFonts w:ascii="Arial"/>
                <w:sz w:val="21"/>
              </w:rPr>
            </w:pPr>
          </w:p>
          <w:p w14:paraId="422CA5A8">
            <w:pPr>
              <w:spacing w:line="260" w:lineRule="auto"/>
              <w:rPr>
                <w:rFonts w:ascii="Arial"/>
                <w:sz w:val="21"/>
              </w:rPr>
            </w:pPr>
          </w:p>
          <w:p w14:paraId="4EB823F1">
            <w:pPr>
              <w:spacing w:line="261" w:lineRule="auto"/>
              <w:rPr>
                <w:rFonts w:ascii="Arial"/>
                <w:sz w:val="21"/>
              </w:rPr>
            </w:pPr>
          </w:p>
          <w:p w14:paraId="1D3585D0">
            <w:pPr>
              <w:spacing w:line="261" w:lineRule="auto"/>
              <w:rPr>
                <w:rFonts w:ascii="Arial"/>
                <w:sz w:val="21"/>
              </w:rPr>
            </w:pPr>
          </w:p>
          <w:p w14:paraId="7463E039">
            <w:pPr>
              <w:spacing w:line="261" w:lineRule="auto"/>
              <w:rPr>
                <w:rFonts w:ascii="Arial"/>
                <w:sz w:val="21"/>
              </w:rPr>
            </w:pPr>
          </w:p>
          <w:p w14:paraId="0771B94A">
            <w:pPr>
              <w:spacing w:before="65" w:line="227" w:lineRule="auto"/>
              <w:ind w:left="1118"/>
              <w:rPr>
                <w:rFonts w:ascii="宋体" w:hAnsi="宋体" w:eastAsia="宋体" w:cs="宋体"/>
                <w:sz w:val="20"/>
                <w:szCs w:val="20"/>
              </w:rPr>
            </w:pPr>
            <w:r>
              <w:rPr>
                <w:rFonts w:ascii="宋体" w:hAnsi="宋体" w:eastAsia="宋体" w:cs="宋体"/>
                <w:spacing w:val="7"/>
                <w:sz w:val="20"/>
                <w:szCs w:val="20"/>
              </w:rPr>
              <w:t>附法人身份证复印件反面</w:t>
            </w:r>
          </w:p>
        </w:tc>
      </w:tr>
    </w:tbl>
    <w:p w14:paraId="2F00B8EC">
      <w:pPr>
        <w:pStyle w:val="4"/>
        <w:spacing w:line="282" w:lineRule="auto"/>
      </w:pPr>
    </w:p>
    <w:p w14:paraId="7A60556B">
      <w:pPr>
        <w:pStyle w:val="4"/>
        <w:spacing w:line="283" w:lineRule="auto"/>
      </w:pPr>
    </w:p>
    <w:p w14:paraId="0284FD9E">
      <w:pPr>
        <w:pStyle w:val="4"/>
        <w:spacing w:line="283" w:lineRule="auto"/>
      </w:pPr>
    </w:p>
    <w:p w14:paraId="6A676296">
      <w:pPr>
        <w:pStyle w:val="4"/>
        <w:spacing w:line="283" w:lineRule="auto"/>
      </w:pPr>
    </w:p>
    <w:p w14:paraId="2D1AB853">
      <w:pPr>
        <w:pStyle w:val="4"/>
        <w:spacing w:line="283" w:lineRule="auto"/>
        <w:rPr>
          <w:sz w:val="24"/>
          <w:szCs w:val="24"/>
        </w:rPr>
      </w:pPr>
    </w:p>
    <w:p w14:paraId="756C6AA8">
      <w:pPr>
        <w:spacing w:before="66" w:line="229" w:lineRule="auto"/>
        <w:ind w:left="4364"/>
        <w:rPr>
          <w:rFonts w:ascii="仿宋" w:hAnsi="仿宋" w:eastAsia="仿宋" w:cs="仿宋"/>
          <w:sz w:val="24"/>
          <w:szCs w:val="24"/>
        </w:rPr>
      </w:pPr>
      <w:r>
        <w:rPr>
          <w:rFonts w:hint="eastAsia" w:ascii="仿宋" w:hAnsi="仿宋" w:eastAsia="仿宋" w:cs="仿宋"/>
          <w:spacing w:val="7"/>
          <w:sz w:val="24"/>
          <w:szCs w:val="24"/>
          <w:lang w:eastAsia="zh-CN"/>
        </w:rPr>
        <w:t>供应商</w:t>
      </w:r>
      <w:r>
        <w:rPr>
          <w:rFonts w:ascii="仿宋" w:hAnsi="仿宋" w:eastAsia="仿宋" w:cs="仿宋"/>
          <w:spacing w:val="7"/>
          <w:sz w:val="24"/>
          <w:szCs w:val="24"/>
        </w:rPr>
        <w:t>名称(公章)：</w:t>
      </w:r>
      <w:r>
        <w:rPr>
          <w:rFonts w:ascii="仿宋" w:hAnsi="仿宋" w:eastAsia="仿宋" w:cs="仿宋"/>
          <w:sz w:val="24"/>
          <w:szCs w:val="24"/>
          <w:u w:val="single" w:color="auto"/>
        </w:rPr>
        <w:t xml:space="preserve">                     </w:t>
      </w:r>
    </w:p>
    <w:p w14:paraId="2BF41AF6">
      <w:pPr>
        <w:spacing w:before="25" w:line="231" w:lineRule="auto"/>
        <w:ind w:left="4364"/>
        <w:rPr>
          <w:rFonts w:ascii="仿宋" w:hAnsi="仿宋" w:eastAsia="仿宋" w:cs="仿宋"/>
          <w:sz w:val="24"/>
          <w:szCs w:val="24"/>
        </w:rPr>
      </w:pPr>
      <w:r>
        <w:rPr>
          <w:rFonts w:hint="eastAsia" w:ascii="仿宋" w:hAnsi="仿宋" w:eastAsia="仿宋" w:cs="仿宋"/>
          <w:spacing w:val="8"/>
          <w:sz w:val="24"/>
          <w:szCs w:val="24"/>
          <w:lang w:eastAsia="zh-CN"/>
        </w:rPr>
        <w:t>供应商</w:t>
      </w:r>
      <w:r>
        <w:rPr>
          <w:rFonts w:ascii="仿宋" w:hAnsi="仿宋" w:eastAsia="仿宋" w:cs="仿宋"/>
          <w:spacing w:val="8"/>
          <w:sz w:val="24"/>
          <w:szCs w:val="24"/>
        </w:rPr>
        <w:t>法人或授权代表（签字</w:t>
      </w:r>
      <w:r>
        <w:rPr>
          <w:rFonts w:hint="eastAsia" w:ascii="仿宋" w:hAnsi="仿宋" w:eastAsia="仿宋" w:cs="仿宋"/>
          <w:spacing w:val="8"/>
          <w:sz w:val="24"/>
          <w:szCs w:val="24"/>
          <w:lang w:val="en-US" w:eastAsia="zh-Hans"/>
        </w:rPr>
        <w:t>或盖章</w:t>
      </w:r>
      <w:r>
        <w:rPr>
          <w:rFonts w:ascii="仿宋" w:hAnsi="仿宋" w:eastAsia="仿宋" w:cs="仿宋"/>
          <w:spacing w:val="8"/>
          <w:sz w:val="24"/>
          <w:szCs w:val="24"/>
        </w:rPr>
        <w:t>）：</w:t>
      </w:r>
      <w:r>
        <w:rPr>
          <w:rFonts w:ascii="仿宋" w:hAnsi="仿宋" w:eastAsia="仿宋" w:cs="仿宋"/>
          <w:sz w:val="24"/>
          <w:szCs w:val="24"/>
          <w:u w:val="single" w:color="auto"/>
        </w:rPr>
        <w:t xml:space="preserve">             </w:t>
      </w:r>
    </w:p>
    <w:p w14:paraId="3BE451A3">
      <w:pPr>
        <w:spacing w:before="131" w:line="231" w:lineRule="auto"/>
        <w:ind w:left="4409"/>
        <w:rPr>
          <w:rFonts w:ascii="仿宋" w:hAnsi="仿宋" w:eastAsia="仿宋" w:cs="仿宋"/>
          <w:sz w:val="20"/>
          <w:szCs w:val="20"/>
        </w:rPr>
      </w:pPr>
      <w:r>
        <w:rPr>
          <w:rFonts w:ascii="仿宋" w:hAnsi="仿宋" w:eastAsia="仿宋" w:cs="仿宋"/>
          <w:spacing w:val="-13"/>
          <w:sz w:val="24"/>
          <w:szCs w:val="24"/>
        </w:rPr>
        <w:t>日</w:t>
      </w:r>
      <w:r>
        <w:rPr>
          <w:rFonts w:ascii="仿宋" w:hAnsi="仿宋" w:eastAsia="仿宋" w:cs="仿宋"/>
          <w:spacing w:val="9"/>
          <w:sz w:val="24"/>
          <w:szCs w:val="24"/>
        </w:rPr>
        <w:t xml:space="preserve">   </w:t>
      </w:r>
      <w:r>
        <w:rPr>
          <w:rFonts w:ascii="仿宋" w:hAnsi="仿宋" w:eastAsia="仿宋" w:cs="仿宋"/>
          <w:spacing w:val="-13"/>
          <w:sz w:val="24"/>
          <w:szCs w:val="24"/>
        </w:rPr>
        <w:t>期：</w:t>
      </w:r>
      <w:r>
        <w:rPr>
          <w:rFonts w:ascii="仿宋" w:hAnsi="仿宋" w:eastAsia="仿宋" w:cs="仿宋"/>
          <w:spacing w:val="16"/>
          <w:sz w:val="24"/>
          <w:szCs w:val="24"/>
        </w:rPr>
        <w:t xml:space="preserve"> </w:t>
      </w:r>
      <w:r>
        <w:rPr>
          <w:rFonts w:ascii="仿宋" w:hAnsi="仿宋" w:eastAsia="仿宋" w:cs="仿宋"/>
          <w:spacing w:val="5"/>
          <w:sz w:val="24"/>
          <w:szCs w:val="24"/>
          <w:u w:val="single" w:color="auto"/>
        </w:rPr>
        <w:t xml:space="preserve">    </w:t>
      </w:r>
      <w:r>
        <w:rPr>
          <w:rFonts w:ascii="仿宋" w:hAnsi="仿宋" w:eastAsia="仿宋" w:cs="仿宋"/>
          <w:spacing w:val="-81"/>
          <w:sz w:val="24"/>
          <w:szCs w:val="24"/>
        </w:rPr>
        <w:t xml:space="preserve"> </w:t>
      </w:r>
      <w:r>
        <w:rPr>
          <w:rFonts w:ascii="仿宋" w:hAnsi="仿宋" w:eastAsia="仿宋" w:cs="仿宋"/>
          <w:spacing w:val="-13"/>
          <w:sz w:val="24"/>
          <w:szCs w:val="24"/>
        </w:rPr>
        <w:t>年</w:t>
      </w:r>
      <w:r>
        <w:rPr>
          <w:rFonts w:ascii="仿宋" w:hAnsi="仿宋" w:eastAsia="仿宋" w:cs="仿宋"/>
          <w:spacing w:val="-99"/>
          <w:sz w:val="24"/>
          <w:szCs w:val="24"/>
        </w:rPr>
        <w:t xml:space="preserve"> </w:t>
      </w:r>
      <w:r>
        <w:rPr>
          <w:rFonts w:ascii="仿宋" w:hAnsi="仿宋" w:eastAsia="仿宋" w:cs="仿宋"/>
          <w:spacing w:val="5"/>
          <w:sz w:val="24"/>
          <w:szCs w:val="24"/>
          <w:u w:val="single" w:color="auto"/>
        </w:rPr>
        <w:t xml:space="preserve">   </w:t>
      </w:r>
      <w:r>
        <w:rPr>
          <w:rFonts w:ascii="仿宋" w:hAnsi="仿宋" w:eastAsia="仿宋" w:cs="仿宋"/>
          <w:spacing w:val="-76"/>
          <w:sz w:val="24"/>
          <w:szCs w:val="24"/>
        </w:rPr>
        <w:t xml:space="preserve"> </w:t>
      </w:r>
      <w:r>
        <w:rPr>
          <w:rFonts w:ascii="仿宋" w:hAnsi="仿宋" w:eastAsia="仿宋" w:cs="仿宋"/>
          <w:spacing w:val="-13"/>
          <w:sz w:val="24"/>
          <w:szCs w:val="24"/>
        </w:rPr>
        <w:t>月</w:t>
      </w:r>
      <w:r>
        <w:rPr>
          <w:rFonts w:ascii="仿宋" w:hAnsi="仿宋" w:eastAsia="仿宋" w:cs="仿宋"/>
          <w:spacing w:val="5"/>
          <w:sz w:val="24"/>
          <w:szCs w:val="24"/>
          <w:u w:val="single" w:color="auto"/>
        </w:rPr>
        <w:t xml:space="preserve">   </w:t>
      </w:r>
      <w:r>
        <w:rPr>
          <w:rFonts w:ascii="仿宋" w:hAnsi="仿宋" w:eastAsia="仿宋" w:cs="仿宋"/>
          <w:spacing w:val="-40"/>
          <w:sz w:val="24"/>
          <w:szCs w:val="24"/>
        </w:rPr>
        <w:t xml:space="preserve"> </w:t>
      </w:r>
      <w:r>
        <w:rPr>
          <w:rFonts w:ascii="仿宋" w:hAnsi="仿宋" w:eastAsia="仿宋" w:cs="仿宋"/>
          <w:spacing w:val="-13"/>
          <w:sz w:val="20"/>
          <w:szCs w:val="20"/>
        </w:rPr>
        <w:t>日</w:t>
      </w:r>
    </w:p>
    <w:p w14:paraId="237486F4">
      <w:pPr>
        <w:spacing w:line="231" w:lineRule="auto"/>
        <w:rPr>
          <w:rFonts w:ascii="仿宋" w:hAnsi="仿宋" w:eastAsia="仿宋" w:cs="仿宋"/>
          <w:sz w:val="20"/>
          <w:szCs w:val="20"/>
        </w:rPr>
        <w:sectPr>
          <w:pgSz w:w="11906" w:h="16839"/>
          <w:pgMar w:top="1440" w:right="1080" w:bottom="1440" w:left="1080" w:header="0" w:footer="1054" w:gutter="0"/>
          <w:pgNumType w:fmt="decimal"/>
          <w:cols w:space="720" w:num="1"/>
        </w:sectPr>
      </w:pPr>
    </w:p>
    <w:p w14:paraId="292659C1">
      <w:pPr>
        <w:pStyle w:val="4"/>
        <w:spacing w:line="241" w:lineRule="auto"/>
        <w:jc w:val="center"/>
        <w:rPr>
          <w:rFonts w:hint="eastAsia" w:ascii="仿宋" w:hAnsi="仿宋" w:eastAsia="仿宋" w:cs="仿宋"/>
          <w:b/>
          <w:bCs/>
          <w:snapToGrid w:val="0"/>
          <w:color w:val="000000"/>
          <w:spacing w:val="11"/>
          <w:kern w:val="0"/>
          <w:position w:val="20"/>
          <w:sz w:val="24"/>
          <w:szCs w:val="24"/>
          <w:lang w:val="en-US" w:eastAsia="en-US" w:bidi="ar-SA"/>
        </w:rPr>
      </w:pPr>
      <w:r>
        <w:rPr>
          <w:rFonts w:hint="eastAsia" w:ascii="仿宋" w:hAnsi="仿宋" w:eastAsia="仿宋" w:cs="仿宋"/>
          <w:b/>
          <w:bCs/>
          <w:snapToGrid w:val="0"/>
          <w:color w:val="000000"/>
          <w:spacing w:val="11"/>
          <w:kern w:val="0"/>
          <w:position w:val="20"/>
          <w:sz w:val="24"/>
          <w:szCs w:val="24"/>
          <w:lang w:val="en-US" w:eastAsia="zh-CN" w:bidi="ar-SA"/>
        </w:rPr>
        <w:t>5</w:t>
      </w:r>
      <w:r>
        <w:rPr>
          <w:rFonts w:hint="eastAsia" w:ascii="仿宋" w:hAnsi="仿宋" w:eastAsia="仿宋" w:cs="仿宋"/>
          <w:b/>
          <w:bCs/>
          <w:snapToGrid w:val="0"/>
          <w:color w:val="000000"/>
          <w:spacing w:val="11"/>
          <w:kern w:val="0"/>
          <w:position w:val="20"/>
          <w:sz w:val="24"/>
          <w:szCs w:val="24"/>
          <w:lang w:val="en-US" w:eastAsia="en-US" w:bidi="ar-SA"/>
        </w:rPr>
        <w:t>.法定代表人授权委托书</w:t>
      </w:r>
    </w:p>
    <w:p w14:paraId="08F06FF6">
      <w:pPr>
        <w:pStyle w:val="4"/>
        <w:spacing w:line="241" w:lineRule="auto"/>
        <w:rPr>
          <w:rFonts w:hint="eastAsia" w:ascii="仿宋" w:hAnsi="仿宋" w:eastAsia="仿宋" w:cs="仿宋"/>
          <w:snapToGrid w:val="0"/>
          <w:color w:val="000000"/>
          <w:spacing w:val="11"/>
          <w:kern w:val="0"/>
          <w:position w:val="20"/>
          <w:sz w:val="24"/>
          <w:szCs w:val="24"/>
          <w:lang w:val="en-US" w:eastAsia="en-US" w:bidi="ar-SA"/>
        </w:rPr>
      </w:pPr>
    </w:p>
    <w:p w14:paraId="038BE6A3">
      <w:pPr>
        <w:pStyle w:val="4"/>
        <w:spacing w:line="241" w:lineRule="auto"/>
        <w:ind w:firstLine="524" w:firstLineChars="200"/>
        <w:rPr>
          <w:rFonts w:hint="eastAsia" w:ascii="仿宋" w:hAnsi="仿宋" w:eastAsia="仿宋" w:cs="仿宋"/>
          <w:snapToGrid w:val="0"/>
          <w:color w:val="000000"/>
          <w:spacing w:val="11"/>
          <w:kern w:val="0"/>
          <w:position w:val="20"/>
          <w:sz w:val="24"/>
          <w:szCs w:val="24"/>
          <w:lang w:val="en-US" w:eastAsia="en-US" w:bidi="ar-SA"/>
        </w:rPr>
      </w:pPr>
      <w:r>
        <w:rPr>
          <w:rFonts w:hint="eastAsia" w:ascii="仿宋" w:hAnsi="仿宋" w:eastAsia="仿宋" w:cs="仿宋"/>
          <w:snapToGrid w:val="0"/>
          <w:color w:val="000000"/>
          <w:spacing w:val="11"/>
          <w:kern w:val="0"/>
          <w:position w:val="20"/>
          <w:sz w:val="24"/>
          <w:szCs w:val="24"/>
          <w:lang w:val="en-US" w:eastAsia="en-US" w:bidi="ar-SA"/>
        </w:rPr>
        <w:t>本授权委托书声明：我</w:t>
      </w:r>
      <w:r>
        <w:rPr>
          <w:rFonts w:hint="eastAsia" w:ascii="仿宋" w:hAnsi="仿宋" w:eastAsia="仿宋" w:cs="仿宋"/>
          <w:snapToGrid w:val="0"/>
          <w:color w:val="000000"/>
          <w:spacing w:val="11"/>
          <w:kern w:val="0"/>
          <w:position w:val="20"/>
          <w:sz w:val="24"/>
          <w:szCs w:val="24"/>
          <w:u w:val="single"/>
          <w:lang w:val="en-US" w:eastAsia="en-US" w:bidi="ar-SA"/>
        </w:rPr>
        <w:t xml:space="preserve"> （姓名）</w:t>
      </w:r>
      <w:r>
        <w:rPr>
          <w:rFonts w:hint="eastAsia" w:ascii="仿宋" w:hAnsi="仿宋" w:eastAsia="仿宋" w:cs="仿宋"/>
          <w:snapToGrid w:val="0"/>
          <w:color w:val="000000"/>
          <w:spacing w:val="11"/>
          <w:kern w:val="0"/>
          <w:position w:val="20"/>
          <w:sz w:val="24"/>
          <w:szCs w:val="24"/>
          <w:lang w:val="en-US" w:eastAsia="en-US" w:bidi="ar-SA"/>
        </w:rPr>
        <w:t>系</w:t>
      </w:r>
      <w:r>
        <w:rPr>
          <w:rFonts w:hint="eastAsia" w:ascii="仿宋" w:hAnsi="仿宋" w:eastAsia="仿宋" w:cs="仿宋"/>
          <w:snapToGrid w:val="0"/>
          <w:color w:val="000000"/>
          <w:spacing w:val="11"/>
          <w:kern w:val="0"/>
          <w:position w:val="20"/>
          <w:sz w:val="24"/>
          <w:szCs w:val="24"/>
          <w:u w:val="single"/>
          <w:lang w:val="en-US" w:eastAsia="en-US" w:bidi="ar-SA"/>
        </w:rPr>
        <w:t>（</w:t>
      </w:r>
      <w:r>
        <w:rPr>
          <w:rFonts w:hint="eastAsia" w:ascii="仿宋" w:hAnsi="仿宋" w:eastAsia="仿宋" w:cs="仿宋"/>
          <w:snapToGrid w:val="0"/>
          <w:color w:val="000000"/>
          <w:spacing w:val="11"/>
          <w:kern w:val="0"/>
          <w:position w:val="20"/>
          <w:sz w:val="24"/>
          <w:szCs w:val="24"/>
          <w:u w:val="single"/>
          <w:lang w:val="en-US" w:eastAsia="zh-CN" w:bidi="ar-SA"/>
        </w:rPr>
        <w:t>供应商</w:t>
      </w:r>
      <w:r>
        <w:rPr>
          <w:rFonts w:hint="eastAsia" w:ascii="仿宋" w:hAnsi="仿宋" w:eastAsia="仿宋" w:cs="仿宋"/>
          <w:snapToGrid w:val="0"/>
          <w:color w:val="000000"/>
          <w:spacing w:val="11"/>
          <w:kern w:val="0"/>
          <w:position w:val="20"/>
          <w:sz w:val="24"/>
          <w:szCs w:val="24"/>
          <w:u w:val="single"/>
          <w:lang w:val="en-US" w:eastAsia="en-US" w:bidi="ar-SA"/>
        </w:rPr>
        <w:t>名称）</w:t>
      </w:r>
      <w:r>
        <w:rPr>
          <w:rFonts w:hint="eastAsia" w:ascii="仿宋" w:hAnsi="仿宋" w:eastAsia="仿宋" w:cs="仿宋"/>
          <w:snapToGrid w:val="0"/>
          <w:color w:val="000000"/>
          <w:spacing w:val="11"/>
          <w:kern w:val="0"/>
          <w:position w:val="20"/>
          <w:sz w:val="24"/>
          <w:szCs w:val="24"/>
          <w:lang w:val="en-US" w:eastAsia="en-US" w:bidi="ar-SA"/>
        </w:rPr>
        <w:t>的法定代表人，现授 权委托</w:t>
      </w:r>
      <w:r>
        <w:rPr>
          <w:rFonts w:hint="eastAsia" w:ascii="仿宋" w:hAnsi="仿宋" w:eastAsia="仿宋" w:cs="仿宋"/>
          <w:snapToGrid w:val="0"/>
          <w:color w:val="000000"/>
          <w:spacing w:val="11"/>
          <w:kern w:val="0"/>
          <w:position w:val="20"/>
          <w:sz w:val="24"/>
          <w:szCs w:val="24"/>
          <w:u w:val="single"/>
          <w:lang w:val="en-US" w:eastAsia="en-US" w:bidi="ar-SA"/>
        </w:rPr>
        <w:t xml:space="preserve"> （</w:t>
      </w:r>
      <w:r>
        <w:rPr>
          <w:rFonts w:hint="eastAsia" w:ascii="仿宋" w:hAnsi="仿宋" w:eastAsia="仿宋" w:cs="仿宋"/>
          <w:snapToGrid w:val="0"/>
          <w:color w:val="000000"/>
          <w:spacing w:val="11"/>
          <w:kern w:val="0"/>
          <w:position w:val="20"/>
          <w:sz w:val="24"/>
          <w:szCs w:val="24"/>
          <w:u w:val="single"/>
          <w:lang w:val="en-US" w:eastAsia="zh-CN" w:bidi="ar-SA"/>
        </w:rPr>
        <w:t>供应商</w:t>
      </w:r>
      <w:r>
        <w:rPr>
          <w:rFonts w:hint="eastAsia" w:ascii="仿宋" w:hAnsi="仿宋" w:eastAsia="仿宋" w:cs="仿宋"/>
          <w:snapToGrid w:val="0"/>
          <w:color w:val="000000"/>
          <w:spacing w:val="11"/>
          <w:kern w:val="0"/>
          <w:position w:val="20"/>
          <w:sz w:val="24"/>
          <w:szCs w:val="24"/>
          <w:u w:val="single"/>
          <w:lang w:val="en-US" w:eastAsia="en-US" w:bidi="ar-SA"/>
        </w:rPr>
        <w:t>名称）</w:t>
      </w:r>
      <w:r>
        <w:rPr>
          <w:rFonts w:hint="eastAsia" w:ascii="仿宋" w:hAnsi="仿宋" w:eastAsia="仿宋" w:cs="仿宋"/>
          <w:snapToGrid w:val="0"/>
          <w:color w:val="000000"/>
          <w:spacing w:val="11"/>
          <w:kern w:val="0"/>
          <w:position w:val="20"/>
          <w:sz w:val="24"/>
          <w:szCs w:val="24"/>
          <w:lang w:val="en-US" w:eastAsia="en-US" w:bidi="ar-SA"/>
        </w:rPr>
        <w:t>的</w:t>
      </w:r>
      <w:r>
        <w:rPr>
          <w:rFonts w:hint="eastAsia" w:ascii="仿宋" w:hAnsi="仿宋" w:eastAsia="仿宋" w:cs="仿宋"/>
          <w:snapToGrid w:val="0"/>
          <w:color w:val="000000"/>
          <w:spacing w:val="11"/>
          <w:kern w:val="0"/>
          <w:position w:val="20"/>
          <w:sz w:val="24"/>
          <w:szCs w:val="24"/>
          <w:u w:val="single"/>
          <w:lang w:val="en-US" w:eastAsia="en-US" w:bidi="ar-SA"/>
        </w:rPr>
        <w:t xml:space="preserve">            （姓名）</w:t>
      </w:r>
      <w:r>
        <w:rPr>
          <w:rFonts w:hint="eastAsia" w:ascii="仿宋" w:hAnsi="仿宋" w:eastAsia="仿宋" w:cs="仿宋"/>
          <w:snapToGrid w:val="0"/>
          <w:color w:val="000000"/>
          <w:spacing w:val="11"/>
          <w:kern w:val="0"/>
          <w:position w:val="20"/>
          <w:sz w:val="24"/>
          <w:szCs w:val="24"/>
          <w:lang w:val="en-US" w:eastAsia="en-US" w:bidi="ar-SA"/>
        </w:rPr>
        <w:t>为我公司代理人，以本公司的名义参加</w:t>
      </w:r>
      <w:r>
        <w:rPr>
          <w:rFonts w:hint="eastAsia" w:ascii="仿宋" w:hAnsi="仿宋" w:eastAsia="仿宋" w:cs="仿宋"/>
          <w:snapToGrid w:val="0"/>
          <w:color w:val="000000"/>
          <w:spacing w:val="11"/>
          <w:kern w:val="0"/>
          <w:position w:val="20"/>
          <w:sz w:val="24"/>
          <w:szCs w:val="24"/>
          <w:u w:val="single"/>
          <w:lang w:val="en-US" w:eastAsia="en-US" w:bidi="ar-SA"/>
        </w:rPr>
        <w:t>（</w:t>
      </w:r>
      <w:r>
        <w:rPr>
          <w:rFonts w:hint="eastAsia" w:ascii="仿宋" w:hAnsi="仿宋" w:eastAsia="仿宋" w:cs="仿宋"/>
          <w:snapToGrid w:val="0"/>
          <w:color w:val="000000"/>
          <w:spacing w:val="11"/>
          <w:kern w:val="0"/>
          <w:position w:val="20"/>
          <w:sz w:val="24"/>
          <w:szCs w:val="24"/>
          <w:u w:val="single"/>
          <w:lang w:val="en-US" w:eastAsia="zh-CN" w:bidi="ar-SA"/>
        </w:rPr>
        <w:t>采购人</w:t>
      </w:r>
      <w:r>
        <w:rPr>
          <w:rFonts w:hint="eastAsia" w:ascii="仿宋" w:hAnsi="仿宋" w:eastAsia="仿宋" w:cs="仿宋"/>
          <w:snapToGrid w:val="0"/>
          <w:color w:val="000000"/>
          <w:spacing w:val="11"/>
          <w:kern w:val="0"/>
          <w:position w:val="20"/>
          <w:sz w:val="24"/>
          <w:szCs w:val="24"/>
          <w:u w:val="single"/>
          <w:lang w:val="en-US" w:eastAsia="en-US" w:bidi="ar-SA"/>
        </w:rPr>
        <w:t>）</w:t>
      </w:r>
      <w:r>
        <w:rPr>
          <w:rFonts w:hint="eastAsia" w:ascii="仿宋" w:hAnsi="仿宋" w:eastAsia="仿宋" w:cs="仿宋"/>
          <w:snapToGrid w:val="0"/>
          <w:color w:val="000000"/>
          <w:spacing w:val="11"/>
          <w:kern w:val="0"/>
          <w:position w:val="20"/>
          <w:sz w:val="24"/>
          <w:szCs w:val="24"/>
          <w:lang w:val="en-US" w:eastAsia="en-US" w:bidi="ar-SA"/>
        </w:rPr>
        <w:t>的</w:t>
      </w:r>
      <w:r>
        <w:rPr>
          <w:rFonts w:hint="eastAsia" w:ascii="仿宋" w:hAnsi="仿宋" w:eastAsia="仿宋" w:cs="仿宋"/>
          <w:snapToGrid w:val="0"/>
          <w:color w:val="000000"/>
          <w:spacing w:val="11"/>
          <w:kern w:val="0"/>
          <w:position w:val="20"/>
          <w:sz w:val="24"/>
          <w:szCs w:val="24"/>
          <w:u w:val="single"/>
          <w:lang w:val="en-US" w:eastAsia="en-US" w:bidi="ar-SA"/>
        </w:rPr>
        <w:t xml:space="preserve">       </w:t>
      </w:r>
      <w:r>
        <w:rPr>
          <w:rFonts w:hint="eastAsia" w:ascii="仿宋" w:hAnsi="仿宋" w:eastAsia="仿宋" w:cs="仿宋"/>
          <w:snapToGrid w:val="0"/>
          <w:color w:val="000000"/>
          <w:spacing w:val="11"/>
          <w:kern w:val="0"/>
          <w:position w:val="20"/>
          <w:sz w:val="24"/>
          <w:szCs w:val="24"/>
          <w:u w:val="single"/>
          <w:lang w:val="en-US" w:eastAsia="zh-CN" w:bidi="ar-SA"/>
        </w:rPr>
        <w:t>（标项名称）</w:t>
      </w:r>
      <w:r>
        <w:rPr>
          <w:rFonts w:hint="eastAsia" w:ascii="仿宋" w:hAnsi="仿宋" w:eastAsia="仿宋" w:cs="仿宋"/>
          <w:snapToGrid w:val="0"/>
          <w:color w:val="000000"/>
          <w:spacing w:val="11"/>
          <w:kern w:val="0"/>
          <w:position w:val="20"/>
          <w:sz w:val="24"/>
          <w:szCs w:val="24"/>
          <w:u w:val="single"/>
          <w:lang w:val="en-US" w:eastAsia="en-US" w:bidi="ar-SA"/>
        </w:rPr>
        <w:t xml:space="preserve">          </w:t>
      </w:r>
      <w:r>
        <w:rPr>
          <w:rFonts w:hint="eastAsia" w:ascii="仿宋" w:hAnsi="仿宋" w:eastAsia="仿宋" w:cs="仿宋"/>
          <w:snapToGrid w:val="0"/>
          <w:color w:val="000000"/>
          <w:spacing w:val="11"/>
          <w:kern w:val="0"/>
          <w:position w:val="20"/>
          <w:sz w:val="24"/>
          <w:szCs w:val="24"/>
          <w:lang w:val="en-US" w:eastAsia="en-US" w:bidi="ar-SA"/>
        </w:rPr>
        <w:t>项目的</w:t>
      </w:r>
      <w:r>
        <w:rPr>
          <w:rFonts w:hint="eastAsia" w:ascii="仿宋" w:hAnsi="仿宋" w:eastAsia="仿宋" w:cs="仿宋"/>
          <w:snapToGrid w:val="0"/>
          <w:color w:val="000000"/>
          <w:spacing w:val="11"/>
          <w:kern w:val="0"/>
          <w:position w:val="20"/>
          <w:sz w:val="24"/>
          <w:szCs w:val="24"/>
          <w:lang w:val="en-US" w:eastAsia="zh-CN" w:bidi="ar-SA"/>
        </w:rPr>
        <w:t>采购</w:t>
      </w:r>
      <w:r>
        <w:rPr>
          <w:rFonts w:hint="eastAsia" w:ascii="仿宋" w:hAnsi="仿宋" w:eastAsia="仿宋" w:cs="仿宋"/>
          <w:snapToGrid w:val="0"/>
          <w:color w:val="000000"/>
          <w:spacing w:val="11"/>
          <w:kern w:val="0"/>
          <w:position w:val="20"/>
          <w:sz w:val="24"/>
          <w:szCs w:val="24"/>
          <w:lang w:val="en-US" w:eastAsia="en-US" w:bidi="ar-SA"/>
        </w:rPr>
        <w:t>活动。代理人签署的</w:t>
      </w:r>
      <w:r>
        <w:rPr>
          <w:rFonts w:hint="eastAsia" w:ascii="仿宋" w:hAnsi="仿宋" w:eastAsia="仿宋" w:cs="仿宋"/>
          <w:snapToGrid w:val="0"/>
          <w:color w:val="000000"/>
          <w:spacing w:val="11"/>
          <w:kern w:val="0"/>
          <w:position w:val="20"/>
          <w:sz w:val="24"/>
          <w:szCs w:val="24"/>
          <w:lang w:val="en-US" w:eastAsia="zh-CN" w:bidi="ar-SA"/>
        </w:rPr>
        <w:t>磋商响应文件</w:t>
      </w:r>
      <w:r>
        <w:rPr>
          <w:rFonts w:hint="eastAsia" w:ascii="仿宋" w:hAnsi="仿宋" w:eastAsia="仿宋" w:cs="仿宋"/>
          <w:snapToGrid w:val="0"/>
          <w:color w:val="000000"/>
          <w:spacing w:val="11"/>
          <w:kern w:val="0"/>
          <w:position w:val="20"/>
          <w:sz w:val="24"/>
          <w:szCs w:val="24"/>
          <w:lang w:val="en-US" w:eastAsia="en-US" w:bidi="ar-SA"/>
        </w:rPr>
        <w:t>和参加整个招标</w:t>
      </w:r>
      <w:r>
        <w:rPr>
          <w:rFonts w:hint="eastAsia" w:ascii="仿宋" w:hAnsi="仿宋" w:eastAsia="仿宋" w:cs="仿宋"/>
          <w:snapToGrid w:val="0"/>
          <w:color w:val="000000"/>
          <w:spacing w:val="11"/>
          <w:kern w:val="0"/>
          <w:position w:val="20"/>
          <w:sz w:val="24"/>
          <w:szCs w:val="24"/>
          <w:lang w:val="en-US" w:eastAsia="zh-CN" w:bidi="ar-SA"/>
        </w:rPr>
        <w:t>采购</w:t>
      </w:r>
      <w:r>
        <w:rPr>
          <w:rFonts w:hint="eastAsia" w:ascii="仿宋" w:hAnsi="仿宋" w:eastAsia="仿宋" w:cs="仿宋"/>
          <w:snapToGrid w:val="0"/>
          <w:color w:val="000000"/>
          <w:spacing w:val="11"/>
          <w:kern w:val="0"/>
          <w:position w:val="20"/>
          <w:sz w:val="24"/>
          <w:szCs w:val="24"/>
          <w:lang w:val="en-US" w:eastAsia="en-US" w:bidi="ar-SA"/>
        </w:rPr>
        <w:t>活动中所签署的一切文件和处理与之有关的一切事物，我均予以承认。</w:t>
      </w:r>
    </w:p>
    <w:p w14:paraId="5C9AE258">
      <w:pPr>
        <w:pStyle w:val="4"/>
        <w:spacing w:line="241" w:lineRule="auto"/>
        <w:rPr>
          <w:rFonts w:hint="eastAsia" w:ascii="仿宋" w:hAnsi="仿宋" w:eastAsia="仿宋" w:cs="仿宋"/>
          <w:snapToGrid w:val="0"/>
          <w:color w:val="000000"/>
          <w:spacing w:val="11"/>
          <w:kern w:val="0"/>
          <w:position w:val="20"/>
          <w:sz w:val="24"/>
          <w:szCs w:val="24"/>
          <w:lang w:val="en-US" w:eastAsia="en-US" w:bidi="ar-SA"/>
        </w:rPr>
      </w:pPr>
    </w:p>
    <w:p w14:paraId="39A65D8B">
      <w:pPr>
        <w:pStyle w:val="4"/>
        <w:spacing w:line="241" w:lineRule="auto"/>
        <w:rPr>
          <w:rFonts w:hint="eastAsia" w:ascii="仿宋" w:hAnsi="仿宋" w:eastAsia="仿宋" w:cs="仿宋"/>
          <w:snapToGrid w:val="0"/>
          <w:color w:val="000000"/>
          <w:spacing w:val="11"/>
          <w:kern w:val="0"/>
          <w:position w:val="20"/>
          <w:sz w:val="24"/>
          <w:szCs w:val="24"/>
          <w:lang w:val="en-US" w:eastAsia="en-US" w:bidi="ar-SA"/>
        </w:rPr>
      </w:pPr>
      <w:r>
        <w:rPr>
          <w:rFonts w:hint="eastAsia" w:ascii="仿宋" w:hAnsi="仿宋" w:eastAsia="仿宋" w:cs="仿宋"/>
          <w:snapToGrid w:val="0"/>
          <w:color w:val="000000"/>
          <w:spacing w:val="11"/>
          <w:kern w:val="0"/>
          <w:position w:val="20"/>
          <w:sz w:val="24"/>
          <w:szCs w:val="24"/>
          <w:lang w:val="en-US" w:eastAsia="en-US" w:bidi="ar-SA"/>
        </w:rPr>
        <w:t>代理人：</w:t>
      </w:r>
      <w:r>
        <w:rPr>
          <w:rFonts w:hint="eastAsia" w:ascii="仿宋" w:hAnsi="仿宋" w:eastAsia="仿宋" w:cs="仿宋"/>
          <w:snapToGrid w:val="0"/>
          <w:color w:val="000000"/>
          <w:spacing w:val="11"/>
          <w:kern w:val="0"/>
          <w:position w:val="20"/>
          <w:sz w:val="24"/>
          <w:szCs w:val="24"/>
          <w:u w:val="single"/>
          <w:lang w:val="en-US" w:eastAsia="en-US" w:bidi="ar-SA"/>
        </w:rPr>
        <w:t xml:space="preserve">               </w:t>
      </w:r>
      <w:r>
        <w:rPr>
          <w:rFonts w:hint="eastAsia" w:ascii="仿宋" w:hAnsi="仿宋" w:eastAsia="仿宋" w:cs="仿宋"/>
          <w:snapToGrid w:val="0"/>
          <w:color w:val="000000"/>
          <w:spacing w:val="11"/>
          <w:kern w:val="0"/>
          <w:position w:val="20"/>
          <w:sz w:val="24"/>
          <w:szCs w:val="24"/>
          <w:lang w:val="en-US" w:eastAsia="en-US" w:bidi="ar-SA"/>
        </w:rPr>
        <w:t>性别：</w:t>
      </w:r>
      <w:r>
        <w:rPr>
          <w:rFonts w:hint="eastAsia" w:ascii="仿宋" w:hAnsi="仿宋" w:eastAsia="仿宋" w:cs="仿宋"/>
          <w:snapToGrid w:val="0"/>
          <w:color w:val="000000"/>
          <w:spacing w:val="11"/>
          <w:kern w:val="0"/>
          <w:position w:val="20"/>
          <w:sz w:val="24"/>
          <w:szCs w:val="24"/>
          <w:u w:val="single"/>
          <w:lang w:val="en-US" w:eastAsia="en-US" w:bidi="ar-SA"/>
        </w:rPr>
        <w:t xml:space="preserve">               </w:t>
      </w:r>
      <w:r>
        <w:rPr>
          <w:rFonts w:hint="eastAsia" w:ascii="仿宋" w:hAnsi="仿宋" w:eastAsia="仿宋" w:cs="仿宋"/>
          <w:snapToGrid w:val="0"/>
          <w:color w:val="000000"/>
          <w:spacing w:val="11"/>
          <w:kern w:val="0"/>
          <w:position w:val="20"/>
          <w:sz w:val="24"/>
          <w:szCs w:val="24"/>
          <w:lang w:val="en-US" w:eastAsia="en-US" w:bidi="ar-SA"/>
        </w:rPr>
        <w:t>年龄：</w:t>
      </w:r>
      <w:r>
        <w:rPr>
          <w:rFonts w:hint="eastAsia" w:ascii="仿宋" w:hAnsi="仿宋" w:eastAsia="仿宋" w:cs="仿宋"/>
          <w:snapToGrid w:val="0"/>
          <w:color w:val="000000"/>
          <w:spacing w:val="11"/>
          <w:kern w:val="0"/>
          <w:position w:val="20"/>
          <w:sz w:val="24"/>
          <w:szCs w:val="24"/>
          <w:u w:val="single"/>
          <w:lang w:val="en-US" w:eastAsia="en-US" w:bidi="ar-SA"/>
        </w:rPr>
        <w:t xml:space="preserve">               </w:t>
      </w:r>
      <w:r>
        <w:rPr>
          <w:rFonts w:hint="eastAsia" w:ascii="仿宋" w:hAnsi="仿宋" w:eastAsia="仿宋" w:cs="仿宋"/>
          <w:snapToGrid w:val="0"/>
          <w:color w:val="000000"/>
          <w:spacing w:val="11"/>
          <w:kern w:val="0"/>
          <w:position w:val="20"/>
          <w:sz w:val="24"/>
          <w:szCs w:val="24"/>
          <w:lang w:val="en-US" w:eastAsia="en-US" w:bidi="ar-SA"/>
        </w:rPr>
        <w:t xml:space="preserve">              </w:t>
      </w:r>
    </w:p>
    <w:p w14:paraId="081D2D27">
      <w:pPr>
        <w:pStyle w:val="4"/>
        <w:spacing w:line="241" w:lineRule="auto"/>
        <w:rPr>
          <w:rFonts w:hint="eastAsia" w:ascii="仿宋" w:hAnsi="仿宋" w:eastAsia="仿宋" w:cs="仿宋"/>
          <w:snapToGrid w:val="0"/>
          <w:color w:val="000000"/>
          <w:spacing w:val="11"/>
          <w:kern w:val="0"/>
          <w:position w:val="20"/>
          <w:sz w:val="24"/>
          <w:szCs w:val="24"/>
          <w:lang w:val="en-US" w:eastAsia="en-US" w:bidi="ar-SA"/>
        </w:rPr>
      </w:pPr>
      <w:r>
        <w:rPr>
          <w:rFonts w:hint="eastAsia" w:ascii="仿宋" w:hAnsi="仿宋" w:eastAsia="仿宋" w:cs="仿宋"/>
          <w:snapToGrid w:val="0"/>
          <w:color w:val="000000"/>
          <w:spacing w:val="11"/>
          <w:kern w:val="0"/>
          <w:position w:val="20"/>
          <w:sz w:val="24"/>
          <w:szCs w:val="24"/>
          <w:lang w:val="en-US" w:eastAsia="en-US" w:bidi="ar-SA"/>
        </w:rPr>
        <w:t>单  位：</w:t>
      </w:r>
      <w:r>
        <w:rPr>
          <w:rFonts w:hint="eastAsia" w:ascii="仿宋" w:hAnsi="仿宋" w:eastAsia="仿宋" w:cs="仿宋"/>
          <w:snapToGrid w:val="0"/>
          <w:color w:val="000000"/>
          <w:spacing w:val="11"/>
          <w:kern w:val="0"/>
          <w:position w:val="20"/>
          <w:sz w:val="24"/>
          <w:szCs w:val="24"/>
          <w:u w:val="single"/>
          <w:lang w:val="en-US" w:eastAsia="en-US" w:bidi="ar-SA"/>
        </w:rPr>
        <w:t xml:space="preserve">               </w:t>
      </w:r>
      <w:r>
        <w:rPr>
          <w:rFonts w:hint="eastAsia" w:ascii="仿宋" w:hAnsi="仿宋" w:eastAsia="仿宋" w:cs="仿宋"/>
          <w:snapToGrid w:val="0"/>
          <w:color w:val="000000"/>
          <w:spacing w:val="11"/>
          <w:kern w:val="0"/>
          <w:position w:val="20"/>
          <w:sz w:val="24"/>
          <w:szCs w:val="24"/>
          <w:lang w:val="en-US" w:eastAsia="en-US" w:bidi="ar-SA"/>
        </w:rPr>
        <w:t>部门：</w:t>
      </w:r>
      <w:r>
        <w:rPr>
          <w:rFonts w:hint="eastAsia" w:ascii="仿宋" w:hAnsi="仿宋" w:eastAsia="仿宋" w:cs="仿宋"/>
          <w:snapToGrid w:val="0"/>
          <w:color w:val="000000"/>
          <w:spacing w:val="11"/>
          <w:kern w:val="0"/>
          <w:position w:val="20"/>
          <w:sz w:val="24"/>
          <w:szCs w:val="24"/>
          <w:u w:val="single"/>
          <w:lang w:val="en-US" w:eastAsia="en-US" w:bidi="ar-SA"/>
        </w:rPr>
        <w:t xml:space="preserve">               </w:t>
      </w:r>
      <w:r>
        <w:rPr>
          <w:rFonts w:hint="eastAsia" w:ascii="仿宋" w:hAnsi="仿宋" w:eastAsia="仿宋" w:cs="仿宋"/>
          <w:snapToGrid w:val="0"/>
          <w:color w:val="000000"/>
          <w:spacing w:val="11"/>
          <w:kern w:val="0"/>
          <w:position w:val="20"/>
          <w:sz w:val="24"/>
          <w:szCs w:val="24"/>
          <w:lang w:val="en-US" w:eastAsia="en-US" w:bidi="ar-SA"/>
        </w:rPr>
        <w:t>职务：</w:t>
      </w:r>
      <w:r>
        <w:rPr>
          <w:rFonts w:hint="eastAsia" w:ascii="仿宋" w:hAnsi="仿宋" w:eastAsia="仿宋" w:cs="仿宋"/>
          <w:snapToGrid w:val="0"/>
          <w:color w:val="000000"/>
          <w:spacing w:val="11"/>
          <w:kern w:val="0"/>
          <w:position w:val="20"/>
          <w:sz w:val="24"/>
          <w:szCs w:val="24"/>
          <w:u w:val="single"/>
          <w:lang w:val="en-US" w:eastAsia="en-US" w:bidi="ar-SA"/>
        </w:rPr>
        <w:t xml:space="preserve">               </w:t>
      </w:r>
      <w:r>
        <w:rPr>
          <w:rFonts w:hint="eastAsia" w:ascii="仿宋" w:hAnsi="仿宋" w:eastAsia="仿宋" w:cs="仿宋"/>
          <w:snapToGrid w:val="0"/>
          <w:color w:val="000000"/>
          <w:spacing w:val="11"/>
          <w:kern w:val="0"/>
          <w:position w:val="20"/>
          <w:sz w:val="24"/>
          <w:szCs w:val="24"/>
          <w:lang w:val="en-US" w:eastAsia="en-US" w:bidi="ar-SA"/>
        </w:rPr>
        <w:t xml:space="preserve">           </w:t>
      </w:r>
    </w:p>
    <w:p w14:paraId="1E28F843">
      <w:pPr>
        <w:pStyle w:val="4"/>
        <w:spacing w:line="241" w:lineRule="auto"/>
        <w:rPr>
          <w:rFonts w:hint="eastAsia" w:ascii="仿宋" w:hAnsi="仿宋" w:eastAsia="仿宋" w:cs="仿宋"/>
          <w:snapToGrid w:val="0"/>
          <w:color w:val="000000"/>
          <w:spacing w:val="11"/>
          <w:kern w:val="0"/>
          <w:position w:val="20"/>
          <w:sz w:val="24"/>
          <w:szCs w:val="24"/>
          <w:lang w:val="en-US" w:eastAsia="en-US" w:bidi="ar-SA"/>
        </w:rPr>
      </w:pPr>
      <w:r>
        <w:rPr>
          <w:rFonts w:hint="eastAsia" w:ascii="仿宋" w:hAnsi="仿宋" w:eastAsia="仿宋" w:cs="仿宋"/>
          <w:snapToGrid w:val="0"/>
          <w:color w:val="000000"/>
          <w:spacing w:val="11"/>
          <w:kern w:val="0"/>
          <w:position w:val="20"/>
          <w:sz w:val="24"/>
          <w:szCs w:val="24"/>
          <w:lang w:val="en-US" w:eastAsia="en-US" w:bidi="ar-SA"/>
        </w:rPr>
        <w:t>代理人无转委权。特此委托。</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81"/>
        <w:gridCol w:w="4981"/>
      </w:tblGrid>
      <w:tr w14:paraId="7674E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48" w:hRule="atLeast"/>
        </w:trPr>
        <w:tc>
          <w:tcPr>
            <w:tcW w:w="4981" w:type="dxa"/>
            <w:vAlign w:val="center"/>
          </w:tcPr>
          <w:p w14:paraId="3E11220A">
            <w:pPr>
              <w:pStyle w:val="4"/>
              <w:widowControl w:val="0"/>
              <w:spacing w:line="241" w:lineRule="auto"/>
              <w:jc w:val="center"/>
              <w:rPr>
                <w:rFonts w:hint="eastAsia" w:ascii="仿宋" w:hAnsi="仿宋" w:eastAsia="仿宋" w:cs="仿宋"/>
                <w:snapToGrid w:val="0"/>
                <w:color w:val="000000"/>
                <w:spacing w:val="11"/>
                <w:kern w:val="0"/>
                <w:position w:val="20"/>
                <w:sz w:val="24"/>
                <w:szCs w:val="24"/>
                <w:vertAlign w:val="baseline"/>
                <w:lang w:val="en-US" w:eastAsia="en-US" w:bidi="ar-SA"/>
              </w:rPr>
            </w:pPr>
            <w:r>
              <w:rPr>
                <w:rFonts w:hint="eastAsia" w:ascii="仿宋" w:hAnsi="仿宋" w:eastAsia="仿宋" w:cs="仿宋"/>
                <w:snapToGrid w:val="0"/>
                <w:color w:val="000000"/>
                <w:spacing w:val="11"/>
                <w:kern w:val="0"/>
                <w:position w:val="20"/>
                <w:sz w:val="24"/>
                <w:szCs w:val="24"/>
                <w:lang w:val="en-US" w:eastAsia="en-US" w:bidi="ar-SA"/>
              </w:rPr>
              <w:t>附法人身份证复印件正面</w:t>
            </w:r>
          </w:p>
          <w:p w14:paraId="3BFC3793">
            <w:pPr>
              <w:pStyle w:val="4"/>
              <w:widowControl w:val="0"/>
              <w:spacing w:line="241" w:lineRule="auto"/>
              <w:jc w:val="center"/>
              <w:rPr>
                <w:rFonts w:hint="eastAsia" w:ascii="仿宋" w:hAnsi="仿宋" w:eastAsia="仿宋" w:cs="仿宋"/>
                <w:snapToGrid w:val="0"/>
                <w:color w:val="000000"/>
                <w:spacing w:val="11"/>
                <w:kern w:val="0"/>
                <w:position w:val="20"/>
                <w:sz w:val="24"/>
                <w:szCs w:val="24"/>
                <w:vertAlign w:val="baseline"/>
                <w:lang w:val="en-US" w:eastAsia="en-US" w:bidi="ar-SA"/>
              </w:rPr>
            </w:pPr>
          </w:p>
        </w:tc>
        <w:tc>
          <w:tcPr>
            <w:tcW w:w="4981" w:type="dxa"/>
            <w:vAlign w:val="center"/>
          </w:tcPr>
          <w:p w14:paraId="4453ED89">
            <w:pPr>
              <w:pStyle w:val="4"/>
              <w:widowControl w:val="0"/>
              <w:spacing w:line="241" w:lineRule="auto"/>
              <w:jc w:val="center"/>
              <w:rPr>
                <w:rFonts w:hint="eastAsia" w:ascii="仿宋" w:hAnsi="仿宋" w:eastAsia="仿宋" w:cs="仿宋"/>
                <w:snapToGrid w:val="0"/>
                <w:color w:val="000000"/>
                <w:spacing w:val="11"/>
                <w:kern w:val="0"/>
                <w:position w:val="20"/>
                <w:sz w:val="24"/>
                <w:szCs w:val="24"/>
                <w:vertAlign w:val="baseline"/>
                <w:lang w:val="en-US" w:eastAsia="en-US" w:bidi="ar-SA"/>
              </w:rPr>
            </w:pPr>
            <w:r>
              <w:rPr>
                <w:rFonts w:hint="eastAsia" w:ascii="仿宋" w:hAnsi="仿宋" w:eastAsia="仿宋" w:cs="仿宋"/>
                <w:snapToGrid w:val="0"/>
                <w:color w:val="000000"/>
                <w:spacing w:val="11"/>
                <w:kern w:val="0"/>
                <w:position w:val="20"/>
                <w:sz w:val="24"/>
                <w:szCs w:val="24"/>
                <w:lang w:val="en-US" w:eastAsia="en-US" w:bidi="ar-SA"/>
              </w:rPr>
              <w:t>附法人身份证复印件</w:t>
            </w:r>
            <w:r>
              <w:rPr>
                <w:rFonts w:hint="eastAsia" w:ascii="仿宋" w:hAnsi="仿宋" w:eastAsia="仿宋" w:cs="仿宋"/>
                <w:snapToGrid w:val="0"/>
                <w:color w:val="000000"/>
                <w:spacing w:val="11"/>
                <w:kern w:val="0"/>
                <w:position w:val="20"/>
                <w:sz w:val="24"/>
                <w:szCs w:val="24"/>
                <w:lang w:val="en-US" w:eastAsia="zh-CN" w:bidi="ar-SA"/>
              </w:rPr>
              <w:t>背</w:t>
            </w:r>
            <w:r>
              <w:rPr>
                <w:rFonts w:hint="eastAsia" w:ascii="仿宋" w:hAnsi="仿宋" w:eastAsia="仿宋" w:cs="仿宋"/>
                <w:snapToGrid w:val="0"/>
                <w:color w:val="000000"/>
                <w:spacing w:val="11"/>
                <w:kern w:val="0"/>
                <w:position w:val="20"/>
                <w:sz w:val="24"/>
                <w:szCs w:val="24"/>
                <w:lang w:val="en-US" w:eastAsia="en-US" w:bidi="ar-SA"/>
              </w:rPr>
              <w:t>面</w:t>
            </w:r>
          </w:p>
          <w:p w14:paraId="575EEC5B">
            <w:pPr>
              <w:pStyle w:val="4"/>
              <w:widowControl w:val="0"/>
              <w:spacing w:line="241" w:lineRule="auto"/>
              <w:jc w:val="center"/>
              <w:rPr>
                <w:rFonts w:hint="eastAsia" w:ascii="仿宋" w:hAnsi="仿宋" w:eastAsia="仿宋" w:cs="仿宋"/>
                <w:snapToGrid w:val="0"/>
                <w:color w:val="000000"/>
                <w:spacing w:val="11"/>
                <w:kern w:val="0"/>
                <w:position w:val="20"/>
                <w:sz w:val="24"/>
                <w:szCs w:val="24"/>
                <w:vertAlign w:val="baseline"/>
                <w:lang w:val="en-US" w:eastAsia="en-US" w:bidi="ar-SA"/>
              </w:rPr>
            </w:pPr>
          </w:p>
        </w:tc>
      </w:tr>
      <w:tr w14:paraId="3C5EC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5" w:hRule="atLeast"/>
        </w:trPr>
        <w:tc>
          <w:tcPr>
            <w:tcW w:w="4981" w:type="dxa"/>
            <w:vAlign w:val="center"/>
          </w:tcPr>
          <w:p w14:paraId="50A52435">
            <w:pPr>
              <w:pStyle w:val="4"/>
              <w:widowControl w:val="0"/>
              <w:spacing w:line="241" w:lineRule="auto"/>
              <w:jc w:val="center"/>
              <w:rPr>
                <w:rFonts w:hint="eastAsia" w:ascii="仿宋" w:hAnsi="仿宋" w:eastAsia="仿宋" w:cs="仿宋"/>
                <w:snapToGrid w:val="0"/>
                <w:color w:val="000000"/>
                <w:spacing w:val="11"/>
                <w:kern w:val="0"/>
                <w:position w:val="20"/>
                <w:sz w:val="24"/>
                <w:szCs w:val="24"/>
                <w:lang w:val="en-US" w:eastAsia="en-US" w:bidi="ar-SA"/>
              </w:rPr>
            </w:pPr>
            <w:r>
              <w:rPr>
                <w:rFonts w:hint="eastAsia" w:ascii="仿宋" w:hAnsi="仿宋" w:eastAsia="仿宋" w:cs="仿宋"/>
                <w:snapToGrid w:val="0"/>
                <w:color w:val="000000"/>
                <w:spacing w:val="11"/>
                <w:kern w:val="0"/>
                <w:position w:val="20"/>
                <w:sz w:val="24"/>
                <w:szCs w:val="24"/>
                <w:lang w:val="en-US" w:eastAsia="en-US" w:bidi="ar-SA"/>
              </w:rPr>
              <w:t>附委托人身份证复印件正面</w:t>
            </w:r>
          </w:p>
          <w:p w14:paraId="51100682">
            <w:pPr>
              <w:pStyle w:val="4"/>
              <w:widowControl w:val="0"/>
              <w:spacing w:line="241" w:lineRule="auto"/>
              <w:jc w:val="center"/>
              <w:rPr>
                <w:rFonts w:hint="eastAsia" w:ascii="仿宋" w:hAnsi="仿宋" w:eastAsia="仿宋" w:cs="仿宋"/>
                <w:snapToGrid w:val="0"/>
                <w:color w:val="000000"/>
                <w:spacing w:val="11"/>
                <w:kern w:val="0"/>
                <w:position w:val="20"/>
                <w:sz w:val="24"/>
                <w:szCs w:val="24"/>
                <w:vertAlign w:val="baseline"/>
                <w:lang w:val="en-US" w:eastAsia="en-US" w:bidi="ar-SA"/>
              </w:rPr>
            </w:pPr>
          </w:p>
        </w:tc>
        <w:tc>
          <w:tcPr>
            <w:tcW w:w="4981" w:type="dxa"/>
            <w:vAlign w:val="center"/>
          </w:tcPr>
          <w:p w14:paraId="43E32683">
            <w:pPr>
              <w:pStyle w:val="4"/>
              <w:widowControl w:val="0"/>
              <w:spacing w:line="241" w:lineRule="auto"/>
              <w:jc w:val="center"/>
              <w:rPr>
                <w:rFonts w:hint="eastAsia" w:ascii="仿宋" w:hAnsi="仿宋" w:eastAsia="仿宋" w:cs="仿宋"/>
                <w:snapToGrid w:val="0"/>
                <w:color w:val="000000"/>
                <w:spacing w:val="11"/>
                <w:kern w:val="0"/>
                <w:position w:val="20"/>
                <w:sz w:val="24"/>
                <w:szCs w:val="24"/>
                <w:lang w:val="en-US" w:eastAsia="en-US" w:bidi="ar-SA"/>
              </w:rPr>
            </w:pPr>
            <w:r>
              <w:rPr>
                <w:rFonts w:hint="eastAsia" w:ascii="仿宋" w:hAnsi="仿宋" w:eastAsia="仿宋" w:cs="仿宋"/>
                <w:snapToGrid w:val="0"/>
                <w:color w:val="000000"/>
                <w:spacing w:val="11"/>
                <w:kern w:val="0"/>
                <w:position w:val="20"/>
                <w:sz w:val="24"/>
                <w:szCs w:val="24"/>
                <w:lang w:val="en-US" w:eastAsia="en-US" w:bidi="ar-SA"/>
              </w:rPr>
              <w:t>附委托人身份证复印件</w:t>
            </w:r>
            <w:r>
              <w:rPr>
                <w:rFonts w:hint="eastAsia" w:ascii="仿宋" w:hAnsi="仿宋" w:eastAsia="仿宋" w:cs="仿宋"/>
                <w:snapToGrid w:val="0"/>
                <w:color w:val="000000"/>
                <w:spacing w:val="11"/>
                <w:kern w:val="0"/>
                <w:position w:val="20"/>
                <w:sz w:val="24"/>
                <w:szCs w:val="24"/>
                <w:lang w:val="en-US" w:eastAsia="zh-CN" w:bidi="ar-SA"/>
              </w:rPr>
              <w:t>背</w:t>
            </w:r>
            <w:r>
              <w:rPr>
                <w:rFonts w:hint="eastAsia" w:ascii="仿宋" w:hAnsi="仿宋" w:eastAsia="仿宋" w:cs="仿宋"/>
                <w:snapToGrid w:val="0"/>
                <w:color w:val="000000"/>
                <w:spacing w:val="11"/>
                <w:kern w:val="0"/>
                <w:position w:val="20"/>
                <w:sz w:val="24"/>
                <w:szCs w:val="24"/>
                <w:lang w:val="en-US" w:eastAsia="en-US" w:bidi="ar-SA"/>
              </w:rPr>
              <w:t>面</w:t>
            </w:r>
          </w:p>
          <w:p w14:paraId="7D98D7EC">
            <w:pPr>
              <w:pStyle w:val="4"/>
              <w:widowControl w:val="0"/>
              <w:spacing w:line="241" w:lineRule="auto"/>
              <w:jc w:val="center"/>
              <w:rPr>
                <w:rFonts w:hint="eastAsia" w:ascii="仿宋" w:hAnsi="仿宋" w:eastAsia="仿宋" w:cs="仿宋"/>
                <w:snapToGrid w:val="0"/>
                <w:color w:val="000000"/>
                <w:spacing w:val="11"/>
                <w:kern w:val="0"/>
                <w:position w:val="20"/>
                <w:sz w:val="24"/>
                <w:szCs w:val="24"/>
                <w:vertAlign w:val="baseline"/>
                <w:lang w:val="en-US" w:eastAsia="en-US" w:bidi="ar-SA"/>
              </w:rPr>
            </w:pPr>
          </w:p>
        </w:tc>
      </w:tr>
    </w:tbl>
    <w:p w14:paraId="5E314C05">
      <w:pPr>
        <w:pStyle w:val="4"/>
        <w:spacing w:line="241" w:lineRule="auto"/>
        <w:rPr>
          <w:rFonts w:hint="eastAsia" w:ascii="仿宋" w:hAnsi="仿宋" w:eastAsia="仿宋" w:cs="仿宋"/>
          <w:snapToGrid w:val="0"/>
          <w:color w:val="000000"/>
          <w:spacing w:val="11"/>
          <w:kern w:val="0"/>
          <w:position w:val="20"/>
          <w:sz w:val="24"/>
          <w:szCs w:val="24"/>
          <w:lang w:val="en-US" w:eastAsia="en-US" w:bidi="ar-SA"/>
        </w:rPr>
      </w:pPr>
    </w:p>
    <w:p w14:paraId="36DA0DBB">
      <w:pPr>
        <w:pStyle w:val="4"/>
        <w:spacing w:line="241" w:lineRule="auto"/>
        <w:rPr>
          <w:rFonts w:hint="eastAsia" w:ascii="仿宋" w:hAnsi="仿宋" w:eastAsia="仿宋" w:cs="仿宋"/>
          <w:snapToGrid w:val="0"/>
          <w:color w:val="000000"/>
          <w:spacing w:val="11"/>
          <w:kern w:val="0"/>
          <w:position w:val="20"/>
          <w:sz w:val="24"/>
          <w:szCs w:val="24"/>
          <w:u w:val="single"/>
          <w:lang w:val="en-US" w:eastAsia="en-US" w:bidi="ar-SA"/>
        </w:rPr>
      </w:pPr>
      <w:r>
        <w:rPr>
          <w:rFonts w:hint="eastAsia" w:ascii="仿宋" w:hAnsi="仿宋" w:eastAsia="仿宋" w:cs="仿宋"/>
          <w:snapToGrid w:val="0"/>
          <w:color w:val="000000"/>
          <w:spacing w:val="11"/>
          <w:kern w:val="0"/>
          <w:position w:val="20"/>
          <w:sz w:val="24"/>
          <w:szCs w:val="24"/>
          <w:lang w:val="en-US" w:eastAsia="zh-CN" w:bidi="ar-SA"/>
        </w:rPr>
        <w:t>供应商</w:t>
      </w:r>
      <w:r>
        <w:rPr>
          <w:rFonts w:hint="eastAsia" w:ascii="仿宋" w:hAnsi="仿宋" w:eastAsia="仿宋" w:cs="仿宋"/>
          <w:snapToGrid w:val="0"/>
          <w:color w:val="000000"/>
          <w:spacing w:val="11"/>
          <w:kern w:val="0"/>
          <w:position w:val="20"/>
          <w:sz w:val="24"/>
          <w:szCs w:val="24"/>
          <w:lang w:val="en-US" w:eastAsia="en-US" w:bidi="ar-SA"/>
        </w:rPr>
        <w:t>名称(公章)：</w:t>
      </w:r>
      <w:r>
        <w:rPr>
          <w:rFonts w:hint="eastAsia" w:ascii="仿宋" w:hAnsi="仿宋" w:eastAsia="仿宋" w:cs="仿宋"/>
          <w:snapToGrid w:val="0"/>
          <w:color w:val="000000"/>
          <w:spacing w:val="11"/>
          <w:kern w:val="0"/>
          <w:position w:val="20"/>
          <w:sz w:val="24"/>
          <w:szCs w:val="24"/>
          <w:u w:val="single"/>
          <w:lang w:val="en-US" w:eastAsia="en-US" w:bidi="ar-SA"/>
        </w:rPr>
        <w:t xml:space="preserve">                           </w:t>
      </w:r>
    </w:p>
    <w:p w14:paraId="2D26BCB8">
      <w:pPr>
        <w:pStyle w:val="4"/>
        <w:spacing w:line="241" w:lineRule="auto"/>
        <w:rPr>
          <w:rFonts w:hint="eastAsia" w:ascii="仿宋" w:hAnsi="仿宋" w:eastAsia="仿宋" w:cs="仿宋"/>
          <w:snapToGrid w:val="0"/>
          <w:color w:val="000000"/>
          <w:spacing w:val="11"/>
          <w:kern w:val="0"/>
          <w:position w:val="20"/>
          <w:sz w:val="24"/>
          <w:szCs w:val="24"/>
          <w:lang w:val="en-US" w:eastAsia="en-US" w:bidi="ar-SA"/>
        </w:rPr>
      </w:pPr>
      <w:r>
        <w:rPr>
          <w:rFonts w:hint="eastAsia" w:ascii="仿宋" w:hAnsi="仿宋" w:eastAsia="仿宋" w:cs="仿宋"/>
          <w:snapToGrid w:val="0"/>
          <w:color w:val="000000"/>
          <w:spacing w:val="11"/>
          <w:kern w:val="0"/>
          <w:position w:val="20"/>
          <w:sz w:val="24"/>
          <w:szCs w:val="24"/>
          <w:lang w:val="en-US" w:eastAsia="zh-CN" w:bidi="ar-SA"/>
        </w:rPr>
        <w:t>供应商</w:t>
      </w:r>
      <w:r>
        <w:rPr>
          <w:rFonts w:hint="eastAsia" w:ascii="仿宋" w:hAnsi="仿宋" w:eastAsia="仿宋" w:cs="仿宋"/>
          <w:snapToGrid w:val="0"/>
          <w:color w:val="000000"/>
          <w:spacing w:val="11"/>
          <w:kern w:val="0"/>
          <w:position w:val="20"/>
          <w:sz w:val="24"/>
          <w:szCs w:val="24"/>
          <w:lang w:val="en-US" w:eastAsia="en-US" w:bidi="ar-SA"/>
        </w:rPr>
        <w:t xml:space="preserve">法人（签字或盖章）：  </w:t>
      </w:r>
      <w:r>
        <w:rPr>
          <w:rFonts w:hint="eastAsia" w:ascii="仿宋" w:hAnsi="仿宋" w:eastAsia="仿宋" w:cs="仿宋"/>
          <w:snapToGrid w:val="0"/>
          <w:color w:val="000000"/>
          <w:spacing w:val="11"/>
          <w:kern w:val="0"/>
          <w:position w:val="20"/>
          <w:sz w:val="24"/>
          <w:szCs w:val="24"/>
          <w:u w:val="single"/>
          <w:lang w:val="en-US" w:eastAsia="en-US" w:bidi="ar-SA"/>
        </w:rPr>
        <w:t xml:space="preserve">                    </w:t>
      </w:r>
      <w:r>
        <w:rPr>
          <w:rFonts w:hint="eastAsia" w:ascii="仿宋" w:hAnsi="仿宋" w:eastAsia="仿宋" w:cs="仿宋"/>
          <w:snapToGrid w:val="0"/>
          <w:color w:val="000000"/>
          <w:spacing w:val="11"/>
          <w:kern w:val="0"/>
          <w:position w:val="20"/>
          <w:sz w:val="24"/>
          <w:szCs w:val="24"/>
          <w:u w:val="single"/>
          <w:lang w:val="en-US" w:eastAsia="zh-CN" w:bidi="ar-SA"/>
        </w:rPr>
        <w:t xml:space="preserve"> </w:t>
      </w:r>
      <w:r>
        <w:rPr>
          <w:rFonts w:hint="eastAsia" w:ascii="仿宋" w:hAnsi="仿宋" w:eastAsia="仿宋" w:cs="仿宋"/>
          <w:snapToGrid w:val="0"/>
          <w:color w:val="000000"/>
          <w:spacing w:val="11"/>
          <w:kern w:val="0"/>
          <w:position w:val="20"/>
          <w:sz w:val="24"/>
          <w:szCs w:val="24"/>
          <w:u w:val="single"/>
          <w:lang w:val="en-US" w:eastAsia="en-US" w:bidi="ar-SA"/>
        </w:rPr>
        <w:t xml:space="preserve">      </w:t>
      </w:r>
    </w:p>
    <w:p w14:paraId="2E949568">
      <w:pPr>
        <w:pStyle w:val="4"/>
        <w:spacing w:line="241" w:lineRule="auto"/>
        <w:rPr>
          <w:rFonts w:hint="eastAsia" w:ascii="仿宋" w:hAnsi="仿宋" w:eastAsia="仿宋" w:cs="仿宋"/>
          <w:snapToGrid w:val="0"/>
          <w:color w:val="000000"/>
          <w:spacing w:val="11"/>
          <w:kern w:val="0"/>
          <w:position w:val="20"/>
          <w:sz w:val="24"/>
          <w:szCs w:val="24"/>
          <w:lang w:val="en-US" w:eastAsia="en-US" w:bidi="ar-SA"/>
        </w:rPr>
      </w:pPr>
      <w:r>
        <w:rPr>
          <w:rFonts w:hint="eastAsia" w:ascii="仿宋" w:hAnsi="仿宋" w:eastAsia="仿宋" w:cs="仿宋"/>
          <w:snapToGrid w:val="0"/>
          <w:color w:val="000000"/>
          <w:spacing w:val="11"/>
          <w:kern w:val="0"/>
          <w:position w:val="20"/>
          <w:sz w:val="24"/>
          <w:szCs w:val="24"/>
          <w:lang w:val="en-US" w:eastAsia="en-US" w:bidi="ar-SA"/>
        </w:rPr>
        <w:t>法定代表人身份证号：</w:t>
      </w:r>
      <w:r>
        <w:rPr>
          <w:rFonts w:hint="eastAsia" w:ascii="仿宋" w:hAnsi="仿宋" w:eastAsia="仿宋" w:cs="仿宋"/>
          <w:snapToGrid w:val="0"/>
          <w:color w:val="000000"/>
          <w:spacing w:val="11"/>
          <w:kern w:val="0"/>
          <w:position w:val="20"/>
          <w:sz w:val="24"/>
          <w:szCs w:val="24"/>
          <w:u w:val="single"/>
          <w:lang w:val="en-US" w:eastAsia="en-US" w:bidi="ar-SA"/>
        </w:rPr>
        <w:t xml:space="preserve">                   </w:t>
      </w:r>
      <w:r>
        <w:rPr>
          <w:rFonts w:hint="eastAsia" w:ascii="仿宋" w:hAnsi="仿宋" w:eastAsia="仿宋" w:cs="仿宋"/>
          <w:snapToGrid w:val="0"/>
          <w:color w:val="000000"/>
          <w:spacing w:val="11"/>
          <w:kern w:val="0"/>
          <w:position w:val="20"/>
          <w:sz w:val="24"/>
          <w:szCs w:val="24"/>
          <w:u w:val="single"/>
          <w:lang w:val="en-US" w:eastAsia="zh-CN" w:bidi="ar-SA"/>
        </w:rPr>
        <w:t xml:space="preserve"> </w:t>
      </w:r>
      <w:r>
        <w:rPr>
          <w:rFonts w:hint="eastAsia" w:ascii="仿宋" w:hAnsi="仿宋" w:eastAsia="仿宋" w:cs="仿宋"/>
          <w:snapToGrid w:val="0"/>
          <w:color w:val="000000"/>
          <w:spacing w:val="11"/>
          <w:kern w:val="0"/>
          <w:position w:val="20"/>
          <w:sz w:val="24"/>
          <w:szCs w:val="24"/>
          <w:u w:val="single"/>
          <w:lang w:val="en-US" w:eastAsia="en-US" w:bidi="ar-SA"/>
        </w:rPr>
        <w:t xml:space="preserve">     </w:t>
      </w:r>
    </w:p>
    <w:p w14:paraId="19D5E5F4">
      <w:pPr>
        <w:pStyle w:val="4"/>
        <w:spacing w:line="241" w:lineRule="auto"/>
        <w:rPr>
          <w:rFonts w:hint="eastAsia" w:ascii="仿宋" w:hAnsi="仿宋" w:eastAsia="仿宋" w:cs="仿宋"/>
          <w:snapToGrid w:val="0"/>
          <w:color w:val="000000"/>
          <w:spacing w:val="11"/>
          <w:kern w:val="0"/>
          <w:position w:val="20"/>
          <w:sz w:val="24"/>
          <w:szCs w:val="24"/>
          <w:lang w:val="en-US" w:eastAsia="en-US" w:bidi="ar-SA"/>
        </w:rPr>
      </w:pPr>
      <w:r>
        <w:rPr>
          <w:rFonts w:hint="eastAsia" w:ascii="仿宋" w:hAnsi="仿宋" w:eastAsia="仿宋" w:cs="仿宋"/>
          <w:snapToGrid w:val="0"/>
          <w:color w:val="000000"/>
          <w:spacing w:val="11"/>
          <w:kern w:val="0"/>
          <w:position w:val="20"/>
          <w:sz w:val="24"/>
          <w:szCs w:val="24"/>
          <w:lang w:val="en-US" w:eastAsia="en-US" w:bidi="ar-SA"/>
        </w:rPr>
        <w:t>委托人签字：</w:t>
      </w:r>
      <w:r>
        <w:rPr>
          <w:rFonts w:hint="eastAsia" w:ascii="仿宋" w:hAnsi="仿宋" w:eastAsia="仿宋" w:cs="仿宋"/>
          <w:snapToGrid w:val="0"/>
          <w:color w:val="000000"/>
          <w:spacing w:val="11"/>
          <w:kern w:val="0"/>
          <w:position w:val="20"/>
          <w:sz w:val="24"/>
          <w:szCs w:val="24"/>
          <w:u w:val="single"/>
          <w:lang w:val="en-US" w:eastAsia="en-US" w:bidi="ar-SA"/>
        </w:rPr>
        <w:t xml:space="preserve">                           </w:t>
      </w:r>
      <w:r>
        <w:rPr>
          <w:rFonts w:hint="eastAsia" w:ascii="仿宋" w:hAnsi="仿宋" w:eastAsia="仿宋" w:cs="仿宋"/>
          <w:snapToGrid w:val="0"/>
          <w:color w:val="000000"/>
          <w:spacing w:val="11"/>
          <w:kern w:val="0"/>
          <w:position w:val="20"/>
          <w:sz w:val="24"/>
          <w:szCs w:val="24"/>
          <w:u w:val="single"/>
          <w:lang w:val="en-US" w:eastAsia="zh-CN" w:bidi="ar-SA"/>
        </w:rPr>
        <w:t xml:space="preserve"> </w:t>
      </w:r>
      <w:r>
        <w:rPr>
          <w:rFonts w:hint="eastAsia" w:ascii="仿宋" w:hAnsi="仿宋" w:eastAsia="仿宋" w:cs="仿宋"/>
          <w:snapToGrid w:val="0"/>
          <w:color w:val="000000"/>
          <w:spacing w:val="11"/>
          <w:kern w:val="0"/>
          <w:position w:val="20"/>
          <w:sz w:val="24"/>
          <w:szCs w:val="24"/>
          <w:u w:val="single"/>
          <w:lang w:val="en-US" w:eastAsia="en-US" w:bidi="ar-SA"/>
        </w:rPr>
        <w:t xml:space="preserve">     </w:t>
      </w:r>
    </w:p>
    <w:p w14:paraId="062C4F4D">
      <w:pPr>
        <w:pStyle w:val="4"/>
        <w:spacing w:line="241" w:lineRule="auto"/>
        <w:rPr>
          <w:rFonts w:hint="eastAsia" w:ascii="仿宋" w:hAnsi="仿宋" w:eastAsia="仿宋" w:cs="仿宋"/>
          <w:snapToGrid w:val="0"/>
          <w:color w:val="000000"/>
          <w:spacing w:val="11"/>
          <w:kern w:val="0"/>
          <w:position w:val="20"/>
          <w:sz w:val="24"/>
          <w:szCs w:val="24"/>
          <w:lang w:val="en-US" w:eastAsia="en-US" w:bidi="ar-SA"/>
        </w:rPr>
      </w:pPr>
      <w:r>
        <w:rPr>
          <w:rFonts w:hint="eastAsia" w:ascii="仿宋" w:hAnsi="仿宋" w:eastAsia="仿宋" w:cs="仿宋"/>
          <w:snapToGrid w:val="0"/>
          <w:color w:val="000000"/>
          <w:spacing w:val="11"/>
          <w:kern w:val="0"/>
          <w:position w:val="20"/>
          <w:sz w:val="24"/>
          <w:szCs w:val="24"/>
          <w:lang w:val="en-US" w:eastAsia="en-US" w:bidi="ar-SA"/>
        </w:rPr>
        <w:t>委托人身份证号：</w:t>
      </w:r>
      <w:r>
        <w:rPr>
          <w:rFonts w:hint="eastAsia" w:ascii="仿宋" w:hAnsi="仿宋" w:eastAsia="仿宋" w:cs="仿宋"/>
          <w:snapToGrid w:val="0"/>
          <w:color w:val="000000"/>
          <w:spacing w:val="11"/>
          <w:kern w:val="0"/>
          <w:position w:val="20"/>
          <w:sz w:val="24"/>
          <w:szCs w:val="24"/>
          <w:u w:val="single"/>
          <w:lang w:val="en-US" w:eastAsia="en-US" w:bidi="ar-SA"/>
        </w:rPr>
        <w:t xml:space="preserve">                    </w:t>
      </w:r>
      <w:r>
        <w:rPr>
          <w:rFonts w:hint="eastAsia" w:ascii="仿宋" w:hAnsi="仿宋" w:eastAsia="仿宋" w:cs="仿宋"/>
          <w:snapToGrid w:val="0"/>
          <w:color w:val="000000"/>
          <w:spacing w:val="11"/>
          <w:kern w:val="0"/>
          <w:position w:val="20"/>
          <w:sz w:val="24"/>
          <w:szCs w:val="24"/>
          <w:u w:val="single"/>
          <w:lang w:val="en-US" w:eastAsia="zh-CN" w:bidi="ar-SA"/>
        </w:rPr>
        <w:t xml:space="preserve"> </w:t>
      </w:r>
      <w:r>
        <w:rPr>
          <w:rFonts w:hint="eastAsia" w:ascii="仿宋" w:hAnsi="仿宋" w:eastAsia="仿宋" w:cs="仿宋"/>
          <w:snapToGrid w:val="0"/>
          <w:color w:val="000000"/>
          <w:spacing w:val="11"/>
          <w:kern w:val="0"/>
          <w:position w:val="20"/>
          <w:sz w:val="24"/>
          <w:szCs w:val="24"/>
          <w:u w:val="single"/>
          <w:lang w:val="en-US" w:eastAsia="en-US" w:bidi="ar-SA"/>
        </w:rPr>
        <w:t xml:space="preserve">        </w:t>
      </w:r>
    </w:p>
    <w:p w14:paraId="66390393">
      <w:pPr>
        <w:pStyle w:val="4"/>
        <w:spacing w:line="241" w:lineRule="auto"/>
        <w:rPr>
          <w:rFonts w:hint="eastAsia" w:ascii="仿宋" w:hAnsi="仿宋" w:eastAsia="仿宋" w:cs="仿宋"/>
          <w:snapToGrid w:val="0"/>
          <w:color w:val="000000"/>
          <w:spacing w:val="11"/>
          <w:kern w:val="0"/>
          <w:position w:val="20"/>
          <w:sz w:val="24"/>
          <w:szCs w:val="24"/>
          <w:u w:val="single"/>
          <w:lang w:val="en-US" w:eastAsia="en-US" w:bidi="ar-SA"/>
        </w:rPr>
      </w:pPr>
      <w:r>
        <w:rPr>
          <w:rFonts w:hint="eastAsia" w:ascii="仿宋" w:hAnsi="仿宋" w:eastAsia="仿宋" w:cs="仿宋"/>
          <w:snapToGrid w:val="0"/>
          <w:color w:val="000000"/>
          <w:spacing w:val="11"/>
          <w:kern w:val="0"/>
          <w:position w:val="20"/>
          <w:sz w:val="24"/>
          <w:szCs w:val="24"/>
          <w:lang w:val="en-US" w:eastAsia="en-US" w:bidi="ar-SA"/>
        </w:rPr>
        <w:t>日      期：</w:t>
      </w:r>
      <w:r>
        <w:rPr>
          <w:rFonts w:hint="eastAsia" w:ascii="仿宋" w:hAnsi="仿宋" w:eastAsia="仿宋" w:cs="仿宋"/>
          <w:snapToGrid w:val="0"/>
          <w:color w:val="000000"/>
          <w:spacing w:val="11"/>
          <w:kern w:val="0"/>
          <w:position w:val="20"/>
          <w:sz w:val="24"/>
          <w:szCs w:val="24"/>
          <w:u w:val="single"/>
          <w:lang w:val="en-US" w:eastAsia="en-US" w:bidi="ar-SA"/>
        </w:rPr>
        <w:t xml:space="preserve">      年    月    日</w:t>
      </w:r>
    </w:p>
    <w:p w14:paraId="3E6CAF8C">
      <w:pPr>
        <w:pStyle w:val="4"/>
        <w:spacing w:line="241" w:lineRule="auto"/>
        <w:rPr>
          <w:rFonts w:hint="eastAsia" w:ascii="仿宋" w:hAnsi="仿宋" w:eastAsia="仿宋" w:cs="仿宋"/>
          <w:snapToGrid w:val="0"/>
          <w:color w:val="000000"/>
          <w:spacing w:val="11"/>
          <w:kern w:val="0"/>
          <w:position w:val="20"/>
          <w:sz w:val="24"/>
          <w:szCs w:val="24"/>
          <w:lang w:val="en-US" w:eastAsia="en-US" w:bidi="ar-SA"/>
        </w:rPr>
      </w:pPr>
    </w:p>
    <w:p w14:paraId="17097B57">
      <w:pPr>
        <w:pStyle w:val="4"/>
        <w:spacing w:line="241" w:lineRule="auto"/>
        <w:rPr>
          <w:rFonts w:ascii="仿宋" w:hAnsi="仿宋" w:eastAsia="仿宋" w:cs="仿宋"/>
          <w:snapToGrid w:val="0"/>
          <w:color w:val="000000"/>
          <w:spacing w:val="11"/>
          <w:kern w:val="0"/>
          <w:position w:val="20"/>
          <w:sz w:val="24"/>
          <w:szCs w:val="24"/>
          <w:lang w:val="en-US" w:eastAsia="en-US" w:bidi="ar-SA"/>
        </w:rPr>
      </w:pPr>
      <w:r>
        <w:rPr>
          <w:rFonts w:hint="eastAsia" w:ascii="仿宋" w:hAnsi="仿宋" w:eastAsia="仿宋" w:cs="仿宋"/>
          <w:snapToGrid w:val="0"/>
          <w:color w:val="000000"/>
          <w:spacing w:val="11"/>
          <w:kern w:val="0"/>
          <w:position w:val="20"/>
          <w:sz w:val="24"/>
          <w:szCs w:val="24"/>
          <w:lang w:val="en-US" w:eastAsia="en-US" w:bidi="ar-SA"/>
        </w:rPr>
        <w:t>注：若公司法人前来参加的</w:t>
      </w:r>
      <w:r>
        <w:rPr>
          <w:rFonts w:hint="eastAsia" w:ascii="仿宋" w:hAnsi="仿宋" w:eastAsia="仿宋" w:cs="仿宋"/>
          <w:snapToGrid w:val="0"/>
          <w:color w:val="000000"/>
          <w:spacing w:val="11"/>
          <w:kern w:val="0"/>
          <w:position w:val="20"/>
          <w:sz w:val="24"/>
          <w:szCs w:val="24"/>
          <w:lang w:val="en-US" w:eastAsia="zh-CN" w:bidi="ar-SA"/>
        </w:rPr>
        <w:t>供应商</w:t>
      </w:r>
      <w:r>
        <w:rPr>
          <w:rFonts w:hint="eastAsia" w:ascii="仿宋" w:hAnsi="仿宋" w:eastAsia="仿宋" w:cs="仿宋"/>
          <w:snapToGrid w:val="0"/>
          <w:color w:val="000000"/>
          <w:spacing w:val="11"/>
          <w:kern w:val="0"/>
          <w:position w:val="20"/>
          <w:sz w:val="24"/>
          <w:szCs w:val="24"/>
          <w:lang w:val="en-US" w:eastAsia="en-US" w:bidi="ar-SA"/>
        </w:rPr>
        <w:t>，可以不提供此项证明文件。</w:t>
      </w:r>
    </w:p>
    <w:p w14:paraId="09FFB08A">
      <w:pPr>
        <w:spacing w:before="42" w:line="231" w:lineRule="auto"/>
        <w:outlineLvl w:val="2"/>
        <w:rPr>
          <w:rFonts w:ascii="仿宋" w:hAnsi="仿宋" w:eastAsia="仿宋" w:cs="仿宋"/>
          <w:b/>
          <w:bCs/>
          <w:spacing w:val="6"/>
          <w:sz w:val="20"/>
          <w:szCs w:val="20"/>
        </w:rPr>
      </w:pPr>
    </w:p>
    <w:p w14:paraId="09198EA5">
      <w:pPr>
        <w:spacing w:before="42" w:line="231" w:lineRule="auto"/>
        <w:ind w:left="3988"/>
        <w:outlineLvl w:val="2"/>
        <w:rPr>
          <w:rFonts w:ascii="仿宋" w:hAnsi="仿宋" w:eastAsia="仿宋" w:cs="仿宋"/>
          <w:sz w:val="24"/>
          <w:szCs w:val="24"/>
        </w:rPr>
      </w:pPr>
      <w:r>
        <w:rPr>
          <w:rFonts w:hint="eastAsia" w:ascii="仿宋" w:hAnsi="仿宋" w:eastAsia="仿宋" w:cs="仿宋"/>
          <w:b/>
          <w:bCs/>
          <w:spacing w:val="6"/>
          <w:sz w:val="24"/>
          <w:szCs w:val="24"/>
          <w:lang w:val="en-US" w:eastAsia="zh-CN"/>
        </w:rPr>
        <w:t>6</w:t>
      </w:r>
      <w:r>
        <w:rPr>
          <w:rFonts w:ascii="仿宋" w:hAnsi="仿宋" w:eastAsia="仿宋" w:cs="仿宋"/>
          <w:b/>
          <w:bCs/>
          <w:spacing w:val="6"/>
          <w:sz w:val="24"/>
          <w:szCs w:val="24"/>
        </w:rPr>
        <w:t>、</w:t>
      </w:r>
      <w:r>
        <w:rPr>
          <w:rFonts w:hint="eastAsia" w:ascii="仿宋" w:hAnsi="仿宋" w:eastAsia="仿宋" w:cs="仿宋"/>
          <w:b/>
          <w:bCs/>
          <w:spacing w:val="6"/>
          <w:sz w:val="24"/>
          <w:szCs w:val="24"/>
          <w:lang w:eastAsia="zh-CN"/>
        </w:rPr>
        <w:t>供应商</w:t>
      </w:r>
      <w:r>
        <w:rPr>
          <w:rFonts w:ascii="仿宋" w:hAnsi="仿宋" w:eastAsia="仿宋" w:cs="仿宋"/>
          <w:b/>
          <w:bCs/>
          <w:spacing w:val="6"/>
          <w:sz w:val="24"/>
          <w:szCs w:val="24"/>
        </w:rPr>
        <w:t>基本情况</w:t>
      </w:r>
    </w:p>
    <w:p w14:paraId="3ACE6FBA">
      <w:pPr>
        <w:spacing w:line="89" w:lineRule="exact"/>
        <w:rPr>
          <w:sz w:val="24"/>
          <w:szCs w:val="24"/>
        </w:rPr>
      </w:pPr>
    </w:p>
    <w:tbl>
      <w:tblPr>
        <w:tblStyle w:val="14"/>
        <w:tblW w:w="8608" w:type="dxa"/>
        <w:tblInd w:w="57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96"/>
        <w:gridCol w:w="1765"/>
        <w:gridCol w:w="1210"/>
        <w:gridCol w:w="1766"/>
        <w:gridCol w:w="1771"/>
      </w:tblGrid>
      <w:tr w14:paraId="048336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trPr>
        <w:tc>
          <w:tcPr>
            <w:tcW w:w="2096" w:type="dxa"/>
            <w:vAlign w:val="top"/>
          </w:tcPr>
          <w:p w14:paraId="3D782FF9">
            <w:pPr>
              <w:pStyle w:val="15"/>
              <w:spacing w:before="150" w:line="229" w:lineRule="auto"/>
              <w:ind w:left="531"/>
              <w:rPr>
                <w:sz w:val="24"/>
                <w:szCs w:val="24"/>
              </w:rPr>
            </w:pPr>
            <w:r>
              <w:rPr>
                <w:rFonts w:hint="eastAsia"/>
                <w:b/>
                <w:bCs/>
                <w:spacing w:val="5"/>
                <w:sz w:val="24"/>
                <w:szCs w:val="24"/>
                <w:lang w:eastAsia="zh-CN"/>
              </w:rPr>
              <w:t>供应商</w:t>
            </w:r>
            <w:r>
              <w:rPr>
                <w:b/>
                <w:bCs/>
                <w:spacing w:val="5"/>
                <w:sz w:val="24"/>
                <w:szCs w:val="24"/>
              </w:rPr>
              <w:t>名称</w:t>
            </w:r>
          </w:p>
        </w:tc>
        <w:tc>
          <w:tcPr>
            <w:tcW w:w="6512" w:type="dxa"/>
            <w:gridSpan w:val="4"/>
            <w:vAlign w:val="top"/>
          </w:tcPr>
          <w:p w14:paraId="62CBC57E">
            <w:pPr>
              <w:rPr>
                <w:rFonts w:ascii="Arial"/>
                <w:sz w:val="24"/>
                <w:szCs w:val="24"/>
              </w:rPr>
            </w:pPr>
          </w:p>
        </w:tc>
      </w:tr>
      <w:tr w14:paraId="257AF6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2096" w:type="dxa"/>
            <w:vAlign w:val="top"/>
          </w:tcPr>
          <w:p w14:paraId="51942464">
            <w:pPr>
              <w:pStyle w:val="15"/>
              <w:spacing w:before="147" w:line="232" w:lineRule="auto"/>
              <w:ind w:left="643"/>
              <w:rPr>
                <w:sz w:val="24"/>
                <w:szCs w:val="24"/>
              </w:rPr>
            </w:pPr>
            <w:r>
              <w:rPr>
                <w:b/>
                <w:bCs/>
                <w:spacing w:val="3"/>
                <w:sz w:val="24"/>
                <w:szCs w:val="24"/>
              </w:rPr>
              <w:t>注册地址</w:t>
            </w:r>
          </w:p>
        </w:tc>
        <w:tc>
          <w:tcPr>
            <w:tcW w:w="6512" w:type="dxa"/>
            <w:gridSpan w:val="4"/>
            <w:vAlign w:val="top"/>
          </w:tcPr>
          <w:p w14:paraId="11C1FF31">
            <w:pPr>
              <w:rPr>
                <w:rFonts w:ascii="Arial"/>
                <w:sz w:val="24"/>
                <w:szCs w:val="24"/>
              </w:rPr>
            </w:pPr>
          </w:p>
        </w:tc>
      </w:tr>
      <w:tr w14:paraId="421524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2096" w:type="dxa"/>
            <w:vMerge w:val="restart"/>
            <w:tcBorders>
              <w:bottom w:val="nil"/>
            </w:tcBorders>
            <w:vAlign w:val="top"/>
          </w:tcPr>
          <w:p w14:paraId="642AC635">
            <w:pPr>
              <w:spacing w:line="332" w:lineRule="auto"/>
              <w:rPr>
                <w:rFonts w:ascii="Arial"/>
                <w:sz w:val="24"/>
                <w:szCs w:val="24"/>
              </w:rPr>
            </w:pPr>
          </w:p>
          <w:p w14:paraId="1CA4E9EE">
            <w:pPr>
              <w:pStyle w:val="15"/>
              <w:spacing w:before="65" w:line="232" w:lineRule="auto"/>
              <w:ind w:left="635"/>
              <w:rPr>
                <w:sz w:val="24"/>
                <w:szCs w:val="24"/>
              </w:rPr>
            </w:pPr>
            <w:r>
              <w:rPr>
                <w:b/>
                <w:bCs/>
                <w:spacing w:val="5"/>
                <w:sz w:val="24"/>
                <w:szCs w:val="24"/>
              </w:rPr>
              <w:t>联系方式</w:t>
            </w:r>
          </w:p>
        </w:tc>
        <w:tc>
          <w:tcPr>
            <w:tcW w:w="1765" w:type="dxa"/>
            <w:vAlign w:val="top"/>
          </w:tcPr>
          <w:p w14:paraId="1E271310">
            <w:pPr>
              <w:pStyle w:val="15"/>
              <w:spacing w:before="146" w:line="233" w:lineRule="auto"/>
              <w:ind w:left="574"/>
              <w:rPr>
                <w:sz w:val="24"/>
                <w:szCs w:val="24"/>
              </w:rPr>
            </w:pPr>
            <w:r>
              <w:rPr>
                <w:b/>
                <w:bCs/>
                <w:spacing w:val="4"/>
                <w:sz w:val="24"/>
                <w:szCs w:val="24"/>
              </w:rPr>
              <w:t>联系人</w:t>
            </w:r>
          </w:p>
        </w:tc>
        <w:tc>
          <w:tcPr>
            <w:tcW w:w="1210" w:type="dxa"/>
            <w:vAlign w:val="top"/>
          </w:tcPr>
          <w:p w14:paraId="787310C0">
            <w:pPr>
              <w:rPr>
                <w:rFonts w:ascii="Arial"/>
                <w:sz w:val="24"/>
                <w:szCs w:val="24"/>
              </w:rPr>
            </w:pPr>
          </w:p>
        </w:tc>
        <w:tc>
          <w:tcPr>
            <w:tcW w:w="1766" w:type="dxa"/>
            <w:vAlign w:val="top"/>
          </w:tcPr>
          <w:p w14:paraId="4F098142">
            <w:pPr>
              <w:pStyle w:val="15"/>
              <w:spacing w:before="145" w:line="232" w:lineRule="auto"/>
              <w:ind w:left="706"/>
              <w:rPr>
                <w:sz w:val="24"/>
                <w:szCs w:val="24"/>
              </w:rPr>
            </w:pPr>
            <w:r>
              <w:rPr>
                <w:b/>
                <w:bCs/>
                <w:spacing w:val="-11"/>
                <w:sz w:val="24"/>
                <w:szCs w:val="24"/>
              </w:rPr>
              <w:t>电话</w:t>
            </w:r>
          </w:p>
        </w:tc>
        <w:tc>
          <w:tcPr>
            <w:tcW w:w="1771" w:type="dxa"/>
            <w:vAlign w:val="top"/>
          </w:tcPr>
          <w:p w14:paraId="09A80238">
            <w:pPr>
              <w:rPr>
                <w:rFonts w:ascii="Arial"/>
                <w:sz w:val="24"/>
                <w:szCs w:val="24"/>
              </w:rPr>
            </w:pPr>
          </w:p>
        </w:tc>
      </w:tr>
      <w:tr w14:paraId="193D4C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2096" w:type="dxa"/>
            <w:vMerge w:val="continue"/>
            <w:tcBorders>
              <w:top w:val="nil"/>
            </w:tcBorders>
            <w:vAlign w:val="top"/>
          </w:tcPr>
          <w:p w14:paraId="14B0AC07">
            <w:pPr>
              <w:rPr>
                <w:rFonts w:ascii="Arial"/>
                <w:sz w:val="24"/>
                <w:szCs w:val="24"/>
              </w:rPr>
            </w:pPr>
          </w:p>
        </w:tc>
        <w:tc>
          <w:tcPr>
            <w:tcW w:w="1765" w:type="dxa"/>
            <w:vAlign w:val="top"/>
          </w:tcPr>
          <w:p w14:paraId="11F9EE15">
            <w:pPr>
              <w:pStyle w:val="15"/>
              <w:spacing w:before="144" w:line="232" w:lineRule="auto"/>
              <w:ind w:left="685"/>
              <w:rPr>
                <w:sz w:val="24"/>
                <w:szCs w:val="24"/>
              </w:rPr>
            </w:pPr>
            <w:r>
              <w:rPr>
                <w:b/>
                <w:bCs/>
                <w:spacing w:val="-1"/>
                <w:sz w:val="24"/>
                <w:szCs w:val="24"/>
              </w:rPr>
              <w:t>传真</w:t>
            </w:r>
          </w:p>
        </w:tc>
        <w:tc>
          <w:tcPr>
            <w:tcW w:w="1210" w:type="dxa"/>
            <w:vAlign w:val="top"/>
          </w:tcPr>
          <w:p w14:paraId="3036F7B6">
            <w:pPr>
              <w:rPr>
                <w:rFonts w:ascii="Arial"/>
                <w:sz w:val="24"/>
                <w:szCs w:val="24"/>
              </w:rPr>
            </w:pPr>
          </w:p>
        </w:tc>
        <w:tc>
          <w:tcPr>
            <w:tcW w:w="1766" w:type="dxa"/>
            <w:vAlign w:val="top"/>
          </w:tcPr>
          <w:p w14:paraId="7C9BA86E">
            <w:pPr>
              <w:pStyle w:val="15"/>
              <w:spacing w:before="145" w:line="229" w:lineRule="auto"/>
              <w:ind w:left="497"/>
              <w:rPr>
                <w:sz w:val="24"/>
                <w:szCs w:val="24"/>
              </w:rPr>
            </w:pPr>
            <w:r>
              <w:rPr>
                <w:b/>
                <w:bCs/>
                <w:spacing w:val="-1"/>
                <w:sz w:val="24"/>
                <w:szCs w:val="24"/>
              </w:rPr>
              <w:t>电子邮箱</w:t>
            </w:r>
          </w:p>
        </w:tc>
        <w:tc>
          <w:tcPr>
            <w:tcW w:w="1771" w:type="dxa"/>
            <w:vAlign w:val="top"/>
          </w:tcPr>
          <w:p w14:paraId="58C497C4">
            <w:pPr>
              <w:rPr>
                <w:rFonts w:ascii="Arial"/>
                <w:sz w:val="24"/>
                <w:szCs w:val="24"/>
              </w:rPr>
            </w:pPr>
          </w:p>
        </w:tc>
      </w:tr>
      <w:tr w14:paraId="7833F4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0" w:hRule="atLeast"/>
        </w:trPr>
        <w:tc>
          <w:tcPr>
            <w:tcW w:w="2096" w:type="dxa"/>
            <w:vAlign w:val="top"/>
          </w:tcPr>
          <w:p w14:paraId="318DC76E">
            <w:pPr>
              <w:pStyle w:val="15"/>
              <w:spacing w:before="126" w:line="274" w:lineRule="exact"/>
              <w:ind w:left="538"/>
              <w:rPr>
                <w:sz w:val="24"/>
                <w:szCs w:val="24"/>
              </w:rPr>
            </w:pPr>
            <w:r>
              <w:rPr>
                <w:b/>
                <w:bCs/>
                <w:spacing w:val="4"/>
                <w:position w:val="4"/>
                <w:sz w:val="24"/>
                <w:szCs w:val="24"/>
              </w:rPr>
              <w:t>法定代表人</w:t>
            </w:r>
          </w:p>
          <w:p w14:paraId="266EDB6C">
            <w:pPr>
              <w:pStyle w:val="15"/>
              <w:spacing w:line="232" w:lineRule="auto"/>
              <w:ind w:left="431"/>
              <w:rPr>
                <w:sz w:val="24"/>
                <w:szCs w:val="24"/>
              </w:rPr>
            </w:pPr>
            <w:r>
              <w:rPr>
                <w:b/>
                <w:bCs/>
                <w:spacing w:val="3"/>
                <w:sz w:val="24"/>
                <w:szCs w:val="24"/>
              </w:rPr>
              <w:t>（或负责人）</w:t>
            </w:r>
          </w:p>
        </w:tc>
        <w:tc>
          <w:tcPr>
            <w:tcW w:w="1765" w:type="dxa"/>
            <w:vAlign w:val="top"/>
          </w:tcPr>
          <w:p w14:paraId="4390E2A6">
            <w:pPr>
              <w:pStyle w:val="15"/>
              <w:spacing w:before="263" w:line="233" w:lineRule="auto"/>
              <w:ind w:left="682"/>
              <w:rPr>
                <w:sz w:val="24"/>
                <w:szCs w:val="24"/>
              </w:rPr>
            </w:pPr>
            <w:r>
              <w:rPr>
                <w:b/>
                <w:bCs/>
                <w:spacing w:val="1"/>
                <w:sz w:val="24"/>
                <w:szCs w:val="24"/>
              </w:rPr>
              <w:t>姓名</w:t>
            </w:r>
          </w:p>
        </w:tc>
        <w:tc>
          <w:tcPr>
            <w:tcW w:w="1210" w:type="dxa"/>
            <w:vAlign w:val="top"/>
          </w:tcPr>
          <w:p w14:paraId="2BD0A9E3">
            <w:pPr>
              <w:rPr>
                <w:rFonts w:ascii="Arial"/>
                <w:sz w:val="24"/>
                <w:szCs w:val="24"/>
              </w:rPr>
            </w:pPr>
          </w:p>
        </w:tc>
        <w:tc>
          <w:tcPr>
            <w:tcW w:w="1766" w:type="dxa"/>
            <w:vAlign w:val="top"/>
          </w:tcPr>
          <w:p w14:paraId="70F3336D">
            <w:pPr>
              <w:pStyle w:val="15"/>
              <w:spacing w:before="263" w:line="232" w:lineRule="auto"/>
              <w:ind w:left="706"/>
              <w:rPr>
                <w:sz w:val="24"/>
                <w:szCs w:val="24"/>
              </w:rPr>
            </w:pPr>
            <w:r>
              <w:rPr>
                <w:b/>
                <w:bCs/>
                <w:spacing w:val="-11"/>
                <w:sz w:val="24"/>
                <w:szCs w:val="24"/>
              </w:rPr>
              <w:t>电话</w:t>
            </w:r>
          </w:p>
        </w:tc>
        <w:tc>
          <w:tcPr>
            <w:tcW w:w="1771" w:type="dxa"/>
            <w:vAlign w:val="top"/>
          </w:tcPr>
          <w:p w14:paraId="62677BB3">
            <w:pPr>
              <w:rPr>
                <w:rFonts w:ascii="Arial"/>
                <w:sz w:val="24"/>
                <w:szCs w:val="24"/>
              </w:rPr>
            </w:pPr>
          </w:p>
        </w:tc>
      </w:tr>
      <w:tr w14:paraId="56B67C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2096" w:type="dxa"/>
            <w:vAlign w:val="top"/>
          </w:tcPr>
          <w:p w14:paraId="30BB64FD">
            <w:pPr>
              <w:pStyle w:val="15"/>
              <w:spacing w:before="147" w:line="230" w:lineRule="auto"/>
              <w:ind w:left="219"/>
              <w:rPr>
                <w:sz w:val="24"/>
                <w:szCs w:val="24"/>
              </w:rPr>
            </w:pPr>
            <w:r>
              <w:rPr>
                <w:b/>
                <w:bCs/>
                <w:spacing w:val="6"/>
                <w:sz w:val="24"/>
                <w:szCs w:val="24"/>
              </w:rPr>
              <w:t>统一社会信用代码</w:t>
            </w:r>
          </w:p>
        </w:tc>
        <w:tc>
          <w:tcPr>
            <w:tcW w:w="2975" w:type="dxa"/>
            <w:gridSpan w:val="2"/>
            <w:vAlign w:val="top"/>
          </w:tcPr>
          <w:p w14:paraId="42D5D251">
            <w:pPr>
              <w:rPr>
                <w:rFonts w:ascii="Arial"/>
                <w:sz w:val="24"/>
                <w:szCs w:val="24"/>
              </w:rPr>
            </w:pPr>
          </w:p>
        </w:tc>
        <w:tc>
          <w:tcPr>
            <w:tcW w:w="1766" w:type="dxa"/>
            <w:vAlign w:val="top"/>
          </w:tcPr>
          <w:p w14:paraId="149ECFD6">
            <w:pPr>
              <w:pStyle w:val="15"/>
              <w:spacing w:before="146" w:line="232" w:lineRule="auto"/>
              <w:ind w:left="385"/>
              <w:rPr>
                <w:sz w:val="24"/>
                <w:szCs w:val="24"/>
              </w:rPr>
            </w:pPr>
            <w:r>
              <w:rPr>
                <w:b/>
                <w:bCs/>
                <w:spacing w:val="2"/>
                <w:sz w:val="24"/>
                <w:szCs w:val="24"/>
              </w:rPr>
              <w:t>员工总人数</w:t>
            </w:r>
          </w:p>
        </w:tc>
        <w:tc>
          <w:tcPr>
            <w:tcW w:w="1771" w:type="dxa"/>
            <w:vAlign w:val="top"/>
          </w:tcPr>
          <w:p w14:paraId="2A70D76D">
            <w:pPr>
              <w:rPr>
                <w:rFonts w:ascii="Arial"/>
                <w:sz w:val="24"/>
                <w:szCs w:val="24"/>
              </w:rPr>
            </w:pPr>
          </w:p>
        </w:tc>
      </w:tr>
      <w:tr w14:paraId="34AB03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2096" w:type="dxa"/>
            <w:vAlign w:val="top"/>
          </w:tcPr>
          <w:p w14:paraId="62DA3B26">
            <w:pPr>
              <w:pStyle w:val="15"/>
              <w:spacing w:before="146" w:line="233" w:lineRule="auto"/>
              <w:ind w:left="851"/>
              <w:rPr>
                <w:sz w:val="24"/>
                <w:szCs w:val="24"/>
              </w:rPr>
            </w:pPr>
            <w:r>
              <w:rPr>
                <w:b/>
                <w:bCs/>
                <w:spacing w:val="-1"/>
                <w:sz w:val="24"/>
                <w:szCs w:val="24"/>
              </w:rPr>
              <w:t>类型</w:t>
            </w:r>
          </w:p>
        </w:tc>
        <w:tc>
          <w:tcPr>
            <w:tcW w:w="1765" w:type="dxa"/>
            <w:vAlign w:val="top"/>
          </w:tcPr>
          <w:p w14:paraId="0EF8BF7E">
            <w:pPr>
              <w:rPr>
                <w:rFonts w:ascii="Arial"/>
                <w:sz w:val="24"/>
                <w:szCs w:val="24"/>
              </w:rPr>
            </w:pPr>
          </w:p>
        </w:tc>
        <w:tc>
          <w:tcPr>
            <w:tcW w:w="1210" w:type="dxa"/>
            <w:vMerge w:val="restart"/>
            <w:tcBorders>
              <w:bottom w:val="nil"/>
            </w:tcBorders>
            <w:vAlign w:val="top"/>
          </w:tcPr>
          <w:p w14:paraId="2B055F4C">
            <w:pPr>
              <w:spacing w:line="273" w:lineRule="auto"/>
              <w:rPr>
                <w:rFonts w:ascii="Arial"/>
                <w:sz w:val="24"/>
                <w:szCs w:val="24"/>
              </w:rPr>
            </w:pPr>
          </w:p>
          <w:p w14:paraId="018FFDE3">
            <w:pPr>
              <w:spacing w:line="273" w:lineRule="auto"/>
              <w:rPr>
                <w:rFonts w:ascii="Arial"/>
                <w:sz w:val="24"/>
                <w:szCs w:val="24"/>
              </w:rPr>
            </w:pPr>
          </w:p>
          <w:p w14:paraId="106784F2">
            <w:pPr>
              <w:spacing w:line="274" w:lineRule="auto"/>
              <w:rPr>
                <w:rFonts w:ascii="Arial"/>
                <w:sz w:val="24"/>
                <w:szCs w:val="24"/>
              </w:rPr>
            </w:pPr>
          </w:p>
          <w:p w14:paraId="0007996E">
            <w:pPr>
              <w:spacing w:line="274" w:lineRule="auto"/>
              <w:rPr>
                <w:rFonts w:ascii="Arial"/>
                <w:sz w:val="24"/>
                <w:szCs w:val="24"/>
              </w:rPr>
            </w:pPr>
          </w:p>
          <w:p w14:paraId="015162B3">
            <w:pPr>
              <w:pStyle w:val="15"/>
              <w:spacing w:before="65" w:line="231" w:lineRule="auto"/>
              <w:ind w:left="407"/>
              <w:rPr>
                <w:sz w:val="24"/>
                <w:szCs w:val="24"/>
              </w:rPr>
            </w:pPr>
            <w:r>
              <w:rPr>
                <w:b/>
                <w:bCs/>
                <w:sz w:val="24"/>
                <w:szCs w:val="24"/>
              </w:rPr>
              <w:t>其中</w:t>
            </w:r>
          </w:p>
        </w:tc>
        <w:tc>
          <w:tcPr>
            <w:tcW w:w="1766" w:type="dxa"/>
            <w:vMerge w:val="restart"/>
            <w:tcBorders>
              <w:bottom w:val="nil"/>
            </w:tcBorders>
            <w:vAlign w:val="top"/>
          </w:tcPr>
          <w:p w14:paraId="1C0A3EA4">
            <w:pPr>
              <w:pStyle w:val="15"/>
              <w:spacing w:before="65"/>
              <w:ind w:right="143"/>
              <w:rPr>
                <w:sz w:val="24"/>
                <w:szCs w:val="24"/>
              </w:rPr>
            </w:pPr>
            <w:r>
              <w:rPr>
                <w:b/>
                <w:bCs/>
                <w:spacing w:val="6"/>
                <w:sz w:val="24"/>
                <w:szCs w:val="24"/>
              </w:rPr>
              <w:t>基本账户开户银</w:t>
            </w:r>
            <w:r>
              <w:rPr>
                <w:spacing w:val="2"/>
                <w:sz w:val="24"/>
                <w:szCs w:val="24"/>
              </w:rPr>
              <w:t xml:space="preserve"> </w:t>
            </w:r>
            <w:r>
              <w:rPr>
                <w:b/>
                <w:bCs/>
                <w:spacing w:val="-3"/>
                <w:sz w:val="24"/>
                <w:szCs w:val="24"/>
              </w:rPr>
              <w:t>行</w:t>
            </w:r>
          </w:p>
        </w:tc>
        <w:tc>
          <w:tcPr>
            <w:tcW w:w="1771" w:type="dxa"/>
            <w:vMerge w:val="restart"/>
            <w:tcBorders>
              <w:bottom w:val="nil"/>
            </w:tcBorders>
            <w:vAlign w:val="top"/>
          </w:tcPr>
          <w:p w14:paraId="32E49713">
            <w:pPr>
              <w:rPr>
                <w:rFonts w:ascii="Arial"/>
                <w:sz w:val="24"/>
                <w:szCs w:val="24"/>
              </w:rPr>
            </w:pPr>
          </w:p>
        </w:tc>
      </w:tr>
      <w:tr w14:paraId="7AB8DA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2096" w:type="dxa"/>
            <w:vAlign w:val="top"/>
          </w:tcPr>
          <w:p w14:paraId="2088CDDD">
            <w:pPr>
              <w:pStyle w:val="15"/>
              <w:spacing w:before="147" w:line="231" w:lineRule="auto"/>
              <w:ind w:left="643"/>
              <w:rPr>
                <w:sz w:val="24"/>
                <w:szCs w:val="24"/>
              </w:rPr>
            </w:pPr>
            <w:r>
              <w:rPr>
                <w:b/>
                <w:bCs/>
                <w:spacing w:val="3"/>
                <w:sz w:val="24"/>
                <w:szCs w:val="24"/>
              </w:rPr>
              <w:t>注册资本</w:t>
            </w:r>
          </w:p>
        </w:tc>
        <w:tc>
          <w:tcPr>
            <w:tcW w:w="1765" w:type="dxa"/>
            <w:vAlign w:val="top"/>
          </w:tcPr>
          <w:p w14:paraId="6180D5F4">
            <w:pPr>
              <w:rPr>
                <w:rFonts w:ascii="Arial"/>
                <w:sz w:val="24"/>
                <w:szCs w:val="24"/>
              </w:rPr>
            </w:pPr>
          </w:p>
        </w:tc>
        <w:tc>
          <w:tcPr>
            <w:tcW w:w="1210" w:type="dxa"/>
            <w:vMerge w:val="continue"/>
            <w:tcBorders>
              <w:top w:val="nil"/>
              <w:bottom w:val="nil"/>
            </w:tcBorders>
            <w:vAlign w:val="top"/>
          </w:tcPr>
          <w:p w14:paraId="000F0008">
            <w:pPr>
              <w:rPr>
                <w:rFonts w:ascii="Arial"/>
                <w:sz w:val="24"/>
                <w:szCs w:val="24"/>
              </w:rPr>
            </w:pPr>
          </w:p>
        </w:tc>
        <w:tc>
          <w:tcPr>
            <w:tcW w:w="1766" w:type="dxa"/>
            <w:vMerge w:val="continue"/>
            <w:tcBorders>
              <w:top w:val="nil"/>
              <w:bottom w:val="nil"/>
            </w:tcBorders>
            <w:vAlign w:val="top"/>
          </w:tcPr>
          <w:p w14:paraId="53BB4074">
            <w:pPr>
              <w:rPr>
                <w:rFonts w:ascii="Arial"/>
                <w:sz w:val="24"/>
                <w:szCs w:val="24"/>
              </w:rPr>
            </w:pPr>
          </w:p>
        </w:tc>
        <w:tc>
          <w:tcPr>
            <w:tcW w:w="1771" w:type="dxa"/>
            <w:vMerge w:val="continue"/>
            <w:tcBorders>
              <w:top w:val="nil"/>
              <w:bottom w:val="nil"/>
            </w:tcBorders>
            <w:vAlign w:val="top"/>
          </w:tcPr>
          <w:p w14:paraId="221B6F96">
            <w:pPr>
              <w:rPr>
                <w:rFonts w:ascii="Arial"/>
                <w:sz w:val="24"/>
                <w:szCs w:val="24"/>
              </w:rPr>
            </w:pPr>
          </w:p>
        </w:tc>
      </w:tr>
      <w:tr w14:paraId="157B34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2096" w:type="dxa"/>
            <w:vAlign w:val="top"/>
          </w:tcPr>
          <w:p w14:paraId="684A76AC">
            <w:pPr>
              <w:pStyle w:val="15"/>
              <w:spacing w:before="145" w:line="232" w:lineRule="auto"/>
              <w:ind w:left="641"/>
              <w:rPr>
                <w:sz w:val="24"/>
                <w:szCs w:val="24"/>
              </w:rPr>
            </w:pPr>
            <w:r>
              <w:rPr>
                <w:b/>
                <w:bCs/>
                <w:spacing w:val="4"/>
                <w:sz w:val="24"/>
                <w:szCs w:val="24"/>
              </w:rPr>
              <w:t>成立日期</w:t>
            </w:r>
          </w:p>
        </w:tc>
        <w:tc>
          <w:tcPr>
            <w:tcW w:w="1765" w:type="dxa"/>
            <w:vAlign w:val="top"/>
          </w:tcPr>
          <w:p w14:paraId="76FE71DD">
            <w:pPr>
              <w:rPr>
                <w:rFonts w:ascii="Arial"/>
                <w:sz w:val="24"/>
                <w:szCs w:val="24"/>
              </w:rPr>
            </w:pPr>
          </w:p>
        </w:tc>
        <w:tc>
          <w:tcPr>
            <w:tcW w:w="1210" w:type="dxa"/>
            <w:vMerge w:val="continue"/>
            <w:tcBorders>
              <w:top w:val="nil"/>
              <w:bottom w:val="nil"/>
            </w:tcBorders>
            <w:vAlign w:val="top"/>
          </w:tcPr>
          <w:p w14:paraId="02C398A4">
            <w:pPr>
              <w:rPr>
                <w:rFonts w:ascii="Arial"/>
                <w:sz w:val="24"/>
                <w:szCs w:val="24"/>
              </w:rPr>
            </w:pPr>
          </w:p>
        </w:tc>
        <w:tc>
          <w:tcPr>
            <w:tcW w:w="1766" w:type="dxa"/>
            <w:vMerge w:val="continue"/>
            <w:tcBorders>
              <w:top w:val="nil"/>
            </w:tcBorders>
            <w:vAlign w:val="top"/>
          </w:tcPr>
          <w:p w14:paraId="0CD3BBB5">
            <w:pPr>
              <w:rPr>
                <w:rFonts w:ascii="Arial"/>
                <w:sz w:val="24"/>
                <w:szCs w:val="24"/>
              </w:rPr>
            </w:pPr>
          </w:p>
        </w:tc>
        <w:tc>
          <w:tcPr>
            <w:tcW w:w="1771" w:type="dxa"/>
            <w:vMerge w:val="continue"/>
            <w:tcBorders>
              <w:top w:val="nil"/>
            </w:tcBorders>
            <w:vAlign w:val="top"/>
          </w:tcPr>
          <w:p w14:paraId="0A15E5FD">
            <w:pPr>
              <w:rPr>
                <w:rFonts w:ascii="Arial"/>
                <w:sz w:val="24"/>
                <w:szCs w:val="24"/>
              </w:rPr>
            </w:pPr>
          </w:p>
        </w:tc>
      </w:tr>
      <w:tr w14:paraId="646841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2096" w:type="dxa"/>
            <w:vAlign w:val="top"/>
          </w:tcPr>
          <w:p w14:paraId="4E68E7D0">
            <w:pPr>
              <w:pStyle w:val="15"/>
              <w:spacing w:before="147" w:line="231" w:lineRule="auto"/>
              <w:ind w:left="643"/>
              <w:rPr>
                <w:sz w:val="24"/>
                <w:szCs w:val="24"/>
              </w:rPr>
            </w:pPr>
            <w:r>
              <w:rPr>
                <w:b/>
                <w:bCs/>
                <w:spacing w:val="3"/>
                <w:sz w:val="24"/>
                <w:szCs w:val="24"/>
              </w:rPr>
              <w:t>营业期限</w:t>
            </w:r>
          </w:p>
        </w:tc>
        <w:tc>
          <w:tcPr>
            <w:tcW w:w="1765" w:type="dxa"/>
            <w:vAlign w:val="top"/>
          </w:tcPr>
          <w:p w14:paraId="10707455">
            <w:pPr>
              <w:rPr>
                <w:rFonts w:ascii="Arial"/>
                <w:sz w:val="24"/>
                <w:szCs w:val="24"/>
              </w:rPr>
            </w:pPr>
          </w:p>
        </w:tc>
        <w:tc>
          <w:tcPr>
            <w:tcW w:w="1210" w:type="dxa"/>
            <w:vMerge w:val="continue"/>
            <w:tcBorders>
              <w:top w:val="nil"/>
              <w:bottom w:val="nil"/>
            </w:tcBorders>
            <w:vAlign w:val="top"/>
          </w:tcPr>
          <w:p w14:paraId="61999DDA">
            <w:pPr>
              <w:rPr>
                <w:rFonts w:ascii="Arial"/>
                <w:sz w:val="24"/>
                <w:szCs w:val="24"/>
              </w:rPr>
            </w:pPr>
          </w:p>
        </w:tc>
        <w:tc>
          <w:tcPr>
            <w:tcW w:w="1766" w:type="dxa"/>
            <w:vMerge w:val="restart"/>
            <w:tcBorders>
              <w:bottom w:val="nil"/>
            </w:tcBorders>
            <w:vAlign w:val="top"/>
          </w:tcPr>
          <w:p w14:paraId="0D8FD12C">
            <w:pPr>
              <w:pStyle w:val="15"/>
              <w:spacing w:before="265" w:line="241" w:lineRule="auto"/>
              <w:ind w:right="143"/>
              <w:rPr>
                <w:sz w:val="24"/>
                <w:szCs w:val="24"/>
              </w:rPr>
            </w:pPr>
            <w:r>
              <w:rPr>
                <w:b/>
                <w:bCs/>
                <w:spacing w:val="6"/>
                <w:sz w:val="24"/>
                <w:szCs w:val="24"/>
              </w:rPr>
              <w:t>基本账户银行账</w:t>
            </w:r>
            <w:r>
              <w:rPr>
                <w:spacing w:val="2"/>
                <w:sz w:val="24"/>
                <w:szCs w:val="24"/>
              </w:rPr>
              <w:t xml:space="preserve"> </w:t>
            </w:r>
            <w:r>
              <w:rPr>
                <w:b/>
                <w:bCs/>
                <w:spacing w:val="-3"/>
                <w:sz w:val="24"/>
                <w:szCs w:val="24"/>
              </w:rPr>
              <w:t>号</w:t>
            </w:r>
          </w:p>
        </w:tc>
        <w:tc>
          <w:tcPr>
            <w:tcW w:w="1771" w:type="dxa"/>
            <w:vMerge w:val="restart"/>
            <w:tcBorders>
              <w:bottom w:val="nil"/>
            </w:tcBorders>
            <w:vAlign w:val="top"/>
          </w:tcPr>
          <w:p w14:paraId="2DAF0DCD">
            <w:pPr>
              <w:rPr>
                <w:rFonts w:ascii="Arial"/>
                <w:sz w:val="24"/>
                <w:szCs w:val="24"/>
              </w:rPr>
            </w:pPr>
          </w:p>
        </w:tc>
      </w:tr>
      <w:tr w14:paraId="4B212B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2096" w:type="dxa"/>
            <w:vAlign w:val="top"/>
          </w:tcPr>
          <w:p w14:paraId="5D61EB1B">
            <w:pPr>
              <w:pStyle w:val="15"/>
              <w:spacing w:before="147" w:line="231" w:lineRule="auto"/>
              <w:ind w:left="641"/>
              <w:rPr>
                <w:sz w:val="24"/>
                <w:szCs w:val="24"/>
              </w:rPr>
            </w:pPr>
            <w:r>
              <w:rPr>
                <w:b/>
                <w:bCs/>
                <w:spacing w:val="4"/>
                <w:sz w:val="24"/>
                <w:szCs w:val="24"/>
              </w:rPr>
              <w:t>登记机关</w:t>
            </w:r>
          </w:p>
        </w:tc>
        <w:tc>
          <w:tcPr>
            <w:tcW w:w="1765" w:type="dxa"/>
            <w:vAlign w:val="top"/>
          </w:tcPr>
          <w:p w14:paraId="6A6D88AE">
            <w:pPr>
              <w:rPr>
                <w:rFonts w:ascii="Arial"/>
                <w:sz w:val="24"/>
                <w:szCs w:val="24"/>
              </w:rPr>
            </w:pPr>
          </w:p>
        </w:tc>
        <w:tc>
          <w:tcPr>
            <w:tcW w:w="1210" w:type="dxa"/>
            <w:vMerge w:val="continue"/>
            <w:tcBorders>
              <w:top w:val="nil"/>
            </w:tcBorders>
            <w:vAlign w:val="top"/>
          </w:tcPr>
          <w:p w14:paraId="5857BEAF">
            <w:pPr>
              <w:rPr>
                <w:rFonts w:ascii="Arial"/>
                <w:sz w:val="24"/>
                <w:szCs w:val="24"/>
              </w:rPr>
            </w:pPr>
          </w:p>
        </w:tc>
        <w:tc>
          <w:tcPr>
            <w:tcW w:w="1766" w:type="dxa"/>
            <w:vMerge w:val="continue"/>
            <w:tcBorders>
              <w:top w:val="nil"/>
            </w:tcBorders>
            <w:vAlign w:val="top"/>
          </w:tcPr>
          <w:p w14:paraId="71A058F2">
            <w:pPr>
              <w:rPr>
                <w:rFonts w:ascii="Arial"/>
                <w:sz w:val="24"/>
                <w:szCs w:val="24"/>
              </w:rPr>
            </w:pPr>
          </w:p>
        </w:tc>
        <w:tc>
          <w:tcPr>
            <w:tcW w:w="1771" w:type="dxa"/>
            <w:vMerge w:val="continue"/>
            <w:tcBorders>
              <w:top w:val="nil"/>
            </w:tcBorders>
            <w:vAlign w:val="top"/>
          </w:tcPr>
          <w:p w14:paraId="47C0C0BB">
            <w:pPr>
              <w:rPr>
                <w:rFonts w:ascii="Arial"/>
                <w:sz w:val="24"/>
                <w:szCs w:val="24"/>
              </w:rPr>
            </w:pPr>
          </w:p>
        </w:tc>
      </w:tr>
      <w:tr w14:paraId="70F2D4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10" w:hRule="atLeast"/>
        </w:trPr>
        <w:tc>
          <w:tcPr>
            <w:tcW w:w="2096" w:type="dxa"/>
            <w:vAlign w:val="top"/>
          </w:tcPr>
          <w:p w14:paraId="0B1419A7">
            <w:pPr>
              <w:spacing w:line="252" w:lineRule="auto"/>
              <w:rPr>
                <w:rFonts w:ascii="Arial"/>
                <w:sz w:val="24"/>
                <w:szCs w:val="24"/>
              </w:rPr>
            </w:pPr>
          </w:p>
          <w:p w14:paraId="106EB43F">
            <w:pPr>
              <w:spacing w:line="252" w:lineRule="auto"/>
              <w:rPr>
                <w:rFonts w:ascii="Arial"/>
                <w:sz w:val="24"/>
                <w:szCs w:val="24"/>
              </w:rPr>
            </w:pPr>
          </w:p>
          <w:p w14:paraId="45555A7A">
            <w:pPr>
              <w:spacing w:line="252" w:lineRule="auto"/>
              <w:rPr>
                <w:rFonts w:ascii="Arial"/>
                <w:sz w:val="24"/>
                <w:szCs w:val="24"/>
              </w:rPr>
            </w:pPr>
          </w:p>
          <w:p w14:paraId="6216AA07">
            <w:pPr>
              <w:spacing w:line="252" w:lineRule="auto"/>
              <w:rPr>
                <w:rFonts w:ascii="Arial"/>
                <w:sz w:val="24"/>
                <w:szCs w:val="24"/>
              </w:rPr>
            </w:pPr>
          </w:p>
          <w:p w14:paraId="224EDED2">
            <w:pPr>
              <w:spacing w:line="252" w:lineRule="auto"/>
              <w:rPr>
                <w:rFonts w:ascii="Arial"/>
                <w:sz w:val="24"/>
                <w:szCs w:val="24"/>
              </w:rPr>
            </w:pPr>
          </w:p>
          <w:p w14:paraId="71DA268D">
            <w:pPr>
              <w:spacing w:line="252" w:lineRule="auto"/>
              <w:rPr>
                <w:rFonts w:ascii="Arial"/>
                <w:sz w:val="24"/>
                <w:szCs w:val="24"/>
              </w:rPr>
            </w:pPr>
          </w:p>
          <w:p w14:paraId="73A9FEF8">
            <w:pPr>
              <w:spacing w:line="252" w:lineRule="auto"/>
              <w:rPr>
                <w:rFonts w:ascii="Arial"/>
                <w:sz w:val="24"/>
                <w:szCs w:val="24"/>
              </w:rPr>
            </w:pPr>
          </w:p>
          <w:p w14:paraId="4E9E1813">
            <w:pPr>
              <w:spacing w:line="252" w:lineRule="auto"/>
              <w:rPr>
                <w:rFonts w:ascii="Arial"/>
                <w:sz w:val="24"/>
                <w:szCs w:val="24"/>
              </w:rPr>
            </w:pPr>
          </w:p>
          <w:p w14:paraId="624C404B">
            <w:pPr>
              <w:spacing w:line="253" w:lineRule="auto"/>
              <w:rPr>
                <w:rFonts w:ascii="Arial"/>
                <w:sz w:val="24"/>
                <w:szCs w:val="24"/>
              </w:rPr>
            </w:pPr>
          </w:p>
          <w:p w14:paraId="652A9314">
            <w:pPr>
              <w:pStyle w:val="15"/>
              <w:spacing w:before="65" w:line="232" w:lineRule="auto"/>
              <w:ind w:left="637"/>
              <w:rPr>
                <w:sz w:val="24"/>
                <w:szCs w:val="24"/>
              </w:rPr>
            </w:pPr>
            <w:r>
              <w:rPr>
                <w:b/>
                <w:bCs/>
                <w:spacing w:val="5"/>
                <w:sz w:val="24"/>
                <w:szCs w:val="24"/>
              </w:rPr>
              <w:t>经营范围</w:t>
            </w:r>
          </w:p>
        </w:tc>
        <w:tc>
          <w:tcPr>
            <w:tcW w:w="6512" w:type="dxa"/>
            <w:gridSpan w:val="4"/>
            <w:vAlign w:val="top"/>
          </w:tcPr>
          <w:p w14:paraId="0D9B2205">
            <w:pPr>
              <w:rPr>
                <w:rFonts w:ascii="Arial"/>
                <w:sz w:val="24"/>
                <w:szCs w:val="24"/>
              </w:rPr>
            </w:pPr>
          </w:p>
        </w:tc>
      </w:tr>
    </w:tbl>
    <w:p w14:paraId="0BD9C59B">
      <w:pPr>
        <w:spacing w:before="188" w:line="229" w:lineRule="auto"/>
        <w:jc w:val="left"/>
        <w:rPr>
          <w:rFonts w:hint="eastAsia" w:ascii="仿宋" w:hAnsi="仿宋" w:eastAsia="仿宋" w:cs="仿宋"/>
          <w:b/>
          <w:bCs/>
          <w:spacing w:val="8"/>
          <w:sz w:val="24"/>
          <w:szCs w:val="24"/>
          <w:lang w:eastAsia="zh-CN"/>
        </w:rPr>
      </w:pPr>
      <w:r>
        <w:rPr>
          <w:rFonts w:ascii="仿宋" w:hAnsi="仿宋" w:eastAsia="仿宋" w:cs="仿宋"/>
          <w:b/>
          <w:bCs/>
          <w:spacing w:val="8"/>
          <w:sz w:val="24"/>
          <w:szCs w:val="24"/>
        </w:rPr>
        <w:t>注：</w:t>
      </w:r>
      <w:r>
        <w:rPr>
          <w:rFonts w:hint="eastAsia" w:ascii="仿宋" w:hAnsi="仿宋" w:eastAsia="仿宋" w:cs="仿宋"/>
          <w:b/>
          <w:bCs/>
          <w:spacing w:val="8"/>
          <w:sz w:val="24"/>
          <w:szCs w:val="24"/>
          <w:lang w:val="en-US" w:eastAsia="zh-CN"/>
        </w:rPr>
        <w:t>1.</w:t>
      </w:r>
      <w:r>
        <w:rPr>
          <w:rFonts w:ascii="仿宋" w:hAnsi="仿宋" w:eastAsia="仿宋" w:cs="仿宋"/>
          <w:b/>
          <w:bCs/>
          <w:spacing w:val="8"/>
          <w:sz w:val="24"/>
          <w:szCs w:val="24"/>
        </w:rPr>
        <w:t>本表后应附企业法人营业执照等资格审查所需相关材料</w:t>
      </w:r>
      <w:r>
        <w:rPr>
          <w:rFonts w:hint="eastAsia" w:ascii="仿宋" w:hAnsi="仿宋" w:eastAsia="仿宋" w:cs="仿宋"/>
          <w:b/>
          <w:bCs/>
          <w:spacing w:val="8"/>
          <w:sz w:val="24"/>
          <w:szCs w:val="24"/>
          <w:lang w:eastAsia="zh-CN"/>
        </w:rPr>
        <w:t>。</w:t>
      </w:r>
    </w:p>
    <w:p w14:paraId="4E028927">
      <w:pPr>
        <w:spacing w:before="188" w:line="229" w:lineRule="auto"/>
        <w:jc w:val="left"/>
        <w:rPr>
          <w:rFonts w:ascii="仿宋" w:hAnsi="仿宋" w:eastAsia="仿宋" w:cs="仿宋"/>
          <w:sz w:val="24"/>
          <w:szCs w:val="24"/>
        </w:rPr>
      </w:pPr>
      <w:r>
        <w:rPr>
          <w:rFonts w:hint="eastAsia" w:ascii="仿宋" w:hAnsi="仿宋" w:eastAsia="仿宋" w:cs="仿宋"/>
          <w:b/>
          <w:bCs/>
          <w:spacing w:val="8"/>
          <w:sz w:val="24"/>
          <w:szCs w:val="24"/>
          <w:lang w:val="en-US" w:eastAsia="zh-CN"/>
        </w:rPr>
        <w:t>2.供应商需提供主要股东或出资人信息格式自拟。</w:t>
      </w:r>
      <w:r>
        <w:rPr>
          <w:rFonts w:ascii="仿宋" w:hAnsi="仿宋" w:eastAsia="仿宋" w:cs="仿宋"/>
          <w:b/>
          <w:bCs/>
          <w:spacing w:val="8"/>
          <w:sz w:val="24"/>
          <w:szCs w:val="24"/>
        </w:rPr>
        <w:t>（</w:t>
      </w:r>
      <w:r>
        <w:rPr>
          <w:rFonts w:hint="eastAsia" w:ascii="仿宋" w:hAnsi="仿宋" w:eastAsia="仿宋" w:cs="仿宋"/>
          <w:b/>
          <w:bCs/>
          <w:spacing w:val="8"/>
          <w:sz w:val="24"/>
          <w:szCs w:val="24"/>
          <w:lang w:eastAsia="zh-CN"/>
        </w:rPr>
        <w:t>供应商</w:t>
      </w:r>
      <w:r>
        <w:rPr>
          <w:rFonts w:ascii="仿宋" w:hAnsi="仿宋" w:eastAsia="仿宋" w:cs="仿宋"/>
          <w:b/>
          <w:bCs/>
          <w:spacing w:val="8"/>
          <w:sz w:val="24"/>
          <w:szCs w:val="24"/>
        </w:rPr>
        <w:t>可</w:t>
      </w:r>
      <w:r>
        <w:rPr>
          <w:rFonts w:ascii="仿宋" w:hAnsi="仿宋" w:eastAsia="仿宋" w:cs="仿宋"/>
          <w:b/>
          <w:bCs/>
          <w:spacing w:val="7"/>
          <w:sz w:val="24"/>
          <w:szCs w:val="24"/>
        </w:rPr>
        <w:t>根据本表自行编制）</w:t>
      </w:r>
    </w:p>
    <w:p w14:paraId="485E58C3">
      <w:pPr>
        <w:pStyle w:val="4"/>
        <w:spacing w:line="262" w:lineRule="auto"/>
        <w:jc w:val="left"/>
      </w:pPr>
    </w:p>
    <w:p w14:paraId="4388A346">
      <w:pPr>
        <w:pStyle w:val="4"/>
        <w:spacing w:line="262" w:lineRule="auto"/>
      </w:pPr>
    </w:p>
    <w:p w14:paraId="3DC697C0">
      <w:pPr>
        <w:pStyle w:val="4"/>
        <w:spacing w:line="263" w:lineRule="auto"/>
      </w:pPr>
    </w:p>
    <w:p w14:paraId="1CE26F80">
      <w:pPr>
        <w:pStyle w:val="4"/>
        <w:spacing w:line="263" w:lineRule="auto"/>
      </w:pPr>
    </w:p>
    <w:p w14:paraId="074EC0DC">
      <w:pPr>
        <w:pStyle w:val="4"/>
        <w:spacing w:line="263" w:lineRule="auto"/>
      </w:pPr>
    </w:p>
    <w:p w14:paraId="3641EF78">
      <w:pPr>
        <w:spacing w:before="65" w:line="231" w:lineRule="auto"/>
        <w:ind w:left="3728"/>
        <w:outlineLvl w:val="2"/>
        <w:rPr>
          <w:rFonts w:ascii="仿宋" w:hAnsi="仿宋" w:eastAsia="仿宋" w:cs="仿宋"/>
          <w:sz w:val="24"/>
          <w:szCs w:val="24"/>
        </w:rPr>
      </w:pPr>
      <w:r>
        <w:rPr>
          <w:rFonts w:hint="eastAsia" w:ascii="仿宋" w:hAnsi="仿宋" w:eastAsia="仿宋" w:cs="仿宋"/>
          <w:b/>
          <w:bCs/>
          <w:spacing w:val="6"/>
          <w:sz w:val="24"/>
          <w:szCs w:val="24"/>
          <w:lang w:val="en-US" w:eastAsia="zh-CN"/>
        </w:rPr>
        <w:t>7</w:t>
      </w:r>
      <w:r>
        <w:rPr>
          <w:rFonts w:ascii="仿宋" w:hAnsi="仿宋" w:eastAsia="仿宋" w:cs="仿宋"/>
          <w:b/>
          <w:bCs/>
          <w:spacing w:val="6"/>
          <w:sz w:val="24"/>
          <w:szCs w:val="24"/>
        </w:rPr>
        <w:t>.近三年无重大违法记录声明</w:t>
      </w:r>
    </w:p>
    <w:p w14:paraId="22FD104A">
      <w:pPr>
        <w:pStyle w:val="4"/>
        <w:spacing w:line="295" w:lineRule="auto"/>
        <w:rPr>
          <w:sz w:val="24"/>
          <w:szCs w:val="24"/>
        </w:rPr>
      </w:pPr>
    </w:p>
    <w:p w14:paraId="0E4744C2">
      <w:pPr>
        <w:pStyle w:val="4"/>
        <w:spacing w:line="295" w:lineRule="auto"/>
        <w:rPr>
          <w:sz w:val="24"/>
          <w:szCs w:val="24"/>
        </w:rPr>
      </w:pPr>
    </w:p>
    <w:p w14:paraId="12262DE5">
      <w:pPr>
        <w:spacing w:before="78" w:line="222" w:lineRule="auto"/>
        <w:ind w:left="19"/>
        <w:rPr>
          <w:rFonts w:ascii="仿宋" w:hAnsi="仿宋" w:eastAsia="仿宋" w:cs="仿宋"/>
          <w:sz w:val="24"/>
          <w:szCs w:val="24"/>
        </w:rPr>
      </w:pPr>
      <w:r>
        <w:rPr>
          <w:rFonts w:ascii="仿宋" w:hAnsi="仿宋" w:eastAsia="仿宋" w:cs="仿宋"/>
          <w:b/>
          <w:bCs/>
          <w:spacing w:val="-4"/>
          <w:sz w:val="24"/>
          <w:szCs w:val="24"/>
        </w:rPr>
        <w:t>致采购人、采购代理机构：</w:t>
      </w:r>
    </w:p>
    <w:p w14:paraId="2EBBAA18">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ascii="仿宋" w:hAnsi="仿宋" w:eastAsia="仿宋" w:cs="仿宋"/>
          <w:spacing w:val="7"/>
          <w:sz w:val="24"/>
          <w:szCs w:val="24"/>
        </w:rPr>
      </w:pPr>
      <w:r>
        <w:rPr>
          <w:rFonts w:ascii="仿宋" w:hAnsi="仿宋" w:eastAsia="仿宋" w:cs="仿宋"/>
          <w:spacing w:val="7"/>
          <w:sz w:val="24"/>
          <w:szCs w:val="24"/>
        </w:rPr>
        <w:t>我公司在参加本次政府采购活动前，做出以下郑重声明：</w:t>
      </w:r>
    </w:p>
    <w:p w14:paraId="11E645E0">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ascii="仿宋" w:hAnsi="仿宋" w:eastAsia="仿宋" w:cs="仿宋"/>
          <w:spacing w:val="7"/>
          <w:sz w:val="24"/>
          <w:szCs w:val="24"/>
        </w:rPr>
      </w:pPr>
      <w:r>
        <w:rPr>
          <w:rFonts w:ascii="仿宋" w:hAnsi="仿宋" w:eastAsia="仿宋" w:cs="仿宋"/>
          <w:spacing w:val="7"/>
          <w:sz w:val="24"/>
          <w:szCs w:val="24"/>
        </w:rPr>
        <w:t>一、参加本次政府采购活动前三年内，在经营活动中没有重大违法记录。</w:t>
      </w:r>
    </w:p>
    <w:p w14:paraId="602C37CE">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ascii="仿宋" w:hAnsi="仿宋" w:eastAsia="仿宋" w:cs="仿宋"/>
          <w:spacing w:val="7"/>
          <w:sz w:val="24"/>
          <w:szCs w:val="24"/>
        </w:rPr>
      </w:pPr>
      <w:r>
        <w:rPr>
          <w:rFonts w:ascii="仿宋" w:hAnsi="仿宋" w:eastAsia="仿宋" w:cs="仿宋"/>
          <w:spacing w:val="7"/>
          <w:sz w:val="24"/>
          <w:szCs w:val="24"/>
        </w:rPr>
        <w:t>二、在本次政府采购活动前三年内，我公司在信用中国、 中国政府采购网平台及国家企业信用查询系统中，无任何重大违法记录。</w:t>
      </w:r>
    </w:p>
    <w:p w14:paraId="4C5A42B4">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ascii="仿宋" w:hAnsi="仿宋" w:eastAsia="仿宋" w:cs="仿宋"/>
          <w:spacing w:val="7"/>
          <w:sz w:val="24"/>
          <w:szCs w:val="24"/>
        </w:rPr>
      </w:pPr>
      <w:r>
        <w:rPr>
          <w:rFonts w:ascii="仿宋" w:hAnsi="仿宋" w:eastAsia="仿宋" w:cs="仿宋"/>
          <w:spacing w:val="7"/>
          <w:sz w:val="24"/>
          <w:szCs w:val="24"/>
        </w:rPr>
        <w:t>若发现我方上述声明与事实不符，愿按照政府采购相关规定接受相关处罚。</w:t>
      </w:r>
    </w:p>
    <w:p w14:paraId="2F569B6D">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ascii="仿宋" w:hAnsi="仿宋" w:eastAsia="仿宋" w:cs="仿宋"/>
          <w:spacing w:val="7"/>
          <w:sz w:val="24"/>
          <w:szCs w:val="24"/>
        </w:rPr>
      </w:pPr>
      <w:r>
        <w:rPr>
          <w:rFonts w:ascii="仿宋" w:hAnsi="仿宋" w:eastAsia="仿宋" w:cs="仿宋"/>
          <w:spacing w:val="7"/>
          <w:sz w:val="24"/>
          <w:szCs w:val="24"/>
        </w:rPr>
        <w:t>特此声明。</w:t>
      </w:r>
    </w:p>
    <w:p w14:paraId="50873709">
      <w:pPr>
        <w:pStyle w:val="4"/>
        <w:spacing w:line="284" w:lineRule="auto"/>
        <w:rPr>
          <w:sz w:val="24"/>
          <w:szCs w:val="24"/>
        </w:rPr>
      </w:pPr>
    </w:p>
    <w:p w14:paraId="1881ED0B">
      <w:pPr>
        <w:pStyle w:val="4"/>
        <w:spacing w:line="285" w:lineRule="auto"/>
        <w:rPr>
          <w:sz w:val="24"/>
          <w:szCs w:val="24"/>
        </w:rPr>
      </w:pPr>
    </w:p>
    <w:p w14:paraId="2B02EA0D">
      <w:pPr>
        <w:pStyle w:val="4"/>
        <w:spacing w:line="285" w:lineRule="auto"/>
        <w:rPr>
          <w:sz w:val="24"/>
          <w:szCs w:val="24"/>
        </w:rPr>
      </w:pPr>
    </w:p>
    <w:p w14:paraId="1AD80912">
      <w:pPr>
        <w:pStyle w:val="4"/>
        <w:spacing w:line="285" w:lineRule="auto"/>
        <w:rPr>
          <w:sz w:val="24"/>
          <w:szCs w:val="24"/>
        </w:rPr>
      </w:pPr>
    </w:p>
    <w:p w14:paraId="2DBDFB13">
      <w:pPr>
        <w:spacing w:before="65" w:line="229" w:lineRule="auto"/>
        <w:ind w:left="4153"/>
        <w:rPr>
          <w:rFonts w:ascii="仿宋" w:hAnsi="仿宋" w:eastAsia="仿宋" w:cs="仿宋"/>
          <w:sz w:val="24"/>
          <w:szCs w:val="24"/>
        </w:rPr>
      </w:pPr>
      <w:r>
        <w:rPr>
          <w:rFonts w:hint="eastAsia" w:ascii="仿宋" w:hAnsi="仿宋" w:eastAsia="仿宋" w:cs="仿宋"/>
          <w:spacing w:val="7"/>
          <w:sz w:val="24"/>
          <w:szCs w:val="24"/>
          <w:lang w:eastAsia="zh-CN"/>
        </w:rPr>
        <w:t>供应商</w:t>
      </w:r>
      <w:r>
        <w:rPr>
          <w:rFonts w:ascii="仿宋" w:hAnsi="仿宋" w:eastAsia="仿宋" w:cs="仿宋"/>
          <w:spacing w:val="7"/>
          <w:sz w:val="24"/>
          <w:szCs w:val="24"/>
        </w:rPr>
        <w:t>名称(公章)：</w:t>
      </w:r>
      <w:r>
        <w:rPr>
          <w:rFonts w:ascii="仿宋" w:hAnsi="仿宋" w:eastAsia="仿宋" w:cs="仿宋"/>
          <w:sz w:val="24"/>
          <w:szCs w:val="24"/>
          <w:u w:val="single" w:color="auto"/>
        </w:rPr>
        <w:t xml:space="preserve">                     </w:t>
      </w:r>
    </w:p>
    <w:p w14:paraId="44738A10">
      <w:pPr>
        <w:spacing w:before="296" w:line="231" w:lineRule="auto"/>
        <w:ind w:left="4206"/>
        <w:rPr>
          <w:rFonts w:ascii="仿宋" w:hAnsi="仿宋" w:eastAsia="仿宋" w:cs="仿宋"/>
          <w:sz w:val="24"/>
          <w:szCs w:val="24"/>
        </w:rPr>
      </w:pPr>
      <w:r>
        <w:rPr>
          <w:rFonts w:hint="eastAsia" w:ascii="仿宋" w:hAnsi="仿宋" w:eastAsia="仿宋" w:cs="仿宋"/>
          <w:spacing w:val="8"/>
          <w:sz w:val="24"/>
          <w:szCs w:val="24"/>
          <w:lang w:eastAsia="zh-CN"/>
        </w:rPr>
        <w:t>供应商</w:t>
      </w:r>
      <w:r>
        <w:rPr>
          <w:rFonts w:ascii="仿宋" w:hAnsi="仿宋" w:eastAsia="仿宋" w:cs="仿宋"/>
          <w:spacing w:val="8"/>
          <w:sz w:val="24"/>
          <w:szCs w:val="24"/>
        </w:rPr>
        <w:t>法人或授权代表（签字</w:t>
      </w:r>
      <w:r>
        <w:rPr>
          <w:rFonts w:hint="eastAsia" w:ascii="仿宋" w:hAnsi="仿宋" w:eastAsia="仿宋" w:cs="仿宋"/>
          <w:spacing w:val="8"/>
          <w:sz w:val="24"/>
          <w:szCs w:val="24"/>
          <w:lang w:val="en-US" w:eastAsia="zh-Hans"/>
        </w:rPr>
        <w:t>或盖章</w:t>
      </w:r>
      <w:r>
        <w:rPr>
          <w:rFonts w:ascii="仿宋" w:hAnsi="仿宋" w:eastAsia="仿宋" w:cs="仿宋"/>
          <w:spacing w:val="8"/>
          <w:sz w:val="24"/>
          <w:szCs w:val="24"/>
        </w:rPr>
        <w:t>）：</w:t>
      </w:r>
      <w:r>
        <w:rPr>
          <w:rFonts w:ascii="仿宋" w:hAnsi="仿宋" w:eastAsia="仿宋" w:cs="仿宋"/>
          <w:sz w:val="24"/>
          <w:szCs w:val="24"/>
          <w:u w:val="single" w:color="auto"/>
        </w:rPr>
        <w:t xml:space="preserve">             </w:t>
      </w:r>
    </w:p>
    <w:p w14:paraId="64A26E1D">
      <w:pPr>
        <w:pStyle w:val="4"/>
        <w:spacing w:line="464" w:lineRule="auto"/>
        <w:rPr>
          <w:sz w:val="24"/>
          <w:szCs w:val="24"/>
        </w:rPr>
      </w:pPr>
    </w:p>
    <w:p w14:paraId="27EF27DA">
      <w:pPr>
        <w:spacing w:before="66" w:line="231" w:lineRule="auto"/>
        <w:ind w:left="4304"/>
        <w:rPr>
          <w:rFonts w:ascii="仿宋" w:hAnsi="仿宋" w:eastAsia="仿宋" w:cs="仿宋"/>
          <w:sz w:val="24"/>
          <w:szCs w:val="24"/>
        </w:rPr>
      </w:pPr>
      <w:r>
        <w:rPr>
          <w:rFonts w:ascii="仿宋" w:hAnsi="仿宋" w:eastAsia="仿宋" w:cs="仿宋"/>
          <w:spacing w:val="-13"/>
          <w:sz w:val="24"/>
          <w:szCs w:val="24"/>
        </w:rPr>
        <w:t>日</w:t>
      </w:r>
      <w:r>
        <w:rPr>
          <w:rFonts w:ascii="仿宋" w:hAnsi="仿宋" w:eastAsia="仿宋" w:cs="仿宋"/>
          <w:spacing w:val="10"/>
          <w:sz w:val="24"/>
          <w:szCs w:val="24"/>
        </w:rPr>
        <w:t xml:space="preserve">   </w:t>
      </w:r>
      <w:r>
        <w:rPr>
          <w:rFonts w:ascii="仿宋" w:hAnsi="仿宋" w:eastAsia="仿宋" w:cs="仿宋"/>
          <w:spacing w:val="-13"/>
          <w:sz w:val="24"/>
          <w:szCs w:val="24"/>
        </w:rPr>
        <w:t>期：</w:t>
      </w:r>
      <w:r>
        <w:rPr>
          <w:rFonts w:ascii="仿宋" w:hAnsi="仿宋" w:eastAsia="仿宋" w:cs="仿宋"/>
          <w:spacing w:val="14"/>
          <w:sz w:val="24"/>
          <w:szCs w:val="24"/>
        </w:rPr>
        <w:t xml:space="preserve"> </w:t>
      </w:r>
      <w:r>
        <w:rPr>
          <w:rFonts w:ascii="仿宋" w:hAnsi="仿宋" w:eastAsia="仿宋" w:cs="仿宋"/>
          <w:spacing w:val="5"/>
          <w:sz w:val="24"/>
          <w:szCs w:val="24"/>
          <w:u w:val="single" w:color="auto"/>
        </w:rPr>
        <w:t xml:space="preserve">    </w:t>
      </w:r>
      <w:r>
        <w:rPr>
          <w:rFonts w:ascii="仿宋" w:hAnsi="仿宋" w:eastAsia="仿宋" w:cs="仿宋"/>
          <w:spacing w:val="-82"/>
          <w:sz w:val="24"/>
          <w:szCs w:val="24"/>
        </w:rPr>
        <w:t xml:space="preserve"> </w:t>
      </w:r>
      <w:r>
        <w:rPr>
          <w:rFonts w:ascii="仿宋" w:hAnsi="仿宋" w:eastAsia="仿宋" w:cs="仿宋"/>
          <w:spacing w:val="-13"/>
          <w:sz w:val="24"/>
          <w:szCs w:val="24"/>
        </w:rPr>
        <w:t>年</w:t>
      </w:r>
      <w:r>
        <w:rPr>
          <w:rFonts w:ascii="仿宋" w:hAnsi="仿宋" w:eastAsia="仿宋" w:cs="仿宋"/>
          <w:spacing w:val="-98"/>
          <w:sz w:val="24"/>
          <w:szCs w:val="24"/>
        </w:rPr>
        <w:t xml:space="preserve"> </w:t>
      </w:r>
      <w:r>
        <w:rPr>
          <w:rFonts w:ascii="仿宋" w:hAnsi="仿宋" w:eastAsia="仿宋" w:cs="仿宋"/>
          <w:spacing w:val="4"/>
          <w:sz w:val="24"/>
          <w:szCs w:val="24"/>
          <w:u w:val="single" w:color="auto"/>
        </w:rPr>
        <w:t xml:space="preserve">   </w:t>
      </w:r>
      <w:r>
        <w:rPr>
          <w:rFonts w:ascii="仿宋" w:hAnsi="仿宋" w:eastAsia="仿宋" w:cs="仿宋"/>
          <w:spacing w:val="-74"/>
          <w:sz w:val="24"/>
          <w:szCs w:val="24"/>
        </w:rPr>
        <w:t xml:space="preserve"> </w:t>
      </w:r>
      <w:r>
        <w:rPr>
          <w:rFonts w:ascii="仿宋" w:hAnsi="仿宋" w:eastAsia="仿宋" w:cs="仿宋"/>
          <w:spacing w:val="-13"/>
          <w:sz w:val="24"/>
          <w:szCs w:val="24"/>
        </w:rPr>
        <w:t>月</w:t>
      </w:r>
      <w:r>
        <w:rPr>
          <w:rFonts w:ascii="仿宋" w:hAnsi="仿宋" w:eastAsia="仿宋" w:cs="仿宋"/>
          <w:spacing w:val="-99"/>
          <w:sz w:val="24"/>
          <w:szCs w:val="24"/>
        </w:rPr>
        <w:t xml:space="preserve"> </w:t>
      </w:r>
      <w:r>
        <w:rPr>
          <w:rFonts w:ascii="仿宋" w:hAnsi="仿宋" w:eastAsia="仿宋" w:cs="仿宋"/>
          <w:spacing w:val="5"/>
          <w:sz w:val="24"/>
          <w:szCs w:val="24"/>
          <w:u w:val="single" w:color="auto"/>
        </w:rPr>
        <w:t xml:space="preserve">   </w:t>
      </w:r>
      <w:r>
        <w:rPr>
          <w:rFonts w:ascii="仿宋" w:hAnsi="仿宋" w:eastAsia="仿宋" w:cs="仿宋"/>
          <w:spacing w:val="-41"/>
          <w:sz w:val="24"/>
          <w:szCs w:val="24"/>
        </w:rPr>
        <w:t xml:space="preserve"> </w:t>
      </w:r>
      <w:r>
        <w:rPr>
          <w:rFonts w:ascii="仿宋" w:hAnsi="仿宋" w:eastAsia="仿宋" w:cs="仿宋"/>
          <w:spacing w:val="-13"/>
          <w:sz w:val="24"/>
          <w:szCs w:val="24"/>
        </w:rPr>
        <w:t>日</w:t>
      </w:r>
    </w:p>
    <w:p w14:paraId="33304FE9">
      <w:pPr>
        <w:spacing w:line="231" w:lineRule="auto"/>
        <w:rPr>
          <w:rFonts w:ascii="仿宋" w:hAnsi="仿宋" w:eastAsia="仿宋" w:cs="仿宋"/>
          <w:sz w:val="24"/>
          <w:szCs w:val="24"/>
        </w:rPr>
      </w:pPr>
    </w:p>
    <w:p w14:paraId="0E640BF8">
      <w:pPr>
        <w:spacing w:line="231" w:lineRule="auto"/>
        <w:rPr>
          <w:rFonts w:ascii="仿宋" w:hAnsi="仿宋" w:eastAsia="仿宋" w:cs="仿宋"/>
          <w:sz w:val="24"/>
          <w:szCs w:val="24"/>
        </w:rPr>
      </w:pPr>
    </w:p>
    <w:p w14:paraId="31FCAC35">
      <w:pPr>
        <w:spacing w:line="231" w:lineRule="auto"/>
        <w:rPr>
          <w:rFonts w:hint="eastAsia" w:ascii="仿宋" w:hAnsi="仿宋" w:eastAsia="仿宋" w:cs="仿宋"/>
          <w:sz w:val="24"/>
          <w:szCs w:val="24"/>
          <w:lang w:eastAsia="zh-CN"/>
        </w:rPr>
        <w:sectPr>
          <w:footerReference r:id="rId11" w:type="default"/>
          <w:pgSz w:w="11906" w:h="16839"/>
          <w:pgMar w:top="1440" w:right="1080" w:bottom="1440" w:left="1080" w:header="0" w:footer="1054" w:gutter="0"/>
          <w:pgNumType w:fmt="decimal"/>
          <w:cols w:space="720" w:num="1"/>
        </w:sectPr>
      </w:pPr>
      <w:r>
        <w:rPr>
          <w:rFonts w:hint="eastAsia" w:ascii="仿宋" w:hAnsi="仿宋" w:eastAsia="仿宋" w:cs="仿宋"/>
          <w:sz w:val="24"/>
          <w:szCs w:val="24"/>
          <w:lang w:eastAsia="zh-CN"/>
        </w:rPr>
        <w:t>注：</w:t>
      </w:r>
      <w:r>
        <w:rPr>
          <w:rFonts w:hint="eastAsia" w:ascii="仿宋" w:hAnsi="仿宋" w:eastAsia="仿宋" w:cs="仿宋"/>
          <w:sz w:val="24"/>
          <w:szCs w:val="24"/>
          <w:lang w:val="en-US" w:eastAsia="zh-CN"/>
        </w:rPr>
        <w:t>参加政府采购活动前三年内，在经营活动中没有重大违法记录：提供无重大违法记录声明函，(受行政主管部门的处罚不能参加本项目)</w:t>
      </w:r>
      <w:r>
        <w:rPr>
          <w:rFonts w:hint="eastAsia" w:ascii="仿宋" w:hAnsi="仿宋" w:eastAsia="仿宋" w:cs="仿宋"/>
          <w:sz w:val="24"/>
          <w:szCs w:val="24"/>
          <w:lang w:eastAsia="zh-CN"/>
        </w:rPr>
        <w:t>供应商可增加内容。</w:t>
      </w:r>
    </w:p>
    <w:p w14:paraId="203ED0ED">
      <w:pPr>
        <w:spacing w:before="42" w:line="610" w:lineRule="exact"/>
        <w:ind w:left="2562"/>
        <w:rPr>
          <w:rFonts w:ascii="仿宋" w:hAnsi="仿宋" w:eastAsia="仿宋" w:cs="仿宋"/>
          <w:sz w:val="20"/>
          <w:szCs w:val="20"/>
        </w:rPr>
      </w:pPr>
      <w:r>
        <w:rPr>
          <w:rFonts w:hint="eastAsia" w:ascii="仿宋" w:hAnsi="仿宋" w:eastAsia="仿宋" w:cs="仿宋"/>
          <w:b/>
          <w:bCs/>
          <w:spacing w:val="8"/>
          <w:position w:val="31"/>
          <w:sz w:val="24"/>
          <w:szCs w:val="24"/>
          <w:lang w:val="en-US" w:eastAsia="zh-CN"/>
        </w:rPr>
        <w:t>8</w:t>
      </w:r>
      <w:r>
        <w:rPr>
          <w:rFonts w:ascii="仿宋" w:hAnsi="仿宋" w:eastAsia="仿宋" w:cs="仿宋"/>
          <w:b/>
          <w:bCs/>
          <w:spacing w:val="8"/>
          <w:position w:val="31"/>
          <w:sz w:val="24"/>
          <w:szCs w:val="24"/>
        </w:rPr>
        <w:t>.具有履行合同所必须的设备和专业技术能力的</w:t>
      </w:r>
      <w:r>
        <w:rPr>
          <w:rFonts w:ascii="仿宋" w:hAnsi="仿宋" w:eastAsia="仿宋" w:cs="仿宋"/>
          <w:b/>
          <w:bCs/>
          <w:spacing w:val="7"/>
          <w:position w:val="31"/>
          <w:sz w:val="24"/>
          <w:szCs w:val="24"/>
        </w:rPr>
        <w:t>承诺函</w:t>
      </w:r>
    </w:p>
    <w:p w14:paraId="58B9C099">
      <w:pPr>
        <w:spacing w:line="222" w:lineRule="auto"/>
        <w:ind w:left="19"/>
        <w:rPr>
          <w:rFonts w:ascii="仿宋" w:hAnsi="仿宋" w:eastAsia="仿宋" w:cs="仿宋"/>
          <w:sz w:val="24"/>
          <w:szCs w:val="24"/>
        </w:rPr>
      </w:pPr>
      <w:r>
        <w:rPr>
          <w:rFonts w:ascii="仿宋" w:hAnsi="仿宋" w:eastAsia="仿宋" w:cs="仿宋"/>
          <w:b/>
          <w:bCs/>
          <w:spacing w:val="-4"/>
          <w:sz w:val="24"/>
          <w:szCs w:val="24"/>
        </w:rPr>
        <w:t>致采购人、采购代理机构：</w:t>
      </w:r>
    </w:p>
    <w:p w14:paraId="1D3E7386">
      <w:pPr>
        <w:pStyle w:val="4"/>
        <w:spacing w:line="257" w:lineRule="auto"/>
      </w:pPr>
    </w:p>
    <w:p w14:paraId="4C52867C">
      <w:pPr>
        <w:pStyle w:val="4"/>
        <w:spacing w:line="257" w:lineRule="auto"/>
      </w:pPr>
    </w:p>
    <w:p w14:paraId="3EBB3FCC">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ascii="仿宋" w:hAnsi="仿宋" w:eastAsia="仿宋" w:cs="仿宋"/>
          <w:spacing w:val="7"/>
          <w:sz w:val="24"/>
          <w:szCs w:val="24"/>
        </w:rPr>
      </w:pPr>
      <w:r>
        <w:rPr>
          <w:rFonts w:ascii="仿宋" w:hAnsi="仿宋" w:eastAsia="仿宋" w:cs="仿宋"/>
          <w:spacing w:val="7"/>
          <w:sz w:val="24"/>
          <w:szCs w:val="24"/>
        </w:rPr>
        <w:t>我公司仔细阅读了贵方关于</w:t>
      </w:r>
      <w:r>
        <w:rPr>
          <w:rFonts w:ascii="仿宋" w:hAnsi="仿宋" w:eastAsia="仿宋" w:cs="仿宋"/>
          <w:spacing w:val="7"/>
          <w:sz w:val="24"/>
          <w:szCs w:val="24"/>
          <w:u w:val="single"/>
        </w:rPr>
        <w:t xml:space="preserve">          (</w:t>
      </w:r>
      <w:r>
        <w:rPr>
          <w:rFonts w:hint="eastAsia" w:ascii="仿宋" w:hAnsi="仿宋" w:eastAsia="仿宋" w:cs="仿宋"/>
          <w:spacing w:val="7"/>
          <w:sz w:val="24"/>
          <w:szCs w:val="24"/>
          <w:u w:val="single"/>
          <w:lang w:eastAsia="zh-CN"/>
        </w:rPr>
        <w:t>项目名称、标项名称）及（</w:t>
      </w:r>
      <w:r>
        <w:rPr>
          <w:rFonts w:ascii="仿宋" w:hAnsi="仿宋" w:eastAsia="仿宋" w:cs="仿宋"/>
          <w:spacing w:val="7"/>
          <w:sz w:val="24"/>
          <w:szCs w:val="24"/>
          <w:u w:val="single"/>
        </w:rPr>
        <w:t>项目编号</w:t>
      </w:r>
      <w:r>
        <w:rPr>
          <w:rFonts w:hint="eastAsia" w:ascii="仿宋" w:hAnsi="仿宋" w:eastAsia="仿宋" w:cs="仿宋"/>
          <w:spacing w:val="7"/>
          <w:sz w:val="24"/>
          <w:szCs w:val="24"/>
          <w:u w:val="single"/>
          <w:lang w:eastAsia="zh-CN"/>
        </w:rPr>
        <w:t>）</w:t>
      </w:r>
      <w:r>
        <w:rPr>
          <w:rFonts w:ascii="仿宋" w:hAnsi="仿宋" w:eastAsia="仿宋" w:cs="仿宋"/>
          <w:spacing w:val="7"/>
          <w:sz w:val="24"/>
          <w:szCs w:val="24"/>
          <w:u w:val="single"/>
        </w:rPr>
        <w:t xml:space="preserve">    )</w:t>
      </w:r>
      <w:r>
        <w:rPr>
          <w:rFonts w:ascii="仿宋" w:hAnsi="仿宋" w:eastAsia="仿宋" w:cs="仿宋"/>
          <w:spacing w:val="7"/>
          <w:sz w:val="24"/>
          <w:szCs w:val="24"/>
        </w:rPr>
        <w:t>的</w:t>
      </w:r>
      <w:r>
        <w:rPr>
          <w:rFonts w:hint="eastAsia" w:ascii="仿宋" w:hAnsi="仿宋" w:eastAsia="仿宋" w:cs="仿宋"/>
          <w:spacing w:val="7"/>
          <w:sz w:val="24"/>
          <w:szCs w:val="24"/>
          <w:lang w:eastAsia="zh-CN"/>
        </w:rPr>
        <w:t>采购文件</w:t>
      </w:r>
      <w:r>
        <w:rPr>
          <w:rFonts w:ascii="仿宋" w:hAnsi="仿宋" w:eastAsia="仿宋" w:cs="仿宋"/>
          <w:spacing w:val="7"/>
          <w:sz w:val="24"/>
          <w:szCs w:val="24"/>
        </w:rPr>
        <w:t>，在完全理解本项目 招标的技术要求、商务条款及其他内容后，决定参与该项目的</w:t>
      </w:r>
      <w:r>
        <w:rPr>
          <w:rFonts w:hint="eastAsia" w:ascii="仿宋" w:hAnsi="仿宋" w:eastAsia="仿宋" w:cs="仿宋"/>
          <w:spacing w:val="7"/>
          <w:sz w:val="24"/>
          <w:szCs w:val="24"/>
          <w:lang w:eastAsia="zh-CN"/>
        </w:rPr>
        <w:t>采购活动</w:t>
      </w:r>
      <w:r>
        <w:rPr>
          <w:rFonts w:ascii="仿宋" w:hAnsi="仿宋" w:eastAsia="仿宋" w:cs="仿宋"/>
          <w:spacing w:val="7"/>
          <w:sz w:val="24"/>
          <w:szCs w:val="24"/>
        </w:rPr>
        <w:t>。并承诺，我公司具有履行合同所必须的设备和专业技术能力。如我方</w:t>
      </w:r>
      <w:r>
        <w:rPr>
          <w:rFonts w:hint="eastAsia" w:ascii="仿宋" w:hAnsi="仿宋" w:eastAsia="仿宋" w:cs="仿宋"/>
          <w:spacing w:val="7"/>
          <w:sz w:val="24"/>
          <w:szCs w:val="24"/>
          <w:lang w:eastAsia="zh-CN"/>
        </w:rPr>
        <w:t>成交</w:t>
      </w:r>
      <w:r>
        <w:rPr>
          <w:rFonts w:ascii="仿宋" w:hAnsi="仿宋" w:eastAsia="仿宋" w:cs="仿宋"/>
          <w:spacing w:val="7"/>
          <w:sz w:val="24"/>
          <w:szCs w:val="24"/>
        </w:rPr>
        <w:t>，我公司将提供足够的设备和专业技术能力保证本合同履行。</w:t>
      </w:r>
    </w:p>
    <w:p w14:paraId="1391A2FE">
      <w:pPr>
        <w:keepNext w:val="0"/>
        <w:keepLines w:val="0"/>
        <w:pageBreakBefore w:val="0"/>
        <w:widowControl/>
        <w:kinsoku w:val="0"/>
        <w:wordWrap/>
        <w:overflowPunct/>
        <w:topLinePunct w:val="0"/>
        <w:autoSpaceDE w:val="0"/>
        <w:autoSpaceDN w:val="0"/>
        <w:bidi w:val="0"/>
        <w:adjustRightInd w:val="0"/>
        <w:snapToGrid w:val="0"/>
        <w:spacing w:before="230" w:line="444" w:lineRule="auto"/>
        <w:ind w:left="238" w:right="17" w:firstLine="0"/>
        <w:textAlignment w:val="baseline"/>
        <w:rPr>
          <w:rFonts w:ascii="仿宋" w:hAnsi="仿宋" w:eastAsia="仿宋" w:cs="仿宋"/>
          <w:spacing w:val="7"/>
          <w:sz w:val="24"/>
          <w:szCs w:val="24"/>
        </w:rPr>
      </w:pPr>
      <w:r>
        <w:rPr>
          <w:rFonts w:ascii="仿宋" w:hAnsi="仿宋" w:eastAsia="仿宋" w:cs="仿宋"/>
          <w:spacing w:val="7"/>
          <w:sz w:val="24"/>
          <w:szCs w:val="24"/>
        </w:rPr>
        <w:t>本公司对上述承诺的真实性负责。如有虚假，我公司同意按我方合同违约处理，并依法承担相应法律责任。</w:t>
      </w:r>
    </w:p>
    <w:p w14:paraId="7865BA94">
      <w:pPr>
        <w:pStyle w:val="4"/>
        <w:spacing w:line="259" w:lineRule="auto"/>
        <w:rPr>
          <w:sz w:val="24"/>
          <w:szCs w:val="24"/>
        </w:rPr>
      </w:pPr>
    </w:p>
    <w:p w14:paraId="63B81A8F">
      <w:pPr>
        <w:pStyle w:val="4"/>
        <w:spacing w:line="260" w:lineRule="auto"/>
        <w:rPr>
          <w:sz w:val="24"/>
          <w:szCs w:val="24"/>
        </w:rPr>
      </w:pPr>
    </w:p>
    <w:p w14:paraId="78A74B4B">
      <w:pPr>
        <w:spacing w:before="65" w:line="503" w:lineRule="auto"/>
        <w:ind w:left="4153"/>
        <w:rPr>
          <w:rFonts w:ascii="仿宋" w:hAnsi="仿宋" w:eastAsia="仿宋" w:cs="仿宋"/>
          <w:sz w:val="24"/>
          <w:szCs w:val="24"/>
        </w:rPr>
      </w:pPr>
      <w:r>
        <w:rPr>
          <w:rFonts w:hint="eastAsia" w:ascii="仿宋" w:hAnsi="仿宋" w:eastAsia="仿宋" w:cs="仿宋"/>
          <w:spacing w:val="7"/>
          <w:sz w:val="24"/>
          <w:szCs w:val="24"/>
          <w:lang w:eastAsia="zh-CN"/>
        </w:rPr>
        <w:t>供应商</w:t>
      </w:r>
      <w:r>
        <w:rPr>
          <w:rFonts w:ascii="仿宋" w:hAnsi="仿宋" w:eastAsia="仿宋" w:cs="仿宋"/>
          <w:spacing w:val="7"/>
          <w:sz w:val="24"/>
          <w:szCs w:val="24"/>
        </w:rPr>
        <w:t>名称(公章)：</w:t>
      </w:r>
      <w:r>
        <w:rPr>
          <w:rFonts w:ascii="仿宋" w:hAnsi="仿宋" w:eastAsia="仿宋" w:cs="仿宋"/>
          <w:sz w:val="24"/>
          <w:szCs w:val="24"/>
          <w:u w:val="single" w:color="auto"/>
        </w:rPr>
        <w:t xml:space="preserve">                     </w:t>
      </w:r>
    </w:p>
    <w:p w14:paraId="68457A15">
      <w:pPr>
        <w:spacing w:before="1" w:line="230" w:lineRule="auto"/>
        <w:ind w:left="4206"/>
        <w:rPr>
          <w:rFonts w:ascii="仿宋" w:hAnsi="仿宋" w:eastAsia="仿宋" w:cs="仿宋"/>
          <w:sz w:val="24"/>
          <w:szCs w:val="24"/>
        </w:rPr>
      </w:pPr>
      <w:r>
        <w:rPr>
          <w:rFonts w:hint="eastAsia" w:ascii="仿宋" w:hAnsi="仿宋" w:eastAsia="仿宋" w:cs="仿宋"/>
          <w:spacing w:val="8"/>
          <w:sz w:val="24"/>
          <w:szCs w:val="24"/>
          <w:lang w:eastAsia="zh-CN"/>
        </w:rPr>
        <w:t>供应商</w:t>
      </w:r>
      <w:r>
        <w:rPr>
          <w:rFonts w:ascii="仿宋" w:hAnsi="仿宋" w:eastAsia="仿宋" w:cs="仿宋"/>
          <w:spacing w:val="8"/>
          <w:sz w:val="24"/>
          <w:szCs w:val="24"/>
        </w:rPr>
        <w:t>法人或授权代表（签字</w:t>
      </w:r>
      <w:r>
        <w:rPr>
          <w:rFonts w:hint="eastAsia" w:ascii="仿宋" w:hAnsi="仿宋" w:eastAsia="仿宋" w:cs="仿宋"/>
          <w:spacing w:val="8"/>
          <w:sz w:val="24"/>
          <w:szCs w:val="24"/>
          <w:lang w:val="en-US" w:eastAsia="zh-Hans"/>
        </w:rPr>
        <w:t>或盖章</w:t>
      </w:r>
      <w:r>
        <w:rPr>
          <w:rFonts w:ascii="仿宋" w:hAnsi="仿宋" w:eastAsia="仿宋" w:cs="仿宋"/>
          <w:spacing w:val="8"/>
          <w:sz w:val="24"/>
          <w:szCs w:val="24"/>
        </w:rPr>
        <w:t>）：</w:t>
      </w:r>
      <w:r>
        <w:rPr>
          <w:rFonts w:ascii="仿宋" w:hAnsi="仿宋" w:eastAsia="仿宋" w:cs="仿宋"/>
          <w:sz w:val="24"/>
          <w:szCs w:val="24"/>
          <w:u w:val="single" w:color="auto"/>
        </w:rPr>
        <w:t xml:space="preserve">             </w:t>
      </w:r>
    </w:p>
    <w:p w14:paraId="6E8A6AC2">
      <w:pPr>
        <w:pStyle w:val="4"/>
        <w:spacing w:line="464" w:lineRule="auto"/>
        <w:rPr>
          <w:sz w:val="24"/>
          <w:szCs w:val="24"/>
        </w:rPr>
      </w:pPr>
    </w:p>
    <w:p w14:paraId="3AA85E63">
      <w:pPr>
        <w:spacing w:before="66" w:line="231" w:lineRule="auto"/>
        <w:ind w:left="4304"/>
        <w:rPr>
          <w:rFonts w:ascii="仿宋" w:hAnsi="仿宋" w:eastAsia="仿宋" w:cs="仿宋"/>
          <w:sz w:val="24"/>
          <w:szCs w:val="24"/>
        </w:rPr>
      </w:pPr>
      <w:r>
        <w:rPr>
          <w:rFonts w:ascii="仿宋" w:hAnsi="仿宋" w:eastAsia="仿宋" w:cs="仿宋"/>
          <w:spacing w:val="-13"/>
          <w:sz w:val="24"/>
          <w:szCs w:val="24"/>
        </w:rPr>
        <w:t>日</w:t>
      </w:r>
      <w:r>
        <w:rPr>
          <w:rFonts w:ascii="仿宋" w:hAnsi="仿宋" w:eastAsia="仿宋" w:cs="仿宋"/>
          <w:spacing w:val="10"/>
          <w:sz w:val="24"/>
          <w:szCs w:val="24"/>
        </w:rPr>
        <w:t xml:space="preserve">   </w:t>
      </w:r>
      <w:r>
        <w:rPr>
          <w:rFonts w:ascii="仿宋" w:hAnsi="仿宋" w:eastAsia="仿宋" w:cs="仿宋"/>
          <w:spacing w:val="-13"/>
          <w:sz w:val="24"/>
          <w:szCs w:val="24"/>
        </w:rPr>
        <w:t>期：</w:t>
      </w:r>
      <w:r>
        <w:rPr>
          <w:rFonts w:ascii="仿宋" w:hAnsi="仿宋" w:eastAsia="仿宋" w:cs="仿宋"/>
          <w:spacing w:val="14"/>
          <w:sz w:val="24"/>
          <w:szCs w:val="24"/>
        </w:rPr>
        <w:t xml:space="preserve"> </w:t>
      </w:r>
      <w:r>
        <w:rPr>
          <w:rFonts w:ascii="仿宋" w:hAnsi="仿宋" w:eastAsia="仿宋" w:cs="仿宋"/>
          <w:spacing w:val="5"/>
          <w:sz w:val="24"/>
          <w:szCs w:val="24"/>
          <w:u w:val="single" w:color="auto"/>
        </w:rPr>
        <w:t xml:space="preserve">    </w:t>
      </w:r>
      <w:r>
        <w:rPr>
          <w:rFonts w:ascii="仿宋" w:hAnsi="仿宋" w:eastAsia="仿宋" w:cs="仿宋"/>
          <w:spacing w:val="-82"/>
          <w:sz w:val="24"/>
          <w:szCs w:val="24"/>
        </w:rPr>
        <w:t xml:space="preserve"> </w:t>
      </w:r>
      <w:r>
        <w:rPr>
          <w:rFonts w:ascii="仿宋" w:hAnsi="仿宋" w:eastAsia="仿宋" w:cs="仿宋"/>
          <w:spacing w:val="-13"/>
          <w:sz w:val="24"/>
          <w:szCs w:val="24"/>
        </w:rPr>
        <w:t>年</w:t>
      </w:r>
      <w:r>
        <w:rPr>
          <w:rFonts w:ascii="仿宋" w:hAnsi="仿宋" w:eastAsia="仿宋" w:cs="仿宋"/>
          <w:spacing w:val="-98"/>
          <w:sz w:val="24"/>
          <w:szCs w:val="24"/>
        </w:rPr>
        <w:t xml:space="preserve"> </w:t>
      </w:r>
      <w:r>
        <w:rPr>
          <w:rFonts w:ascii="仿宋" w:hAnsi="仿宋" w:eastAsia="仿宋" w:cs="仿宋"/>
          <w:spacing w:val="4"/>
          <w:sz w:val="24"/>
          <w:szCs w:val="24"/>
          <w:u w:val="single" w:color="auto"/>
        </w:rPr>
        <w:t xml:space="preserve">   </w:t>
      </w:r>
      <w:r>
        <w:rPr>
          <w:rFonts w:ascii="仿宋" w:hAnsi="仿宋" w:eastAsia="仿宋" w:cs="仿宋"/>
          <w:spacing w:val="-74"/>
          <w:sz w:val="24"/>
          <w:szCs w:val="24"/>
        </w:rPr>
        <w:t xml:space="preserve"> </w:t>
      </w:r>
      <w:r>
        <w:rPr>
          <w:rFonts w:ascii="仿宋" w:hAnsi="仿宋" w:eastAsia="仿宋" w:cs="仿宋"/>
          <w:spacing w:val="-13"/>
          <w:sz w:val="24"/>
          <w:szCs w:val="24"/>
        </w:rPr>
        <w:t>月</w:t>
      </w:r>
      <w:r>
        <w:rPr>
          <w:rFonts w:ascii="仿宋" w:hAnsi="仿宋" w:eastAsia="仿宋" w:cs="仿宋"/>
          <w:spacing w:val="-99"/>
          <w:sz w:val="24"/>
          <w:szCs w:val="24"/>
        </w:rPr>
        <w:t xml:space="preserve"> </w:t>
      </w:r>
      <w:r>
        <w:rPr>
          <w:rFonts w:ascii="仿宋" w:hAnsi="仿宋" w:eastAsia="仿宋" w:cs="仿宋"/>
          <w:spacing w:val="5"/>
          <w:sz w:val="24"/>
          <w:szCs w:val="24"/>
          <w:u w:val="single" w:color="auto"/>
        </w:rPr>
        <w:t xml:space="preserve">   </w:t>
      </w:r>
      <w:r>
        <w:rPr>
          <w:rFonts w:ascii="仿宋" w:hAnsi="仿宋" w:eastAsia="仿宋" w:cs="仿宋"/>
          <w:spacing w:val="-41"/>
          <w:sz w:val="24"/>
          <w:szCs w:val="24"/>
        </w:rPr>
        <w:t xml:space="preserve"> </w:t>
      </w:r>
      <w:r>
        <w:rPr>
          <w:rFonts w:ascii="仿宋" w:hAnsi="仿宋" w:eastAsia="仿宋" w:cs="仿宋"/>
          <w:spacing w:val="-13"/>
          <w:sz w:val="24"/>
          <w:szCs w:val="24"/>
        </w:rPr>
        <w:t>日</w:t>
      </w:r>
    </w:p>
    <w:p w14:paraId="672F8932">
      <w:pPr>
        <w:spacing w:line="231" w:lineRule="auto"/>
        <w:rPr>
          <w:rFonts w:ascii="仿宋" w:hAnsi="仿宋" w:eastAsia="仿宋" w:cs="仿宋"/>
          <w:sz w:val="20"/>
          <w:szCs w:val="20"/>
        </w:rPr>
      </w:pPr>
    </w:p>
    <w:p w14:paraId="221869E5">
      <w:pPr>
        <w:spacing w:line="231" w:lineRule="auto"/>
        <w:rPr>
          <w:rFonts w:hint="eastAsia" w:ascii="仿宋" w:hAnsi="仿宋" w:eastAsia="仿宋" w:cs="仿宋"/>
          <w:sz w:val="24"/>
          <w:szCs w:val="24"/>
          <w:lang w:val="en-US" w:eastAsia="zh-CN"/>
        </w:rPr>
        <w:sectPr>
          <w:footerReference r:id="rId12" w:type="default"/>
          <w:pgSz w:w="11906" w:h="16839"/>
          <w:pgMar w:top="1440" w:right="1080" w:bottom="1440" w:left="1080" w:header="0" w:footer="1054" w:gutter="0"/>
          <w:pgNumType w:fmt="decimal"/>
          <w:cols w:space="720" w:num="1"/>
        </w:sectPr>
      </w:pPr>
      <w:r>
        <w:rPr>
          <w:rFonts w:hint="eastAsia" w:ascii="仿宋" w:hAnsi="仿宋" w:eastAsia="仿宋" w:cs="仿宋"/>
          <w:sz w:val="24"/>
          <w:szCs w:val="24"/>
          <w:lang w:val="en-US" w:eastAsia="zh-CN"/>
        </w:rPr>
        <w:t>注：具有履行合同所必需的保障药品质量安全的仓储条件、设备和专业技术能力（供应商必须在《承诺函》中说明）</w:t>
      </w:r>
      <w:r>
        <w:rPr>
          <w:rFonts w:hint="eastAsia" w:ascii="仿宋" w:hAnsi="仿宋" w:eastAsia="仿宋" w:cs="仿宋"/>
          <w:sz w:val="24"/>
          <w:szCs w:val="24"/>
          <w:lang w:eastAsia="zh-CN"/>
        </w:rPr>
        <w:t>供应商可增加内容。</w:t>
      </w:r>
    </w:p>
    <w:p w14:paraId="14794669">
      <w:pPr>
        <w:pStyle w:val="4"/>
        <w:spacing w:line="346" w:lineRule="auto"/>
      </w:pPr>
    </w:p>
    <w:p w14:paraId="05633F96">
      <w:pPr>
        <w:spacing w:before="42" w:line="230" w:lineRule="auto"/>
        <w:jc w:val="center"/>
        <w:outlineLvl w:val="2"/>
        <w:rPr>
          <w:rFonts w:hint="eastAsia" w:ascii="仿宋" w:hAnsi="仿宋" w:eastAsia="仿宋" w:cs="仿宋"/>
          <w:b/>
          <w:bCs/>
          <w:spacing w:val="7"/>
          <w:sz w:val="24"/>
          <w:szCs w:val="24"/>
          <w:lang w:val="en-US" w:eastAsia="zh-CN"/>
        </w:rPr>
      </w:pPr>
      <w:r>
        <w:rPr>
          <w:rFonts w:ascii="仿宋" w:hAnsi="仿宋" w:eastAsia="仿宋" w:cs="仿宋"/>
          <w:b/>
          <w:bCs/>
          <w:spacing w:val="7"/>
          <w:sz w:val="24"/>
          <w:szCs w:val="24"/>
        </w:rPr>
        <w:t>9.</w:t>
      </w:r>
      <w:r>
        <w:rPr>
          <w:rFonts w:hint="eastAsia" w:ascii="仿宋" w:hAnsi="仿宋" w:eastAsia="仿宋" w:cs="仿宋"/>
          <w:b/>
          <w:bCs/>
          <w:spacing w:val="7"/>
          <w:sz w:val="24"/>
          <w:szCs w:val="24"/>
          <w:lang w:val="en-US" w:eastAsia="zh-CN"/>
        </w:rPr>
        <w:t>提供单位负责人为同一人或者存在直接控股、管理关系的不同</w:t>
      </w:r>
      <w:r>
        <w:rPr>
          <w:rFonts w:hint="eastAsia" w:ascii="仿宋" w:hAnsi="仿宋" w:eastAsia="仿宋" w:cs="仿宋"/>
          <w:b/>
          <w:bCs/>
          <w:spacing w:val="7"/>
          <w:sz w:val="24"/>
          <w:szCs w:val="24"/>
          <w:lang w:eastAsia="zh-CN"/>
        </w:rPr>
        <w:t>供应商</w:t>
      </w:r>
      <w:r>
        <w:rPr>
          <w:rFonts w:hint="eastAsia" w:ascii="仿宋" w:hAnsi="仿宋" w:eastAsia="仿宋" w:cs="仿宋"/>
          <w:b/>
          <w:bCs/>
          <w:spacing w:val="7"/>
          <w:sz w:val="24"/>
          <w:szCs w:val="24"/>
          <w:lang w:val="en-US" w:eastAsia="zh-CN"/>
        </w:rPr>
        <w:t>，不得参加同一合同项下的政府采购活动的书面声明（格式自拟）</w:t>
      </w:r>
    </w:p>
    <w:p w14:paraId="1637029A">
      <w:pPr>
        <w:rPr>
          <w:rFonts w:hint="eastAsia" w:ascii="仿宋" w:hAnsi="仿宋" w:eastAsia="仿宋" w:cs="仿宋"/>
          <w:b/>
          <w:bCs/>
          <w:spacing w:val="5"/>
          <w:sz w:val="24"/>
          <w:szCs w:val="24"/>
          <w:lang w:val="en-US" w:eastAsia="zh-CN"/>
        </w:rPr>
      </w:pPr>
      <w:r>
        <w:rPr>
          <w:rFonts w:hint="eastAsia" w:ascii="仿宋" w:hAnsi="仿宋" w:eastAsia="仿宋" w:cs="仿宋"/>
          <w:b/>
          <w:bCs/>
          <w:spacing w:val="7"/>
          <w:sz w:val="24"/>
          <w:szCs w:val="24"/>
          <w:lang w:val="en-US" w:eastAsia="zh-CN"/>
        </w:rPr>
        <w:br w:type="page"/>
      </w:r>
    </w:p>
    <w:p w14:paraId="5B91691A">
      <w:pPr>
        <w:spacing w:before="42" w:line="230" w:lineRule="auto"/>
        <w:ind w:left="2684"/>
        <w:outlineLvl w:val="2"/>
        <w:rPr>
          <w:rFonts w:ascii="仿宋" w:hAnsi="仿宋" w:eastAsia="仿宋" w:cs="仿宋"/>
          <w:sz w:val="24"/>
          <w:szCs w:val="24"/>
        </w:rPr>
      </w:pPr>
      <w:r>
        <w:rPr>
          <w:rFonts w:ascii="仿宋" w:hAnsi="仿宋" w:eastAsia="仿宋" w:cs="仿宋"/>
          <w:b/>
          <w:bCs/>
          <w:spacing w:val="7"/>
          <w:sz w:val="24"/>
          <w:szCs w:val="24"/>
        </w:rPr>
        <w:t>1</w:t>
      </w:r>
      <w:r>
        <w:rPr>
          <w:rFonts w:hint="eastAsia" w:ascii="仿宋" w:hAnsi="仿宋" w:eastAsia="仿宋" w:cs="仿宋"/>
          <w:b/>
          <w:bCs/>
          <w:spacing w:val="7"/>
          <w:sz w:val="24"/>
          <w:szCs w:val="24"/>
          <w:lang w:val="en-US" w:eastAsia="zh-CN"/>
        </w:rPr>
        <w:t>0</w:t>
      </w:r>
      <w:r>
        <w:rPr>
          <w:rFonts w:ascii="仿宋" w:hAnsi="仿宋" w:eastAsia="仿宋" w:cs="仿宋"/>
          <w:b/>
          <w:bCs/>
          <w:spacing w:val="7"/>
          <w:sz w:val="24"/>
          <w:szCs w:val="24"/>
        </w:rPr>
        <w:t>、拟投入本项目管理、服务、其他人员情况表</w:t>
      </w:r>
    </w:p>
    <w:p w14:paraId="087BDD1D">
      <w:pPr>
        <w:spacing w:line="90" w:lineRule="exact"/>
        <w:rPr>
          <w:sz w:val="24"/>
          <w:szCs w:val="24"/>
        </w:rPr>
      </w:pPr>
    </w:p>
    <w:tbl>
      <w:tblPr>
        <w:tblStyle w:val="14"/>
        <w:tblW w:w="9579" w:type="dxa"/>
        <w:tblInd w:w="8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92"/>
        <w:gridCol w:w="1023"/>
        <w:gridCol w:w="1024"/>
        <w:gridCol w:w="1024"/>
        <w:gridCol w:w="1025"/>
        <w:gridCol w:w="1334"/>
        <w:gridCol w:w="939"/>
        <w:gridCol w:w="1068"/>
        <w:gridCol w:w="950"/>
      </w:tblGrid>
      <w:tr w14:paraId="1482EA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1192" w:type="dxa"/>
            <w:vMerge w:val="restart"/>
            <w:tcBorders>
              <w:bottom w:val="nil"/>
            </w:tcBorders>
            <w:vAlign w:val="top"/>
          </w:tcPr>
          <w:p w14:paraId="574912EF">
            <w:pPr>
              <w:spacing w:line="477" w:lineRule="auto"/>
              <w:rPr>
                <w:rFonts w:ascii="Arial"/>
                <w:sz w:val="24"/>
                <w:szCs w:val="24"/>
              </w:rPr>
            </w:pPr>
          </w:p>
          <w:p w14:paraId="5F78F990">
            <w:pPr>
              <w:pStyle w:val="15"/>
              <w:spacing w:before="65" w:line="232" w:lineRule="auto"/>
              <w:ind w:left="399"/>
              <w:rPr>
                <w:sz w:val="24"/>
                <w:szCs w:val="24"/>
              </w:rPr>
            </w:pPr>
            <w:r>
              <w:rPr>
                <w:sz w:val="24"/>
                <w:szCs w:val="24"/>
              </w:rPr>
              <w:t>类别</w:t>
            </w:r>
          </w:p>
        </w:tc>
        <w:tc>
          <w:tcPr>
            <w:tcW w:w="1023" w:type="dxa"/>
            <w:vMerge w:val="restart"/>
            <w:tcBorders>
              <w:bottom w:val="nil"/>
            </w:tcBorders>
            <w:vAlign w:val="top"/>
          </w:tcPr>
          <w:p w14:paraId="06F6D327">
            <w:pPr>
              <w:spacing w:line="478" w:lineRule="auto"/>
              <w:rPr>
                <w:rFonts w:ascii="Arial"/>
                <w:sz w:val="24"/>
                <w:szCs w:val="24"/>
              </w:rPr>
            </w:pPr>
          </w:p>
          <w:p w14:paraId="474E9C7F">
            <w:pPr>
              <w:pStyle w:val="15"/>
              <w:spacing w:before="65" w:line="233" w:lineRule="auto"/>
              <w:ind w:left="310"/>
              <w:rPr>
                <w:sz w:val="24"/>
                <w:szCs w:val="24"/>
              </w:rPr>
            </w:pPr>
            <w:r>
              <w:rPr>
                <w:spacing w:val="2"/>
                <w:sz w:val="24"/>
                <w:szCs w:val="24"/>
              </w:rPr>
              <w:t>姓名</w:t>
            </w:r>
          </w:p>
        </w:tc>
        <w:tc>
          <w:tcPr>
            <w:tcW w:w="1024" w:type="dxa"/>
            <w:vMerge w:val="restart"/>
            <w:tcBorders>
              <w:bottom w:val="nil"/>
            </w:tcBorders>
            <w:vAlign w:val="top"/>
          </w:tcPr>
          <w:p w14:paraId="56640DDA">
            <w:pPr>
              <w:spacing w:line="277" w:lineRule="auto"/>
              <w:rPr>
                <w:rFonts w:ascii="Arial"/>
                <w:sz w:val="24"/>
                <w:szCs w:val="24"/>
              </w:rPr>
            </w:pPr>
          </w:p>
          <w:p w14:paraId="718CCD8D">
            <w:pPr>
              <w:pStyle w:val="15"/>
              <w:spacing w:before="65" w:line="401" w:lineRule="exact"/>
              <w:ind w:left="204"/>
              <w:rPr>
                <w:sz w:val="24"/>
                <w:szCs w:val="24"/>
              </w:rPr>
            </w:pPr>
            <w:r>
              <w:rPr>
                <w:spacing w:val="5"/>
                <w:position w:val="14"/>
                <w:sz w:val="24"/>
                <w:szCs w:val="24"/>
              </w:rPr>
              <w:t>联系方</w:t>
            </w:r>
          </w:p>
          <w:p w14:paraId="5870D38C">
            <w:pPr>
              <w:pStyle w:val="15"/>
              <w:spacing w:line="231" w:lineRule="auto"/>
              <w:ind w:left="421"/>
              <w:rPr>
                <w:sz w:val="24"/>
                <w:szCs w:val="24"/>
              </w:rPr>
            </w:pPr>
            <w:r>
              <w:rPr>
                <w:sz w:val="24"/>
                <w:szCs w:val="24"/>
              </w:rPr>
              <w:t>式</w:t>
            </w:r>
          </w:p>
        </w:tc>
        <w:tc>
          <w:tcPr>
            <w:tcW w:w="1024" w:type="dxa"/>
            <w:vMerge w:val="restart"/>
            <w:tcBorders>
              <w:bottom w:val="nil"/>
            </w:tcBorders>
            <w:vAlign w:val="top"/>
          </w:tcPr>
          <w:p w14:paraId="01513F8A">
            <w:pPr>
              <w:spacing w:line="277" w:lineRule="auto"/>
              <w:rPr>
                <w:rFonts w:ascii="Arial"/>
                <w:sz w:val="24"/>
                <w:szCs w:val="24"/>
              </w:rPr>
            </w:pPr>
          </w:p>
          <w:p w14:paraId="734EC0E5">
            <w:pPr>
              <w:pStyle w:val="15"/>
              <w:spacing w:before="65" w:line="401" w:lineRule="exact"/>
              <w:ind w:left="207"/>
              <w:rPr>
                <w:sz w:val="24"/>
                <w:szCs w:val="24"/>
              </w:rPr>
            </w:pPr>
            <w:r>
              <w:rPr>
                <w:spacing w:val="5"/>
                <w:position w:val="14"/>
                <w:sz w:val="24"/>
                <w:szCs w:val="24"/>
              </w:rPr>
              <w:t>职称或</w:t>
            </w:r>
          </w:p>
          <w:p w14:paraId="1AC7AB99">
            <w:pPr>
              <w:pStyle w:val="15"/>
              <w:spacing w:line="231" w:lineRule="auto"/>
              <w:ind w:left="312"/>
              <w:rPr>
                <w:sz w:val="24"/>
                <w:szCs w:val="24"/>
              </w:rPr>
            </w:pPr>
            <w:r>
              <w:rPr>
                <w:spacing w:val="2"/>
                <w:sz w:val="24"/>
                <w:szCs w:val="24"/>
              </w:rPr>
              <w:t>职务</w:t>
            </w:r>
          </w:p>
        </w:tc>
        <w:tc>
          <w:tcPr>
            <w:tcW w:w="1025" w:type="dxa"/>
            <w:vMerge w:val="restart"/>
            <w:tcBorders>
              <w:bottom w:val="nil"/>
            </w:tcBorders>
            <w:vAlign w:val="top"/>
          </w:tcPr>
          <w:p w14:paraId="578B2394">
            <w:pPr>
              <w:spacing w:line="478" w:lineRule="auto"/>
              <w:rPr>
                <w:rFonts w:ascii="Arial"/>
                <w:sz w:val="24"/>
                <w:szCs w:val="24"/>
              </w:rPr>
            </w:pPr>
          </w:p>
          <w:p w14:paraId="6F7D9574">
            <w:pPr>
              <w:pStyle w:val="15"/>
              <w:spacing w:before="65" w:line="230" w:lineRule="auto"/>
              <w:ind w:left="220"/>
              <w:rPr>
                <w:sz w:val="24"/>
                <w:szCs w:val="24"/>
              </w:rPr>
            </w:pPr>
            <w:r>
              <w:rPr>
                <w:spacing w:val="1"/>
                <w:sz w:val="24"/>
                <w:szCs w:val="24"/>
              </w:rPr>
              <w:t>常住地</w:t>
            </w:r>
          </w:p>
        </w:tc>
        <w:tc>
          <w:tcPr>
            <w:tcW w:w="4291" w:type="dxa"/>
            <w:gridSpan w:val="4"/>
            <w:vAlign w:val="top"/>
          </w:tcPr>
          <w:p w14:paraId="2BE08756">
            <w:pPr>
              <w:pStyle w:val="15"/>
              <w:spacing w:before="241" w:line="231" w:lineRule="auto"/>
              <w:ind w:left="1745"/>
              <w:rPr>
                <w:sz w:val="24"/>
                <w:szCs w:val="24"/>
              </w:rPr>
            </w:pPr>
            <w:r>
              <w:rPr>
                <w:spacing w:val="3"/>
                <w:sz w:val="24"/>
                <w:szCs w:val="24"/>
              </w:rPr>
              <w:t>资格证明</w:t>
            </w:r>
          </w:p>
        </w:tc>
      </w:tr>
      <w:tr w14:paraId="6209DB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9" w:hRule="atLeast"/>
        </w:trPr>
        <w:tc>
          <w:tcPr>
            <w:tcW w:w="1192" w:type="dxa"/>
            <w:vMerge w:val="continue"/>
            <w:tcBorders>
              <w:top w:val="nil"/>
            </w:tcBorders>
            <w:vAlign w:val="top"/>
          </w:tcPr>
          <w:p w14:paraId="33712B05">
            <w:pPr>
              <w:rPr>
                <w:rFonts w:ascii="Arial"/>
                <w:sz w:val="24"/>
                <w:szCs w:val="24"/>
              </w:rPr>
            </w:pPr>
          </w:p>
        </w:tc>
        <w:tc>
          <w:tcPr>
            <w:tcW w:w="1023" w:type="dxa"/>
            <w:vMerge w:val="continue"/>
            <w:tcBorders>
              <w:top w:val="nil"/>
            </w:tcBorders>
            <w:vAlign w:val="top"/>
          </w:tcPr>
          <w:p w14:paraId="637A8390">
            <w:pPr>
              <w:rPr>
                <w:rFonts w:ascii="Arial"/>
                <w:sz w:val="24"/>
                <w:szCs w:val="24"/>
              </w:rPr>
            </w:pPr>
          </w:p>
        </w:tc>
        <w:tc>
          <w:tcPr>
            <w:tcW w:w="1024" w:type="dxa"/>
            <w:vMerge w:val="continue"/>
            <w:tcBorders>
              <w:top w:val="nil"/>
            </w:tcBorders>
            <w:vAlign w:val="top"/>
          </w:tcPr>
          <w:p w14:paraId="6252A7B5">
            <w:pPr>
              <w:rPr>
                <w:rFonts w:ascii="Arial"/>
                <w:sz w:val="24"/>
                <w:szCs w:val="24"/>
              </w:rPr>
            </w:pPr>
          </w:p>
        </w:tc>
        <w:tc>
          <w:tcPr>
            <w:tcW w:w="1024" w:type="dxa"/>
            <w:vMerge w:val="continue"/>
            <w:tcBorders>
              <w:top w:val="nil"/>
            </w:tcBorders>
            <w:vAlign w:val="top"/>
          </w:tcPr>
          <w:p w14:paraId="7C1F7C80">
            <w:pPr>
              <w:rPr>
                <w:rFonts w:ascii="Arial"/>
                <w:sz w:val="24"/>
                <w:szCs w:val="24"/>
              </w:rPr>
            </w:pPr>
          </w:p>
        </w:tc>
        <w:tc>
          <w:tcPr>
            <w:tcW w:w="1025" w:type="dxa"/>
            <w:vMerge w:val="continue"/>
            <w:tcBorders>
              <w:top w:val="nil"/>
            </w:tcBorders>
            <w:vAlign w:val="top"/>
          </w:tcPr>
          <w:p w14:paraId="653F320A">
            <w:pPr>
              <w:rPr>
                <w:rFonts w:ascii="Arial"/>
                <w:sz w:val="24"/>
                <w:szCs w:val="24"/>
              </w:rPr>
            </w:pPr>
          </w:p>
        </w:tc>
        <w:tc>
          <w:tcPr>
            <w:tcW w:w="1334" w:type="dxa"/>
            <w:vAlign w:val="top"/>
          </w:tcPr>
          <w:p w14:paraId="54341C01">
            <w:pPr>
              <w:pStyle w:val="15"/>
              <w:spacing w:before="239" w:line="229" w:lineRule="auto"/>
              <w:ind w:left="258"/>
              <w:rPr>
                <w:sz w:val="24"/>
                <w:szCs w:val="24"/>
              </w:rPr>
            </w:pPr>
            <w:r>
              <w:rPr>
                <w:spacing w:val="6"/>
                <w:sz w:val="24"/>
                <w:szCs w:val="24"/>
              </w:rPr>
              <w:t>证书名称</w:t>
            </w:r>
          </w:p>
        </w:tc>
        <w:tc>
          <w:tcPr>
            <w:tcW w:w="939" w:type="dxa"/>
            <w:vAlign w:val="top"/>
          </w:tcPr>
          <w:p w14:paraId="3BA2D598">
            <w:pPr>
              <w:pStyle w:val="15"/>
              <w:spacing w:before="238" w:line="232" w:lineRule="auto"/>
              <w:ind w:left="273"/>
              <w:rPr>
                <w:sz w:val="24"/>
                <w:szCs w:val="24"/>
              </w:rPr>
            </w:pPr>
            <w:r>
              <w:rPr>
                <w:sz w:val="24"/>
                <w:szCs w:val="24"/>
              </w:rPr>
              <w:t>级别</w:t>
            </w:r>
          </w:p>
        </w:tc>
        <w:tc>
          <w:tcPr>
            <w:tcW w:w="1068" w:type="dxa"/>
            <w:vAlign w:val="top"/>
          </w:tcPr>
          <w:p w14:paraId="75E7F2A7">
            <w:pPr>
              <w:pStyle w:val="15"/>
              <w:spacing w:before="239" w:line="232" w:lineRule="auto"/>
              <w:ind w:left="334"/>
              <w:rPr>
                <w:sz w:val="24"/>
                <w:szCs w:val="24"/>
              </w:rPr>
            </w:pPr>
            <w:r>
              <w:rPr>
                <w:spacing w:val="2"/>
                <w:sz w:val="24"/>
                <w:szCs w:val="24"/>
              </w:rPr>
              <w:t>证号</w:t>
            </w:r>
          </w:p>
        </w:tc>
        <w:tc>
          <w:tcPr>
            <w:tcW w:w="950" w:type="dxa"/>
            <w:vAlign w:val="top"/>
          </w:tcPr>
          <w:p w14:paraId="62E90831">
            <w:pPr>
              <w:pStyle w:val="15"/>
              <w:spacing w:before="239" w:line="232" w:lineRule="auto"/>
              <w:ind w:left="278"/>
              <w:rPr>
                <w:sz w:val="24"/>
                <w:szCs w:val="24"/>
              </w:rPr>
            </w:pPr>
            <w:r>
              <w:rPr>
                <w:sz w:val="24"/>
                <w:szCs w:val="24"/>
              </w:rPr>
              <w:t>专业</w:t>
            </w:r>
          </w:p>
        </w:tc>
      </w:tr>
      <w:tr w14:paraId="4DF700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1" w:hRule="atLeast"/>
        </w:trPr>
        <w:tc>
          <w:tcPr>
            <w:tcW w:w="1192" w:type="dxa"/>
            <w:vMerge w:val="restart"/>
            <w:tcBorders>
              <w:bottom w:val="nil"/>
            </w:tcBorders>
            <w:textDirection w:val="tbRlV"/>
            <w:vAlign w:val="top"/>
          </w:tcPr>
          <w:p w14:paraId="7692D922">
            <w:pPr>
              <w:spacing w:line="410" w:lineRule="auto"/>
              <w:rPr>
                <w:rFonts w:ascii="Arial"/>
                <w:sz w:val="24"/>
                <w:szCs w:val="24"/>
              </w:rPr>
            </w:pPr>
          </w:p>
          <w:p w14:paraId="5465F040">
            <w:pPr>
              <w:pStyle w:val="15"/>
              <w:spacing w:before="66" w:line="209" w:lineRule="auto"/>
              <w:ind w:left="141"/>
              <w:rPr>
                <w:sz w:val="24"/>
                <w:szCs w:val="24"/>
              </w:rPr>
            </w:pPr>
            <w:r>
              <w:rPr>
                <w:spacing w:val="13"/>
                <w:sz w:val="24"/>
                <w:szCs w:val="24"/>
              </w:rPr>
              <w:t>管</w:t>
            </w:r>
            <w:r>
              <w:rPr>
                <w:spacing w:val="89"/>
                <w:sz w:val="24"/>
                <w:szCs w:val="24"/>
              </w:rPr>
              <w:t xml:space="preserve"> </w:t>
            </w:r>
            <w:r>
              <w:rPr>
                <w:spacing w:val="13"/>
                <w:sz w:val="24"/>
                <w:szCs w:val="24"/>
              </w:rPr>
              <w:t>理</w:t>
            </w:r>
            <w:r>
              <w:rPr>
                <w:spacing w:val="87"/>
                <w:sz w:val="24"/>
                <w:szCs w:val="24"/>
              </w:rPr>
              <w:t xml:space="preserve"> </w:t>
            </w:r>
            <w:r>
              <w:rPr>
                <w:spacing w:val="13"/>
                <w:sz w:val="24"/>
                <w:szCs w:val="24"/>
              </w:rPr>
              <w:t>人</w:t>
            </w:r>
            <w:r>
              <w:rPr>
                <w:spacing w:val="84"/>
                <w:sz w:val="24"/>
                <w:szCs w:val="24"/>
              </w:rPr>
              <w:t xml:space="preserve"> </w:t>
            </w:r>
            <w:r>
              <w:rPr>
                <w:spacing w:val="13"/>
                <w:sz w:val="24"/>
                <w:szCs w:val="24"/>
              </w:rPr>
              <w:t>员</w:t>
            </w:r>
          </w:p>
        </w:tc>
        <w:tc>
          <w:tcPr>
            <w:tcW w:w="1023" w:type="dxa"/>
            <w:vAlign w:val="top"/>
          </w:tcPr>
          <w:p w14:paraId="43EF9987">
            <w:pPr>
              <w:rPr>
                <w:rFonts w:ascii="Arial"/>
                <w:sz w:val="24"/>
                <w:szCs w:val="24"/>
              </w:rPr>
            </w:pPr>
          </w:p>
        </w:tc>
        <w:tc>
          <w:tcPr>
            <w:tcW w:w="1024" w:type="dxa"/>
            <w:vAlign w:val="top"/>
          </w:tcPr>
          <w:p w14:paraId="0DF4110F">
            <w:pPr>
              <w:rPr>
                <w:rFonts w:ascii="Arial"/>
                <w:sz w:val="24"/>
                <w:szCs w:val="24"/>
              </w:rPr>
            </w:pPr>
          </w:p>
        </w:tc>
        <w:tc>
          <w:tcPr>
            <w:tcW w:w="1024" w:type="dxa"/>
            <w:vAlign w:val="top"/>
          </w:tcPr>
          <w:p w14:paraId="2C83D2E8">
            <w:pPr>
              <w:rPr>
                <w:rFonts w:ascii="Arial"/>
                <w:sz w:val="24"/>
                <w:szCs w:val="24"/>
              </w:rPr>
            </w:pPr>
          </w:p>
        </w:tc>
        <w:tc>
          <w:tcPr>
            <w:tcW w:w="1025" w:type="dxa"/>
            <w:vAlign w:val="top"/>
          </w:tcPr>
          <w:p w14:paraId="51A6442B">
            <w:pPr>
              <w:rPr>
                <w:rFonts w:ascii="Arial"/>
                <w:sz w:val="24"/>
                <w:szCs w:val="24"/>
              </w:rPr>
            </w:pPr>
          </w:p>
        </w:tc>
        <w:tc>
          <w:tcPr>
            <w:tcW w:w="1334" w:type="dxa"/>
            <w:vAlign w:val="top"/>
          </w:tcPr>
          <w:p w14:paraId="5C3751C4">
            <w:pPr>
              <w:rPr>
                <w:rFonts w:ascii="Arial"/>
                <w:sz w:val="24"/>
                <w:szCs w:val="24"/>
              </w:rPr>
            </w:pPr>
          </w:p>
        </w:tc>
        <w:tc>
          <w:tcPr>
            <w:tcW w:w="939" w:type="dxa"/>
            <w:vAlign w:val="top"/>
          </w:tcPr>
          <w:p w14:paraId="22EB2264">
            <w:pPr>
              <w:rPr>
                <w:rFonts w:ascii="Arial"/>
                <w:sz w:val="24"/>
                <w:szCs w:val="24"/>
              </w:rPr>
            </w:pPr>
          </w:p>
        </w:tc>
        <w:tc>
          <w:tcPr>
            <w:tcW w:w="1068" w:type="dxa"/>
            <w:vAlign w:val="top"/>
          </w:tcPr>
          <w:p w14:paraId="5D3FF54D">
            <w:pPr>
              <w:rPr>
                <w:rFonts w:ascii="Arial"/>
                <w:sz w:val="24"/>
                <w:szCs w:val="24"/>
              </w:rPr>
            </w:pPr>
          </w:p>
        </w:tc>
        <w:tc>
          <w:tcPr>
            <w:tcW w:w="950" w:type="dxa"/>
            <w:vAlign w:val="top"/>
          </w:tcPr>
          <w:p w14:paraId="20FD5A45">
            <w:pPr>
              <w:rPr>
                <w:rFonts w:ascii="Arial"/>
                <w:sz w:val="24"/>
                <w:szCs w:val="24"/>
              </w:rPr>
            </w:pPr>
          </w:p>
        </w:tc>
      </w:tr>
      <w:tr w14:paraId="541B73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9" w:hRule="atLeast"/>
        </w:trPr>
        <w:tc>
          <w:tcPr>
            <w:tcW w:w="1192" w:type="dxa"/>
            <w:vMerge w:val="continue"/>
            <w:tcBorders>
              <w:top w:val="nil"/>
              <w:bottom w:val="nil"/>
            </w:tcBorders>
            <w:textDirection w:val="tbRlV"/>
            <w:vAlign w:val="top"/>
          </w:tcPr>
          <w:p w14:paraId="2647EE07">
            <w:pPr>
              <w:rPr>
                <w:rFonts w:ascii="Arial"/>
                <w:sz w:val="24"/>
                <w:szCs w:val="24"/>
              </w:rPr>
            </w:pPr>
          </w:p>
        </w:tc>
        <w:tc>
          <w:tcPr>
            <w:tcW w:w="1023" w:type="dxa"/>
            <w:vAlign w:val="top"/>
          </w:tcPr>
          <w:p w14:paraId="297CC43F">
            <w:pPr>
              <w:rPr>
                <w:rFonts w:ascii="Arial"/>
                <w:sz w:val="24"/>
                <w:szCs w:val="24"/>
              </w:rPr>
            </w:pPr>
          </w:p>
        </w:tc>
        <w:tc>
          <w:tcPr>
            <w:tcW w:w="1024" w:type="dxa"/>
            <w:vAlign w:val="top"/>
          </w:tcPr>
          <w:p w14:paraId="3D034E12">
            <w:pPr>
              <w:rPr>
                <w:rFonts w:ascii="Arial"/>
                <w:sz w:val="24"/>
                <w:szCs w:val="24"/>
              </w:rPr>
            </w:pPr>
          </w:p>
        </w:tc>
        <w:tc>
          <w:tcPr>
            <w:tcW w:w="1024" w:type="dxa"/>
            <w:vAlign w:val="top"/>
          </w:tcPr>
          <w:p w14:paraId="5F984FDB">
            <w:pPr>
              <w:rPr>
                <w:rFonts w:ascii="Arial"/>
                <w:sz w:val="24"/>
                <w:szCs w:val="24"/>
              </w:rPr>
            </w:pPr>
          </w:p>
        </w:tc>
        <w:tc>
          <w:tcPr>
            <w:tcW w:w="1025" w:type="dxa"/>
            <w:vAlign w:val="top"/>
          </w:tcPr>
          <w:p w14:paraId="123B75DA">
            <w:pPr>
              <w:rPr>
                <w:rFonts w:ascii="Arial"/>
                <w:sz w:val="24"/>
                <w:szCs w:val="24"/>
              </w:rPr>
            </w:pPr>
          </w:p>
        </w:tc>
        <w:tc>
          <w:tcPr>
            <w:tcW w:w="1334" w:type="dxa"/>
            <w:vAlign w:val="top"/>
          </w:tcPr>
          <w:p w14:paraId="0A4CA143">
            <w:pPr>
              <w:rPr>
                <w:rFonts w:ascii="Arial"/>
                <w:sz w:val="24"/>
                <w:szCs w:val="24"/>
              </w:rPr>
            </w:pPr>
          </w:p>
        </w:tc>
        <w:tc>
          <w:tcPr>
            <w:tcW w:w="939" w:type="dxa"/>
            <w:vAlign w:val="top"/>
          </w:tcPr>
          <w:p w14:paraId="01AABDB8">
            <w:pPr>
              <w:rPr>
                <w:rFonts w:ascii="Arial"/>
                <w:sz w:val="24"/>
                <w:szCs w:val="24"/>
              </w:rPr>
            </w:pPr>
          </w:p>
        </w:tc>
        <w:tc>
          <w:tcPr>
            <w:tcW w:w="1068" w:type="dxa"/>
            <w:vAlign w:val="top"/>
          </w:tcPr>
          <w:p w14:paraId="311A4DAF">
            <w:pPr>
              <w:rPr>
                <w:rFonts w:ascii="Arial"/>
                <w:sz w:val="24"/>
                <w:szCs w:val="24"/>
              </w:rPr>
            </w:pPr>
          </w:p>
        </w:tc>
        <w:tc>
          <w:tcPr>
            <w:tcW w:w="950" w:type="dxa"/>
            <w:vAlign w:val="top"/>
          </w:tcPr>
          <w:p w14:paraId="172BAAF9">
            <w:pPr>
              <w:rPr>
                <w:rFonts w:ascii="Arial"/>
                <w:sz w:val="24"/>
                <w:szCs w:val="24"/>
              </w:rPr>
            </w:pPr>
          </w:p>
        </w:tc>
      </w:tr>
      <w:tr w14:paraId="3482EF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0" w:hRule="atLeast"/>
        </w:trPr>
        <w:tc>
          <w:tcPr>
            <w:tcW w:w="1192" w:type="dxa"/>
            <w:vMerge w:val="continue"/>
            <w:tcBorders>
              <w:top w:val="nil"/>
            </w:tcBorders>
            <w:textDirection w:val="tbRlV"/>
            <w:vAlign w:val="top"/>
          </w:tcPr>
          <w:p w14:paraId="45987743">
            <w:pPr>
              <w:rPr>
                <w:rFonts w:ascii="Arial"/>
                <w:sz w:val="24"/>
                <w:szCs w:val="24"/>
              </w:rPr>
            </w:pPr>
          </w:p>
        </w:tc>
        <w:tc>
          <w:tcPr>
            <w:tcW w:w="1023" w:type="dxa"/>
            <w:vAlign w:val="top"/>
          </w:tcPr>
          <w:p w14:paraId="0D2B781A">
            <w:pPr>
              <w:rPr>
                <w:rFonts w:ascii="Arial"/>
                <w:sz w:val="24"/>
                <w:szCs w:val="24"/>
              </w:rPr>
            </w:pPr>
          </w:p>
        </w:tc>
        <w:tc>
          <w:tcPr>
            <w:tcW w:w="1024" w:type="dxa"/>
            <w:vAlign w:val="top"/>
          </w:tcPr>
          <w:p w14:paraId="48CC86AC">
            <w:pPr>
              <w:rPr>
                <w:rFonts w:ascii="Arial"/>
                <w:sz w:val="24"/>
                <w:szCs w:val="24"/>
              </w:rPr>
            </w:pPr>
          </w:p>
        </w:tc>
        <w:tc>
          <w:tcPr>
            <w:tcW w:w="1024" w:type="dxa"/>
            <w:vAlign w:val="top"/>
          </w:tcPr>
          <w:p w14:paraId="2C4F9385">
            <w:pPr>
              <w:rPr>
                <w:rFonts w:ascii="Arial"/>
                <w:sz w:val="24"/>
                <w:szCs w:val="24"/>
              </w:rPr>
            </w:pPr>
          </w:p>
        </w:tc>
        <w:tc>
          <w:tcPr>
            <w:tcW w:w="1025" w:type="dxa"/>
            <w:vAlign w:val="top"/>
          </w:tcPr>
          <w:p w14:paraId="3089DAF1">
            <w:pPr>
              <w:rPr>
                <w:rFonts w:ascii="Arial"/>
                <w:sz w:val="24"/>
                <w:szCs w:val="24"/>
              </w:rPr>
            </w:pPr>
          </w:p>
        </w:tc>
        <w:tc>
          <w:tcPr>
            <w:tcW w:w="1334" w:type="dxa"/>
            <w:vAlign w:val="top"/>
          </w:tcPr>
          <w:p w14:paraId="2C6FB5A8">
            <w:pPr>
              <w:rPr>
                <w:rFonts w:ascii="Arial"/>
                <w:sz w:val="24"/>
                <w:szCs w:val="24"/>
              </w:rPr>
            </w:pPr>
          </w:p>
        </w:tc>
        <w:tc>
          <w:tcPr>
            <w:tcW w:w="939" w:type="dxa"/>
            <w:vAlign w:val="top"/>
          </w:tcPr>
          <w:p w14:paraId="51FB4822">
            <w:pPr>
              <w:rPr>
                <w:rFonts w:ascii="Arial"/>
                <w:sz w:val="24"/>
                <w:szCs w:val="24"/>
              </w:rPr>
            </w:pPr>
          </w:p>
        </w:tc>
        <w:tc>
          <w:tcPr>
            <w:tcW w:w="1068" w:type="dxa"/>
            <w:vAlign w:val="top"/>
          </w:tcPr>
          <w:p w14:paraId="1B93B0B0">
            <w:pPr>
              <w:rPr>
                <w:rFonts w:ascii="Arial"/>
                <w:sz w:val="24"/>
                <w:szCs w:val="24"/>
              </w:rPr>
            </w:pPr>
          </w:p>
        </w:tc>
        <w:tc>
          <w:tcPr>
            <w:tcW w:w="950" w:type="dxa"/>
            <w:vAlign w:val="top"/>
          </w:tcPr>
          <w:p w14:paraId="74EE4605">
            <w:pPr>
              <w:rPr>
                <w:rFonts w:ascii="Arial"/>
                <w:sz w:val="24"/>
                <w:szCs w:val="24"/>
              </w:rPr>
            </w:pPr>
          </w:p>
        </w:tc>
      </w:tr>
      <w:tr w14:paraId="002A91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0" w:hRule="atLeast"/>
        </w:trPr>
        <w:tc>
          <w:tcPr>
            <w:tcW w:w="1192" w:type="dxa"/>
            <w:vMerge w:val="restart"/>
            <w:tcBorders>
              <w:bottom w:val="nil"/>
            </w:tcBorders>
            <w:textDirection w:val="tbRlV"/>
            <w:vAlign w:val="top"/>
          </w:tcPr>
          <w:p w14:paraId="3EFE2268">
            <w:pPr>
              <w:spacing w:line="409" w:lineRule="auto"/>
              <w:rPr>
                <w:rFonts w:ascii="Arial"/>
                <w:sz w:val="24"/>
                <w:szCs w:val="24"/>
              </w:rPr>
            </w:pPr>
          </w:p>
          <w:p w14:paraId="12C21E38">
            <w:pPr>
              <w:pStyle w:val="15"/>
              <w:spacing w:before="67" w:line="210" w:lineRule="auto"/>
              <w:ind w:left="143"/>
              <w:rPr>
                <w:sz w:val="24"/>
                <w:szCs w:val="24"/>
              </w:rPr>
            </w:pPr>
            <w:r>
              <w:rPr>
                <w:spacing w:val="13"/>
                <w:sz w:val="24"/>
                <w:szCs w:val="24"/>
              </w:rPr>
              <w:t>服</w:t>
            </w:r>
            <w:r>
              <w:rPr>
                <w:spacing w:val="89"/>
                <w:sz w:val="24"/>
                <w:szCs w:val="24"/>
              </w:rPr>
              <w:t xml:space="preserve"> </w:t>
            </w:r>
            <w:r>
              <w:rPr>
                <w:spacing w:val="13"/>
                <w:sz w:val="24"/>
                <w:szCs w:val="24"/>
              </w:rPr>
              <w:t>务</w:t>
            </w:r>
            <w:r>
              <w:rPr>
                <w:spacing w:val="87"/>
                <w:sz w:val="24"/>
                <w:szCs w:val="24"/>
              </w:rPr>
              <w:t xml:space="preserve"> </w:t>
            </w:r>
            <w:r>
              <w:rPr>
                <w:spacing w:val="13"/>
                <w:sz w:val="24"/>
                <w:szCs w:val="24"/>
              </w:rPr>
              <w:t>人</w:t>
            </w:r>
            <w:r>
              <w:rPr>
                <w:spacing w:val="84"/>
                <w:sz w:val="24"/>
                <w:szCs w:val="24"/>
              </w:rPr>
              <w:t xml:space="preserve"> </w:t>
            </w:r>
            <w:r>
              <w:rPr>
                <w:spacing w:val="13"/>
                <w:sz w:val="24"/>
                <w:szCs w:val="24"/>
              </w:rPr>
              <w:t>员</w:t>
            </w:r>
          </w:p>
        </w:tc>
        <w:tc>
          <w:tcPr>
            <w:tcW w:w="1023" w:type="dxa"/>
            <w:vAlign w:val="top"/>
          </w:tcPr>
          <w:p w14:paraId="0E69434E">
            <w:pPr>
              <w:rPr>
                <w:rFonts w:ascii="Arial"/>
                <w:sz w:val="24"/>
                <w:szCs w:val="24"/>
              </w:rPr>
            </w:pPr>
          </w:p>
        </w:tc>
        <w:tc>
          <w:tcPr>
            <w:tcW w:w="1024" w:type="dxa"/>
            <w:vAlign w:val="top"/>
          </w:tcPr>
          <w:p w14:paraId="23021EF4">
            <w:pPr>
              <w:rPr>
                <w:rFonts w:ascii="Arial"/>
                <w:sz w:val="24"/>
                <w:szCs w:val="24"/>
              </w:rPr>
            </w:pPr>
          </w:p>
        </w:tc>
        <w:tc>
          <w:tcPr>
            <w:tcW w:w="1024" w:type="dxa"/>
            <w:vAlign w:val="top"/>
          </w:tcPr>
          <w:p w14:paraId="6D4D9F70">
            <w:pPr>
              <w:rPr>
                <w:rFonts w:ascii="Arial"/>
                <w:sz w:val="24"/>
                <w:szCs w:val="24"/>
              </w:rPr>
            </w:pPr>
          </w:p>
        </w:tc>
        <w:tc>
          <w:tcPr>
            <w:tcW w:w="1025" w:type="dxa"/>
            <w:vAlign w:val="top"/>
          </w:tcPr>
          <w:p w14:paraId="0FED6170">
            <w:pPr>
              <w:rPr>
                <w:rFonts w:ascii="Arial"/>
                <w:sz w:val="24"/>
                <w:szCs w:val="24"/>
              </w:rPr>
            </w:pPr>
          </w:p>
        </w:tc>
        <w:tc>
          <w:tcPr>
            <w:tcW w:w="1334" w:type="dxa"/>
            <w:vAlign w:val="top"/>
          </w:tcPr>
          <w:p w14:paraId="4191FACA">
            <w:pPr>
              <w:rPr>
                <w:rFonts w:ascii="Arial"/>
                <w:sz w:val="24"/>
                <w:szCs w:val="24"/>
              </w:rPr>
            </w:pPr>
          </w:p>
        </w:tc>
        <w:tc>
          <w:tcPr>
            <w:tcW w:w="939" w:type="dxa"/>
            <w:vAlign w:val="top"/>
          </w:tcPr>
          <w:p w14:paraId="66DEC6B3">
            <w:pPr>
              <w:rPr>
                <w:rFonts w:ascii="Arial"/>
                <w:sz w:val="24"/>
                <w:szCs w:val="24"/>
              </w:rPr>
            </w:pPr>
          </w:p>
        </w:tc>
        <w:tc>
          <w:tcPr>
            <w:tcW w:w="1068" w:type="dxa"/>
            <w:vAlign w:val="top"/>
          </w:tcPr>
          <w:p w14:paraId="7EC471EF">
            <w:pPr>
              <w:rPr>
                <w:rFonts w:ascii="Arial"/>
                <w:sz w:val="24"/>
                <w:szCs w:val="24"/>
              </w:rPr>
            </w:pPr>
          </w:p>
        </w:tc>
        <w:tc>
          <w:tcPr>
            <w:tcW w:w="950" w:type="dxa"/>
            <w:vAlign w:val="top"/>
          </w:tcPr>
          <w:p w14:paraId="63AA0694">
            <w:pPr>
              <w:rPr>
                <w:rFonts w:ascii="Arial"/>
                <w:sz w:val="24"/>
                <w:szCs w:val="24"/>
              </w:rPr>
            </w:pPr>
          </w:p>
        </w:tc>
      </w:tr>
      <w:tr w14:paraId="480082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1" w:hRule="atLeast"/>
        </w:trPr>
        <w:tc>
          <w:tcPr>
            <w:tcW w:w="1192" w:type="dxa"/>
            <w:vMerge w:val="continue"/>
            <w:tcBorders>
              <w:top w:val="nil"/>
              <w:bottom w:val="nil"/>
            </w:tcBorders>
            <w:textDirection w:val="tbRlV"/>
            <w:vAlign w:val="top"/>
          </w:tcPr>
          <w:p w14:paraId="6978FC31">
            <w:pPr>
              <w:rPr>
                <w:rFonts w:ascii="Arial"/>
                <w:sz w:val="24"/>
                <w:szCs w:val="24"/>
              </w:rPr>
            </w:pPr>
          </w:p>
        </w:tc>
        <w:tc>
          <w:tcPr>
            <w:tcW w:w="1023" w:type="dxa"/>
            <w:vAlign w:val="top"/>
          </w:tcPr>
          <w:p w14:paraId="51A8E31E">
            <w:pPr>
              <w:rPr>
                <w:rFonts w:ascii="Arial"/>
                <w:sz w:val="24"/>
                <w:szCs w:val="24"/>
              </w:rPr>
            </w:pPr>
          </w:p>
        </w:tc>
        <w:tc>
          <w:tcPr>
            <w:tcW w:w="1024" w:type="dxa"/>
            <w:vAlign w:val="top"/>
          </w:tcPr>
          <w:p w14:paraId="66599BD2">
            <w:pPr>
              <w:rPr>
                <w:rFonts w:ascii="Arial"/>
                <w:sz w:val="24"/>
                <w:szCs w:val="24"/>
              </w:rPr>
            </w:pPr>
          </w:p>
        </w:tc>
        <w:tc>
          <w:tcPr>
            <w:tcW w:w="1024" w:type="dxa"/>
            <w:vAlign w:val="top"/>
          </w:tcPr>
          <w:p w14:paraId="62F62B5C">
            <w:pPr>
              <w:rPr>
                <w:rFonts w:ascii="Arial"/>
                <w:sz w:val="24"/>
                <w:szCs w:val="24"/>
              </w:rPr>
            </w:pPr>
          </w:p>
        </w:tc>
        <w:tc>
          <w:tcPr>
            <w:tcW w:w="1025" w:type="dxa"/>
            <w:vAlign w:val="top"/>
          </w:tcPr>
          <w:p w14:paraId="03F7BC11">
            <w:pPr>
              <w:rPr>
                <w:rFonts w:ascii="Arial"/>
                <w:sz w:val="24"/>
                <w:szCs w:val="24"/>
              </w:rPr>
            </w:pPr>
          </w:p>
        </w:tc>
        <w:tc>
          <w:tcPr>
            <w:tcW w:w="1334" w:type="dxa"/>
            <w:vAlign w:val="top"/>
          </w:tcPr>
          <w:p w14:paraId="111F33FE">
            <w:pPr>
              <w:rPr>
                <w:rFonts w:ascii="Arial"/>
                <w:sz w:val="24"/>
                <w:szCs w:val="24"/>
              </w:rPr>
            </w:pPr>
          </w:p>
        </w:tc>
        <w:tc>
          <w:tcPr>
            <w:tcW w:w="939" w:type="dxa"/>
            <w:vAlign w:val="top"/>
          </w:tcPr>
          <w:p w14:paraId="1693D02B">
            <w:pPr>
              <w:rPr>
                <w:rFonts w:ascii="Arial"/>
                <w:sz w:val="24"/>
                <w:szCs w:val="24"/>
              </w:rPr>
            </w:pPr>
          </w:p>
        </w:tc>
        <w:tc>
          <w:tcPr>
            <w:tcW w:w="1068" w:type="dxa"/>
            <w:vAlign w:val="top"/>
          </w:tcPr>
          <w:p w14:paraId="586B473C">
            <w:pPr>
              <w:rPr>
                <w:rFonts w:ascii="Arial"/>
                <w:sz w:val="24"/>
                <w:szCs w:val="24"/>
              </w:rPr>
            </w:pPr>
          </w:p>
        </w:tc>
        <w:tc>
          <w:tcPr>
            <w:tcW w:w="950" w:type="dxa"/>
            <w:vAlign w:val="top"/>
          </w:tcPr>
          <w:p w14:paraId="12692C69">
            <w:pPr>
              <w:rPr>
                <w:rFonts w:ascii="Arial"/>
                <w:sz w:val="24"/>
                <w:szCs w:val="24"/>
              </w:rPr>
            </w:pPr>
          </w:p>
        </w:tc>
      </w:tr>
      <w:tr w14:paraId="0DE7DC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0" w:hRule="atLeast"/>
        </w:trPr>
        <w:tc>
          <w:tcPr>
            <w:tcW w:w="1192" w:type="dxa"/>
            <w:vMerge w:val="continue"/>
            <w:tcBorders>
              <w:top w:val="nil"/>
            </w:tcBorders>
            <w:textDirection w:val="tbRlV"/>
            <w:vAlign w:val="top"/>
          </w:tcPr>
          <w:p w14:paraId="0623506C">
            <w:pPr>
              <w:rPr>
                <w:rFonts w:ascii="Arial"/>
                <w:sz w:val="24"/>
                <w:szCs w:val="24"/>
              </w:rPr>
            </w:pPr>
          </w:p>
        </w:tc>
        <w:tc>
          <w:tcPr>
            <w:tcW w:w="1023" w:type="dxa"/>
            <w:vAlign w:val="top"/>
          </w:tcPr>
          <w:p w14:paraId="6C592FEE">
            <w:pPr>
              <w:rPr>
                <w:rFonts w:ascii="Arial"/>
                <w:sz w:val="24"/>
                <w:szCs w:val="24"/>
              </w:rPr>
            </w:pPr>
          </w:p>
        </w:tc>
        <w:tc>
          <w:tcPr>
            <w:tcW w:w="1024" w:type="dxa"/>
            <w:vAlign w:val="top"/>
          </w:tcPr>
          <w:p w14:paraId="296DB43E">
            <w:pPr>
              <w:rPr>
                <w:rFonts w:ascii="Arial"/>
                <w:sz w:val="24"/>
                <w:szCs w:val="24"/>
              </w:rPr>
            </w:pPr>
          </w:p>
        </w:tc>
        <w:tc>
          <w:tcPr>
            <w:tcW w:w="1024" w:type="dxa"/>
            <w:vAlign w:val="top"/>
          </w:tcPr>
          <w:p w14:paraId="5AF8F24E">
            <w:pPr>
              <w:rPr>
                <w:rFonts w:ascii="Arial"/>
                <w:sz w:val="24"/>
                <w:szCs w:val="24"/>
              </w:rPr>
            </w:pPr>
          </w:p>
        </w:tc>
        <w:tc>
          <w:tcPr>
            <w:tcW w:w="1025" w:type="dxa"/>
            <w:vAlign w:val="top"/>
          </w:tcPr>
          <w:p w14:paraId="5D48E93D">
            <w:pPr>
              <w:rPr>
                <w:rFonts w:ascii="Arial"/>
                <w:sz w:val="24"/>
                <w:szCs w:val="24"/>
              </w:rPr>
            </w:pPr>
          </w:p>
        </w:tc>
        <w:tc>
          <w:tcPr>
            <w:tcW w:w="1334" w:type="dxa"/>
            <w:vAlign w:val="top"/>
          </w:tcPr>
          <w:p w14:paraId="52DC913F">
            <w:pPr>
              <w:rPr>
                <w:rFonts w:ascii="Arial"/>
                <w:sz w:val="24"/>
                <w:szCs w:val="24"/>
              </w:rPr>
            </w:pPr>
          </w:p>
        </w:tc>
        <w:tc>
          <w:tcPr>
            <w:tcW w:w="939" w:type="dxa"/>
            <w:vAlign w:val="top"/>
          </w:tcPr>
          <w:p w14:paraId="059E5360">
            <w:pPr>
              <w:rPr>
                <w:rFonts w:ascii="Arial"/>
                <w:sz w:val="24"/>
                <w:szCs w:val="24"/>
              </w:rPr>
            </w:pPr>
          </w:p>
        </w:tc>
        <w:tc>
          <w:tcPr>
            <w:tcW w:w="1068" w:type="dxa"/>
            <w:vAlign w:val="top"/>
          </w:tcPr>
          <w:p w14:paraId="69E9DAEC">
            <w:pPr>
              <w:rPr>
                <w:rFonts w:ascii="Arial"/>
                <w:sz w:val="24"/>
                <w:szCs w:val="24"/>
              </w:rPr>
            </w:pPr>
          </w:p>
        </w:tc>
        <w:tc>
          <w:tcPr>
            <w:tcW w:w="950" w:type="dxa"/>
            <w:vAlign w:val="top"/>
          </w:tcPr>
          <w:p w14:paraId="4770A00D">
            <w:pPr>
              <w:rPr>
                <w:rFonts w:ascii="Arial"/>
                <w:sz w:val="24"/>
                <w:szCs w:val="24"/>
              </w:rPr>
            </w:pPr>
          </w:p>
        </w:tc>
      </w:tr>
      <w:tr w14:paraId="6A9729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0" w:hRule="atLeast"/>
        </w:trPr>
        <w:tc>
          <w:tcPr>
            <w:tcW w:w="1192" w:type="dxa"/>
            <w:vMerge w:val="restart"/>
            <w:tcBorders>
              <w:bottom w:val="nil"/>
            </w:tcBorders>
            <w:textDirection w:val="tbRlV"/>
            <w:vAlign w:val="top"/>
          </w:tcPr>
          <w:p w14:paraId="3A3258D8">
            <w:pPr>
              <w:spacing w:line="409" w:lineRule="auto"/>
              <w:rPr>
                <w:rFonts w:ascii="Arial"/>
                <w:sz w:val="24"/>
                <w:szCs w:val="24"/>
              </w:rPr>
            </w:pPr>
          </w:p>
          <w:p w14:paraId="5BA7546E">
            <w:pPr>
              <w:pStyle w:val="15"/>
              <w:spacing w:before="67" w:line="208" w:lineRule="auto"/>
              <w:ind w:left="144"/>
              <w:rPr>
                <w:sz w:val="24"/>
                <w:szCs w:val="24"/>
              </w:rPr>
            </w:pPr>
            <w:r>
              <w:rPr>
                <w:spacing w:val="13"/>
                <w:sz w:val="24"/>
                <w:szCs w:val="24"/>
              </w:rPr>
              <w:t>其</w:t>
            </w:r>
            <w:r>
              <w:rPr>
                <w:spacing w:val="89"/>
                <w:sz w:val="24"/>
                <w:szCs w:val="24"/>
              </w:rPr>
              <w:t xml:space="preserve"> </w:t>
            </w:r>
            <w:r>
              <w:rPr>
                <w:spacing w:val="13"/>
                <w:sz w:val="24"/>
                <w:szCs w:val="24"/>
              </w:rPr>
              <w:t>他</w:t>
            </w:r>
            <w:r>
              <w:rPr>
                <w:spacing w:val="84"/>
                <w:sz w:val="24"/>
                <w:szCs w:val="24"/>
              </w:rPr>
              <w:t xml:space="preserve"> </w:t>
            </w:r>
            <w:r>
              <w:rPr>
                <w:spacing w:val="13"/>
                <w:sz w:val="24"/>
                <w:szCs w:val="24"/>
              </w:rPr>
              <w:t>人</w:t>
            </w:r>
            <w:r>
              <w:rPr>
                <w:spacing w:val="87"/>
                <w:sz w:val="24"/>
                <w:szCs w:val="24"/>
              </w:rPr>
              <w:t xml:space="preserve"> </w:t>
            </w:r>
            <w:r>
              <w:rPr>
                <w:spacing w:val="13"/>
                <w:sz w:val="24"/>
                <w:szCs w:val="24"/>
              </w:rPr>
              <w:t>员</w:t>
            </w:r>
          </w:p>
        </w:tc>
        <w:tc>
          <w:tcPr>
            <w:tcW w:w="1023" w:type="dxa"/>
            <w:vAlign w:val="top"/>
          </w:tcPr>
          <w:p w14:paraId="5D7B85D6">
            <w:pPr>
              <w:rPr>
                <w:rFonts w:ascii="Arial"/>
                <w:sz w:val="24"/>
                <w:szCs w:val="24"/>
              </w:rPr>
            </w:pPr>
          </w:p>
        </w:tc>
        <w:tc>
          <w:tcPr>
            <w:tcW w:w="1024" w:type="dxa"/>
            <w:vAlign w:val="top"/>
          </w:tcPr>
          <w:p w14:paraId="4C32E517">
            <w:pPr>
              <w:rPr>
                <w:rFonts w:ascii="Arial"/>
                <w:sz w:val="24"/>
                <w:szCs w:val="24"/>
              </w:rPr>
            </w:pPr>
          </w:p>
        </w:tc>
        <w:tc>
          <w:tcPr>
            <w:tcW w:w="1024" w:type="dxa"/>
            <w:vAlign w:val="top"/>
          </w:tcPr>
          <w:p w14:paraId="2515499A">
            <w:pPr>
              <w:rPr>
                <w:rFonts w:ascii="Arial"/>
                <w:sz w:val="24"/>
                <w:szCs w:val="24"/>
              </w:rPr>
            </w:pPr>
          </w:p>
        </w:tc>
        <w:tc>
          <w:tcPr>
            <w:tcW w:w="1025" w:type="dxa"/>
            <w:vAlign w:val="top"/>
          </w:tcPr>
          <w:p w14:paraId="3FB1EF50">
            <w:pPr>
              <w:rPr>
                <w:rFonts w:ascii="Arial"/>
                <w:sz w:val="24"/>
                <w:szCs w:val="24"/>
              </w:rPr>
            </w:pPr>
          </w:p>
        </w:tc>
        <w:tc>
          <w:tcPr>
            <w:tcW w:w="1334" w:type="dxa"/>
            <w:vAlign w:val="top"/>
          </w:tcPr>
          <w:p w14:paraId="6DBC587B">
            <w:pPr>
              <w:rPr>
                <w:rFonts w:ascii="Arial"/>
                <w:sz w:val="24"/>
                <w:szCs w:val="24"/>
              </w:rPr>
            </w:pPr>
          </w:p>
        </w:tc>
        <w:tc>
          <w:tcPr>
            <w:tcW w:w="939" w:type="dxa"/>
            <w:vAlign w:val="top"/>
          </w:tcPr>
          <w:p w14:paraId="2C9FF813">
            <w:pPr>
              <w:rPr>
                <w:rFonts w:ascii="Arial"/>
                <w:sz w:val="24"/>
                <w:szCs w:val="24"/>
              </w:rPr>
            </w:pPr>
          </w:p>
        </w:tc>
        <w:tc>
          <w:tcPr>
            <w:tcW w:w="1068" w:type="dxa"/>
            <w:vAlign w:val="top"/>
          </w:tcPr>
          <w:p w14:paraId="5AE2F425">
            <w:pPr>
              <w:rPr>
                <w:rFonts w:ascii="Arial"/>
                <w:sz w:val="24"/>
                <w:szCs w:val="24"/>
              </w:rPr>
            </w:pPr>
          </w:p>
        </w:tc>
        <w:tc>
          <w:tcPr>
            <w:tcW w:w="950" w:type="dxa"/>
            <w:vAlign w:val="top"/>
          </w:tcPr>
          <w:p w14:paraId="39520A07">
            <w:pPr>
              <w:rPr>
                <w:rFonts w:ascii="Arial"/>
                <w:sz w:val="24"/>
                <w:szCs w:val="24"/>
              </w:rPr>
            </w:pPr>
          </w:p>
        </w:tc>
      </w:tr>
      <w:tr w14:paraId="59DE78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0" w:hRule="atLeast"/>
        </w:trPr>
        <w:tc>
          <w:tcPr>
            <w:tcW w:w="1192" w:type="dxa"/>
            <w:vMerge w:val="continue"/>
            <w:tcBorders>
              <w:top w:val="nil"/>
              <w:bottom w:val="nil"/>
            </w:tcBorders>
            <w:textDirection w:val="tbRlV"/>
            <w:vAlign w:val="top"/>
          </w:tcPr>
          <w:p w14:paraId="4F5E6785">
            <w:pPr>
              <w:rPr>
                <w:rFonts w:ascii="Arial"/>
                <w:sz w:val="24"/>
                <w:szCs w:val="24"/>
              </w:rPr>
            </w:pPr>
          </w:p>
        </w:tc>
        <w:tc>
          <w:tcPr>
            <w:tcW w:w="1023" w:type="dxa"/>
            <w:vAlign w:val="top"/>
          </w:tcPr>
          <w:p w14:paraId="4076B451">
            <w:pPr>
              <w:rPr>
                <w:rFonts w:ascii="Arial"/>
                <w:sz w:val="24"/>
                <w:szCs w:val="24"/>
              </w:rPr>
            </w:pPr>
          </w:p>
        </w:tc>
        <w:tc>
          <w:tcPr>
            <w:tcW w:w="1024" w:type="dxa"/>
            <w:vAlign w:val="top"/>
          </w:tcPr>
          <w:p w14:paraId="50717B4A">
            <w:pPr>
              <w:rPr>
                <w:rFonts w:ascii="Arial"/>
                <w:sz w:val="24"/>
                <w:szCs w:val="24"/>
              </w:rPr>
            </w:pPr>
          </w:p>
        </w:tc>
        <w:tc>
          <w:tcPr>
            <w:tcW w:w="1024" w:type="dxa"/>
            <w:vAlign w:val="top"/>
          </w:tcPr>
          <w:p w14:paraId="663EA56D">
            <w:pPr>
              <w:rPr>
                <w:rFonts w:ascii="Arial"/>
                <w:sz w:val="24"/>
                <w:szCs w:val="24"/>
              </w:rPr>
            </w:pPr>
          </w:p>
        </w:tc>
        <w:tc>
          <w:tcPr>
            <w:tcW w:w="1025" w:type="dxa"/>
            <w:vAlign w:val="top"/>
          </w:tcPr>
          <w:p w14:paraId="5BB37548">
            <w:pPr>
              <w:rPr>
                <w:rFonts w:ascii="Arial"/>
                <w:sz w:val="24"/>
                <w:szCs w:val="24"/>
              </w:rPr>
            </w:pPr>
          </w:p>
        </w:tc>
        <w:tc>
          <w:tcPr>
            <w:tcW w:w="1334" w:type="dxa"/>
            <w:vAlign w:val="top"/>
          </w:tcPr>
          <w:p w14:paraId="3033CB65">
            <w:pPr>
              <w:rPr>
                <w:rFonts w:ascii="Arial"/>
                <w:sz w:val="24"/>
                <w:szCs w:val="24"/>
              </w:rPr>
            </w:pPr>
          </w:p>
        </w:tc>
        <w:tc>
          <w:tcPr>
            <w:tcW w:w="939" w:type="dxa"/>
            <w:vAlign w:val="top"/>
          </w:tcPr>
          <w:p w14:paraId="4A4F6F19">
            <w:pPr>
              <w:rPr>
                <w:rFonts w:ascii="Arial"/>
                <w:sz w:val="24"/>
                <w:szCs w:val="24"/>
              </w:rPr>
            </w:pPr>
          </w:p>
        </w:tc>
        <w:tc>
          <w:tcPr>
            <w:tcW w:w="1068" w:type="dxa"/>
            <w:vAlign w:val="top"/>
          </w:tcPr>
          <w:p w14:paraId="1AD9B083">
            <w:pPr>
              <w:rPr>
                <w:rFonts w:ascii="Arial"/>
                <w:sz w:val="24"/>
                <w:szCs w:val="24"/>
              </w:rPr>
            </w:pPr>
          </w:p>
        </w:tc>
        <w:tc>
          <w:tcPr>
            <w:tcW w:w="950" w:type="dxa"/>
            <w:vAlign w:val="top"/>
          </w:tcPr>
          <w:p w14:paraId="372BF6C7">
            <w:pPr>
              <w:rPr>
                <w:rFonts w:ascii="Arial"/>
                <w:sz w:val="24"/>
                <w:szCs w:val="24"/>
              </w:rPr>
            </w:pPr>
          </w:p>
        </w:tc>
      </w:tr>
      <w:tr w14:paraId="4CAC71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6" w:hRule="atLeast"/>
        </w:trPr>
        <w:tc>
          <w:tcPr>
            <w:tcW w:w="1192" w:type="dxa"/>
            <w:vMerge w:val="continue"/>
            <w:tcBorders>
              <w:top w:val="nil"/>
            </w:tcBorders>
            <w:textDirection w:val="tbRlV"/>
            <w:vAlign w:val="top"/>
          </w:tcPr>
          <w:p w14:paraId="48702A8E">
            <w:pPr>
              <w:rPr>
                <w:rFonts w:ascii="Arial"/>
                <w:sz w:val="24"/>
                <w:szCs w:val="24"/>
              </w:rPr>
            </w:pPr>
          </w:p>
        </w:tc>
        <w:tc>
          <w:tcPr>
            <w:tcW w:w="1023" w:type="dxa"/>
            <w:vAlign w:val="top"/>
          </w:tcPr>
          <w:p w14:paraId="7F616B29">
            <w:pPr>
              <w:rPr>
                <w:rFonts w:ascii="Arial"/>
                <w:sz w:val="24"/>
                <w:szCs w:val="24"/>
              </w:rPr>
            </w:pPr>
          </w:p>
        </w:tc>
        <w:tc>
          <w:tcPr>
            <w:tcW w:w="1024" w:type="dxa"/>
            <w:vAlign w:val="top"/>
          </w:tcPr>
          <w:p w14:paraId="10E1AA6D">
            <w:pPr>
              <w:rPr>
                <w:rFonts w:ascii="Arial"/>
                <w:sz w:val="24"/>
                <w:szCs w:val="24"/>
              </w:rPr>
            </w:pPr>
          </w:p>
        </w:tc>
        <w:tc>
          <w:tcPr>
            <w:tcW w:w="1024" w:type="dxa"/>
            <w:vAlign w:val="top"/>
          </w:tcPr>
          <w:p w14:paraId="113579EB">
            <w:pPr>
              <w:rPr>
                <w:rFonts w:ascii="Arial"/>
                <w:sz w:val="24"/>
                <w:szCs w:val="24"/>
              </w:rPr>
            </w:pPr>
          </w:p>
        </w:tc>
        <w:tc>
          <w:tcPr>
            <w:tcW w:w="1025" w:type="dxa"/>
            <w:vAlign w:val="top"/>
          </w:tcPr>
          <w:p w14:paraId="06AA829F">
            <w:pPr>
              <w:rPr>
                <w:rFonts w:ascii="Arial"/>
                <w:sz w:val="24"/>
                <w:szCs w:val="24"/>
              </w:rPr>
            </w:pPr>
          </w:p>
        </w:tc>
        <w:tc>
          <w:tcPr>
            <w:tcW w:w="1334" w:type="dxa"/>
            <w:vAlign w:val="top"/>
          </w:tcPr>
          <w:p w14:paraId="0120BD82">
            <w:pPr>
              <w:rPr>
                <w:rFonts w:ascii="Arial"/>
                <w:sz w:val="24"/>
                <w:szCs w:val="24"/>
              </w:rPr>
            </w:pPr>
          </w:p>
        </w:tc>
        <w:tc>
          <w:tcPr>
            <w:tcW w:w="939" w:type="dxa"/>
            <w:vAlign w:val="top"/>
          </w:tcPr>
          <w:p w14:paraId="559DB02C">
            <w:pPr>
              <w:rPr>
                <w:rFonts w:ascii="Arial"/>
                <w:sz w:val="24"/>
                <w:szCs w:val="24"/>
              </w:rPr>
            </w:pPr>
          </w:p>
        </w:tc>
        <w:tc>
          <w:tcPr>
            <w:tcW w:w="1068" w:type="dxa"/>
            <w:vAlign w:val="top"/>
          </w:tcPr>
          <w:p w14:paraId="60100340">
            <w:pPr>
              <w:rPr>
                <w:rFonts w:ascii="Arial"/>
                <w:sz w:val="24"/>
                <w:szCs w:val="24"/>
              </w:rPr>
            </w:pPr>
          </w:p>
        </w:tc>
        <w:tc>
          <w:tcPr>
            <w:tcW w:w="950" w:type="dxa"/>
            <w:vAlign w:val="top"/>
          </w:tcPr>
          <w:p w14:paraId="107074D9">
            <w:pPr>
              <w:rPr>
                <w:rFonts w:ascii="Arial"/>
                <w:sz w:val="24"/>
                <w:szCs w:val="24"/>
              </w:rPr>
            </w:pPr>
          </w:p>
        </w:tc>
      </w:tr>
    </w:tbl>
    <w:p w14:paraId="00206D24">
      <w:pPr>
        <w:spacing w:before="114" w:line="222" w:lineRule="auto"/>
        <w:ind w:left="498"/>
        <w:rPr>
          <w:rFonts w:hint="eastAsia" w:ascii="仿宋" w:hAnsi="仿宋" w:eastAsia="仿宋" w:cs="仿宋"/>
          <w:sz w:val="24"/>
          <w:szCs w:val="24"/>
          <w:lang w:eastAsia="zh-CN"/>
        </w:rPr>
      </w:pPr>
      <w:r>
        <w:rPr>
          <w:rFonts w:ascii="仿宋" w:hAnsi="仿宋" w:eastAsia="仿宋" w:cs="仿宋"/>
          <w:spacing w:val="-2"/>
          <w:sz w:val="24"/>
          <w:szCs w:val="24"/>
        </w:rPr>
        <w:t>后附相关证书扫</w:t>
      </w:r>
      <w:r>
        <w:rPr>
          <w:rFonts w:hint="eastAsia" w:ascii="仿宋" w:hAnsi="仿宋" w:eastAsia="仿宋" w:cs="仿宋"/>
          <w:spacing w:val="-2"/>
          <w:sz w:val="24"/>
          <w:szCs w:val="24"/>
          <w:lang w:eastAsia="zh-CN"/>
        </w:rPr>
        <w:t>，格式可更具供应商情况增加</w:t>
      </w:r>
    </w:p>
    <w:p w14:paraId="6E6B28DD">
      <w:pPr>
        <w:pStyle w:val="4"/>
        <w:spacing w:line="270" w:lineRule="auto"/>
        <w:rPr>
          <w:sz w:val="24"/>
          <w:szCs w:val="24"/>
        </w:rPr>
      </w:pPr>
    </w:p>
    <w:p w14:paraId="5B250D5F">
      <w:pPr>
        <w:pStyle w:val="4"/>
        <w:spacing w:line="270" w:lineRule="auto"/>
        <w:rPr>
          <w:sz w:val="24"/>
          <w:szCs w:val="24"/>
        </w:rPr>
      </w:pPr>
    </w:p>
    <w:p w14:paraId="2F5CDBDF">
      <w:pPr>
        <w:pStyle w:val="4"/>
        <w:spacing w:line="270" w:lineRule="auto"/>
        <w:rPr>
          <w:sz w:val="24"/>
          <w:szCs w:val="24"/>
        </w:rPr>
      </w:pPr>
    </w:p>
    <w:p w14:paraId="43E34296">
      <w:pPr>
        <w:pStyle w:val="4"/>
        <w:spacing w:line="270" w:lineRule="auto"/>
        <w:rPr>
          <w:sz w:val="24"/>
          <w:szCs w:val="24"/>
        </w:rPr>
      </w:pPr>
    </w:p>
    <w:p w14:paraId="613097D8">
      <w:pPr>
        <w:pStyle w:val="4"/>
        <w:spacing w:line="270" w:lineRule="auto"/>
        <w:rPr>
          <w:sz w:val="24"/>
          <w:szCs w:val="24"/>
        </w:rPr>
      </w:pPr>
    </w:p>
    <w:p w14:paraId="54DB10E0">
      <w:pPr>
        <w:pStyle w:val="4"/>
        <w:spacing w:line="270" w:lineRule="auto"/>
        <w:rPr>
          <w:sz w:val="24"/>
          <w:szCs w:val="24"/>
        </w:rPr>
      </w:pPr>
    </w:p>
    <w:p w14:paraId="5835EBBD">
      <w:pPr>
        <w:pStyle w:val="4"/>
        <w:spacing w:line="271" w:lineRule="auto"/>
        <w:rPr>
          <w:sz w:val="24"/>
          <w:szCs w:val="24"/>
        </w:rPr>
      </w:pPr>
    </w:p>
    <w:p w14:paraId="19210B22">
      <w:pPr>
        <w:spacing w:before="65" w:line="503" w:lineRule="auto"/>
        <w:ind w:left="2044"/>
        <w:rPr>
          <w:rFonts w:ascii="仿宋" w:hAnsi="仿宋" w:eastAsia="仿宋" w:cs="仿宋"/>
          <w:sz w:val="24"/>
          <w:szCs w:val="24"/>
        </w:rPr>
      </w:pPr>
      <w:r>
        <w:rPr>
          <w:rFonts w:hint="eastAsia" w:ascii="仿宋" w:hAnsi="仿宋" w:eastAsia="仿宋" w:cs="仿宋"/>
          <w:spacing w:val="8"/>
          <w:sz w:val="24"/>
          <w:szCs w:val="24"/>
          <w:lang w:eastAsia="zh-CN"/>
        </w:rPr>
        <w:t>供应商</w:t>
      </w:r>
      <w:r>
        <w:rPr>
          <w:rFonts w:ascii="仿宋" w:hAnsi="仿宋" w:eastAsia="仿宋" w:cs="仿宋"/>
          <w:spacing w:val="8"/>
          <w:sz w:val="24"/>
          <w:szCs w:val="24"/>
        </w:rPr>
        <w:t>名称（盖公章</w:t>
      </w:r>
      <w:r>
        <w:rPr>
          <w:rFonts w:ascii="仿宋" w:hAnsi="仿宋" w:eastAsia="仿宋" w:cs="仿宋"/>
          <w:spacing w:val="-11"/>
          <w:sz w:val="24"/>
          <w:szCs w:val="24"/>
        </w:rPr>
        <w:t>）</w:t>
      </w:r>
      <w:r>
        <w:rPr>
          <w:rFonts w:ascii="仿宋" w:hAnsi="仿宋" w:eastAsia="仿宋" w:cs="仿宋"/>
          <w:spacing w:val="-60"/>
          <w:sz w:val="24"/>
          <w:szCs w:val="24"/>
        </w:rPr>
        <w:t xml:space="preserve"> </w:t>
      </w:r>
      <w:r>
        <w:rPr>
          <w:rFonts w:ascii="仿宋" w:hAnsi="仿宋" w:eastAsia="仿宋" w:cs="仿宋"/>
          <w:spacing w:val="-11"/>
          <w:sz w:val="24"/>
          <w:szCs w:val="24"/>
        </w:rPr>
        <w:t>：</w:t>
      </w:r>
      <w:r>
        <w:rPr>
          <w:rFonts w:ascii="仿宋" w:hAnsi="仿宋" w:eastAsia="仿宋" w:cs="仿宋"/>
          <w:spacing w:val="1"/>
          <w:sz w:val="24"/>
          <w:szCs w:val="24"/>
          <w:u w:val="single" w:color="auto"/>
        </w:rPr>
        <w:t xml:space="preserve">                             </w:t>
      </w:r>
      <w:r>
        <w:rPr>
          <w:rFonts w:ascii="仿宋" w:hAnsi="仿宋" w:eastAsia="仿宋" w:cs="仿宋"/>
          <w:spacing w:val="-88"/>
          <w:sz w:val="24"/>
          <w:szCs w:val="24"/>
        </w:rPr>
        <w:t xml:space="preserve"> </w:t>
      </w:r>
      <w:r>
        <w:rPr>
          <w:rFonts w:ascii="仿宋" w:hAnsi="仿宋" w:eastAsia="仿宋" w:cs="仿宋"/>
          <w:spacing w:val="8"/>
          <w:sz w:val="24"/>
          <w:szCs w:val="24"/>
        </w:rPr>
        <w:t>_</w:t>
      </w:r>
    </w:p>
    <w:p w14:paraId="36E99452">
      <w:pPr>
        <w:spacing w:line="226" w:lineRule="auto"/>
        <w:ind w:left="2051"/>
        <w:rPr>
          <w:rFonts w:ascii="仿宋" w:hAnsi="仿宋" w:eastAsia="仿宋" w:cs="仿宋"/>
          <w:sz w:val="24"/>
          <w:szCs w:val="24"/>
        </w:rPr>
      </w:pPr>
      <w:r>
        <w:rPr>
          <w:rFonts w:ascii="仿宋" w:hAnsi="仿宋" w:eastAsia="仿宋" w:cs="仿宋"/>
          <w:spacing w:val="7"/>
          <w:sz w:val="24"/>
          <w:szCs w:val="24"/>
        </w:rPr>
        <w:t>法定代表人或其授权委托人(签字</w:t>
      </w:r>
      <w:r>
        <w:rPr>
          <w:rFonts w:hint="eastAsia" w:ascii="仿宋" w:hAnsi="仿宋" w:eastAsia="仿宋" w:cs="仿宋"/>
          <w:spacing w:val="7"/>
          <w:sz w:val="24"/>
          <w:szCs w:val="24"/>
          <w:lang w:val="en-US" w:eastAsia="zh-Hans"/>
        </w:rPr>
        <w:t>或盖章</w:t>
      </w:r>
      <w:r>
        <w:rPr>
          <w:rFonts w:ascii="仿宋" w:hAnsi="仿宋" w:eastAsia="仿宋" w:cs="仿宋"/>
          <w:spacing w:val="7"/>
          <w:sz w:val="24"/>
          <w:szCs w:val="24"/>
        </w:rPr>
        <w:t>)：</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_</w:t>
      </w:r>
    </w:p>
    <w:p w14:paraId="5A5C88FF">
      <w:pPr>
        <w:spacing w:before="299" w:line="231" w:lineRule="auto"/>
        <w:ind w:left="2088"/>
        <w:rPr>
          <w:rFonts w:ascii="仿宋" w:hAnsi="仿宋" w:eastAsia="仿宋" w:cs="仿宋"/>
          <w:sz w:val="24"/>
          <w:szCs w:val="24"/>
        </w:rPr>
      </w:pPr>
      <w:r>
        <w:rPr>
          <w:rFonts w:ascii="仿宋" w:hAnsi="仿宋" w:eastAsia="仿宋" w:cs="仿宋"/>
          <w:spacing w:val="-6"/>
          <w:sz w:val="24"/>
          <w:szCs w:val="24"/>
        </w:rPr>
        <w:t>日期：</w:t>
      </w:r>
      <w:r>
        <w:rPr>
          <w:rFonts w:ascii="仿宋" w:hAnsi="仿宋" w:eastAsia="仿宋" w:cs="仿宋"/>
          <w:spacing w:val="-6"/>
          <w:sz w:val="24"/>
          <w:szCs w:val="24"/>
          <w:u w:val="single" w:color="auto"/>
        </w:rPr>
        <w:t xml:space="preserve">           </w:t>
      </w:r>
      <w:r>
        <w:rPr>
          <w:rFonts w:ascii="仿宋" w:hAnsi="仿宋" w:eastAsia="仿宋" w:cs="仿宋"/>
          <w:spacing w:val="-83"/>
          <w:sz w:val="24"/>
          <w:szCs w:val="24"/>
        </w:rPr>
        <w:t xml:space="preserve"> </w:t>
      </w:r>
      <w:r>
        <w:rPr>
          <w:rFonts w:ascii="仿宋" w:hAnsi="仿宋" w:eastAsia="仿宋" w:cs="仿宋"/>
          <w:spacing w:val="-6"/>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75"/>
          <w:sz w:val="24"/>
          <w:szCs w:val="24"/>
        </w:rPr>
        <w:t xml:space="preserve"> </w:t>
      </w:r>
      <w:r>
        <w:rPr>
          <w:rFonts w:ascii="仿宋" w:hAnsi="仿宋" w:eastAsia="仿宋" w:cs="仿宋"/>
          <w:spacing w:val="-6"/>
          <w:sz w:val="24"/>
          <w:szCs w:val="24"/>
        </w:rPr>
        <w:t>月</w:t>
      </w:r>
      <w:r>
        <w:rPr>
          <w:rFonts w:ascii="仿宋" w:hAnsi="仿宋" w:eastAsia="仿宋" w:cs="仿宋"/>
          <w:spacing w:val="5"/>
          <w:sz w:val="24"/>
          <w:szCs w:val="24"/>
          <w:u w:val="single" w:color="auto"/>
        </w:rPr>
        <w:t xml:space="preserve">     </w:t>
      </w:r>
      <w:r>
        <w:rPr>
          <w:rFonts w:ascii="仿宋" w:hAnsi="仿宋" w:eastAsia="仿宋" w:cs="仿宋"/>
          <w:spacing w:val="-42"/>
          <w:sz w:val="24"/>
          <w:szCs w:val="24"/>
        </w:rPr>
        <w:t xml:space="preserve"> </w:t>
      </w:r>
      <w:r>
        <w:rPr>
          <w:rFonts w:ascii="仿宋" w:hAnsi="仿宋" w:eastAsia="仿宋" w:cs="仿宋"/>
          <w:spacing w:val="-6"/>
          <w:sz w:val="24"/>
          <w:szCs w:val="24"/>
        </w:rPr>
        <w:t>日</w:t>
      </w:r>
    </w:p>
    <w:p w14:paraId="648D4F94">
      <w:pPr>
        <w:pStyle w:val="4"/>
        <w:spacing w:line="245" w:lineRule="auto"/>
        <w:rPr>
          <w:sz w:val="24"/>
          <w:szCs w:val="24"/>
        </w:rPr>
      </w:pPr>
    </w:p>
    <w:p w14:paraId="3CE4C0B3">
      <w:pPr>
        <w:pStyle w:val="4"/>
        <w:spacing w:line="245" w:lineRule="auto"/>
      </w:pPr>
    </w:p>
    <w:p w14:paraId="5F55D5FC">
      <w:pPr>
        <w:pStyle w:val="4"/>
        <w:spacing w:line="245" w:lineRule="auto"/>
      </w:pPr>
    </w:p>
    <w:p w14:paraId="16EE428B">
      <w:pPr>
        <w:pStyle w:val="4"/>
        <w:spacing w:line="245" w:lineRule="auto"/>
      </w:pPr>
    </w:p>
    <w:p w14:paraId="371365B6">
      <w:pPr>
        <w:pStyle w:val="4"/>
        <w:spacing w:line="245" w:lineRule="auto"/>
      </w:pPr>
    </w:p>
    <w:p w14:paraId="00723B2A">
      <w:pPr>
        <w:pStyle w:val="4"/>
        <w:spacing w:line="245" w:lineRule="auto"/>
      </w:pPr>
    </w:p>
    <w:p w14:paraId="46F46BE0">
      <w:pPr>
        <w:pStyle w:val="4"/>
        <w:spacing w:line="245" w:lineRule="auto"/>
      </w:pPr>
    </w:p>
    <w:p w14:paraId="4CE898C9">
      <w:pPr>
        <w:pStyle w:val="4"/>
        <w:spacing w:line="246" w:lineRule="auto"/>
      </w:pPr>
    </w:p>
    <w:p w14:paraId="4C8C9D96">
      <w:pPr>
        <w:pStyle w:val="4"/>
        <w:spacing w:line="246" w:lineRule="auto"/>
      </w:pPr>
    </w:p>
    <w:p w14:paraId="067C9711">
      <w:pPr>
        <w:pStyle w:val="4"/>
        <w:spacing w:line="246" w:lineRule="auto"/>
      </w:pPr>
    </w:p>
    <w:p w14:paraId="211F0FB0">
      <w:pPr>
        <w:pStyle w:val="4"/>
        <w:spacing w:line="253" w:lineRule="auto"/>
      </w:pPr>
    </w:p>
    <w:p w14:paraId="79E37812">
      <w:pPr>
        <w:spacing w:before="65" w:line="231" w:lineRule="auto"/>
        <w:jc w:val="center"/>
        <w:outlineLvl w:val="3"/>
        <w:rPr>
          <w:rFonts w:ascii="仿宋" w:hAnsi="仿宋" w:eastAsia="仿宋" w:cs="仿宋"/>
          <w:b/>
          <w:bCs/>
          <w:spacing w:val="3"/>
          <w:sz w:val="24"/>
          <w:szCs w:val="24"/>
        </w:rPr>
      </w:pPr>
      <w:r>
        <w:rPr>
          <w:rFonts w:ascii="仿宋" w:hAnsi="仿宋" w:eastAsia="仿宋" w:cs="仿宋"/>
          <w:b/>
          <w:bCs/>
          <w:spacing w:val="3"/>
          <w:sz w:val="24"/>
          <w:szCs w:val="24"/>
        </w:rPr>
        <w:t>1</w:t>
      </w:r>
      <w:r>
        <w:rPr>
          <w:rFonts w:hint="eastAsia" w:ascii="仿宋" w:hAnsi="仿宋" w:eastAsia="仿宋" w:cs="仿宋"/>
          <w:b/>
          <w:bCs/>
          <w:spacing w:val="3"/>
          <w:sz w:val="24"/>
          <w:szCs w:val="24"/>
          <w:lang w:val="en-US" w:eastAsia="zh-CN"/>
        </w:rPr>
        <w:t>1</w:t>
      </w:r>
      <w:r>
        <w:rPr>
          <w:rFonts w:ascii="仿宋" w:hAnsi="仿宋" w:eastAsia="仿宋" w:cs="仿宋"/>
          <w:b/>
          <w:bCs/>
          <w:spacing w:val="3"/>
          <w:sz w:val="24"/>
          <w:szCs w:val="24"/>
        </w:rPr>
        <w:t>.</w:t>
      </w:r>
      <w:r>
        <w:rPr>
          <w:rFonts w:hint="eastAsia" w:ascii="仿宋" w:hAnsi="仿宋" w:eastAsia="仿宋" w:cs="仿宋"/>
          <w:b/>
          <w:bCs/>
          <w:spacing w:val="3"/>
          <w:sz w:val="24"/>
          <w:szCs w:val="24"/>
          <w:lang w:val="en-US" w:eastAsia="zh-CN"/>
        </w:rPr>
        <w:t>保证金缴存证明（符合采购文件要求）本项目不做要求</w:t>
      </w:r>
    </w:p>
    <w:p w14:paraId="4679BCC6">
      <w:pPr>
        <w:rPr>
          <w:rFonts w:hint="eastAsia" w:ascii="仿宋" w:hAnsi="仿宋" w:eastAsia="仿宋" w:cs="仿宋"/>
          <w:b/>
          <w:bCs/>
          <w:spacing w:val="3"/>
          <w:sz w:val="20"/>
          <w:szCs w:val="20"/>
          <w:lang w:val="en-US" w:eastAsia="zh-CN"/>
        </w:rPr>
      </w:pPr>
      <w:r>
        <w:rPr>
          <w:rFonts w:hint="eastAsia" w:ascii="仿宋" w:hAnsi="仿宋" w:eastAsia="仿宋" w:cs="仿宋"/>
          <w:b/>
          <w:bCs/>
          <w:spacing w:val="3"/>
          <w:sz w:val="20"/>
          <w:szCs w:val="20"/>
          <w:lang w:val="en-US" w:eastAsia="zh-CN"/>
        </w:rPr>
        <w:br w:type="page"/>
      </w:r>
    </w:p>
    <w:p w14:paraId="31E60F25">
      <w:pPr>
        <w:spacing w:before="65" w:line="231" w:lineRule="auto"/>
        <w:ind w:left="4316"/>
        <w:outlineLvl w:val="3"/>
        <w:rPr>
          <w:rFonts w:ascii="仿宋" w:hAnsi="仿宋" w:eastAsia="仿宋" w:cs="仿宋"/>
          <w:sz w:val="24"/>
          <w:szCs w:val="24"/>
        </w:rPr>
      </w:pPr>
      <w:r>
        <w:rPr>
          <w:rFonts w:hint="eastAsia" w:ascii="仿宋" w:hAnsi="仿宋" w:eastAsia="仿宋" w:cs="仿宋"/>
          <w:b/>
          <w:bCs/>
          <w:spacing w:val="3"/>
          <w:sz w:val="24"/>
          <w:szCs w:val="24"/>
          <w:lang w:val="en-US" w:eastAsia="zh-CN"/>
        </w:rPr>
        <w:t>12.</w:t>
      </w:r>
      <w:r>
        <w:rPr>
          <w:rFonts w:ascii="仿宋" w:hAnsi="仿宋" w:eastAsia="仿宋" w:cs="仿宋"/>
          <w:b/>
          <w:bCs/>
          <w:spacing w:val="3"/>
          <w:sz w:val="24"/>
          <w:szCs w:val="24"/>
        </w:rPr>
        <w:t>方案</w:t>
      </w:r>
    </w:p>
    <w:p w14:paraId="426C896C">
      <w:pPr>
        <w:spacing w:before="139" w:line="229" w:lineRule="auto"/>
        <w:jc w:val="center"/>
        <w:rPr>
          <w:rFonts w:ascii="仿宋" w:hAnsi="仿宋" w:eastAsia="仿宋" w:cs="仿宋"/>
          <w:sz w:val="24"/>
          <w:szCs w:val="24"/>
        </w:rPr>
      </w:pPr>
      <w:r>
        <w:rPr>
          <w:rFonts w:hint="eastAsia" w:ascii="仿宋" w:hAnsi="仿宋" w:eastAsia="仿宋" w:cs="仿宋"/>
          <w:spacing w:val="7"/>
          <w:sz w:val="24"/>
          <w:szCs w:val="24"/>
          <w:lang w:eastAsia="zh-CN"/>
        </w:rPr>
        <w:t>供应商结合详细评分标准表自附（格式自拟）</w:t>
      </w:r>
    </w:p>
    <w:p w14:paraId="2A2782E8">
      <w:pPr>
        <w:pStyle w:val="4"/>
        <w:spacing w:line="245" w:lineRule="auto"/>
        <w:rPr>
          <w:sz w:val="24"/>
          <w:szCs w:val="24"/>
        </w:rPr>
      </w:pPr>
    </w:p>
    <w:p w14:paraId="0B2716A6">
      <w:pPr>
        <w:pStyle w:val="4"/>
        <w:spacing w:line="245" w:lineRule="auto"/>
      </w:pPr>
    </w:p>
    <w:p w14:paraId="03DF4F42">
      <w:pPr>
        <w:pStyle w:val="4"/>
        <w:spacing w:line="245" w:lineRule="auto"/>
      </w:pPr>
    </w:p>
    <w:p w14:paraId="6F908802">
      <w:pPr>
        <w:pStyle w:val="4"/>
        <w:spacing w:line="245" w:lineRule="auto"/>
      </w:pPr>
    </w:p>
    <w:p w14:paraId="51237508">
      <w:pPr>
        <w:pStyle w:val="4"/>
        <w:spacing w:line="245" w:lineRule="auto"/>
      </w:pPr>
    </w:p>
    <w:p w14:paraId="796346BA">
      <w:pPr>
        <w:pStyle w:val="4"/>
        <w:spacing w:line="245" w:lineRule="auto"/>
      </w:pPr>
    </w:p>
    <w:p w14:paraId="5469DD06">
      <w:pPr>
        <w:pStyle w:val="4"/>
        <w:spacing w:line="245" w:lineRule="auto"/>
      </w:pPr>
    </w:p>
    <w:p w14:paraId="3B15AF92">
      <w:pPr>
        <w:pStyle w:val="4"/>
        <w:spacing w:line="245" w:lineRule="auto"/>
      </w:pPr>
    </w:p>
    <w:p w14:paraId="5F4DFE00">
      <w:pPr>
        <w:pStyle w:val="4"/>
        <w:spacing w:line="245" w:lineRule="auto"/>
      </w:pPr>
    </w:p>
    <w:p w14:paraId="542382C4">
      <w:pPr>
        <w:pStyle w:val="4"/>
        <w:spacing w:line="245" w:lineRule="auto"/>
      </w:pPr>
    </w:p>
    <w:p w14:paraId="0286358C">
      <w:pPr>
        <w:pStyle w:val="4"/>
        <w:spacing w:line="245" w:lineRule="auto"/>
      </w:pPr>
    </w:p>
    <w:p w14:paraId="10E58945">
      <w:pPr>
        <w:pStyle w:val="4"/>
        <w:spacing w:line="245" w:lineRule="auto"/>
      </w:pPr>
    </w:p>
    <w:p w14:paraId="17FCDD05">
      <w:pPr>
        <w:pStyle w:val="4"/>
        <w:spacing w:line="245" w:lineRule="auto"/>
      </w:pPr>
    </w:p>
    <w:p w14:paraId="3D7ED79F">
      <w:pPr>
        <w:pStyle w:val="4"/>
        <w:spacing w:line="245" w:lineRule="auto"/>
      </w:pPr>
    </w:p>
    <w:p w14:paraId="33CCEE33">
      <w:pPr>
        <w:pStyle w:val="4"/>
        <w:spacing w:line="245" w:lineRule="auto"/>
      </w:pPr>
    </w:p>
    <w:p w14:paraId="235FF409">
      <w:pPr>
        <w:pStyle w:val="4"/>
        <w:spacing w:line="245" w:lineRule="auto"/>
      </w:pPr>
    </w:p>
    <w:p w14:paraId="47223E7F">
      <w:pPr>
        <w:pStyle w:val="4"/>
        <w:spacing w:line="245" w:lineRule="auto"/>
      </w:pPr>
    </w:p>
    <w:p w14:paraId="35BAFFC6">
      <w:pPr>
        <w:pStyle w:val="4"/>
        <w:spacing w:line="246" w:lineRule="auto"/>
      </w:pPr>
    </w:p>
    <w:p w14:paraId="0AA8479B">
      <w:pPr>
        <w:pStyle w:val="4"/>
        <w:spacing w:line="246" w:lineRule="auto"/>
      </w:pPr>
    </w:p>
    <w:p w14:paraId="62DB7292">
      <w:pPr>
        <w:pStyle w:val="4"/>
        <w:spacing w:line="246" w:lineRule="auto"/>
      </w:pPr>
    </w:p>
    <w:p w14:paraId="727B6BC4">
      <w:pPr>
        <w:pStyle w:val="4"/>
        <w:spacing w:line="246" w:lineRule="auto"/>
      </w:pPr>
    </w:p>
    <w:p w14:paraId="17B0A620">
      <w:r>
        <w:br w:type="page"/>
      </w:r>
    </w:p>
    <w:p w14:paraId="1B203B96">
      <w:pPr>
        <w:pStyle w:val="4"/>
        <w:spacing w:line="246" w:lineRule="auto"/>
      </w:pPr>
    </w:p>
    <w:p w14:paraId="1513340C">
      <w:pPr>
        <w:spacing w:before="65" w:line="229" w:lineRule="auto"/>
        <w:ind w:left="4108"/>
        <w:outlineLvl w:val="3"/>
        <w:rPr>
          <w:rFonts w:ascii="仿宋" w:hAnsi="仿宋" w:eastAsia="仿宋" w:cs="仿宋"/>
          <w:sz w:val="24"/>
          <w:szCs w:val="24"/>
        </w:rPr>
      </w:pPr>
      <w:r>
        <w:rPr>
          <w:rFonts w:ascii="仿宋" w:hAnsi="仿宋" w:eastAsia="仿宋" w:cs="仿宋"/>
          <w:b/>
          <w:bCs/>
          <w:spacing w:val="4"/>
          <w:sz w:val="24"/>
          <w:szCs w:val="24"/>
        </w:rPr>
        <w:t>1</w:t>
      </w:r>
      <w:r>
        <w:rPr>
          <w:rFonts w:hint="eastAsia" w:ascii="仿宋" w:hAnsi="仿宋" w:eastAsia="仿宋" w:cs="仿宋"/>
          <w:b/>
          <w:bCs/>
          <w:spacing w:val="4"/>
          <w:sz w:val="24"/>
          <w:szCs w:val="24"/>
          <w:lang w:val="en-US" w:eastAsia="zh-CN"/>
        </w:rPr>
        <w:t>3</w:t>
      </w:r>
      <w:r>
        <w:rPr>
          <w:rFonts w:ascii="仿宋" w:hAnsi="仿宋" w:eastAsia="仿宋" w:cs="仿宋"/>
          <w:b/>
          <w:bCs/>
          <w:spacing w:val="4"/>
          <w:sz w:val="24"/>
          <w:szCs w:val="24"/>
        </w:rPr>
        <w:t>.其它证明材料</w:t>
      </w:r>
    </w:p>
    <w:p w14:paraId="3BECAEBF">
      <w:pPr>
        <w:spacing w:before="143" w:line="229" w:lineRule="auto"/>
        <w:ind w:left="642"/>
        <w:jc w:val="center"/>
        <w:rPr>
          <w:rFonts w:ascii="仿宋" w:hAnsi="仿宋" w:eastAsia="仿宋" w:cs="仿宋"/>
          <w:sz w:val="24"/>
          <w:szCs w:val="24"/>
        </w:rPr>
        <w:sectPr>
          <w:footerReference r:id="rId13" w:type="default"/>
          <w:pgSz w:w="11906" w:h="16839"/>
          <w:pgMar w:top="1440" w:right="1080" w:bottom="1440" w:left="1080" w:header="0" w:footer="1054" w:gutter="0"/>
          <w:pgNumType w:fmt="decimal"/>
          <w:cols w:space="720" w:num="1"/>
        </w:sectPr>
      </w:pPr>
      <w:r>
        <w:rPr>
          <w:rFonts w:hint="eastAsia" w:ascii="仿宋" w:hAnsi="仿宋" w:eastAsia="仿宋" w:cs="仿宋"/>
          <w:spacing w:val="9"/>
          <w:sz w:val="24"/>
          <w:szCs w:val="24"/>
          <w:lang w:eastAsia="zh-CN"/>
        </w:rPr>
        <w:t>供应商</w:t>
      </w:r>
      <w:r>
        <w:rPr>
          <w:rFonts w:ascii="仿宋" w:hAnsi="仿宋" w:eastAsia="仿宋" w:cs="仿宋"/>
          <w:spacing w:val="9"/>
          <w:sz w:val="24"/>
          <w:szCs w:val="24"/>
        </w:rPr>
        <w:t>根据评标办法认为对其参与评审有利的其它证明材料（格式自</w:t>
      </w:r>
      <w:r>
        <w:rPr>
          <w:rFonts w:ascii="仿宋" w:hAnsi="仿宋" w:eastAsia="仿宋" w:cs="仿宋"/>
          <w:spacing w:val="8"/>
          <w:sz w:val="24"/>
          <w:szCs w:val="24"/>
        </w:rPr>
        <w:t>拟）。</w:t>
      </w:r>
    </w:p>
    <w:p w14:paraId="7C51469D">
      <w:pPr>
        <w:spacing w:before="42" w:line="232" w:lineRule="auto"/>
        <w:jc w:val="center"/>
        <w:outlineLvl w:val="3"/>
      </w:pPr>
      <w:r>
        <w:rPr>
          <w:rFonts w:ascii="仿宋" w:hAnsi="仿宋" w:eastAsia="仿宋" w:cs="仿宋"/>
          <w:b/>
          <w:bCs/>
          <w:spacing w:val="2"/>
          <w:sz w:val="24"/>
          <w:szCs w:val="24"/>
        </w:rPr>
        <w:t>1</w:t>
      </w:r>
      <w:r>
        <w:rPr>
          <w:rFonts w:hint="eastAsia" w:ascii="仿宋" w:hAnsi="仿宋" w:eastAsia="仿宋" w:cs="仿宋"/>
          <w:b/>
          <w:bCs/>
          <w:spacing w:val="2"/>
          <w:sz w:val="24"/>
          <w:szCs w:val="24"/>
          <w:lang w:val="en-US" w:eastAsia="zh-CN"/>
        </w:rPr>
        <w:t>4</w:t>
      </w:r>
      <w:r>
        <w:rPr>
          <w:rFonts w:ascii="仿宋" w:hAnsi="仿宋" w:eastAsia="仿宋" w:cs="仿宋"/>
          <w:b/>
          <w:bCs/>
          <w:spacing w:val="2"/>
          <w:sz w:val="24"/>
          <w:szCs w:val="24"/>
        </w:rPr>
        <w:t>.声明函</w:t>
      </w:r>
    </w:p>
    <w:p w14:paraId="6921E0D0">
      <w:pPr>
        <w:keepNext w:val="0"/>
        <w:keepLines w:val="0"/>
        <w:widowControl/>
        <w:suppressLineNumbers w:val="0"/>
        <w:jc w:val="center"/>
      </w:pPr>
      <w:r>
        <w:rPr>
          <w:rFonts w:hint="eastAsia" w:ascii="宋体" w:hAnsi="宋体" w:eastAsia="宋体" w:cs="宋体"/>
          <w:b/>
          <w:bCs/>
          <w:snapToGrid w:val="0"/>
          <w:color w:val="000000"/>
          <w:kern w:val="0"/>
          <w:sz w:val="36"/>
          <w:szCs w:val="36"/>
          <w:lang w:val="en-US" w:eastAsia="zh-CN" w:bidi="ar"/>
        </w:rPr>
        <w:t>中小企业声明函（工程、服务）</w:t>
      </w:r>
    </w:p>
    <w:p w14:paraId="7E05D7D6">
      <w:pPr>
        <w:keepNext w:val="0"/>
        <w:keepLines w:val="0"/>
        <w:pageBreakBefore w:val="0"/>
        <w:widowControl/>
        <w:kinsoku w:val="0"/>
        <w:wordWrap/>
        <w:overflowPunct/>
        <w:topLinePunct w:val="0"/>
        <w:autoSpaceDE w:val="0"/>
        <w:autoSpaceDN w:val="0"/>
        <w:bidi w:val="0"/>
        <w:adjustRightInd w:val="0"/>
        <w:snapToGrid w:val="0"/>
        <w:spacing w:before="65" w:line="440" w:lineRule="exact"/>
        <w:ind w:left="6" w:right="8" w:firstLine="445"/>
        <w:jc w:val="both"/>
        <w:textAlignment w:val="baseline"/>
        <w:rPr>
          <w:rFonts w:hint="eastAsia" w:ascii="仿宋" w:hAnsi="仿宋" w:eastAsia="仿宋" w:cs="仿宋"/>
          <w:spacing w:val="20"/>
          <w:sz w:val="24"/>
          <w:szCs w:val="24"/>
        </w:rPr>
      </w:pPr>
      <w:r>
        <w:rPr>
          <w:rFonts w:hint="eastAsia" w:ascii="仿宋" w:hAnsi="仿宋" w:eastAsia="仿宋" w:cs="仿宋"/>
          <w:spacing w:val="20"/>
          <w:sz w:val="24"/>
          <w:szCs w:val="24"/>
          <w:lang w:val="en-US" w:eastAsia="zh-CN"/>
        </w:rPr>
        <w:t>本公司（联合体）郑重声明，根据《政府采购促进中小 企业发展管理办法》（财库﹝2020﹞46 号）的规定，本公司（联合体）参加</w:t>
      </w:r>
      <w:r>
        <w:rPr>
          <w:rFonts w:hint="eastAsia" w:ascii="仿宋" w:hAnsi="仿宋" w:eastAsia="仿宋" w:cs="仿宋"/>
          <w:spacing w:val="20"/>
          <w:sz w:val="24"/>
          <w:szCs w:val="24"/>
          <w:u w:val="single"/>
          <w:lang w:val="en-US" w:eastAsia="zh-CN"/>
        </w:rPr>
        <w:t>（单位名称）</w:t>
      </w:r>
      <w:r>
        <w:rPr>
          <w:rFonts w:hint="eastAsia" w:ascii="仿宋" w:hAnsi="仿宋" w:eastAsia="仿宋" w:cs="仿宋"/>
          <w:spacing w:val="20"/>
          <w:sz w:val="24"/>
          <w:szCs w:val="24"/>
          <w:lang w:val="en-US" w:eastAsia="zh-CN"/>
        </w:rPr>
        <w:t>的</w:t>
      </w:r>
      <w:r>
        <w:rPr>
          <w:rFonts w:hint="eastAsia" w:ascii="仿宋" w:hAnsi="仿宋" w:eastAsia="仿宋" w:cs="仿宋"/>
          <w:spacing w:val="20"/>
          <w:sz w:val="24"/>
          <w:szCs w:val="24"/>
          <w:u w:val="single"/>
          <w:lang w:val="en-US" w:eastAsia="zh-CN"/>
        </w:rPr>
        <w:t>（项目名称及标项名称）</w:t>
      </w:r>
      <w:r>
        <w:rPr>
          <w:rFonts w:hint="eastAsia" w:ascii="仿宋" w:hAnsi="仿宋" w:eastAsia="仿宋" w:cs="仿宋"/>
          <w:spacing w:val="20"/>
          <w:sz w:val="24"/>
          <w:szCs w:val="24"/>
          <w:lang w:val="en-US" w:eastAsia="zh-CN"/>
        </w:rPr>
        <w:t xml:space="preserve">采购活动，工程的施工单位全部为符合政策要求的中小企业（或者：服务全部由符合政策要求的中小企业承接）。相关企业（含联合体中的中小企业、签订分包意向协议的中小企业）的具体情况如下： </w:t>
      </w:r>
    </w:p>
    <w:p w14:paraId="0E5FC55E">
      <w:pPr>
        <w:keepNext w:val="0"/>
        <w:keepLines w:val="0"/>
        <w:pageBreakBefore w:val="0"/>
        <w:widowControl/>
        <w:kinsoku w:val="0"/>
        <w:wordWrap/>
        <w:overflowPunct/>
        <w:topLinePunct w:val="0"/>
        <w:autoSpaceDE w:val="0"/>
        <w:autoSpaceDN w:val="0"/>
        <w:bidi w:val="0"/>
        <w:adjustRightInd w:val="0"/>
        <w:snapToGrid w:val="0"/>
        <w:spacing w:before="65" w:line="440" w:lineRule="exact"/>
        <w:ind w:left="6" w:right="8" w:firstLine="445"/>
        <w:jc w:val="both"/>
        <w:textAlignment w:val="baseline"/>
        <w:rPr>
          <w:rFonts w:hint="eastAsia" w:ascii="仿宋" w:hAnsi="仿宋" w:eastAsia="仿宋" w:cs="仿宋"/>
          <w:spacing w:val="20"/>
          <w:sz w:val="24"/>
          <w:szCs w:val="24"/>
        </w:rPr>
      </w:pPr>
      <w:r>
        <w:rPr>
          <w:rFonts w:hint="eastAsia" w:ascii="仿宋" w:hAnsi="仿宋" w:eastAsia="仿宋" w:cs="仿宋"/>
          <w:spacing w:val="20"/>
          <w:sz w:val="24"/>
          <w:szCs w:val="24"/>
          <w:lang w:val="en-US" w:eastAsia="zh-CN"/>
        </w:rPr>
        <w:t>1.</w:t>
      </w:r>
      <w:r>
        <w:rPr>
          <w:rFonts w:hint="eastAsia" w:ascii="仿宋" w:hAnsi="仿宋" w:eastAsia="仿宋" w:cs="仿宋"/>
          <w:spacing w:val="20"/>
          <w:sz w:val="24"/>
          <w:szCs w:val="24"/>
          <w:u w:val="single"/>
          <w:lang w:val="en-US" w:eastAsia="zh-CN"/>
        </w:rPr>
        <w:t xml:space="preserve"> （项目名称及标项名称） </w:t>
      </w:r>
      <w:r>
        <w:rPr>
          <w:rFonts w:hint="eastAsia" w:ascii="仿宋" w:hAnsi="仿宋" w:eastAsia="仿宋" w:cs="仿宋"/>
          <w:spacing w:val="20"/>
          <w:sz w:val="24"/>
          <w:szCs w:val="24"/>
          <w:lang w:val="en-US" w:eastAsia="zh-CN"/>
        </w:rPr>
        <w:t>，属于</w:t>
      </w:r>
      <w:r>
        <w:rPr>
          <w:rFonts w:hint="eastAsia" w:ascii="仿宋" w:hAnsi="仿宋" w:eastAsia="仿宋" w:cs="仿宋"/>
          <w:spacing w:val="20"/>
          <w:sz w:val="24"/>
          <w:szCs w:val="24"/>
          <w:u w:val="single"/>
          <w:lang w:val="en-US" w:eastAsia="zh-CN"/>
        </w:rPr>
        <w:t>（采购文件中明确的所属行业）</w:t>
      </w:r>
      <w:r>
        <w:rPr>
          <w:rFonts w:hint="eastAsia" w:ascii="仿宋" w:hAnsi="仿宋" w:eastAsia="仿宋" w:cs="仿宋"/>
          <w:spacing w:val="20"/>
          <w:sz w:val="24"/>
          <w:szCs w:val="24"/>
          <w:lang w:val="en-US" w:eastAsia="zh-CN"/>
        </w:rPr>
        <w:t>；承建（承接）企业为</w:t>
      </w:r>
      <w:r>
        <w:rPr>
          <w:rFonts w:hint="eastAsia" w:ascii="仿宋" w:hAnsi="仿宋" w:eastAsia="仿宋" w:cs="仿宋"/>
          <w:spacing w:val="20"/>
          <w:sz w:val="24"/>
          <w:szCs w:val="24"/>
          <w:u w:val="single"/>
          <w:lang w:val="en-US" w:eastAsia="zh-CN"/>
        </w:rPr>
        <w:t>（企业名称）</w:t>
      </w:r>
      <w:r>
        <w:rPr>
          <w:rFonts w:hint="eastAsia" w:ascii="仿宋" w:hAnsi="仿宋" w:eastAsia="仿宋" w:cs="仿宋"/>
          <w:spacing w:val="20"/>
          <w:sz w:val="24"/>
          <w:szCs w:val="24"/>
          <w:lang w:val="en-US" w:eastAsia="zh-CN"/>
        </w:rPr>
        <w:t>，从业人员人，营业收入为</w:t>
      </w:r>
      <w:r>
        <w:rPr>
          <w:rFonts w:hint="eastAsia" w:ascii="仿宋" w:hAnsi="仿宋" w:eastAsia="仿宋" w:cs="仿宋"/>
          <w:spacing w:val="20"/>
          <w:sz w:val="24"/>
          <w:szCs w:val="24"/>
          <w:u w:val="single"/>
          <w:lang w:val="en-US" w:eastAsia="zh-CN"/>
        </w:rPr>
        <w:t xml:space="preserve">    </w:t>
      </w:r>
      <w:r>
        <w:rPr>
          <w:rFonts w:hint="eastAsia" w:ascii="仿宋" w:hAnsi="仿宋" w:eastAsia="仿宋" w:cs="仿宋"/>
          <w:spacing w:val="20"/>
          <w:sz w:val="24"/>
          <w:szCs w:val="24"/>
          <w:lang w:val="en-US" w:eastAsia="zh-CN"/>
        </w:rPr>
        <w:t>万元，资产总额为</w:t>
      </w:r>
      <w:r>
        <w:rPr>
          <w:rFonts w:hint="eastAsia" w:ascii="仿宋" w:hAnsi="仿宋" w:eastAsia="仿宋" w:cs="仿宋"/>
          <w:spacing w:val="20"/>
          <w:sz w:val="24"/>
          <w:szCs w:val="24"/>
          <w:u w:val="single"/>
          <w:lang w:val="en-US" w:eastAsia="zh-CN"/>
        </w:rPr>
        <w:t xml:space="preserve">   </w:t>
      </w:r>
      <w:r>
        <w:rPr>
          <w:rFonts w:hint="eastAsia" w:ascii="仿宋" w:hAnsi="仿宋" w:eastAsia="仿宋" w:cs="仿宋"/>
          <w:spacing w:val="20"/>
          <w:sz w:val="24"/>
          <w:szCs w:val="24"/>
          <w:lang w:val="en-US" w:eastAsia="zh-CN"/>
        </w:rPr>
        <w:t>万元，属于</w:t>
      </w:r>
      <w:r>
        <w:rPr>
          <w:rFonts w:hint="eastAsia" w:ascii="仿宋" w:hAnsi="仿宋" w:eastAsia="仿宋" w:cs="仿宋"/>
          <w:spacing w:val="20"/>
          <w:sz w:val="24"/>
          <w:szCs w:val="24"/>
          <w:u w:val="single"/>
          <w:lang w:val="en-US" w:eastAsia="zh-CN"/>
        </w:rPr>
        <w:t>（中型企业、小型企业、微型企业）</w:t>
      </w:r>
      <w:r>
        <w:rPr>
          <w:rFonts w:hint="eastAsia" w:ascii="仿宋" w:hAnsi="仿宋" w:eastAsia="仿宋" w:cs="仿宋"/>
          <w:spacing w:val="20"/>
          <w:sz w:val="24"/>
          <w:szCs w:val="24"/>
          <w:lang w:val="en-US" w:eastAsia="zh-CN"/>
        </w:rPr>
        <w:t xml:space="preserve">； </w:t>
      </w:r>
    </w:p>
    <w:p w14:paraId="2AFF758F">
      <w:pPr>
        <w:keepNext w:val="0"/>
        <w:keepLines w:val="0"/>
        <w:pageBreakBefore w:val="0"/>
        <w:widowControl/>
        <w:kinsoku w:val="0"/>
        <w:wordWrap/>
        <w:overflowPunct/>
        <w:topLinePunct w:val="0"/>
        <w:autoSpaceDE w:val="0"/>
        <w:autoSpaceDN w:val="0"/>
        <w:bidi w:val="0"/>
        <w:adjustRightInd w:val="0"/>
        <w:snapToGrid w:val="0"/>
        <w:spacing w:before="65" w:line="440" w:lineRule="exact"/>
        <w:ind w:left="6" w:right="8" w:firstLine="445"/>
        <w:jc w:val="both"/>
        <w:textAlignment w:val="baseline"/>
        <w:rPr>
          <w:rFonts w:hint="eastAsia" w:ascii="仿宋" w:hAnsi="仿宋" w:eastAsia="仿宋" w:cs="仿宋"/>
          <w:spacing w:val="20"/>
          <w:sz w:val="24"/>
          <w:szCs w:val="24"/>
        </w:rPr>
      </w:pPr>
      <w:r>
        <w:rPr>
          <w:rFonts w:hint="eastAsia" w:ascii="仿宋" w:hAnsi="仿宋" w:eastAsia="仿宋" w:cs="仿宋"/>
          <w:spacing w:val="20"/>
          <w:sz w:val="24"/>
          <w:szCs w:val="24"/>
          <w:lang w:val="en-US" w:eastAsia="zh-CN"/>
        </w:rPr>
        <w:t>2.</w:t>
      </w:r>
      <w:r>
        <w:rPr>
          <w:rFonts w:hint="eastAsia" w:ascii="仿宋" w:hAnsi="仿宋" w:eastAsia="仿宋" w:cs="仿宋"/>
          <w:spacing w:val="20"/>
          <w:sz w:val="24"/>
          <w:szCs w:val="24"/>
          <w:u w:val="single"/>
          <w:lang w:val="en-US" w:eastAsia="zh-CN"/>
        </w:rPr>
        <w:t xml:space="preserve"> （项目名称及标项名称） </w:t>
      </w:r>
      <w:r>
        <w:rPr>
          <w:rFonts w:hint="eastAsia" w:ascii="仿宋" w:hAnsi="仿宋" w:eastAsia="仿宋" w:cs="仿宋"/>
          <w:spacing w:val="20"/>
          <w:sz w:val="24"/>
          <w:szCs w:val="24"/>
          <w:lang w:val="en-US" w:eastAsia="zh-CN"/>
        </w:rPr>
        <w:t>，属于</w:t>
      </w:r>
      <w:r>
        <w:rPr>
          <w:rFonts w:hint="eastAsia" w:ascii="仿宋" w:hAnsi="仿宋" w:eastAsia="仿宋" w:cs="仿宋"/>
          <w:spacing w:val="20"/>
          <w:sz w:val="24"/>
          <w:szCs w:val="24"/>
          <w:u w:val="single"/>
          <w:lang w:val="en-US" w:eastAsia="zh-CN"/>
        </w:rPr>
        <w:t>（采购文件中明确的所属行业）</w:t>
      </w:r>
      <w:r>
        <w:rPr>
          <w:rFonts w:hint="eastAsia" w:ascii="仿宋" w:hAnsi="仿宋" w:eastAsia="仿宋" w:cs="仿宋"/>
          <w:spacing w:val="20"/>
          <w:sz w:val="24"/>
          <w:szCs w:val="24"/>
          <w:lang w:val="en-US" w:eastAsia="zh-CN"/>
        </w:rPr>
        <w:t>；承建（承接）企业为</w:t>
      </w:r>
      <w:r>
        <w:rPr>
          <w:rFonts w:hint="eastAsia" w:ascii="仿宋" w:hAnsi="仿宋" w:eastAsia="仿宋" w:cs="仿宋"/>
          <w:spacing w:val="20"/>
          <w:sz w:val="24"/>
          <w:szCs w:val="24"/>
          <w:u w:val="single"/>
          <w:lang w:val="en-US" w:eastAsia="zh-CN"/>
        </w:rPr>
        <w:t>（企业名称）</w:t>
      </w:r>
      <w:r>
        <w:rPr>
          <w:rFonts w:hint="eastAsia" w:ascii="仿宋" w:hAnsi="仿宋" w:eastAsia="仿宋" w:cs="仿宋"/>
          <w:spacing w:val="20"/>
          <w:sz w:val="24"/>
          <w:szCs w:val="24"/>
          <w:lang w:val="en-US" w:eastAsia="zh-CN"/>
        </w:rPr>
        <w:t>，从业人员人，营业收入为</w:t>
      </w:r>
      <w:r>
        <w:rPr>
          <w:rFonts w:hint="eastAsia" w:ascii="仿宋" w:hAnsi="仿宋" w:eastAsia="仿宋" w:cs="仿宋"/>
          <w:spacing w:val="20"/>
          <w:sz w:val="24"/>
          <w:szCs w:val="24"/>
          <w:u w:val="single"/>
          <w:lang w:val="en-US" w:eastAsia="zh-CN"/>
        </w:rPr>
        <w:t xml:space="preserve">    </w:t>
      </w:r>
      <w:r>
        <w:rPr>
          <w:rFonts w:hint="eastAsia" w:ascii="仿宋" w:hAnsi="仿宋" w:eastAsia="仿宋" w:cs="仿宋"/>
          <w:spacing w:val="20"/>
          <w:sz w:val="24"/>
          <w:szCs w:val="24"/>
          <w:lang w:val="en-US" w:eastAsia="zh-CN"/>
        </w:rPr>
        <w:t>万元，资产总额为</w:t>
      </w:r>
      <w:r>
        <w:rPr>
          <w:rFonts w:hint="eastAsia" w:ascii="仿宋" w:hAnsi="仿宋" w:eastAsia="仿宋" w:cs="仿宋"/>
          <w:spacing w:val="20"/>
          <w:sz w:val="24"/>
          <w:szCs w:val="24"/>
          <w:u w:val="single"/>
          <w:lang w:val="en-US" w:eastAsia="zh-CN"/>
        </w:rPr>
        <w:t xml:space="preserve">   </w:t>
      </w:r>
      <w:r>
        <w:rPr>
          <w:rFonts w:hint="eastAsia" w:ascii="仿宋" w:hAnsi="仿宋" w:eastAsia="仿宋" w:cs="仿宋"/>
          <w:spacing w:val="20"/>
          <w:sz w:val="24"/>
          <w:szCs w:val="24"/>
          <w:lang w:val="en-US" w:eastAsia="zh-CN"/>
        </w:rPr>
        <w:t>万元，属于</w:t>
      </w:r>
      <w:r>
        <w:rPr>
          <w:rFonts w:hint="eastAsia" w:ascii="仿宋" w:hAnsi="仿宋" w:eastAsia="仿宋" w:cs="仿宋"/>
          <w:spacing w:val="20"/>
          <w:sz w:val="24"/>
          <w:szCs w:val="24"/>
          <w:u w:val="single"/>
          <w:lang w:val="en-US" w:eastAsia="zh-CN"/>
        </w:rPr>
        <w:t>（中型企业、小型企业、微型企业）</w:t>
      </w:r>
      <w:r>
        <w:rPr>
          <w:rFonts w:hint="eastAsia" w:ascii="仿宋" w:hAnsi="仿宋" w:eastAsia="仿宋" w:cs="仿宋"/>
          <w:spacing w:val="20"/>
          <w:sz w:val="24"/>
          <w:szCs w:val="24"/>
          <w:lang w:val="en-US" w:eastAsia="zh-CN"/>
        </w:rPr>
        <w:t xml:space="preserve">； </w:t>
      </w:r>
    </w:p>
    <w:p w14:paraId="685F5EFF">
      <w:pPr>
        <w:keepNext w:val="0"/>
        <w:keepLines w:val="0"/>
        <w:pageBreakBefore w:val="0"/>
        <w:widowControl/>
        <w:kinsoku w:val="0"/>
        <w:wordWrap/>
        <w:overflowPunct/>
        <w:topLinePunct w:val="0"/>
        <w:autoSpaceDE w:val="0"/>
        <w:autoSpaceDN w:val="0"/>
        <w:bidi w:val="0"/>
        <w:adjustRightInd w:val="0"/>
        <w:snapToGrid w:val="0"/>
        <w:spacing w:before="65" w:line="440" w:lineRule="exact"/>
        <w:ind w:left="6" w:right="8" w:firstLine="445"/>
        <w:jc w:val="both"/>
        <w:textAlignment w:val="baseline"/>
        <w:rPr>
          <w:rFonts w:hint="eastAsia" w:ascii="仿宋" w:hAnsi="仿宋" w:eastAsia="仿宋" w:cs="仿宋"/>
          <w:spacing w:val="20"/>
          <w:sz w:val="24"/>
          <w:szCs w:val="24"/>
        </w:rPr>
      </w:pPr>
      <w:r>
        <w:rPr>
          <w:rFonts w:hint="eastAsia" w:ascii="仿宋" w:hAnsi="仿宋" w:eastAsia="仿宋" w:cs="仿宋"/>
          <w:spacing w:val="20"/>
          <w:sz w:val="24"/>
          <w:szCs w:val="24"/>
          <w:lang w:val="en-US" w:eastAsia="zh-CN"/>
        </w:rPr>
        <w:t xml:space="preserve">…… </w:t>
      </w:r>
    </w:p>
    <w:p w14:paraId="100CC711">
      <w:pPr>
        <w:keepNext w:val="0"/>
        <w:keepLines w:val="0"/>
        <w:pageBreakBefore w:val="0"/>
        <w:widowControl/>
        <w:kinsoku w:val="0"/>
        <w:wordWrap/>
        <w:overflowPunct/>
        <w:topLinePunct w:val="0"/>
        <w:autoSpaceDE w:val="0"/>
        <w:autoSpaceDN w:val="0"/>
        <w:bidi w:val="0"/>
        <w:adjustRightInd w:val="0"/>
        <w:snapToGrid w:val="0"/>
        <w:spacing w:before="65" w:line="440" w:lineRule="exact"/>
        <w:ind w:left="6" w:right="8" w:firstLine="445"/>
        <w:jc w:val="both"/>
        <w:textAlignment w:val="baseline"/>
        <w:rPr>
          <w:rFonts w:hint="eastAsia" w:ascii="仿宋" w:hAnsi="仿宋" w:eastAsia="仿宋" w:cs="仿宋"/>
          <w:spacing w:val="20"/>
          <w:sz w:val="24"/>
          <w:szCs w:val="24"/>
        </w:rPr>
      </w:pPr>
      <w:r>
        <w:rPr>
          <w:rFonts w:hint="eastAsia" w:ascii="仿宋" w:hAnsi="仿宋" w:eastAsia="仿宋" w:cs="仿宋"/>
          <w:spacing w:val="20"/>
          <w:sz w:val="24"/>
          <w:szCs w:val="24"/>
          <w:lang w:val="en-US" w:eastAsia="zh-CN"/>
        </w:rPr>
        <w:t xml:space="preserve">以上企业，不属于大企业的分支机构，不存在控股股东为大企业的情形，也不存在与大企业的负责人为同一人的情形。 </w:t>
      </w:r>
    </w:p>
    <w:p w14:paraId="1AD1C301">
      <w:pPr>
        <w:keepNext w:val="0"/>
        <w:keepLines w:val="0"/>
        <w:pageBreakBefore w:val="0"/>
        <w:widowControl/>
        <w:kinsoku w:val="0"/>
        <w:wordWrap/>
        <w:overflowPunct/>
        <w:topLinePunct w:val="0"/>
        <w:autoSpaceDE w:val="0"/>
        <w:autoSpaceDN w:val="0"/>
        <w:bidi w:val="0"/>
        <w:adjustRightInd w:val="0"/>
        <w:snapToGrid w:val="0"/>
        <w:spacing w:before="65" w:line="440" w:lineRule="exact"/>
        <w:ind w:left="6" w:right="8" w:firstLine="445"/>
        <w:jc w:val="both"/>
        <w:textAlignment w:val="baseline"/>
        <w:rPr>
          <w:rFonts w:hint="eastAsia" w:ascii="仿宋" w:hAnsi="仿宋" w:eastAsia="仿宋" w:cs="仿宋"/>
          <w:spacing w:val="20"/>
          <w:sz w:val="24"/>
          <w:szCs w:val="24"/>
          <w:lang w:val="en-US" w:eastAsia="zh-CN"/>
        </w:rPr>
      </w:pPr>
      <w:r>
        <w:rPr>
          <w:rFonts w:hint="eastAsia" w:ascii="仿宋" w:hAnsi="仿宋" w:eastAsia="仿宋" w:cs="仿宋"/>
          <w:spacing w:val="20"/>
          <w:sz w:val="24"/>
          <w:szCs w:val="24"/>
          <w:lang w:val="en-US" w:eastAsia="zh-CN"/>
        </w:rPr>
        <w:t>本企业对上述声明内容的真实性负责。如有虚假，将依法承担相应责任。</w:t>
      </w:r>
    </w:p>
    <w:p w14:paraId="07E542E3">
      <w:pPr>
        <w:keepNext w:val="0"/>
        <w:keepLines w:val="0"/>
        <w:pageBreakBefore w:val="0"/>
        <w:widowControl/>
        <w:kinsoku w:val="0"/>
        <w:wordWrap/>
        <w:overflowPunct/>
        <w:topLinePunct w:val="0"/>
        <w:autoSpaceDE w:val="0"/>
        <w:autoSpaceDN w:val="0"/>
        <w:bidi w:val="0"/>
        <w:adjustRightInd w:val="0"/>
        <w:snapToGrid w:val="0"/>
        <w:spacing w:before="65" w:line="440" w:lineRule="exact"/>
        <w:ind w:left="6" w:right="8" w:firstLine="445"/>
        <w:jc w:val="right"/>
        <w:textAlignment w:val="baseline"/>
        <w:rPr>
          <w:rFonts w:hint="eastAsia" w:ascii="仿宋" w:hAnsi="仿宋" w:eastAsia="仿宋" w:cs="仿宋"/>
          <w:spacing w:val="20"/>
          <w:sz w:val="24"/>
          <w:szCs w:val="24"/>
        </w:rPr>
      </w:pPr>
      <w:r>
        <w:rPr>
          <w:rFonts w:hint="eastAsia" w:ascii="仿宋" w:hAnsi="仿宋" w:eastAsia="仿宋" w:cs="仿宋"/>
          <w:spacing w:val="20"/>
          <w:sz w:val="24"/>
          <w:szCs w:val="24"/>
          <w:lang w:val="en-US" w:eastAsia="zh-CN"/>
        </w:rPr>
        <w:t xml:space="preserve">企业名称（盖章）： </w:t>
      </w:r>
    </w:p>
    <w:p w14:paraId="69F1F086">
      <w:pPr>
        <w:keepNext w:val="0"/>
        <w:keepLines w:val="0"/>
        <w:pageBreakBefore w:val="0"/>
        <w:widowControl/>
        <w:kinsoku w:val="0"/>
        <w:wordWrap/>
        <w:overflowPunct/>
        <w:topLinePunct w:val="0"/>
        <w:autoSpaceDE w:val="0"/>
        <w:autoSpaceDN w:val="0"/>
        <w:bidi w:val="0"/>
        <w:adjustRightInd w:val="0"/>
        <w:snapToGrid w:val="0"/>
        <w:spacing w:before="65" w:line="440" w:lineRule="exact"/>
        <w:ind w:left="6" w:right="8" w:firstLine="445"/>
        <w:jc w:val="right"/>
        <w:textAlignment w:val="baseline"/>
        <w:rPr>
          <w:rFonts w:hint="eastAsia" w:ascii="仿宋" w:hAnsi="仿宋" w:eastAsia="仿宋" w:cs="仿宋"/>
          <w:spacing w:val="20"/>
          <w:sz w:val="24"/>
          <w:szCs w:val="24"/>
        </w:rPr>
      </w:pPr>
      <w:r>
        <w:rPr>
          <w:rFonts w:hint="eastAsia" w:ascii="仿宋" w:hAnsi="仿宋" w:eastAsia="仿宋" w:cs="仿宋"/>
          <w:spacing w:val="20"/>
          <w:sz w:val="24"/>
          <w:szCs w:val="24"/>
          <w:lang w:val="en-US" w:eastAsia="zh-CN"/>
        </w:rPr>
        <w:t xml:space="preserve">日 期： </w:t>
      </w:r>
    </w:p>
    <w:p w14:paraId="441260E8">
      <w:pPr>
        <w:keepNext w:val="0"/>
        <w:keepLines w:val="0"/>
        <w:pageBreakBefore w:val="0"/>
        <w:widowControl/>
        <w:suppressLineNumbers w:val="0"/>
        <w:kinsoku w:val="0"/>
        <w:wordWrap/>
        <w:overflowPunct/>
        <w:topLinePunct w:val="0"/>
        <w:autoSpaceDE w:val="0"/>
        <w:autoSpaceDN w:val="0"/>
        <w:bidi w:val="0"/>
        <w:adjustRightInd w:val="0"/>
        <w:snapToGrid w:val="0"/>
        <w:spacing w:line="440" w:lineRule="exact"/>
        <w:jc w:val="right"/>
        <w:textAlignment w:val="baseline"/>
        <w:rPr>
          <w:rFonts w:hint="eastAsia" w:ascii="宋体" w:hAnsi="宋体" w:eastAsia="宋体" w:cs="宋体"/>
          <w:snapToGrid w:val="0"/>
          <w:color w:val="000000"/>
          <w:kern w:val="0"/>
          <w:sz w:val="18"/>
          <w:szCs w:val="18"/>
          <w:lang w:val="en-US" w:eastAsia="zh-CN" w:bidi="ar"/>
        </w:rPr>
      </w:pPr>
    </w:p>
    <w:p w14:paraId="4AAFE23A">
      <w:pPr>
        <w:keepNext w:val="0"/>
        <w:keepLines w:val="0"/>
        <w:pageBreakBefore w:val="0"/>
        <w:widowControl/>
        <w:suppressLineNumbers w:val="0"/>
        <w:kinsoku w:val="0"/>
        <w:wordWrap/>
        <w:overflowPunct/>
        <w:topLinePunct w:val="0"/>
        <w:autoSpaceDE w:val="0"/>
        <w:autoSpaceDN w:val="0"/>
        <w:bidi w:val="0"/>
        <w:adjustRightInd w:val="0"/>
        <w:snapToGrid w:val="0"/>
        <w:spacing w:line="440" w:lineRule="exact"/>
        <w:jc w:val="left"/>
        <w:textAlignment w:val="baseline"/>
        <w:rPr>
          <w:rFonts w:hint="eastAsia" w:ascii="宋体" w:hAnsi="宋体" w:eastAsia="宋体" w:cs="宋体"/>
          <w:snapToGrid w:val="0"/>
          <w:color w:val="000000"/>
          <w:kern w:val="0"/>
          <w:sz w:val="18"/>
          <w:szCs w:val="18"/>
          <w:lang w:val="en-US" w:eastAsia="zh-CN" w:bidi="ar"/>
        </w:rPr>
      </w:pPr>
    </w:p>
    <w:p w14:paraId="027EBAC4">
      <w:pPr>
        <w:keepNext w:val="0"/>
        <w:keepLines w:val="0"/>
        <w:pageBreakBefore w:val="0"/>
        <w:widowControl/>
        <w:suppressLineNumbers w:val="0"/>
        <w:kinsoku w:val="0"/>
        <w:wordWrap/>
        <w:overflowPunct/>
        <w:topLinePunct w:val="0"/>
        <w:autoSpaceDE w:val="0"/>
        <w:autoSpaceDN w:val="0"/>
        <w:bidi w:val="0"/>
        <w:adjustRightInd w:val="0"/>
        <w:snapToGrid w:val="0"/>
        <w:spacing w:line="440" w:lineRule="exact"/>
        <w:jc w:val="left"/>
        <w:textAlignment w:val="baseline"/>
      </w:pPr>
      <w:r>
        <w:rPr>
          <w:rFonts w:hint="eastAsia" w:ascii="宋体" w:hAnsi="宋体" w:eastAsia="宋体" w:cs="宋体"/>
          <w:snapToGrid w:val="0"/>
          <w:color w:val="000000"/>
          <w:kern w:val="0"/>
          <w:sz w:val="18"/>
          <w:szCs w:val="18"/>
          <w:lang w:val="en-US" w:eastAsia="zh-CN" w:bidi="ar"/>
        </w:rPr>
        <w:t>从业人员、营业收入、资产总额填报上一年度数据，无上一年度数据的新成立企业可不填报。</w:t>
      </w:r>
    </w:p>
    <w:p w14:paraId="4ECBD159">
      <w:pPr>
        <w:pStyle w:val="4"/>
        <w:spacing w:line="257" w:lineRule="auto"/>
      </w:pPr>
    </w:p>
    <w:p w14:paraId="40E779AA">
      <w:pPr>
        <w:pStyle w:val="4"/>
        <w:spacing w:line="257" w:lineRule="auto"/>
      </w:pPr>
    </w:p>
    <w:p w14:paraId="1BB847D6">
      <w:pPr>
        <w:pStyle w:val="4"/>
        <w:spacing w:line="257" w:lineRule="auto"/>
      </w:pPr>
    </w:p>
    <w:p w14:paraId="6EDF672A">
      <w:pPr>
        <w:pStyle w:val="4"/>
        <w:spacing w:line="257" w:lineRule="auto"/>
      </w:pPr>
    </w:p>
    <w:p w14:paraId="30F42F6F">
      <w:pPr>
        <w:pStyle w:val="29"/>
      </w:pPr>
    </w:p>
    <w:p w14:paraId="41725D6F">
      <w:pPr>
        <w:rPr>
          <w:rFonts w:hint="eastAsia"/>
        </w:rPr>
      </w:pPr>
    </w:p>
    <w:p w14:paraId="299D4DE4">
      <w:pPr>
        <w:spacing w:before="136" w:line="219" w:lineRule="auto"/>
        <w:ind w:left="2763"/>
        <w:rPr>
          <w:rFonts w:hint="eastAsia" w:ascii="仿宋" w:hAnsi="仿宋" w:eastAsia="仿宋" w:cs="仿宋"/>
          <w:spacing w:val="-2"/>
          <w:sz w:val="24"/>
          <w:szCs w:val="24"/>
        </w:rPr>
      </w:pPr>
    </w:p>
    <w:p w14:paraId="07D0D2FD">
      <w:pPr>
        <w:spacing w:before="136" w:line="219" w:lineRule="auto"/>
        <w:ind w:left="2763"/>
        <w:rPr>
          <w:rFonts w:hint="eastAsia" w:ascii="仿宋" w:hAnsi="仿宋" w:eastAsia="仿宋" w:cs="仿宋"/>
          <w:spacing w:val="-2"/>
          <w:sz w:val="24"/>
          <w:szCs w:val="24"/>
        </w:rPr>
      </w:pPr>
    </w:p>
    <w:p w14:paraId="3D22B651">
      <w:pPr>
        <w:spacing w:before="136" w:line="219" w:lineRule="auto"/>
        <w:ind w:left="2763"/>
        <w:rPr>
          <w:rFonts w:hint="eastAsia" w:ascii="仿宋" w:hAnsi="仿宋" w:eastAsia="仿宋" w:cs="仿宋"/>
          <w:sz w:val="24"/>
          <w:szCs w:val="24"/>
        </w:rPr>
      </w:pPr>
      <w:r>
        <w:rPr>
          <w:rFonts w:hint="eastAsia" w:ascii="仿宋" w:hAnsi="仿宋" w:eastAsia="仿宋" w:cs="仿宋"/>
          <w:spacing w:val="-2"/>
          <w:sz w:val="24"/>
          <w:szCs w:val="24"/>
        </w:rPr>
        <w:t>（二）残疾人福利性单位声明函</w:t>
      </w:r>
    </w:p>
    <w:p w14:paraId="250D8C58">
      <w:pPr>
        <w:pStyle w:val="4"/>
        <w:spacing w:line="245" w:lineRule="auto"/>
        <w:rPr>
          <w:rFonts w:hint="eastAsia" w:ascii="仿宋" w:hAnsi="仿宋" w:eastAsia="仿宋" w:cs="仿宋"/>
          <w:sz w:val="24"/>
          <w:szCs w:val="24"/>
        </w:rPr>
      </w:pPr>
    </w:p>
    <w:p w14:paraId="42DB717F">
      <w:pPr>
        <w:pStyle w:val="4"/>
        <w:spacing w:line="245" w:lineRule="auto"/>
        <w:rPr>
          <w:rFonts w:hint="eastAsia" w:ascii="仿宋" w:hAnsi="仿宋" w:eastAsia="仿宋" w:cs="仿宋"/>
          <w:sz w:val="24"/>
          <w:szCs w:val="24"/>
        </w:rPr>
      </w:pPr>
    </w:p>
    <w:p w14:paraId="041CD8C9">
      <w:pPr>
        <w:spacing w:before="65" w:line="543" w:lineRule="auto"/>
        <w:ind w:left="6" w:right="8" w:firstLine="445"/>
        <w:jc w:val="both"/>
        <w:rPr>
          <w:rFonts w:hint="eastAsia" w:ascii="仿宋" w:hAnsi="仿宋" w:eastAsia="仿宋" w:cs="仿宋"/>
          <w:sz w:val="24"/>
          <w:szCs w:val="24"/>
        </w:rPr>
      </w:pPr>
      <w:r>
        <w:rPr>
          <w:rFonts w:hint="eastAsia" w:ascii="仿宋" w:hAnsi="仿宋" w:eastAsia="仿宋" w:cs="仿宋"/>
          <w:spacing w:val="20"/>
          <w:sz w:val="24"/>
          <w:szCs w:val="24"/>
        </w:rPr>
        <w:t>本单位郑重声明，根据《财政部民政部中国残疾人联合会关于促进残疾人就业政府采购</w:t>
      </w:r>
      <w:r>
        <w:rPr>
          <w:rFonts w:hint="eastAsia" w:ascii="仿宋" w:hAnsi="仿宋" w:eastAsia="仿宋" w:cs="仿宋"/>
          <w:spacing w:val="18"/>
          <w:sz w:val="24"/>
          <w:szCs w:val="24"/>
        </w:rPr>
        <w:t xml:space="preserve"> </w:t>
      </w:r>
      <w:r>
        <w:rPr>
          <w:rFonts w:hint="eastAsia" w:ascii="仿宋" w:hAnsi="仿宋" w:eastAsia="仿宋" w:cs="仿宋"/>
          <w:spacing w:val="15"/>
          <w:sz w:val="24"/>
          <w:szCs w:val="24"/>
        </w:rPr>
        <w:t>政策的通知》</w:t>
      </w:r>
      <w:r>
        <w:rPr>
          <w:rFonts w:hint="eastAsia" w:ascii="仿宋" w:hAnsi="仿宋" w:eastAsia="仿宋" w:cs="仿宋"/>
          <w:spacing w:val="-65"/>
          <w:sz w:val="24"/>
          <w:szCs w:val="24"/>
        </w:rPr>
        <w:t xml:space="preserve"> </w:t>
      </w:r>
      <w:r>
        <w:rPr>
          <w:rFonts w:hint="eastAsia" w:ascii="仿宋" w:hAnsi="仿宋" w:eastAsia="仿宋" w:cs="仿宋"/>
          <w:spacing w:val="15"/>
          <w:sz w:val="24"/>
          <w:szCs w:val="24"/>
        </w:rPr>
        <w:t>（财库〔2017〕</w:t>
      </w:r>
      <w:r>
        <w:rPr>
          <w:rFonts w:hint="eastAsia" w:ascii="仿宋" w:hAnsi="仿宋" w:eastAsia="仿宋" w:cs="仿宋"/>
          <w:spacing w:val="37"/>
          <w:sz w:val="24"/>
          <w:szCs w:val="24"/>
        </w:rPr>
        <w:t xml:space="preserve"> </w:t>
      </w:r>
      <w:r>
        <w:rPr>
          <w:rFonts w:hint="eastAsia" w:ascii="仿宋" w:hAnsi="仿宋" w:eastAsia="仿宋" w:cs="仿宋"/>
          <w:spacing w:val="15"/>
          <w:sz w:val="24"/>
          <w:szCs w:val="24"/>
        </w:rPr>
        <w:t>141</w:t>
      </w:r>
      <w:r>
        <w:rPr>
          <w:rFonts w:hint="eastAsia" w:ascii="仿宋" w:hAnsi="仿宋" w:eastAsia="仿宋" w:cs="仿宋"/>
          <w:spacing w:val="-36"/>
          <w:sz w:val="24"/>
          <w:szCs w:val="24"/>
        </w:rPr>
        <w:t xml:space="preserve"> </w:t>
      </w:r>
      <w:r>
        <w:rPr>
          <w:rFonts w:hint="eastAsia" w:ascii="仿宋" w:hAnsi="仿宋" w:eastAsia="仿宋" w:cs="仿宋"/>
          <w:spacing w:val="15"/>
          <w:sz w:val="24"/>
          <w:szCs w:val="24"/>
        </w:rPr>
        <w:t>号）</w:t>
      </w:r>
      <w:r>
        <w:rPr>
          <w:rFonts w:hint="eastAsia" w:ascii="仿宋" w:hAnsi="仿宋" w:eastAsia="仿宋" w:cs="仿宋"/>
          <w:spacing w:val="-42"/>
          <w:sz w:val="24"/>
          <w:szCs w:val="24"/>
        </w:rPr>
        <w:t xml:space="preserve"> </w:t>
      </w:r>
      <w:r>
        <w:rPr>
          <w:rFonts w:hint="eastAsia" w:ascii="仿宋" w:hAnsi="仿宋" w:eastAsia="仿宋" w:cs="仿宋"/>
          <w:spacing w:val="15"/>
          <w:sz w:val="24"/>
          <w:szCs w:val="24"/>
        </w:rPr>
        <w:t>的规定，本单位</w:t>
      </w:r>
      <w:r>
        <w:rPr>
          <w:rFonts w:hint="eastAsia" w:ascii="仿宋" w:hAnsi="仿宋" w:eastAsia="仿宋" w:cs="仿宋"/>
          <w:spacing w:val="14"/>
          <w:sz w:val="24"/>
          <w:szCs w:val="24"/>
        </w:rPr>
        <w:t>为符合条件的残疾人福利性单位，且</w:t>
      </w:r>
      <w:r>
        <w:rPr>
          <w:rFonts w:hint="eastAsia" w:ascii="仿宋" w:hAnsi="仿宋" w:eastAsia="仿宋" w:cs="仿宋"/>
          <w:sz w:val="24"/>
          <w:szCs w:val="24"/>
        </w:rPr>
        <w:t xml:space="preserve"> </w:t>
      </w:r>
      <w:r>
        <w:rPr>
          <w:rFonts w:hint="eastAsia" w:ascii="仿宋" w:hAnsi="仿宋" w:eastAsia="仿宋" w:cs="仿宋"/>
          <w:spacing w:val="22"/>
          <w:sz w:val="24"/>
          <w:szCs w:val="24"/>
        </w:rPr>
        <w:t>本单位参加</w:t>
      </w:r>
      <w:r>
        <w:rPr>
          <w:rFonts w:hint="eastAsia" w:ascii="仿宋" w:hAnsi="仿宋" w:eastAsia="仿宋" w:cs="仿宋"/>
          <w:spacing w:val="-86"/>
          <w:sz w:val="24"/>
          <w:szCs w:val="24"/>
        </w:rPr>
        <w:t xml:space="preserve"> </w:t>
      </w:r>
      <w:r>
        <w:rPr>
          <w:rFonts w:hint="eastAsia" w:ascii="仿宋" w:hAnsi="仿宋" w:eastAsia="仿宋" w:cs="仿宋"/>
          <w:spacing w:val="4"/>
          <w:sz w:val="24"/>
          <w:szCs w:val="24"/>
          <w:u w:val="single" w:color="auto"/>
        </w:rPr>
        <w:t xml:space="preserve"> </w:t>
      </w:r>
      <w:r>
        <w:rPr>
          <w:rFonts w:hint="eastAsia" w:ascii="仿宋" w:hAnsi="仿宋" w:eastAsia="仿宋" w:cs="仿宋"/>
          <w:spacing w:val="-96"/>
          <w:sz w:val="24"/>
          <w:szCs w:val="24"/>
          <w:u w:val="single" w:color="auto"/>
          <w:lang w:eastAsia="zh-CN"/>
        </w:rPr>
        <w:t>（采购人名称）</w:t>
      </w:r>
      <w:r>
        <w:rPr>
          <w:rFonts w:hint="eastAsia" w:ascii="仿宋" w:hAnsi="仿宋" w:eastAsia="仿宋" w:cs="仿宋"/>
          <w:spacing w:val="22"/>
          <w:sz w:val="24"/>
          <w:szCs w:val="24"/>
          <w:u w:val="single" w:color="auto"/>
        </w:rPr>
        <w:t xml:space="preserve"> </w:t>
      </w:r>
      <w:r>
        <w:rPr>
          <w:rFonts w:hint="eastAsia" w:ascii="仿宋" w:hAnsi="仿宋" w:eastAsia="仿宋" w:cs="仿宋"/>
          <w:spacing w:val="22"/>
          <w:sz w:val="24"/>
          <w:szCs w:val="24"/>
        </w:rPr>
        <w:t>单位的</w:t>
      </w:r>
      <w:r>
        <w:rPr>
          <w:rFonts w:hint="eastAsia" w:ascii="仿宋" w:hAnsi="仿宋" w:eastAsia="仿宋" w:cs="仿宋"/>
          <w:spacing w:val="-86"/>
          <w:sz w:val="24"/>
          <w:szCs w:val="24"/>
        </w:rPr>
        <w:t xml:space="preserve"> </w:t>
      </w:r>
      <w:r>
        <w:rPr>
          <w:rFonts w:hint="eastAsia" w:ascii="仿宋" w:hAnsi="仿宋" w:eastAsia="仿宋" w:cs="仿宋"/>
          <w:spacing w:val="5"/>
          <w:sz w:val="24"/>
          <w:szCs w:val="24"/>
          <w:u w:val="single" w:color="auto"/>
        </w:rPr>
        <w:t xml:space="preserve"> </w:t>
      </w:r>
      <w:r>
        <w:rPr>
          <w:rFonts w:hint="eastAsia" w:ascii="仿宋" w:hAnsi="仿宋" w:eastAsia="仿宋" w:cs="仿宋"/>
          <w:spacing w:val="-97"/>
          <w:sz w:val="24"/>
          <w:szCs w:val="24"/>
        </w:rPr>
        <w:t xml:space="preserve"> </w:t>
      </w:r>
      <w:r>
        <w:rPr>
          <w:rFonts w:hint="eastAsia" w:ascii="仿宋" w:hAnsi="仿宋" w:eastAsia="仿宋" w:cs="仿宋"/>
          <w:spacing w:val="5"/>
          <w:sz w:val="24"/>
          <w:szCs w:val="24"/>
          <w:u w:val="single" w:color="auto"/>
        </w:rPr>
        <w:t xml:space="preserve"> </w:t>
      </w:r>
      <w:r>
        <w:rPr>
          <w:rFonts w:hint="eastAsia" w:ascii="仿宋" w:hAnsi="仿宋" w:eastAsia="仿宋" w:cs="仿宋"/>
          <w:spacing w:val="-94"/>
          <w:sz w:val="24"/>
          <w:szCs w:val="24"/>
        </w:rPr>
        <w:t xml:space="preserve"> </w:t>
      </w:r>
      <w:r>
        <w:rPr>
          <w:rFonts w:hint="eastAsia" w:ascii="仿宋" w:hAnsi="仿宋" w:eastAsia="仿宋" w:cs="仿宋"/>
          <w:spacing w:val="4"/>
          <w:sz w:val="24"/>
          <w:szCs w:val="24"/>
          <w:u w:val="single" w:color="auto"/>
        </w:rPr>
        <w:t xml:space="preserve"> </w:t>
      </w:r>
      <w:r>
        <w:rPr>
          <w:rFonts w:hint="eastAsia" w:ascii="仿宋" w:hAnsi="仿宋" w:eastAsia="仿宋" w:cs="仿宋"/>
          <w:spacing w:val="-94"/>
          <w:sz w:val="24"/>
          <w:szCs w:val="24"/>
        </w:rPr>
        <w:t xml:space="preserve"> </w:t>
      </w:r>
      <w:r>
        <w:rPr>
          <w:rFonts w:hint="eastAsia" w:ascii="仿宋" w:hAnsi="仿宋" w:eastAsia="仿宋" w:cs="仿宋"/>
          <w:spacing w:val="4"/>
          <w:sz w:val="24"/>
          <w:szCs w:val="24"/>
          <w:u w:val="single" w:color="auto"/>
        </w:rPr>
        <w:t xml:space="preserve"> </w:t>
      </w:r>
      <w:r>
        <w:rPr>
          <w:rFonts w:hint="eastAsia" w:ascii="仿宋" w:hAnsi="仿宋" w:eastAsia="仿宋" w:cs="仿宋"/>
          <w:spacing w:val="-94"/>
          <w:sz w:val="24"/>
          <w:szCs w:val="24"/>
        </w:rPr>
        <w:t xml:space="preserve"> </w:t>
      </w:r>
      <w:r>
        <w:rPr>
          <w:rFonts w:hint="eastAsia" w:ascii="仿宋" w:hAnsi="仿宋" w:eastAsia="仿宋" w:cs="仿宋"/>
          <w:spacing w:val="22"/>
          <w:sz w:val="24"/>
          <w:szCs w:val="24"/>
          <w:u w:val="single" w:color="auto"/>
        </w:rPr>
        <w:t xml:space="preserve">  </w:t>
      </w:r>
      <w:r>
        <w:rPr>
          <w:rFonts w:hint="eastAsia" w:ascii="仿宋" w:hAnsi="仿宋" w:eastAsia="仿宋" w:cs="仿宋"/>
          <w:spacing w:val="22"/>
          <w:sz w:val="24"/>
          <w:szCs w:val="24"/>
        </w:rPr>
        <w:t>项目采购活动提供本单位制造</w:t>
      </w:r>
      <w:r>
        <w:rPr>
          <w:rFonts w:hint="eastAsia" w:ascii="仿宋" w:hAnsi="仿宋" w:eastAsia="仿宋" w:cs="仿宋"/>
          <w:spacing w:val="21"/>
          <w:sz w:val="24"/>
          <w:szCs w:val="24"/>
        </w:rPr>
        <w:t>的货物（由本单位承担工程/</w:t>
      </w:r>
      <w:r>
        <w:rPr>
          <w:rFonts w:hint="eastAsia" w:ascii="仿宋" w:hAnsi="仿宋" w:eastAsia="仿宋" w:cs="仿宋"/>
          <w:sz w:val="24"/>
          <w:szCs w:val="24"/>
        </w:rPr>
        <w:t xml:space="preserve"> </w:t>
      </w:r>
      <w:r>
        <w:rPr>
          <w:rFonts w:hint="eastAsia" w:ascii="仿宋" w:hAnsi="仿宋" w:eastAsia="仿宋" w:cs="仿宋"/>
          <w:spacing w:val="20"/>
          <w:sz w:val="24"/>
          <w:szCs w:val="24"/>
        </w:rPr>
        <w:t>提供服务</w:t>
      </w:r>
      <w:r>
        <w:rPr>
          <w:rFonts w:hint="eastAsia" w:ascii="仿宋" w:hAnsi="仿宋" w:eastAsia="仿宋" w:cs="仿宋"/>
          <w:spacing w:val="6"/>
          <w:sz w:val="24"/>
          <w:szCs w:val="24"/>
        </w:rPr>
        <w:t>）</w:t>
      </w:r>
      <w:r>
        <w:rPr>
          <w:rFonts w:hint="eastAsia" w:ascii="仿宋" w:hAnsi="仿宋" w:eastAsia="仿宋" w:cs="仿宋"/>
          <w:spacing w:val="-49"/>
          <w:sz w:val="24"/>
          <w:szCs w:val="24"/>
        </w:rPr>
        <w:t xml:space="preserve"> </w:t>
      </w:r>
      <w:r>
        <w:rPr>
          <w:rFonts w:hint="eastAsia" w:ascii="仿宋" w:hAnsi="仿宋" w:eastAsia="仿宋" w:cs="仿宋"/>
          <w:spacing w:val="6"/>
          <w:sz w:val="24"/>
          <w:szCs w:val="24"/>
        </w:rPr>
        <w:t>，</w:t>
      </w:r>
      <w:r>
        <w:rPr>
          <w:rFonts w:hint="eastAsia" w:ascii="仿宋" w:hAnsi="仿宋" w:eastAsia="仿宋" w:cs="仿宋"/>
          <w:spacing w:val="20"/>
          <w:sz w:val="24"/>
          <w:szCs w:val="24"/>
        </w:rPr>
        <w:t>或者提供其他残疾人福利性单位制造的货物（不包括使用非残疾人福利性单位</w:t>
      </w:r>
      <w:r>
        <w:rPr>
          <w:rFonts w:hint="eastAsia" w:ascii="仿宋" w:hAnsi="仿宋" w:eastAsia="仿宋" w:cs="仿宋"/>
          <w:spacing w:val="18"/>
          <w:sz w:val="24"/>
          <w:szCs w:val="24"/>
        </w:rPr>
        <w:t>注册商标的货物）。</w:t>
      </w:r>
    </w:p>
    <w:p w14:paraId="5E6136F9">
      <w:pPr>
        <w:pStyle w:val="4"/>
        <w:spacing w:line="275" w:lineRule="auto"/>
        <w:rPr>
          <w:rFonts w:hint="eastAsia" w:ascii="仿宋" w:hAnsi="仿宋" w:eastAsia="仿宋" w:cs="仿宋"/>
          <w:sz w:val="24"/>
          <w:szCs w:val="24"/>
        </w:rPr>
      </w:pPr>
    </w:p>
    <w:p w14:paraId="4E8E7F1D">
      <w:pPr>
        <w:spacing w:before="66" w:line="227" w:lineRule="auto"/>
        <w:ind w:left="452"/>
        <w:rPr>
          <w:rFonts w:hint="eastAsia" w:ascii="仿宋" w:hAnsi="仿宋" w:eastAsia="仿宋" w:cs="仿宋"/>
          <w:sz w:val="24"/>
          <w:szCs w:val="24"/>
        </w:rPr>
      </w:pPr>
      <w:r>
        <w:rPr>
          <w:rFonts w:hint="eastAsia" w:ascii="仿宋" w:hAnsi="仿宋" w:eastAsia="仿宋" w:cs="仿宋"/>
          <w:spacing w:val="19"/>
          <w:sz w:val="24"/>
          <w:szCs w:val="24"/>
        </w:rPr>
        <w:t>本单位对上述声明的真实性负责</w:t>
      </w:r>
      <w:r>
        <w:rPr>
          <w:rFonts w:hint="eastAsia" w:ascii="仿宋" w:hAnsi="仿宋" w:eastAsia="仿宋" w:cs="仿宋"/>
          <w:spacing w:val="-56"/>
          <w:sz w:val="24"/>
          <w:szCs w:val="24"/>
        </w:rPr>
        <w:t xml:space="preserve"> </w:t>
      </w:r>
      <w:r>
        <w:rPr>
          <w:rFonts w:hint="eastAsia" w:ascii="仿宋" w:hAnsi="仿宋" w:eastAsia="仿宋" w:cs="仿宋"/>
          <w:spacing w:val="19"/>
          <w:sz w:val="24"/>
          <w:szCs w:val="24"/>
        </w:rPr>
        <w:t>。如有虚假，将依法承担相应责任。</w:t>
      </w:r>
    </w:p>
    <w:p w14:paraId="3872586B">
      <w:pPr>
        <w:pStyle w:val="4"/>
        <w:spacing w:line="296" w:lineRule="auto"/>
        <w:rPr>
          <w:rFonts w:hint="eastAsia" w:ascii="仿宋" w:hAnsi="仿宋" w:eastAsia="仿宋" w:cs="仿宋"/>
          <w:sz w:val="24"/>
          <w:szCs w:val="24"/>
        </w:rPr>
      </w:pPr>
    </w:p>
    <w:p w14:paraId="6CCC7E79">
      <w:pPr>
        <w:pStyle w:val="4"/>
        <w:spacing w:line="296" w:lineRule="auto"/>
        <w:rPr>
          <w:rFonts w:hint="eastAsia" w:ascii="仿宋" w:hAnsi="仿宋" w:eastAsia="仿宋" w:cs="仿宋"/>
          <w:sz w:val="24"/>
          <w:szCs w:val="24"/>
        </w:rPr>
      </w:pPr>
    </w:p>
    <w:p w14:paraId="7F5CF849">
      <w:pPr>
        <w:pStyle w:val="4"/>
        <w:spacing w:line="297" w:lineRule="auto"/>
        <w:rPr>
          <w:rFonts w:hint="eastAsia" w:ascii="仿宋" w:hAnsi="仿宋" w:eastAsia="仿宋" w:cs="仿宋"/>
          <w:sz w:val="24"/>
          <w:szCs w:val="24"/>
        </w:rPr>
      </w:pPr>
    </w:p>
    <w:p w14:paraId="2C72CFDD">
      <w:pPr>
        <w:pStyle w:val="4"/>
        <w:spacing w:line="297" w:lineRule="auto"/>
        <w:rPr>
          <w:rFonts w:hint="eastAsia" w:ascii="仿宋" w:hAnsi="仿宋" w:eastAsia="仿宋" w:cs="仿宋"/>
          <w:sz w:val="24"/>
          <w:szCs w:val="24"/>
        </w:rPr>
      </w:pPr>
    </w:p>
    <w:p w14:paraId="2F402712">
      <w:pPr>
        <w:spacing w:before="65" w:line="221" w:lineRule="auto"/>
        <w:ind w:left="2611"/>
        <w:rPr>
          <w:rFonts w:hint="eastAsia" w:ascii="仿宋" w:hAnsi="仿宋" w:eastAsia="仿宋" w:cs="仿宋"/>
          <w:sz w:val="24"/>
          <w:szCs w:val="24"/>
        </w:rPr>
      </w:pPr>
      <w:r>
        <w:rPr>
          <w:rFonts w:hint="eastAsia" w:ascii="仿宋" w:hAnsi="仿宋" w:eastAsia="仿宋" w:cs="仿宋"/>
          <w:spacing w:val="19"/>
          <w:sz w:val="24"/>
          <w:szCs w:val="24"/>
        </w:rPr>
        <w:t>供应商名称（盖公章）：</w:t>
      </w:r>
      <w:r>
        <w:rPr>
          <w:rFonts w:hint="eastAsia" w:ascii="仿宋" w:hAnsi="仿宋" w:eastAsia="仿宋" w:cs="仿宋"/>
          <w:spacing w:val="1"/>
          <w:sz w:val="24"/>
          <w:szCs w:val="24"/>
          <w:u w:val="single" w:color="auto"/>
        </w:rPr>
        <w:t xml:space="preserve">                             </w:t>
      </w:r>
      <w:r>
        <w:rPr>
          <w:rFonts w:hint="eastAsia" w:ascii="仿宋" w:hAnsi="仿宋" w:eastAsia="仿宋" w:cs="仿宋"/>
          <w:spacing w:val="-87"/>
          <w:sz w:val="24"/>
          <w:szCs w:val="24"/>
        </w:rPr>
        <w:t xml:space="preserve"> </w:t>
      </w:r>
    </w:p>
    <w:p w14:paraId="4E0CF06F">
      <w:pPr>
        <w:spacing w:before="35" w:line="250" w:lineRule="auto"/>
        <w:ind w:left="2612"/>
        <w:rPr>
          <w:rFonts w:hint="eastAsia" w:ascii="仿宋" w:hAnsi="仿宋" w:eastAsia="仿宋" w:cs="仿宋"/>
          <w:sz w:val="24"/>
          <w:szCs w:val="24"/>
        </w:rPr>
      </w:pPr>
      <w:r>
        <w:rPr>
          <w:rFonts w:hint="eastAsia" w:ascii="仿宋" w:hAnsi="仿宋" w:eastAsia="仿宋" w:cs="仿宋"/>
          <w:spacing w:val="19"/>
          <w:sz w:val="24"/>
          <w:szCs w:val="24"/>
        </w:rPr>
        <w:t>法定代表人或其授权委托人(签字)：</w:t>
      </w:r>
      <w:r>
        <w:rPr>
          <w:rFonts w:hint="eastAsia" w:ascii="仿宋" w:hAnsi="仿宋" w:eastAsia="仿宋" w:cs="仿宋"/>
          <w:spacing w:val="7"/>
          <w:sz w:val="24"/>
          <w:szCs w:val="24"/>
          <w:u w:val="single" w:color="auto"/>
        </w:rPr>
        <w:t xml:space="preserve">  </w:t>
      </w:r>
      <w:r>
        <w:rPr>
          <w:rFonts w:hint="eastAsia" w:ascii="仿宋" w:hAnsi="仿宋" w:eastAsia="仿宋" w:cs="仿宋"/>
          <w:spacing w:val="7"/>
          <w:sz w:val="24"/>
          <w:szCs w:val="24"/>
          <w:u w:val="single" w:color="auto"/>
          <w:lang w:val="en-US" w:eastAsia="zh-CN"/>
        </w:rPr>
        <w:t xml:space="preserve">            </w:t>
      </w:r>
      <w:r>
        <w:rPr>
          <w:rFonts w:hint="eastAsia" w:ascii="仿宋" w:hAnsi="仿宋" w:eastAsia="仿宋" w:cs="仿宋"/>
          <w:spacing w:val="7"/>
          <w:sz w:val="24"/>
          <w:szCs w:val="24"/>
          <w:u w:val="single" w:color="auto"/>
        </w:rPr>
        <w:t xml:space="preserve">    </w:t>
      </w:r>
    </w:p>
    <w:p w14:paraId="6AD0E562">
      <w:pPr>
        <w:tabs>
          <w:tab w:val="left" w:pos="4665"/>
        </w:tabs>
        <w:spacing w:before="1" w:line="227" w:lineRule="auto"/>
        <w:ind w:left="3720" w:firstLine="232" w:firstLineChars="400"/>
        <w:rPr>
          <w:rFonts w:hint="eastAsia" w:ascii="仿宋" w:hAnsi="仿宋" w:eastAsia="仿宋" w:cs="仿宋"/>
          <w:sz w:val="24"/>
          <w:szCs w:val="24"/>
        </w:rPr>
      </w:pPr>
      <w:r>
        <w:rPr>
          <w:rFonts w:hint="eastAsia" w:ascii="仿宋" w:hAnsi="仿宋" w:eastAsia="仿宋" w:cs="仿宋"/>
          <w:spacing w:val="-91"/>
          <w:sz w:val="24"/>
          <w:szCs w:val="24"/>
        </w:rPr>
        <w:t xml:space="preserve"> </w:t>
      </w:r>
      <w:r>
        <w:rPr>
          <w:rFonts w:hint="eastAsia" w:ascii="仿宋" w:hAnsi="仿宋" w:eastAsia="仿宋" w:cs="仿宋"/>
          <w:spacing w:val="19"/>
          <w:sz w:val="24"/>
          <w:szCs w:val="24"/>
        </w:rPr>
        <w:t>年</w:t>
      </w:r>
      <w:r>
        <w:rPr>
          <w:rFonts w:hint="eastAsia" w:ascii="仿宋" w:hAnsi="仿宋" w:eastAsia="仿宋" w:cs="仿宋"/>
          <w:spacing w:val="-98"/>
          <w:sz w:val="24"/>
          <w:szCs w:val="24"/>
        </w:rPr>
        <w:t xml:space="preserve"> </w:t>
      </w:r>
      <w:r>
        <w:rPr>
          <w:rFonts w:hint="eastAsia" w:ascii="仿宋" w:hAnsi="仿宋" w:eastAsia="仿宋" w:cs="仿宋"/>
          <w:spacing w:val="4"/>
          <w:sz w:val="24"/>
          <w:szCs w:val="24"/>
          <w:u w:val="none" w:color="auto"/>
          <w:lang w:val="en-US" w:eastAsia="zh-CN"/>
        </w:rPr>
        <w:t xml:space="preserve">  </w:t>
      </w:r>
      <w:r>
        <w:rPr>
          <w:rFonts w:hint="eastAsia" w:ascii="仿宋" w:hAnsi="仿宋" w:eastAsia="仿宋" w:cs="仿宋"/>
          <w:spacing w:val="-84"/>
          <w:sz w:val="24"/>
          <w:szCs w:val="24"/>
          <w:u w:val="none" w:color="auto"/>
        </w:rPr>
        <w:t xml:space="preserve"> </w:t>
      </w:r>
      <w:r>
        <w:rPr>
          <w:rFonts w:hint="eastAsia" w:ascii="仿宋" w:hAnsi="仿宋" w:eastAsia="仿宋" w:cs="仿宋"/>
          <w:spacing w:val="19"/>
          <w:sz w:val="24"/>
          <w:szCs w:val="24"/>
        </w:rPr>
        <w:t>月</w:t>
      </w:r>
      <w:r>
        <w:rPr>
          <w:rFonts w:hint="eastAsia" w:ascii="仿宋" w:hAnsi="仿宋" w:eastAsia="仿宋" w:cs="仿宋"/>
          <w:spacing w:val="-99"/>
          <w:sz w:val="24"/>
          <w:szCs w:val="24"/>
        </w:rPr>
        <w:t xml:space="preserve"> </w:t>
      </w:r>
      <w:r>
        <w:rPr>
          <w:rFonts w:hint="eastAsia" w:ascii="仿宋" w:hAnsi="仿宋" w:eastAsia="仿宋" w:cs="仿宋"/>
          <w:spacing w:val="5"/>
          <w:sz w:val="24"/>
          <w:szCs w:val="24"/>
          <w:u w:val="none" w:color="auto"/>
        </w:rPr>
        <w:t xml:space="preserve">  </w:t>
      </w:r>
      <w:r>
        <w:rPr>
          <w:rFonts w:hint="eastAsia" w:ascii="仿宋" w:hAnsi="仿宋" w:eastAsia="仿宋" w:cs="仿宋"/>
          <w:spacing w:val="-55"/>
          <w:sz w:val="24"/>
          <w:szCs w:val="24"/>
        </w:rPr>
        <w:t xml:space="preserve"> </w:t>
      </w:r>
      <w:r>
        <w:rPr>
          <w:rFonts w:hint="eastAsia" w:ascii="仿宋" w:hAnsi="仿宋" w:eastAsia="仿宋" w:cs="仿宋"/>
          <w:spacing w:val="19"/>
          <w:sz w:val="24"/>
          <w:szCs w:val="24"/>
        </w:rPr>
        <w:t>日</w:t>
      </w:r>
    </w:p>
    <w:p w14:paraId="648F5C7D">
      <w:pPr>
        <w:pStyle w:val="4"/>
        <w:spacing w:line="262" w:lineRule="auto"/>
        <w:rPr>
          <w:rFonts w:hint="eastAsia" w:ascii="仿宋" w:hAnsi="仿宋" w:eastAsia="仿宋" w:cs="仿宋"/>
          <w:sz w:val="24"/>
          <w:szCs w:val="24"/>
        </w:rPr>
      </w:pPr>
    </w:p>
    <w:p w14:paraId="107C9F86">
      <w:pPr>
        <w:pStyle w:val="4"/>
        <w:spacing w:line="262" w:lineRule="auto"/>
        <w:rPr>
          <w:rFonts w:hint="eastAsia" w:ascii="仿宋" w:hAnsi="仿宋" w:eastAsia="仿宋" w:cs="仿宋"/>
          <w:sz w:val="24"/>
          <w:szCs w:val="24"/>
        </w:rPr>
      </w:pPr>
    </w:p>
    <w:p w14:paraId="4698713D">
      <w:pPr>
        <w:pStyle w:val="4"/>
        <w:spacing w:line="263" w:lineRule="auto"/>
        <w:rPr>
          <w:rFonts w:hint="eastAsia" w:ascii="仿宋" w:hAnsi="仿宋" w:eastAsia="仿宋" w:cs="仿宋"/>
          <w:sz w:val="24"/>
          <w:szCs w:val="24"/>
        </w:rPr>
      </w:pPr>
    </w:p>
    <w:p w14:paraId="58BEEDC5">
      <w:pPr>
        <w:spacing w:before="58" w:line="233" w:lineRule="auto"/>
        <w:ind w:left="6" w:firstLine="362"/>
        <w:jc w:val="both"/>
        <w:rPr>
          <w:rFonts w:hint="eastAsia" w:ascii="仿宋" w:hAnsi="仿宋" w:eastAsia="仿宋" w:cs="仿宋"/>
          <w:sz w:val="24"/>
          <w:szCs w:val="24"/>
        </w:rPr>
      </w:pPr>
      <w:r>
        <w:rPr>
          <w:rFonts w:hint="eastAsia" w:ascii="仿宋" w:hAnsi="仿宋" w:eastAsia="仿宋" w:cs="仿宋"/>
          <w:spacing w:val="-1"/>
          <w:sz w:val="24"/>
          <w:szCs w:val="24"/>
          <w14:textOutline w14:w="3268" w14:cap="sq" w14:cmpd="sng">
            <w14:solidFill>
              <w14:srgbClr w14:val="000000"/>
            </w14:solidFill>
            <w14:prstDash w14:val="solid"/>
            <w14:bevel/>
          </w14:textOutline>
        </w:rPr>
        <w:t>说明</w:t>
      </w:r>
      <w:r>
        <w:rPr>
          <w:rFonts w:hint="eastAsia" w:ascii="仿宋" w:hAnsi="仿宋" w:eastAsia="仿宋" w:cs="仿宋"/>
          <w:spacing w:val="-1"/>
          <w:sz w:val="24"/>
          <w:szCs w:val="24"/>
        </w:rPr>
        <w:t>：填写本声明函时应详细阅读《财政部</w:t>
      </w:r>
      <w:r>
        <w:rPr>
          <w:rFonts w:hint="eastAsia" w:ascii="仿宋" w:hAnsi="仿宋" w:eastAsia="仿宋" w:cs="仿宋"/>
          <w:spacing w:val="34"/>
          <w:sz w:val="24"/>
          <w:szCs w:val="24"/>
        </w:rPr>
        <w:t xml:space="preserve"> </w:t>
      </w:r>
      <w:r>
        <w:rPr>
          <w:rFonts w:hint="eastAsia" w:ascii="仿宋" w:hAnsi="仿宋" w:eastAsia="仿宋" w:cs="仿宋"/>
          <w:spacing w:val="-1"/>
          <w:sz w:val="24"/>
          <w:szCs w:val="24"/>
        </w:rPr>
        <w:t>民政部</w:t>
      </w:r>
      <w:r>
        <w:rPr>
          <w:rFonts w:hint="eastAsia" w:ascii="仿宋" w:hAnsi="仿宋" w:eastAsia="仿宋" w:cs="仿宋"/>
          <w:spacing w:val="28"/>
          <w:sz w:val="24"/>
          <w:szCs w:val="24"/>
        </w:rPr>
        <w:t xml:space="preserve"> </w:t>
      </w:r>
      <w:r>
        <w:rPr>
          <w:rFonts w:hint="eastAsia" w:ascii="仿宋" w:hAnsi="仿宋" w:eastAsia="仿宋" w:cs="仿宋"/>
          <w:spacing w:val="-1"/>
          <w:sz w:val="24"/>
          <w:szCs w:val="24"/>
        </w:rPr>
        <w:t>中国残疾人联合会关于促进残疾人就业政府采购政策的</w:t>
      </w:r>
      <w:r>
        <w:rPr>
          <w:rFonts w:hint="eastAsia" w:ascii="仿宋" w:hAnsi="仿宋" w:eastAsia="仿宋" w:cs="仿宋"/>
          <w:sz w:val="24"/>
          <w:szCs w:val="24"/>
        </w:rPr>
        <w:t xml:space="preserve"> </w:t>
      </w:r>
      <w:r>
        <w:rPr>
          <w:rFonts w:hint="eastAsia" w:ascii="仿宋" w:hAnsi="仿宋" w:eastAsia="仿宋" w:cs="仿宋"/>
          <w:spacing w:val="-1"/>
          <w:sz w:val="24"/>
          <w:szCs w:val="24"/>
        </w:rPr>
        <w:t>通知》（财库〔2017〕 141</w:t>
      </w:r>
      <w:r>
        <w:rPr>
          <w:rFonts w:hint="eastAsia" w:ascii="仿宋" w:hAnsi="仿宋" w:eastAsia="仿宋" w:cs="仿宋"/>
          <w:spacing w:val="-33"/>
          <w:sz w:val="24"/>
          <w:szCs w:val="24"/>
        </w:rPr>
        <w:t xml:space="preserve"> </w:t>
      </w:r>
      <w:r>
        <w:rPr>
          <w:rFonts w:hint="eastAsia" w:ascii="仿宋" w:hAnsi="仿宋" w:eastAsia="仿宋" w:cs="仿宋"/>
          <w:spacing w:val="-1"/>
          <w:sz w:val="24"/>
          <w:szCs w:val="24"/>
        </w:rPr>
        <w:t>号</w:t>
      </w:r>
      <w:r>
        <w:rPr>
          <w:rFonts w:hint="eastAsia" w:ascii="仿宋" w:hAnsi="仿宋" w:eastAsia="仿宋" w:cs="仿宋"/>
          <w:spacing w:val="6"/>
          <w:sz w:val="24"/>
          <w:szCs w:val="24"/>
        </w:rPr>
        <w:t>），</w:t>
      </w:r>
      <w:r>
        <w:rPr>
          <w:rFonts w:hint="eastAsia" w:ascii="仿宋" w:hAnsi="仿宋" w:eastAsia="仿宋" w:cs="仿宋"/>
          <w:spacing w:val="-1"/>
          <w:sz w:val="24"/>
          <w:szCs w:val="24"/>
        </w:rPr>
        <w:t>供应商不满足此要求则无须提供，一旦提供将视为满足其要求，如有虚假，将</w:t>
      </w:r>
      <w:r>
        <w:rPr>
          <w:rFonts w:hint="eastAsia" w:ascii="仿宋" w:hAnsi="仿宋" w:eastAsia="仿宋" w:cs="仿宋"/>
          <w:sz w:val="24"/>
          <w:szCs w:val="24"/>
        </w:rPr>
        <w:t xml:space="preserve"> </w:t>
      </w:r>
      <w:r>
        <w:rPr>
          <w:rFonts w:hint="eastAsia" w:ascii="仿宋" w:hAnsi="仿宋" w:eastAsia="仿宋" w:cs="仿宋"/>
          <w:spacing w:val="-1"/>
          <w:sz w:val="24"/>
          <w:szCs w:val="24"/>
        </w:rPr>
        <w:t>依法承担相应责任。</w:t>
      </w:r>
    </w:p>
    <w:p w14:paraId="4C03868F">
      <w:pPr>
        <w:spacing w:line="233" w:lineRule="auto"/>
        <w:rPr>
          <w:rFonts w:ascii="宋体" w:hAnsi="宋体" w:eastAsia="宋体" w:cs="宋体"/>
          <w:sz w:val="24"/>
          <w:szCs w:val="24"/>
        </w:rPr>
        <w:sectPr>
          <w:footerReference r:id="rId14" w:type="default"/>
          <w:pgSz w:w="11905" w:h="16838"/>
          <w:pgMar w:top="1440" w:right="1786" w:bottom="1440" w:left="1786" w:header="850" w:footer="850" w:gutter="0"/>
          <w:pgNumType w:fmt="decimal"/>
          <w:cols w:space="0" w:num="1"/>
          <w:rtlGutter w:val="0"/>
          <w:docGrid w:linePitch="0" w:charSpace="0"/>
        </w:sectPr>
      </w:pPr>
    </w:p>
    <w:p w14:paraId="228C3242">
      <w:pPr>
        <w:spacing w:before="49" w:line="223" w:lineRule="auto"/>
        <w:ind w:left="3695"/>
        <w:rPr>
          <w:rFonts w:ascii="仿宋" w:hAnsi="仿宋" w:eastAsia="仿宋" w:cs="仿宋"/>
          <w:sz w:val="24"/>
          <w:szCs w:val="24"/>
        </w:rPr>
      </w:pPr>
      <w:r>
        <w:rPr>
          <w:rFonts w:ascii="仿宋" w:hAnsi="仿宋" w:eastAsia="仿宋" w:cs="仿宋"/>
          <w:spacing w:val="-3"/>
          <w:sz w:val="24"/>
          <w:szCs w:val="24"/>
        </w:rPr>
        <w:t>（三）监狱企业声明函</w:t>
      </w:r>
    </w:p>
    <w:p w14:paraId="6740117E">
      <w:pPr>
        <w:pStyle w:val="4"/>
        <w:spacing w:line="296" w:lineRule="auto"/>
        <w:rPr>
          <w:sz w:val="24"/>
          <w:szCs w:val="24"/>
        </w:rPr>
      </w:pPr>
    </w:p>
    <w:p w14:paraId="209D1273">
      <w:pPr>
        <w:pStyle w:val="4"/>
        <w:spacing w:line="296" w:lineRule="auto"/>
        <w:rPr>
          <w:sz w:val="24"/>
          <w:szCs w:val="24"/>
        </w:rPr>
      </w:pPr>
    </w:p>
    <w:p w14:paraId="1D7D73A0">
      <w:pPr>
        <w:spacing w:before="65" w:line="576" w:lineRule="auto"/>
        <w:ind w:left="26" w:firstLine="432"/>
        <w:jc w:val="both"/>
        <w:rPr>
          <w:rFonts w:ascii="仿宋" w:hAnsi="仿宋" w:eastAsia="仿宋" w:cs="仿宋"/>
          <w:sz w:val="24"/>
          <w:szCs w:val="24"/>
        </w:rPr>
      </w:pPr>
      <w:r>
        <w:rPr>
          <w:rFonts w:ascii="仿宋" w:hAnsi="仿宋" w:eastAsia="仿宋" w:cs="仿宋"/>
          <w:spacing w:val="11"/>
          <w:sz w:val="24"/>
          <w:szCs w:val="24"/>
        </w:rPr>
        <w:t>本单位郑重声明</w:t>
      </w:r>
      <w:r>
        <w:rPr>
          <w:rFonts w:ascii="仿宋" w:hAnsi="仿宋" w:eastAsia="仿宋" w:cs="仿宋"/>
          <w:spacing w:val="-59"/>
          <w:sz w:val="24"/>
          <w:szCs w:val="24"/>
        </w:rPr>
        <w:t xml:space="preserve"> </w:t>
      </w:r>
      <w:r>
        <w:rPr>
          <w:rFonts w:ascii="仿宋" w:hAnsi="仿宋" w:eastAsia="仿宋" w:cs="仿宋"/>
          <w:spacing w:val="11"/>
          <w:sz w:val="24"/>
          <w:szCs w:val="24"/>
        </w:rPr>
        <w:t>，根据《关于政府采购支持监狱企业发展有关问题的通知》（财</w:t>
      </w:r>
      <w:r>
        <w:rPr>
          <w:rFonts w:ascii="仿宋" w:hAnsi="仿宋" w:eastAsia="仿宋" w:cs="仿宋"/>
          <w:spacing w:val="10"/>
          <w:sz w:val="24"/>
          <w:szCs w:val="24"/>
        </w:rPr>
        <w:t>库〔2014〕 68</w:t>
      </w:r>
      <w:r>
        <w:rPr>
          <w:rFonts w:ascii="仿宋" w:hAnsi="仿宋" w:eastAsia="仿宋" w:cs="仿宋"/>
          <w:spacing w:val="-27"/>
          <w:sz w:val="24"/>
          <w:szCs w:val="24"/>
        </w:rPr>
        <w:t xml:space="preserve"> </w:t>
      </w:r>
      <w:r>
        <w:rPr>
          <w:rFonts w:ascii="仿宋" w:hAnsi="仿宋" w:eastAsia="仿宋" w:cs="仿宋"/>
          <w:spacing w:val="10"/>
          <w:sz w:val="24"/>
          <w:szCs w:val="24"/>
        </w:rPr>
        <w:t>号）</w:t>
      </w:r>
      <w:r>
        <w:rPr>
          <w:rFonts w:ascii="仿宋" w:hAnsi="仿宋" w:eastAsia="仿宋" w:cs="仿宋"/>
          <w:sz w:val="24"/>
          <w:szCs w:val="24"/>
        </w:rPr>
        <w:t xml:space="preserve"> </w:t>
      </w:r>
      <w:r>
        <w:rPr>
          <w:rFonts w:ascii="仿宋" w:hAnsi="仿宋" w:eastAsia="仿宋" w:cs="仿宋"/>
          <w:spacing w:val="17"/>
          <w:sz w:val="24"/>
          <w:szCs w:val="24"/>
        </w:rPr>
        <w:t>的规定</w:t>
      </w:r>
      <w:r>
        <w:rPr>
          <w:rFonts w:ascii="仿宋" w:hAnsi="仿宋" w:eastAsia="仿宋" w:cs="仿宋"/>
          <w:spacing w:val="-50"/>
          <w:sz w:val="24"/>
          <w:szCs w:val="24"/>
        </w:rPr>
        <w:t xml:space="preserve"> </w:t>
      </w:r>
      <w:r>
        <w:rPr>
          <w:rFonts w:ascii="仿宋" w:hAnsi="仿宋" w:eastAsia="仿宋" w:cs="仿宋"/>
          <w:spacing w:val="17"/>
          <w:sz w:val="24"/>
          <w:szCs w:val="24"/>
        </w:rPr>
        <w:t>，本单位为符合条件的监狱单位</w:t>
      </w:r>
      <w:r>
        <w:rPr>
          <w:rFonts w:ascii="仿宋" w:hAnsi="仿宋" w:eastAsia="仿宋" w:cs="仿宋"/>
          <w:spacing w:val="-57"/>
          <w:sz w:val="24"/>
          <w:szCs w:val="24"/>
        </w:rPr>
        <w:t xml:space="preserve"> </w:t>
      </w:r>
      <w:r>
        <w:rPr>
          <w:rFonts w:ascii="仿宋" w:hAnsi="仿宋" w:eastAsia="仿宋" w:cs="仿宋"/>
          <w:spacing w:val="17"/>
          <w:sz w:val="24"/>
          <w:szCs w:val="24"/>
        </w:rPr>
        <w:t>，且本单位参加</w:t>
      </w:r>
      <w:r>
        <w:rPr>
          <w:rFonts w:ascii="仿宋" w:hAnsi="仿宋" w:eastAsia="仿宋" w:cs="仿宋"/>
          <w:spacing w:val="-85"/>
          <w:sz w:val="24"/>
          <w:szCs w:val="24"/>
        </w:rPr>
        <w:t xml:space="preserve"> </w:t>
      </w:r>
      <w:r>
        <w:rPr>
          <w:rFonts w:ascii="仿宋" w:hAnsi="仿宋" w:eastAsia="仿宋" w:cs="仿宋"/>
          <w:spacing w:val="4"/>
          <w:sz w:val="24"/>
          <w:szCs w:val="24"/>
          <w:u w:val="single" w:color="auto"/>
        </w:rPr>
        <w:t xml:space="preserve"> </w:t>
      </w:r>
      <w:r>
        <w:rPr>
          <w:rFonts w:hint="eastAsia" w:ascii="仿宋" w:hAnsi="仿宋" w:eastAsia="仿宋" w:cs="仿宋"/>
          <w:spacing w:val="-96"/>
          <w:sz w:val="24"/>
          <w:szCs w:val="24"/>
          <w:u w:val="single" w:color="auto"/>
          <w:lang w:eastAsia="zh-CN"/>
        </w:rPr>
        <w:t>（采购人名称）</w:t>
      </w:r>
      <w:r>
        <w:rPr>
          <w:rFonts w:ascii="仿宋" w:hAnsi="仿宋" w:eastAsia="仿宋" w:cs="仿宋"/>
          <w:spacing w:val="17"/>
          <w:sz w:val="24"/>
          <w:szCs w:val="24"/>
          <w:u w:val="single" w:color="auto"/>
        </w:rPr>
        <w:t xml:space="preserve">  </w:t>
      </w:r>
      <w:r>
        <w:rPr>
          <w:rFonts w:ascii="仿宋" w:hAnsi="仿宋" w:eastAsia="仿宋" w:cs="仿宋"/>
          <w:spacing w:val="17"/>
          <w:sz w:val="24"/>
          <w:szCs w:val="24"/>
        </w:rPr>
        <w:t>单位的</w:t>
      </w:r>
      <w:r>
        <w:rPr>
          <w:rFonts w:ascii="仿宋" w:hAnsi="仿宋" w:eastAsia="仿宋" w:cs="仿宋"/>
          <w:spacing w:val="-88"/>
          <w:sz w:val="24"/>
          <w:szCs w:val="24"/>
        </w:rPr>
        <w:t xml:space="preserve"> </w:t>
      </w:r>
      <w:r>
        <w:rPr>
          <w:rFonts w:ascii="仿宋" w:hAnsi="仿宋" w:eastAsia="仿宋" w:cs="仿宋"/>
          <w:spacing w:val="4"/>
          <w:sz w:val="24"/>
          <w:szCs w:val="24"/>
          <w:u w:val="single" w:color="auto"/>
        </w:rPr>
        <w:t xml:space="preserve"> </w:t>
      </w:r>
      <w:r>
        <w:rPr>
          <w:rFonts w:hint="eastAsia" w:ascii="仿宋" w:hAnsi="仿宋" w:eastAsia="仿宋" w:cs="仿宋"/>
          <w:spacing w:val="-96"/>
          <w:sz w:val="24"/>
          <w:szCs w:val="24"/>
          <w:u w:val="single" w:color="auto"/>
          <w:lang w:eastAsia="zh-CN"/>
        </w:rPr>
        <w:t>（标项名称）</w:t>
      </w:r>
      <w:r>
        <w:rPr>
          <w:rFonts w:ascii="仿宋" w:hAnsi="仿宋" w:eastAsia="仿宋" w:cs="仿宋"/>
          <w:spacing w:val="17"/>
          <w:sz w:val="24"/>
          <w:szCs w:val="24"/>
          <w:u w:val="single" w:color="auto"/>
        </w:rPr>
        <w:t xml:space="preserve"> </w:t>
      </w:r>
      <w:r>
        <w:rPr>
          <w:rFonts w:ascii="仿宋" w:hAnsi="仿宋" w:eastAsia="仿宋" w:cs="仿宋"/>
          <w:spacing w:val="17"/>
          <w:sz w:val="24"/>
          <w:szCs w:val="24"/>
        </w:rPr>
        <w:t>项目采购活动提供本单位</w:t>
      </w:r>
      <w:r>
        <w:rPr>
          <w:rFonts w:ascii="仿宋" w:hAnsi="仿宋" w:eastAsia="仿宋" w:cs="仿宋"/>
          <w:spacing w:val="19"/>
          <w:sz w:val="24"/>
          <w:szCs w:val="24"/>
        </w:rPr>
        <w:t>制造的货物（由本单位承担工程/提供服务）。</w:t>
      </w:r>
    </w:p>
    <w:p w14:paraId="334A7CA4">
      <w:pPr>
        <w:pStyle w:val="4"/>
        <w:spacing w:line="308" w:lineRule="auto"/>
        <w:rPr>
          <w:sz w:val="24"/>
          <w:szCs w:val="24"/>
        </w:rPr>
      </w:pPr>
    </w:p>
    <w:p w14:paraId="135B3028">
      <w:pPr>
        <w:spacing w:before="65" w:line="229" w:lineRule="auto"/>
        <w:ind w:left="214"/>
        <w:rPr>
          <w:rFonts w:ascii="仿宋" w:hAnsi="仿宋" w:eastAsia="仿宋" w:cs="仿宋"/>
          <w:sz w:val="24"/>
          <w:szCs w:val="24"/>
        </w:rPr>
      </w:pPr>
      <w:r>
        <w:rPr>
          <w:rFonts w:ascii="仿宋" w:hAnsi="仿宋" w:eastAsia="仿宋" w:cs="仿宋"/>
          <w:spacing w:val="17"/>
          <w:sz w:val="24"/>
          <w:szCs w:val="24"/>
        </w:rPr>
        <w:t>本单位对上述声明的真实性负责</w:t>
      </w:r>
      <w:r>
        <w:rPr>
          <w:rFonts w:ascii="仿宋" w:hAnsi="仿宋" w:eastAsia="仿宋" w:cs="仿宋"/>
          <w:spacing w:val="-42"/>
          <w:sz w:val="24"/>
          <w:szCs w:val="24"/>
        </w:rPr>
        <w:t xml:space="preserve"> </w:t>
      </w:r>
      <w:r>
        <w:rPr>
          <w:rFonts w:ascii="仿宋" w:hAnsi="仿宋" w:eastAsia="仿宋" w:cs="仿宋"/>
          <w:spacing w:val="17"/>
          <w:sz w:val="24"/>
          <w:szCs w:val="24"/>
        </w:rPr>
        <w:t>。如有虚假</w:t>
      </w:r>
      <w:r>
        <w:rPr>
          <w:rFonts w:ascii="仿宋" w:hAnsi="仿宋" w:eastAsia="仿宋" w:cs="仿宋"/>
          <w:spacing w:val="-59"/>
          <w:sz w:val="24"/>
          <w:szCs w:val="24"/>
        </w:rPr>
        <w:t xml:space="preserve"> </w:t>
      </w:r>
      <w:r>
        <w:rPr>
          <w:rFonts w:ascii="仿宋" w:hAnsi="仿宋" w:eastAsia="仿宋" w:cs="仿宋"/>
          <w:spacing w:val="17"/>
          <w:sz w:val="24"/>
          <w:szCs w:val="24"/>
        </w:rPr>
        <w:t>，将依法承担相应责任。</w:t>
      </w:r>
    </w:p>
    <w:p w14:paraId="4389B049">
      <w:pPr>
        <w:pStyle w:val="4"/>
        <w:spacing w:line="242" w:lineRule="auto"/>
        <w:rPr>
          <w:sz w:val="24"/>
          <w:szCs w:val="24"/>
        </w:rPr>
      </w:pPr>
    </w:p>
    <w:p w14:paraId="72E78C0E">
      <w:pPr>
        <w:pStyle w:val="4"/>
        <w:spacing w:line="243" w:lineRule="auto"/>
        <w:rPr>
          <w:sz w:val="24"/>
          <w:szCs w:val="24"/>
        </w:rPr>
      </w:pPr>
    </w:p>
    <w:p w14:paraId="7C4B8AC6">
      <w:pPr>
        <w:pStyle w:val="4"/>
        <w:spacing w:line="243" w:lineRule="auto"/>
        <w:rPr>
          <w:sz w:val="24"/>
          <w:szCs w:val="24"/>
        </w:rPr>
      </w:pPr>
    </w:p>
    <w:p w14:paraId="602D980E">
      <w:pPr>
        <w:pStyle w:val="4"/>
        <w:spacing w:line="243" w:lineRule="auto"/>
        <w:rPr>
          <w:sz w:val="24"/>
          <w:szCs w:val="24"/>
        </w:rPr>
      </w:pPr>
    </w:p>
    <w:p w14:paraId="536DD0F7">
      <w:pPr>
        <w:pStyle w:val="4"/>
        <w:spacing w:line="243" w:lineRule="auto"/>
        <w:rPr>
          <w:sz w:val="24"/>
          <w:szCs w:val="24"/>
        </w:rPr>
      </w:pPr>
    </w:p>
    <w:p w14:paraId="7259F94E">
      <w:pPr>
        <w:pStyle w:val="4"/>
        <w:spacing w:line="243" w:lineRule="auto"/>
        <w:rPr>
          <w:sz w:val="24"/>
          <w:szCs w:val="24"/>
        </w:rPr>
      </w:pPr>
    </w:p>
    <w:p w14:paraId="7DBA2EE5">
      <w:pPr>
        <w:pStyle w:val="4"/>
        <w:spacing w:line="243" w:lineRule="auto"/>
        <w:rPr>
          <w:sz w:val="24"/>
          <w:szCs w:val="24"/>
        </w:rPr>
      </w:pPr>
    </w:p>
    <w:p w14:paraId="3366D4D9">
      <w:pPr>
        <w:pStyle w:val="4"/>
        <w:spacing w:line="243" w:lineRule="auto"/>
        <w:rPr>
          <w:sz w:val="24"/>
          <w:szCs w:val="24"/>
        </w:rPr>
      </w:pPr>
    </w:p>
    <w:p w14:paraId="22A4C871">
      <w:pPr>
        <w:spacing w:before="65" w:line="288" w:lineRule="auto"/>
        <w:ind w:left="2617"/>
        <w:rPr>
          <w:rFonts w:ascii="仿宋" w:hAnsi="仿宋" w:eastAsia="仿宋" w:cs="仿宋"/>
          <w:sz w:val="24"/>
          <w:szCs w:val="24"/>
        </w:rPr>
      </w:pPr>
      <w:r>
        <w:rPr>
          <w:rFonts w:hint="eastAsia" w:ascii="仿宋" w:hAnsi="仿宋" w:eastAsia="仿宋" w:cs="仿宋"/>
          <w:spacing w:val="11"/>
          <w:sz w:val="24"/>
          <w:szCs w:val="24"/>
          <w:lang w:eastAsia="zh-CN"/>
        </w:rPr>
        <w:t>供应商</w:t>
      </w:r>
      <w:r>
        <w:rPr>
          <w:rFonts w:ascii="仿宋" w:hAnsi="仿宋" w:eastAsia="仿宋" w:cs="仿宋"/>
          <w:spacing w:val="-4"/>
          <w:sz w:val="24"/>
          <w:szCs w:val="24"/>
        </w:rPr>
        <w:t>：（</w:t>
      </w:r>
      <w:r>
        <w:rPr>
          <w:rFonts w:ascii="仿宋" w:hAnsi="仿宋" w:eastAsia="仿宋" w:cs="仿宋"/>
          <w:spacing w:val="11"/>
          <w:sz w:val="24"/>
          <w:szCs w:val="24"/>
        </w:rPr>
        <w:t>盖章）</w:t>
      </w:r>
      <w:r>
        <w:rPr>
          <w:rFonts w:ascii="仿宋" w:hAnsi="仿宋" w:eastAsia="仿宋" w:cs="仿宋"/>
          <w:spacing w:val="1"/>
          <w:sz w:val="24"/>
          <w:szCs w:val="24"/>
          <w:u w:val="single" w:color="auto"/>
        </w:rPr>
        <w:t xml:space="preserve">                             </w:t>
      </w:r>
      <w:r>
        <w:rPr>
          <w:rFonts w:ascii="仿宋" w:hAnsi="仿宋" w:eastAsia="仿宋" w:cs="仿宋"/>
          <w:spacing w:val="-88"/>
          <w:sz w:val="24"/>
          <w:szCs w:val="24"/>
        </w:rPr>
        <w:t xml:space="preserve"> </w:t>
      </w:r>
      <w:r>
        <w:rPr>
          <w:rFonts w:ascii="仿宋" w:hAnsi="仿宋" w:eastAsia="仿宋" w:cs="仿宋"/>
          <w:spacing w:val="11"/>
          <w:sz w:val="24"/>
          <w:szCs w:val="24"/>
        </w:rPr>
        <w:t>_</w:t>
      </w:r>
    </w:p>
    <w:p w14:paraId="666C888A">
      <w:pPr>
        <w:spacing w:line="226" w:lineRule="auto"/>
        <w:ind w:left="2625"/>
        <w:rPr>
          <w:rFonts w:ascii="仿宋" w:hAnsi="仿宋" w:eastAsia="仿宋" w:cs="仿宋"/>
          <w:sz w:val="24"/>
          <w:szCs w:val="24"/>
        </w:rPr>
      </w:pPr>
      <w:r>
        <w:rPr>
          <w:rFonts w:ascii="仿宋" w:hAnsi="仿宋" w:eastAsia="仿宋" w:cs="仿宋"/>
          <w:spacing w:val="7"/>
          <w:sz w:val="24"/>
          <w:szCs w:val="24"/>
        </w:rPr>
        <w:t>法定代表人或其授权委托人(签字</w:t>
      </w:r>
      <w:r>
        <w:rPr>
          <w:rFonts w:hint="eastAsia" w:ascii="仿宋" w:hAnsi="仿宋" w:eastAsia="仿宋" w:cs="仿宋"/>
          <w:spacing w:val="7"/>
          <w:sz w:val="24"/>
          <w:szCs w:val="24"/>
          <w:lang w:val="en-US" w:eastAsia="zh-Hans"/>
        </w:rPr>
        <w:t>或盖章</w:t>
      </w:r>
      <w:r>
        <w:rPr>
          <w:rFonts w:ascii="仿宋" w:hAnsi="仿宋" w:eastAsia="仿宋" w:cs="仿宋"/>
          <w:spacing w:val="7"/>
          <w:sz w:val="24"/>
          <w:szCs w:val="24"/>
        </w:rPr>
        <w:t>)：</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_</w:t>
      </w:r>
    </w:p>
    <w:p w14:paraId="28F1DDD0">
      <w:pPr>
        <w:tabs>
          <w:tab w:val="left" w:pos="4495"/>
        </w:tabs>
        <w:spacing w:before="222" w:line="231" w:lineRule="auto"/>
        <w:ind w:left="3550"/>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82"/>
          <w:sz w:val="24"/>
          <w:szCs w:val="24"/>
        </w:rPr>
        <w:t xml:space="preserve"> </w:t>
      </w:r>
      <w:r>
        <w:rPr>
          <w:rFonts w:ascii="仿宋" w:hAnsi="仿宋" w:eastAsia="仿宋" w:cs="仿宋"/>
          <w:spacing w:val="-8"/>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75"/>
          <w:sz w:val="24"/>
          <w:szCs w:val="24"/>
        </w:rPr>
        <w:t xml:space="preserve"> </w:t>
      </w:r>
      <w:r>
        <w:rPr>
          <w:rFonts w:ascii="仿宋" w:hAnsi="仿宋" w:eastAsia="仿宋" w:cs="仿宋"/>
          <w:spacing w:val="-8"/>
          <w:sz w:val="24"/>
          <w:szCs w:val="24"/>
        </w:rPr>
        <w:t>月</w:t>
      </w:r>
      <w:r>
        <w:rPr>
          <w:rFonts w:ascii="仿宋" w:hAnsi="仿宋" w:eastAsia="仿宋" w:cs="仿宋"/>
          <w:spacing w:val="-98"/>
          <w:sz w:val="24"/>
          <w:szCs w:val="24"/>
        </w:rPr>
        <w:t xml:space="preserve"> </w:t>
      </w:r>
      <w:r>
        <w:rPr>
          <w:rFonts w:ascii="仿宋" w:hAnsi="仿宋" w:eastAsia="仿宋" w:cs="仿宋"/>
          <w:spacing w:val="4"/>
          <w:sz w:val="24"/>
          <w:szCs w:val="24"/>
          <w:u w:val="single" w:color="auto"/>
        </w:rPr>
        <w:t xml:space="preserve">   </w:t>
      </w:r>
      <w:r>
        <w:rPr>
          <w:rFonts w:ascii="仿宋" w:hAnsi="仿宋" w:eastAsia="仿宋" w:cs="仿宋"/>
          <w:spacing w:val="-39"/>
          <w:sz w:val="24"/>
          <w:szCs w:val="24"/>
        </w:rPr>
        <w:t xml:space="preserve"> </w:t>
      </w:r>
      <w:r>
        <w:rPr>
          <w:rFonts w:ascii="仿宋" w:hAnsi="仿宋" w:eastAsia="仿宋" w:cs="仿宋"/>
          <w:spacing w:val="-8"/>
          <w:sz w:val="24"/>
          <w:szCs w:val="24"/>
        </w:rPr>
        <w:t>日</w:t>
      </w:r>
    </w:p>
    <w:p w14:paraId="52696B43">
      <w:pPr>
        <w:pStyle w:val="4"/>
        <w:spacing w:line="255" w:lineRule="auto"/>
        <w:rPr>
          <w:sz w:val="24"/>
          <w:szCs w:val="24"/>
        </w:rPr>
      </w:pPr>
    </w:p>
    <w:p w14:paraId="6AE8438E">
      <w:pPr>
        <w:pStyle w:val="4"/>
        <w:spacing w:line="255" w:lineRule="auto"/>
        <w:rPr>
          <w:sz w:val="24"/>
          <w:szCs w:val="24"/>
        </w:rPr>
      </w:pPr>
    </w:p>
    <w:p w14:paraId="4D34E4A9">
      <w:pPr>
        <w:pStyle w:val="4"/>
        <w:spacing w:line="255" w:lineRule="auto"/>
        <w:rPr>
          <w:sz w:val="24"/>
          <w:szCs w:val="24"/>
        </w:rPr>
      </w:pPr>
    </w:p>
    <w:p w14:paraId="3DF4BBCF">
      <w:pPr>
        <w:pStyle w:val="4"/>
        <w:spacing w:line="256" w:lineRule="auto"/>
        <w:rPr>
          <w:sz w:val="24"/>
          <w:szCs w:val="24"/>
        </w:rPr>
      </w:pPr>
    </w:p>
    <w:p w14:paraId="5E92D9BD">
      <w:pPr>
        <w:pStyle w:val="4"/>
        <w:spacing w:line="256" w:lineRule="auto"/>
        <w:rPr>
          <w:sz w:val="24"/>
          <w:szCs w:val="24"/>
        </w:rPr>
      </w:pPr>
    </w:p>
    <w:p w14:paraId="4572EE42">
      <w:pPr>
        <w:pStyle w:val="4"/>
        <w:spacing w:line="256" w:lineRule="auto"/>
        <w:rPr>
          <w:sz w:val="24"/>
          <w:szCs w:val="24"/>
        </w:rPr>
      </w:pPr>
    </w:p>
    <w:p w14:paraId="63ADF64B">
      <w:pPr>
        <w:spacing w:before="58" w:line="233" w:lineRule="auto"/>
        <w:ind w:left="6" w:firstLine="362"/>
        <w:jc w:val="both"/>
        <w:rPr>
          <w:rFonts w:hint="eastAsia" w:ascii="仿宋" w:hAnsi="仿宋" w:eastAsia="仿宋" w:cs="仿宋"/>
          <w:spacing w:val="-1"/>
          <w:sz w:val="24"/>
          <w:szCs w:val="24"/>
        </w:rPr>
      </w:pPr>
      <w:r>
        <w:rPr>
          <w:rFonts w:ascii="仿宋" w:hAnsi="仿宋" w:eastAsia="仿宋" w:cs="仿宋"/>
          <w:b/>
          <w:bCs/>
          <w:sz w:val="24"/>
          <w:szCs w:val="24"/>
        </w:rPr>
        <w:t>说明</w:t>
      </w:r>
      <w:r>
        <w:rPr>
          <w:rFonts w:ascii="仿宋" w:hAnsi="仿宋" w:eastAsia="仿宋" w:cs="仿宋"/>
          <w:sz w:val="24"/>
          <w:szCs w:val="24"/>
        </w:rPr>
        <w:t>：</w:t>
      </w:r>
      <w:r>
        <w:rPr>
          <w:rFonts w:hint="eastAsia" w:ascii="仿宋" w:hAnsi="仿宋" w:eastAsia="仿宋" w:cs="仿宋"/>
          <w:spacing w:val="-1"/>
          <w:sz w:val="24"/>
          <w:szCs w:val="24"/>
        </w:rPr>
        <w:t>填写本声明函时应详细阅读《关于政府采购支持监狱企业发展有关问题的通知》（财库〔2014〕 68 号），</w:t>
      </w:r>
      <w:r>
        <w:rPr>
          <w:rFonts w:hint="eastAsia" w:ascii="仿宋" w:hAnsi="仿宋" w:eastAsia="仿宋" w:cs="仿宋"/>
          <w:spacing w:val="-1"/>
          <w:sz w:val="24"/>
          <w:szCs w:val="24"/>
          <w:lang w:eastAsia="zh-CN"/>
        </w:rPr>
        <w:t>供应商</w:t>
      </w:r>
      <w:r>
        <w:rPr>
          <w:rFonts w:hint="eastAsia" w:ascii="仿宋" w:hAnsi="仿宋" w:eastAsia="仿宋" w:cs="仿宋"/>
          <w:spacing w:val="-1"/>
          <w:sz w:val="24"/>
          <w:szCs w:val="24"/>
        </w:rPr>
        <w:t>不满足此要求则无须提供，一旦提供将视为满足其要求，如有虚假，将依法承担相应责任。</w:t>
      </w:r>
    </w:p>
    <w:p w14:paraId="5172C504">
      <w:pPr>
        <w:pStyle w:val="2"/>
        <w:numPr>
          <w:ilvl w:val="0"/>
          <w:numId w:val="0"/>
        </w:numPr>
      </w:pPr>
    </w:p>
    <w:p w14:paraId="42F5708D">
      <w:pPr>
        <w:pStyle w:val="4"/>
        <w:spacing w:line="249" w:lineRule="auto"/>
        <w:rPr>
          <w:rFonts w:ascii="宋体" w:hAnsi="宋体" w:eastAsia="宋体" w:cs="宋体"/>
          <w:spacing w:val="-1"/>
          <w:sz w:val="18"/>
          <w:szCs w:val="18"/>
        </w:rPr>
      </w:pPr>
    </w:p>
    <w:p w14:paraId="05370E23">
      <w:pPr>
        <w:pStyle w:val="4"/>
        <w:spacing w:line="249" w:lineRule="auto"/>
        <w:rPr>
          <w:rFonts w:ascii="宋体" w:hAnsi="宋体" w:eastAsia="宋体" w:cs="宋体"/>
          <w:spacing w:val="-1"/>
          <w:sz w:val="18"/>
          <w:szCs w:val="18"/>
        </w:rPr>
      </w:pPr>
    </w:p>
    <w:p w14:paraId="7DFB843B">
      <w:pPr>
        <w:pStyle w:val="4"/>
        <w:spacing w:line="249" w:lineRule="auto"/>
        <w:rPr>
          <w:rFonts w:ascii="宋体" w:hAnsi="宋体" w:eastAsia="宋体" w:cs="宋体"/>
          <w:spacing w:val="-1"/>
          <w:sz w:val="18"/>
          <w:szCs w:val="18"/>
        </w:rPr>
      </w:pPr>
    </w:p>
    <w:p w14:paraId="7FEAB5C3">
      <w:pPr>
        <w:pStyle w:val="4"/>
        <w:spacing w:line="249" w:lineRule="auto"/>
        <w:rPr>
          <w:rFonts w:ascii="宋体" w:hAnsi="宋体" w:eastAsia="宋体" w:cs="宋体"/>
          <w:spacing w:val="-1"/>
          <w:sz w:val="18"/>
          <w:szCs w:val="18"/>
        </w:rPr>
      </w:pPr>
    </w:p>
    <w:p w14:paraId="7FACBFC2">
      <w:pPr>
        <w:pStyle w:val="4"/>
        <w:spacing w:line="249" w:lineRule="auto"/>
        <w:rPr>
          <w:rFonts w:ascii="宋体" w:hAnsi="宋体" w:eastAsia="宋体" w:cs="宋体"/>
          <w:spacing w:val="-1"/>
          <w:sz w:val="18"/>
          <w:szCs w:val="18"/>
        </w:rPr>
      </w:pPr>
    </w:p>
    <w:p w14:paraId="19CE602C">
      <w:pPr>
        <w:pStyle w:val="4"/>
        <w:spacing w:line="249" w:lineRule="auto"/>
        <w:rPr>
          <w:rFonts w:ascii="宋体" w:hAnsi="宋体" w:eastAsia="宋体" w:cs="宋体"/>
          <w:spacing w:val="-1"/>
          <w:sz w:val="18"/>
          <w:szCs w:val="18"/>
        </w:rPr>
      </w:pPr>
    </w:p>
    <w:p w14:paraId="2894E1AC">
      <w:pPr>
        <w:pStyle w:val="4"/>
        <w:spacing w:line="249" w:lineRule="auto"/>
        <w:rPr>
          <w:rFonts w:ascii="宋体" w:hAnsi="宋体" w:eastAsia="宋体" w:cs="宋体"/>
          <w:spacing w:val="-1"/>
          <w:sz w:val="18"/>
          <w:szCs w:val="18"/>
        </w:rPr>
      </w:pPr>
    </w:p>
    <w:p w14:paraId="1D05141E">
      <w:pPr>
        <w:pStyle w:val="4"/>
        <w:spacing w:line="249" w:lineRule="auto"/>
        <w:rPr>
          <w:rFonts w:ascii="宋体" w:hAnsi="宋体" w:eastAsia="宋体" w:cs="宋体"/>
          <w:spacing w:val="-1"/>
          <w:sz w:val="18"/>
          <w:szCs w:val="18"/>
        </w:rPr>
      </w:pPr>
    </w:p>
    <w:p w14:paraId="75AF967A">
      <w:pPr>
        <w:pStyle w:val="4"/>
        <w:spacing w:line="249" w:lineRule="auto"/>
        <w:rPr>
          <w:rFonts w:ascii="宋体" w:hAnsi="宋体" w:eastAsia="宋体" w:cs="宋体"/>
          <w:spacing w:val="-1"/>
          <w:sz w:val="18"/>
          <w:szCs w:val="18"/>
        </w:rPr>
      </w:pPr>
    </w:p>
    <w:p w14:paraId="3EB655B8">
      <w:pPr>
        <w:pStyle w:val="4"/>
        <w:spacing w:line="249" w:lineRule="auto"/>
        <w:rPr>
          <w:rFonts w:ascii="宋体" w:hAnsi="宋体" w:eastAsia="宋体" w:cs="宋体"/>
          <w:spacing w:val="-1"/>
          <w:sz w:val="18"/>
          <w:szCs w:val="18"/>
        </w:rPr>
      </w:pPr>
    </w:p>
    <w:p w14:paraId="71511337">
      <w:pPr>
        <w:numPr>
          <w:ilvl w:val="0"/>
          <w:numId w:val="1"/>
        </w:numPr>
        <w:spacing w:before="114" w:line="227" w:lineRule="auto"/>
        <w:ind w:left="3071"/>
        <w:outlineLvl w:val="0"/>
        <w:rPr>
          <w:rFonts w:ascii="宋体" w:hAnsi="宋体" w:eastAsia="宋体" w:cs="宋体"/>
          <w:spacing w:val="8"/>
          <w:sz w:val="31"/>
          <w:szCs w:val="31"/>
          <w14:textOutline w14:w="5793" w14:cap="sq" w14:cmpd="sng">
            <w14:solidFill>
              <w14:srgbClr w14:val="000000"/>
            </w14:solidFill>
            <w14:prstDash w14:val="solid"/>
            <w14:bevel/>
          </w14:textOutline>
        </w:rPr>
      </w:pPr>
      <w:r>
        <w:rPr>
          <w:rFonts w:ascii="黑体" w:hAnsi="黑体" w:eastAsia="黑体" w:cs="黑体"/>
          <w:spacing w:val="8"/>
          <w:sz w:val="35"/>
          <w:szCs w:val="35"/>
        </w:rPr>
        <w:t xml:space="preserve"> </w:t>
      </w:r>
      <w:r>
        <w:rPr>
          <w:rFonts w:ascii="宋体" w:hAnsi="宋体" w:eastAsia="宋体" w:cs="宋体"/>
          <w:spacing w:val="8"/>
          <w:sz w:val="31"/>
          <w:szCs w:val="31"/>
          <w14:textOutline w14:w="5793" w14:cap="sq" w14:cmpd="sng">
            <w14:solidFill>
              <w14:srgbClr w14:val="000000"/>
            </w14:solidFill>
            <w14:prstDash w14:val="solid"/>
            <w14:bevel/>
          </w14:textOutline>
        </w:rPr>
        <w:t>合同条款</w:t>
      </w:r>
    </w:p>
    <w:p w14:paraId="1B043592">
      <w:pPr>
        <w:numPr>
          <w:ilvl w:val="0"/>
          <w:numId w:val="0"/>
        </w:numPr>
        <w:kinsoku w:val="0"/>
        <w:autoSpaceDE w:val="0"/>
        <w:autoSpaceDN w:val="0"/>
        <w:adjustRightInd w:val="0"/>
        <w:snapToGrid w:val="0"/>
        <w:spacing w:before="114" w:line="227" w:lineRule="auto"/>
        <w:jc w:val="left"/>
        <w:textAlignment w:val="baseline"/>
        <w:outlineLvl w:val="0"/>
        <w:rPr>
          <w:rFonts w:hint="eastAsia" w:ascii="宋体" w:hAnsi="宋体" w:eastAsia="宋体" w:cs="宋体"/>
          <w:spacing w:val="8"/>
          <w:sz w:val="31"/>
          <w:szCs w:val="31"/>
          <w:lang w:val="en-US" w:eastAsia="zh-CN"/>
          <w14:textOutline w14:w="5793" w14:cap="sq" w14:cmpd="sng">
            <w14:solidFill>
              <w14:srgbClr w14:val="000000"/>
            </w14:solidFill>
            <w14:prstDash w14:val="solid"/>
            <w14:bevel/>
          </w14:textOutline>
        </w:rPr>
      </w:pPr>
      <w:r>
        <w:rPr>
          <w:rFonts w:hint="eastAsia" w:ascii="宋体" w:hAnsi="宋体" w:eastAsia="宋体" w:cs="宋体"/>
          <w:b w:val="0"/>
          <w:bCs w:val="0"/>
          <w:spacing w:val="8"/>
          <w:sz w:val="24"/>
          <w:szCs w:val="24"/>
          <w:lang w:val="en-US" w:eastAsia="zh-CN"/>
          <w14:textOutline w14:w="5793" w14:cap="sq" w14:cmpd="sng">
            <w14:solidFill>
              <w14:srgbClr w14:val="000000"/>
            </w14:solidFill>
            <w14:prstDash w14:val="solid"/>
            <w14:bevel/>
          </w14:textOutline>
        </w:rPr>
        <w:t>注：本合同格式仅作为参考文本，合同签订双方可根据项目的具体要求进行修订</w:t>
      </w:r>
      <w:r>
        <w:rPr>
          <w:rFonts w:hint="eastAsia" w:ascii="宋体" w:hAnsi="宋体" w:eastAsia="宋体" w:cs="宋体"/>
          <w:spacing w:val="8"/>
          <w:sz w:val="31"/>
          <w:szCs w:val="31"/>
          <w:lang w:val="en-US" w:eastAsia="zh-CN"/>
          <w14:textOutline w14:w="5793" w14:cap="sq" w14:cmpd="sng">
            <w14:solidFill>
              <w14:srgbClr w14:val="000000"/>
            </w14:solidFill>
            <w14:prstDash w14:val="solid"/>
            <w14:bevel/>
          </w14:textOutline>
        </w:rPr>
        <w:t>。</w:t>
      </w:r>
    </w:p>
    <w:p w14:paraId="56BF5438">
      <w:pPr>
        <w:numPr>
          <w:ilvl w:val="0"/>
          <w:numId w:val="0"/>
        </w:numPr>
        <w:kinsoku w:val="0"/>
        <w:autoSpaceDE w:val="0"/>
        <w:autoSpaceDN w:val="0"/>
        <w:adjustRightInd w:val="0"/>
        <w:snapToGrid w:val="0"/>
        <w:spacing w:before="114" w:line="227" w:lineRule="auto"/>
        <w:jc w:val="left"/>
        <w:textAlignment w:val="baseline"/>
        <w:outlineLvl w:val="0"/>
        <w:rPr>
          <w:rFonts w:ascii="宋体" w:hAnsi="宋体" w:eastAsia="宋体" w:cs="宋体"/>
          <w:spacing w:val="8"/>
          <w:sz w:val="31"/>
          <w:szCs w:val="31"/>
          <w14:textOutline w14:w="5793" w14:cap="sq" w14:cmpd="sng">
            <w14:solidFill>
              <w14:srgbClr w14:val="000000"/>
            </w14:solidFill>
            <w14:prstDash w14:val="solid"/>
            <w14:bevel/>
          </w14:textOutline>
        </w:rPr>
      </w:pPr>
    </w:p>
    <w:p w14:paraId="1E5A9F8E">
      <w:pPr>
        <w:pStyle w:val="4"/>
        <w:spacing w:before="114" w:line="224" w:lineRule="auto"/>
        <w:ind w:left="3771"/>
        <w:rPr>
          <w:rFonts w:hint="eastAsia" w:ascii="方正大标宋简体" w:hAnsi="方正大标宋简体" w:eastAsia="方正大标宋简体" w:cs="方正大标宋简体"/>
          <w:sz w:val="40"/>
          <w:szCs w:val="40"/>
        </w:rPr>
      </w:pPr>
      <w:r>
        <w:rPr>
          <w:rFonts w:hint="eastAsia" w:ascii="方正大标宋简体" w:hAnsi="方正大标宋简体" w:eastAsia="方正大标宋简体" w:cs="方正大标宋简体"/>
          <w:b/>
          <w:bCs/>
          <w:spacing w:val="3"/>
          <w:sz w:val="40"/>
          <w:szCs w:val="40"/>
        </w:rPr>
        <w:t>合同文本</w:t>
      </w:r>
    </w:p>
    <w:p w14:paraId="33A2C0CD">
      <w:pPr>
        <w:pStyle w:val="4"/>
        <w:spacing w:before="288" w:line="221" w:lineRule="auto"/>
        <w:ind w:left="3997"/>
        <w:rPr>
          <w:rFonts w:ascii="Times New Roman" w:hAnsi="Times New Roman" w:eastAsia="Times New Roman" w:cs="Times New Roman"/>
          <w:sz w:val="20"/>
          <w:szCs w:val="20"/>
        </w:rPr>
      </w:pPr>
      <w:r>
        <w:rPr>
          <w:rFonts w:ascii="Times New Roman" w:hAnsi="Times New Roman" w:eastAsia="Times New Roman" w:cs="Times New Roman"/>
          <w:spacing w:val="6"/>
          <w:sz w:val="20"/>
          <w:szCs w:val="20"/>
        </w:rPr>
        <w:t>(</w:t>
      </w:r>
      <w:r>
        <w:rPr>
          <w:spacing w:val="6"/>
          <w:sz w:val="20"/>
          <w:szCs w:val="20"/>
        </w:rPr>
        <w:t>仅供参考</w:t>
      </w:r>
      <w:r>
        <w:rPr>
          <w:rFonts w:ascii="Times New Roman" w:hAnsi="Times New Roman" w:eastAsia="Times New Roman" w:cs="Times New Roman"/>
          <w:spacing w:val="6"/>
          <w:sz w:val="20"/>
          <w:szCs w:val="20"/>
        </w:rPr>
        <w:t>)</w:t>
      </w:r>
    </w:p>
    <w:p w14:paraId="318D0610">
      <w:pPr>
        <w:pStyle w:val="4"/>
        <w:spacing w:before="220" w:line="220" w:lineRule="auto"/>
        <w:ind w:left="131"/>
        <w:rPr>
          <w:sz w:val="22"/>
          <w:szCs w:val="22"/>
        </w:rPr>
      </w:pPr>
      <w:r>
        <w:rPr>
          <w:spacing w:val="-2"/>
          <w:sz w:val="22"/>
          <w:szCs w:val="22"/>
        </w:rPr>
        <w:t>合同编号：</w:t>
      </w:r>
    </w:p>
    <w:p w14:paraId="175116C0">
      <w:pPr>
        <w:spacing w:line="383" w:lineRule="auto"/>
        <w:rPr>
          <w:rFonts w:ascii="Arial"/>
          <w:sz w:val="21"/>
        </w:rPr>
      </w:pPr>
    </w:p>
    <w:p w14:paraId="4574A5A4">
      <w:pPr>
        <w:pStyle w:val="4"/>
        <w:spacing w:before="72" w:line="221" w:lineRule="auto"/>
        <w:ind w:left="159"/>
        <w:rPr>
          <w:sz w:val="22"/>
          <w:szCs w:val="22"/>
        </w:rPr>
      </w:pPr>
      <w:r>
        <w:rPr>
          <w:b/>
          <w:bCs/>
          <w:spacing w:val="-6"/>
          <w:sz w:val="22"/>
          <w:szCs w:val="22"/>
        </w:rPr>
        <w:t>甲方：</w:t>
      </w:r>
      <w:r>
        <w:rPr>
          <w:rFonts w:hint="eastAsia"/>
          <w:b/>
          <w:bCs/>
          <w:spacing w:val="-6"/>
          <w:sz w:val="22"/>
          <w:szCs w:val="22"/>
          <w:lang w:val="en-US" w:eastAsia="zh-CN"/>
        </w:rPr>
        <w:t>拜城</w:t>
      </w:r>
      <w:r>
        <w:rPr>
          <w:b/>
          <w:bCs/>
          <w:spacing w:val="-6"/>
          <w:sz w:val="22"/>
          <w:szCs w:val="22"/>
        </w:rPr>
        <w:t>县人民医院</w:t>
      </w:r>
    </w:p>
    <w:p w14:paraId="645CBAEA">
      <w:pPr>
        <w:pStyle w:val="4"/>
        <w:spacing w:before="96" w:line="221" w:lineRule="auto"/>
        <w:ind w:left="152"/>
        <w:rPr>
          <w:rFonts w:hint="eastAsia" w:eastAsia="宋体"/>
          <w:sz w:val="22"/>
          <w:szCs w:val="22"/>
          <w:lang w:eastAsia="zh-CN"/>
        </w:rPr>
      </w:pPr>
      <w:r>
        <w:rPr>
          <w:b/>
          <w:bCs/>
          <w:spacing w:val="-8"/>
          <w:sz w:val="22"/>
          <w:szCs w:val="22"/>
        </w:rPr>
        <w:t>乙方：</w:t>
      </w:r>
      <w:r>
        <w:rPr>
          <w:spacing w:val="-8"/>
          <w:sz w:val="22"/>
          <w:szCs w:val="22"/>
        </w:rPr>
        <w:t>“</w:t>
      </w:r>
      <w:r>
        <w:rPr>
          <w:spacing w:val="1"/>
          <w:sz w:val="22"/>
          <w:szCs w:val="22"/>
        </w:rPr>
        <w:t xml:space="preserve">                     </w:t>
      </w:r>
      <w:r>
        <w:rPr>
          <w:spacing w:val="-8"/>
          <w:sz w:val="22"/>
          <w:szCs w:val="22"/>
        </w:rPr>
        <w:t>”为</w:t>
      </w:r>
      <w:r>
        <w:rPr>
          <w:rFonts w:hint="eastAsia" w:eastAsia="宋体"/>
          <w:spacing w:val="-8"/>
          <w:sz w:val="22"/>
          <w:szCs w:val="22"/>
          <w:lang w:eastAsia="zh-CN"/>
        </w:rPr>
        <w:t>成交供应商</w:t>
      </w:r>
    </w:p>
    <w:p w14:paraId="6351C2D1">
      <w:pPr>
        <w:pStyle w:val="4"/>
        <w:spacing w:before="164" w:line="347" w:lineRule="auto"/>
        <w:ind w:left="129" w:right="117" w:firstLine="444"/>
        <w:jc w:val="both"/>
        <w:rPr>
          <w:spacing w:val="-3"/>
          <w:sz w:val="22"/>
          <w:szCs w:val="22"/>
        </w:rPr>
      </w:pPr>
      <w:r>
        <w:rPr>
          <w:sz w:val="22"/>
          <w:szCs w:val="22"/>
        </w:rPr>
        <w:t>受甲方委托，</w:t>
      </w:r>
      <w:r>
        <w:rPr>
          <w:sz w:val="22"/>
          <w:szCs w:val="22"/>
          <w:u w:val="single" w:color="auto"/>
        </w:rPr>
        <w:t xml:space="preserve"> </w:t>
      </w:r>
      <w:r>
        <w:rPr>
          <w:rFonts w:hint="eastAsia"/>
          <w:sz w:val="22"/>
          <w:szCs w:val="22"/>
          <w:u w:val="single" w:color="auto"/>
          <w:lang w:val="en-US" w:eastAsia="zh-CN"/>
        </w:rPr>
        <w:t xml:space="preserve">                   </w:t>
      </w:r>
      <w:r>
        <w:rPr>
          <w:sz w:val="22"/>
          <w:szCs w:val="22"/>
          <w:u w:val="single" w:color="auto"/>
        </w:rPr>
        <w:t xml:space="preserve"> </w:t>
      </w:r>
      <w:r>
        <w:rPr>
          <w:sz w:val="22"/>
          <w:szCs w:val="22"/>
        </w:rPr>
        <w:t>组织对</w:t>
      </w:r>
      <w:r>
        <w:rPr>
          <w:sz w:val="22"/>
          <w:szCs w:val="22"/>
          <w:u w:val="single" w:color="auto"/>
        </w:rPr>
        <w:t xml:space="preserve"> </w:t>
      </w:r>
      <w:r>
        <w:rPr>
          <w:rFonts w:hint="eastAsia"/>
          <w:sz w:val="22"/>
          <w:szCs w:val="22"/>
          <w:u w:val="single" w:color="auto"/>
          <w:lang w:val="en-US" w:eastAsia="zh-CN"/>
        </w:rPr>
        <w:t>拜城县人民医院2025年中药饮片购置项目</w:t>
      </w:r>
      <w:r>
        <w:rPr>
          <w:spacing w:val="-3"/>
          <w:sz w:val="22"/>
          <w:szCs w:val="22"/>
        </w:rPr>
        <w:t>采购项目（项目编号为：</w:t>
      </w:r>
      <w:r>
        <w:rPr>
          <w:rFonts w:hint="eastAsia"/>
          <w:spacing w:val="-3"/>
          <w:sz w:val="22"/>
          <w:szCs w:val="22"/>
          <w:u w:val="single" w:color="auto"/>
          <w:lang w:val="en-US" w:eastAsia="zh-CN"/>
        </w:rPr>
        <w:t xml:space="preserve">            </w:t>
      </w:r>
      <w:r>
        <w:rPr>
          <w:spacing w:val="-3"/>
          <w:sz w:val="22"/>
          <w:szCs w:val="22"/>
        </w:rPr>
        <w:t>）进行采购，于</w:t>
      </w:r>
      <w:r>
        <w:rPr>
          <w:spacing w:val="-3"/>
          <w:sz w:val="22"/>
          <w:szCs w:val="22"/>
          <w:u w:val="single" w:color="auto"/>
        </w:rPr>
        <w:t xml:space="preserve">     </w:t>
      </w:r>
      <w:r>
        <w:rPr>
          <w:spacing w:val="-100"/>
          <w:sz w:val="22"/>
          <w:szCs w:val="22"/>
        </w:rPr>
        <w:t xml:space="preserve"> </w:t>
      </w:r>
      <w:r>
        <w:rPr>
          <w:spacing w:val="-3"/>
          <w:sz w:val="22"/>
          <w:szCs w:val="22"/>
        </w:rPr>
        <w:t>年</w:t>
      </w:r>
      <w:r>
        <w:rPr>
          <w:spacing w:val="-4"/>
          <w:sz w:val="22"/>
          <w:szCs w:val="22"/>
          <w:u w:val="single" w:color="auto"/>
        </w:rPr>
        <w:t xml:space="preserve">  </w:t>
      </w:r>
      <w:r>
        <w:rPr>
          <w:spacing w:val="-96"/>
          <w:sz w:val="22"/>
          <w:szCs w:val="22"/>
        </w:rPr>
        <w:t xml:space="preserve"> </w:t>
      </w:r>
      <w:r>
        <w:rPr>
          <w:spacing w:val="-4"/>
          <w:sz w:val="22"/>
          <w:szCs w:val="22"/>
        </w:rPr>
        <w:t>月</w:t>
      </w:r>
      <w:r>
        <w:rPr>
          <w:spacing w:val="-4"/>
          <w:sz w:val="22"/>
          <w:szCs w:val="22"/>
          <w:u w:val="single" w:color="auto"/>
        </w:rPr>
        <w:t xml:space="preserve">  </w:t>
      </w:r>
      <w:r>
        <w:rPr>
          <w:spacing w:val="-63"/>
          <w:sz w:val="22"/>
          <w:szCs w:val="22"/>
        </w:rPr>
        <w:t xml:space="preserve"> </w:t>
      </w:r>
      <w:r>
        <w:rPr>
          <w:spacing w:val="-4"/>
          <w:sz w:val="22"/>
          <w:szCs w:val="22"/>
        </w:rPr>
        <w:t>日通过公开</w:t>
      </w:r>
      <w:r>
        <w:rPr>
          <w:sz w:val="22"/>
          <w:szCs w:val="22"/>
        </w:rPr>
        <w:t>招标，经评标小组评定乙方</w:t>
      </w:r>
      <w:r>
        <w:rPr>
          <w:sz w:val="22"/>
          <w:szCs w:val="22"/>
          <w:u w:val="none" w:color="auto"/>
        </w:rPr>
        <w:t xml:space="preserve"> </w:t>
      </w:r>
      <w:r>
        <w:rPr>
          <w:rFonts w:hint="eastAsia"/>
          <w:sz w:val="22"/>
          <w:szCs w:val="22"/>
          <w:u w:val="single" w:color="auto"/>
          <w:lang w:val="en-US" w:eastAsia="zh-CN"/>
        </w:rPr>
        <w:t xml:space="preserve">  </w:t>
      </w:r>
      <w:r>
        <w:rPr>
          <w:sz w:val="22"/>
          <w:szCs w:val="22"/>
          <w:u w:val="single" w:color="auto"/>
        </w:rPr>
        <w:t xml:space="preserve"> </w:t>
      </w:r>
      <w:r>
        <w:rPr>
          <w:rFonts w:hint="eastAsia"/>
          <w:sz w:val="22"/>
          <w:szCs w:val="22"/>
          <w:u w:val="single" w:color="auto"/>
          <w:lang w:val="en-US" w:eastAsia="zh-CN"/>
        </w:rPr>
        <w:t xml:space="preserve"> </w:t>
      </w:r>
      <w:r>
        <w:rPr>
          <w:sz w:val="22"/>
          <w:szCs w:val="22"/>
          <w:u w:val="single" w:color="auto"/>
        </w:rPr>
        <w:t xml:space="preserve">  </w:t>
      </w:r>
      <w:r>
        <w:rPr>
          <w:spacing w:val="-95"/>
          <w:sz w:val="22"/>
          <w:szCs w:val="22"/>
        </w:rPr>
        <w:t xml:space="preserve"> </w:t>
      </w:r>
      <w:r>
        <w:rPr>
          <w:sz w:val="22"/>
          <w:szCs w:val="22"/>
        </w:rPr>
        <w:t>为</w:t>
      </w:r>
      <w:r>
        <w:rPr>
          <w:rFonts w:hint="eastAsia" w:eastAsia="宋体"/>
          <w:sz w:val="22"/>
          <w:szCs w:val="22"/>
          <w:lang w:eastAsia="zh-CN"/>
        </w:rPr>
        <w:t>成交供应商</w:t>
      </w:r>
      <w:r>
        <w:rPr>
          <w:sz w:val="22"/>
          <w:szCs w:val="22"/>
        </w:rPr>
        <w:t>。为了保</w:t>
      </w:r>
      <w:r>
        <w:rPr>
          <w:spacing w:val="-3"/>
          <w:sz w:val="22"/>
          <w:szCs w:val="22"/>
        </w:rPr>
        <w:t>护甲、乙双方合法权益， 甲乙双方本着平等、诚信信用原则，明确双方权利和义务，根据《中华人民共和国政府采购法》及其实施条例、《中华人民共和国药品法》《中药饮片管理 法》、《医疗机构药事管理规定》</w:t>
      </w:r>
      <w:r>
        <w:rPr>
          <w:rFonts w:hint="eastAsia"/>
          <w:spacing w:val="-3"/>
          <w:sz w:val="22"/>
          <w:szCs w:val="22"/>
          <w:lang w:eastAsia="zh-CN"/>
        </w:rPr>
        <w:t>、</w:t>
      </w:r>
      <w:r>
        <w:rPr>
          <w:spacing w:val="-3"/>
          <w:sz w:val="22"/>
          <w:szCs w:val="22"/>
        </w:rPr>
        <w:t>《中华人民共和国民法典》，在平等自愿的基础上，按照下面的条款和条件，签署本合同。</w:t>
      </w:r>
    </w:p>
    <w:p w14:paraId="48BA0DA0">
      <w:pPr>
        <w:pStyle w:val="4"/>
        <w:spacing w:before="213" w:line="220" w:lineRule="auto"/>
        <w:ind w:left="130"/>
        <w:rPr>
          <w:sz w:val="22"/>
          <w:szCs w:val="22"/>
        </w:rPr>
      </w:pPr>
      <w:r>
        <w:rPr>
          <w:b/>
          <w:bCs/>
          <w:spacing w:val="-3"/>
          <w:sz w:val="22"/>
          <w:szCs w:val="22"/>
        </w:rPr>
        <w:t>第一条</w:t>
      </w:r>
      <w:r>
        <w:rPr>
          <w:spacing w:val="-3"/>
          <w:sz w:val="22"/>
          <w:szCs w:val="22"/>
        </w:rPr>
        <w:t xml:space="preserve"> </w:t>
      </w:r>
      <w:r>
        <w:rPr>
          <w:b/>
          <w:bCs/>
          <w:spacing w:val="-3"/>
          <w:sz w:val="22"/>
          <w:szCs w:val="22"/>
        </w:rPr>
        <w:t>合同项目</w:t>
      </w:r>
    </w:p>
    <w:p w14:paraId="5106519B">
      <w:pPr>
        <w:pStyle w:val="4"/>
        <w:spacing w:before="97" w:line="221" w:lineRule="auto"/>
        <w:ind w:left="147"/>
        <w:rPr>
          <w:sz w:val="22"/>
          <w:szCs w:val="22"/>
        </w:rPr>
      </w:pPr>
      <w:r>
        <w:rPr>
          <w:spacing w:val="1"/>
          <w:sz w:val="22"/>
          <w:szCs w:val="22"/>
        </w:rPr>
        <w:t>1、项目名称</w:t>
      </w:r>
      <w:r>
        <w:rPr>
          <w:spacing w:val="-1"/>
          <w:sz w:val="22"/>
          <w:szCs w:val="22"/>
        </w:rPr>
        <w:t>：</w:t>
      </w:r>
      <w:r>
        <w:rPr>
          <w:spacing w:val="4"/>
          <w:sz w:val="22"/>
          <w:szCs w:val="22"/>
          <w:u w:val="single" w:color="auto"/>
        </w:rPr>
        <w:t xml:space="preserve">                        </w:t>
      </w:r>
      <w:r>
        <w:rPr>
          <w:spacing w:val="-1"/>
          <w:sz w:val="22"/>
          <w:szCs w:val="22"/>
        </w:rPr>
        <w:t>；</w:t>
      </w:r>
    </w:p>
    <w:p w14:paraId="5BC07543">
      <w:pPr>
        <w:pStyle w:val="4"/>
        <w:spacing w:before="97" w:line="220" w:lineRule="auto"/>
        <w:ind w:left="133"/>
        <w:rPr>
          <w:sz w:val="22"/>
          <w:szCs w:val="22"/>
        </w:rPr>
      </w:pPr>
      <w:r>
        <w:rPr>
          <w:spacing w:val="2"/>
          <w:sz w:val="22"/>
          <w:szCs w:val="22"/>
        </w:rPr>
        <w:t>2、项目编号：</w:t>
      </w:r>
      <w:r>
        <w:rPr>
          <w:spacing w:val="4"/>
          <w:sz w:val="22"/>
          <w:szCs w:val="22"/>
          <w:u w:val="single" w:color="auto"/>
        </w:rPr>
        <w:t xml:space="preserve">                        </w:t>
      </w:r>
      <w:r>
        <w:rPr>
          <w:spacing w:val="2"/>
          <w:sz w:val="22"/>
          <w:szCs w:val="22"/>
        </w:rPr>
        <w:t>。</w:t>
      </w:r>
    </w:p>
    <w:p w14:paraId="1E486EA3">
      <w:pPr>
        <w:spacing w:line="264" w:lineRule="auto"/>
        <w:rPr>
          <w:rFonts w:ascii="Arial"/>
          <w:sz w:val="21"/>
        </w:rPr>
      </w:pPr>
    </w:p>
    <w:p w14:paraId="593F1425">
      <w:pPr>
        <w:pStyle w:val="4"/>
        <w:spacing w:before="73" w:line="220" w:lineRule="auto"/>
        <w:ind w:left="130"/>
        <w:rPr>
          <w:rFonts w:hint="eastAsia" w:eastAsia="宋体"/>
          <w:sz w:val="22"/>
          <w:szCs w:val="22"/>
          <w:lang w:eastAsia="zh-CN"/>
        </w:rPr>
      </w:pPr>
      <w:r>
        <w:rPr>
          <w:b/>
          <w:bCs/>
          <w:spacing w:val="-3"/>
          <w:sz w:val="22"/>
          <w:szCs w:val="22"/>
        </w:rPr>
        <w:t>第二条</w:t>
      </w:r>
      <w:r>
        <w:rPr>
          <w:spacing w:val="-3"/>
          <w:sz w:val="22"/>
          <w:szCs w:val="22"/>
        </w:rPr>
        <w:t xml:space="preserve"> </w:t>
      </w:r>
      <w:r>
        <w:rPr>
          <w:rFonts w:hint="eastAsia"/>
          <w:b/>
          <w:bCs/>
          <w:spacing w:val="-2"/>
          <w:sz w:val="22"/>
          <w:szCs w:val="22"/>
          <w:lang w:val="en-US" w:eastAsia="zh-CN"/>
        </w:rPr>
        <w:t>药品</w:t>
      </w:r>
      <w:r>
        <w:rPr>
          <w:b/>
          <w:bCs/>
          <w:spacing w:val="-2"/>
          <w:sz w:val="22"/>
          <w:szCs w:val="22"/>
        </w:rPr>
        <w:t>名称、规格、</w:t>
      </w:r>
      <w:r>
        <w:rPr>
          <w:rFonts w:hint="eastAsia"/>
          <w:b/>
          <w:bCs/>
          <w:spacing w:val="-2"/>
          <w:sz w:val="22"/>
          <w:szCs w:val="22"/>
          <w:lang w:val="en-US" w:eastAsia="zh-CN"/>
        </w:rPr>
        <w:t>生产厂家</w:t>
      </w:r>
      <w:r>
        <w:rPr>
          <w:b/>
          <w:bCs/>
          <w:spacing w:val="-2"/>
          <w:sz w:val="22"/>
          <w:szCs w:val="22"/>
        </w:rPr>
        <w:t>、</w:t>
      </w:r>
      <w:r>
        <w:rPr>
          <w:rFonts w:hint="eastAsia"/>
          <w:b/>
          <w:bCs/>
          <w:spacing w:val="-2"/>
          <w:sz w:val="22"/>
          <w:szCs w:val="22"/>
          <w:lang w:val="en-US" w:eastAsia="zh-CN"/>
        </w:rPr>
        <w:t>单位、</w:t>
      </w:r>
      <w:r>
        <w:rPr>
          <w:b/>
          <w:bCs/>
          <w:spacing w:val="-2"/>
          <w:sz w:val="22"/>
          <w:szCs w:val="22"/>
        </w:rPr>
        <w:t>质量标准</w:t>
      </w:r>
    </w:p>
    <w:p w14:paraId="64B20CE8">
      <w:pPr>
        <w:spacing w:line="112" w:lineRule="exact"/>
      </w:pPr>
    </w:p>
    <w:tbl>
      <w:tblPr>
        <w:tblStyle w:val="14"/>
        <w:tblpPr w:leftFromText="180" w:rightFromText="180" w:vertAnchor="text" w:horzAnchor="page" w:tblpX="1198" w:tblpY="130"/>
        <w:tblOverlap w:val="never"/>
        <w:tblW w:w="1029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07"/>
        <w:gridCol w:w="1363"/>
        <w:gridCol w:w="1100"/>
        <w:gridCol w:w="1822"/>
        <w:gridCol w:w="685"/>
        <w:gridCol w:w="1183"/>
        <w:gridCol w:w="1667"/>
        <w:gridCol w:w="1667"/>
      </w:tblGrid>
      <w:tr w14:paraId="74863D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807" w:type="dxa"/>
            <w:tcBorders>
              <w:top w:val="single" w:color="000000" w:sz="10" w:space="0"/>
              <w:left w:val="single" w:color="000000" w:sz="10" w:space="0"/>
            </w:tcBorders>
            <w:vAlign w:val="top"/>
          </w:tcPr>
          <w:p w14:paraId="3FA389F4">
            <w:pPr>
              <w:pStyle w:val="15"/>
              <w:spacing w:before="122" w:line="229" w:lineRule="auto"/>
              <w:ind w:left="111"/>
              <w:rPr>
                <w:sz w:val="20"/>
                <w:szCs w:val="20"/>
              </w:rPr>
            </w:pPr>
            <w:r>
              <w:rPr>
                <w:spacing w:val="5"/>
                <w:sz w:val="20"/>
                <w:szCs w:val="20"/>
              </w:rPr>
              <w:t>序号</w:t>
            </w:r>
          </w:p>
        </w:tc>
        <w:tc>
          <w:tcPr>
            <w:tcW w:w="1363" w:type="dxa"/>
            <w:tcBorders>
              <w:top w:val="single" w:color="000000" w:sz="10" w:space="0"/>
            </w:tcBorders>
            <w:vAlign w:val="top"/>
          </w:tcPr>
          <w:p w14:paraId="6D1B26F6">
            <w:pPr>
              <w:pStyle w:val="15"/>
              <w:spacing w:before="122" w:line="227" w:lineRule="auto"/>
              <w:ind w:left="311"/>
              <w:rPr>
                <w:sz w:val="20"/>
                <w:szCs w:val="20"/>
              </w:rPr>
            </w:pPr>
            <w:r>
              <w:rPr>
                <w:rFonts w:hint="eastAsia"/>
                <w:spacing w:val="6"/>
                <w:sz w:val="20"/>
                <w:szCs w:val="20"/>
                <w:lang w:val="en-US" w:eastAsia="zh-CN"/>
              </w:rPr>
              <w:t>药品</w:t>
            </w:r>
            <w:r>
              <w:rPr>
                <w:spacing w:val="6"/>
                <w:sz w:val="20"/>
                <w:szCs w:val="20"/>
              </w:rPr>
              <w:t>名称</w:t>
            </w:r>
          </w:p>
        </w:tc>
        <w:tc>
          <w:tcPr>
            <w:tcW w:w="1100" w:type="dxa"/>
            <w:tcBorders>
              <w:top w:val="single" w:color="000000" w:sz="10" w:space="0"/>
            </w:tcBorders>
            <w:vAlign w:val="top"/>
          </w:tcPr>
          <w:p w14:paraId="308D6E52">
            <w:pPr>
              <w:pStyle w:val="15"/>
              <w:spacing w:before="122" w:line="228" w:lineRule="auto"/>
              <w:ind w:left="390"/>
              <w:rPr>
                <w:sz w:val="20"/>
                <w:szCs w:val="20"/>
              </w:rPr>
            </w:pPr>
            <w:r>
              <w:rPr>
                <w:spacing w:val="5"/>
                <w:sz w:val="20"/>
                <w:szCs w:val="20"/>
              </w:rPr>
              <w:t>规格</w:t>
            </w:r>
          </w:p>
        </w:tc>
        <w:tc>
          <w:tcPr>
            <w:tcW w:w="1822" w:type="dxa"/>
            <w:tcBorders>
              <w:top w:val="single" w:color="000000" w:sz="10" w:space="0"/>
            </w:tcBorders>
            <w:vAlign w:val="top"/>
          </w:tcPr>
          <w:p w14:paraId="3FB71E78">
            <w:pPr>
              <w:pStyle w:val="15"/>
              <w:spacing w:before="123" w:line="228" w:lineRule="auto"/>
              <w:ind w:left="402"/>
              <w:rPr>
                <w:rFonts w:hint="eastAsia" w:eastAsia="宋体"/>
                <w:sz w:val="20"/>
                <w:szCs w:val="20"/>
                <w:lang w:eastAsia="zh-CN"/>
              </w:rPr>
            </w:pPr>
            <w:r>
              <w:rPr>
                <w:rFonts w:hint="eastAsia"/>
                <w:spacing w:val="6"/>
                <w:sz w:val="20"/>
                <w:szCs w:val="20"/>
                <w:lang w:val="en-US" w:eastAsia="zh-CN"/>
              </w:rPr>
              <w:t>生产厂家</w:t>
            </w:r>
          </w:p>
        </w:tc>
        <w:tc>
          <w:tcPr>
            <w:tcW w:w="685" w:type="dxa"/>
            <w:tcBorders>
              <w:top w:val="single" w:color="000000" w:sz="10" w:space="0"/>
            </w:tcBorders>
            <w:vAlign w:val="top"/>
          </w:tcPr>
          <w:p w14:paraId="12BCB496">
            <w:pPr>
              <w:pStyle w:val="15"/>
              <w:spacing w:before="123" w:line="228" w:lineRule="auto"/>
              <w:ind w:left="155"/>
              <w:rPr>
                <w:sz w:val="20"/>
                <w:szCs w:val="20"/>
              </w:rPr>
            </w:pPr>
            <w:r>
              <w:rPr>
                <w:spacing w:val="3"/>
                <w:sz w:val="20"/>
                <w:szCs w:val="20"/>
              </w:rPr>
              <w:t>单位</w:t>
            </w:r>
          </w:p>
        </w:tc>
        <w:tc>
          <w:tcPr>
            <w:tcW w:w="1183" w:type="dxa"/>
            <w:tcBorders>
              <w:top w:val="single" w:color="000000" w:sz="10" w:space="0"/>
              <w:right w:val="single" w:color="000000" w:sz="10" w:space="0"/>
            </w:tcBorders>
            <w:vAlign w:val="top"/>
          </w:tcPr>
          <w:p w14:paraId="685393B0">
            <w:pPr>
              <w:pStyle w:val="15"/>
              <w:spacing w:before="122" w:line="229" w:lineRule="auto"/>
              <w:ind w:left="156"/>
              <w:rPr>
                <w:rFonts w:hint="eastAsia" w:eastAsia="微软雅黑"/>
                <w:sz w:val="20"/>
                <w:szCs w:val="20"/>
                <w:lang w:val="en-US" w:eastAsia="zh-CN"/>
              </w:rPr>
            </w:pPr>
            <w:r>
              <w:rPr>
                <w:rFonts w:hint="eastAsia"/>
                <w:sz w:val="20"/>
                <w:szCs w:val="20"/>
                <w:lang w:val="en-US" w:eastAsia="zh-CN"/>
              </w:rPr>
              <w:t>单价</w:t>
            </w:r>
          </w:p>
        </w:tc>
        <w:tc>
          <w:tcPr>
            <w:tcW w:w="1667" w:type="dxa"/>
            <w:tcBorders>
              <w:top w:val="single" w:color="000000" w:sz="10" w:space="0"/>
              <w:right w:val="single" w:color="000000" w:sz="10" w:space="0"/>
            </w:tcBorders>
            <w:vAlign w:val="top"/>
          </w:tcPr>
          <w:p w14:paraId="0A87DD27">
            <w:pPr>
              <w:pStyle w:val="15"/>
              <w:spacing w:before="123" w:line="228" w:lineRule="auto"/>
              <w:ind w:left="402"/>
              <w:rPr>
                <w:rFonts w:hint="eastAsia"/>
                <w:spacing w:val="6"/>
                <w:sz w:val="20"/>
                <w:szCs w:val="20"/>
                <w:lang w:val="en-US" w:eastAsia="zh-CN"/>
              </w:rPr>
            </w:pPr>
            <w:r>
              <w:rPr>
                <w:rFonts w:hint="eastAsia"/>
                <w:spacing w:val="6"/>
                <w:sz w:val="20"/>
                <w:szCs w:val="20"/>
                <w:lang w:val="en-US" w:eastAsia="zh-CN"/>
              </w:rPr>
              <w:t>质量标准</w:t>
            </w:r>
          </w:p>
        </w:tc>
        <w:tc>
          <w:tcPr>
            <w:tcW w:w="1667" w:type="dxa"/>
            <w:tcBorders>
              <w:top w:val="single" w:color="000000" w:sz="10" w:space="0"/>
              <w:right w:val="single" w:color="000000" w:sz="10" w:space="0"/>
            </w:tcBorders>
            <w:vAlign w:val="top"/>
          </w:tcPr>
          <w:p w14:paraId="75D9DA12">
            <w:pPr>
              <w:pStyle w:val="15"/>
              <w:spacing w:before="123" w:line="228" w:lineRule="auto"/>
              <w:ind w:left="402" w:firstLine="212" w:firstLineChars="100"/>
              <w:rPr>
                <w:rFonts w:hint="eastAsia"/>
                <w:spacing w:val="6"/>
                <w:sz w:val="20"/>
                <w:szCs w:val="20"/>
                <w:lang w:val="en-US" w:eastAsia="zh-CN"/>
              </w:rPr>
            </w:pPr>
            <w:r>
              <w:rPr>
                <w:rFonts w:hint="eastAsia"/>
                <w:spacing w:val="6"/>
                <w:sz w:val="20"/>
                <w:szCs w:val="20"/>
                <w:lang w:val="en-US" w:eastAsia="zh-CN"/>
              </w:rPr>
              <w:t>备注</w:t>
            </w:r>
          </w:p>
        </w:tc>
      </w:tr>
      <w:tr w14:paraId="3D827A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trPr>
        <w:tc>
          <w:tcPr>
            <w:tcW w:w="807" w:type="dxa"/>
            <w:tcBorders>
              <w:left w:val="single" w:color="000000" w:sz="10" w:space="0"/>
            </w:tcBorders>
            <w:vAlign w:val="top"/>
          </w:tcPr>
          <w:p w14:paraId="79C9868C">
            <w:pPr>
              <w:rPr>
                <w:rFonts w:ascii="Arial"/>
                <w:sz w:val="21"/>
              </w:rPr>
            </w:pPr>
          </w:p>
        </w:tc>
        <w:tc>
          <w:tcPr>
            <w:tcW w:w="1363" w:type="dxa"/>
            <w:vAlign w:val="top"/>
          </w:tcPr>
          <w:p w14:paraId="2A953F3F">
            <w:pPr>
              <w:rPr>
                <w:rFonts w:ascii="Arial"/>
                <w:sz w:val="21"/>
              </w:rPr>
            </w:pPr>
          </w:p>
        </w:tc>
        <w:tc>
          <w:tcPr>
            <w:tcW w:w="1100" w:type="dxa"/>
            <w:vAlign w:val="top"/>
          </w:tcPr>
          <w:p w14:paraId="317285F8">
            <w:pPr>
              <w:rPr>
                <w:rFonts w:ascii="Arial"/>
                <w:sz w:val="21"/>
              </w:rPr>
            </w:pPr>
          </w:p>
        </w:tc>
        <w:tc>
          <w:tcPr>
            <w:tcW w:w="1822" w:type="dxa"/>
            <w:vAlign w:val="top"/>
          </w:tcPr>
          <w:p w14:paraId="2D4D4243">
            <w:pPr>
              <w:rPr>
                <w:rFonts w:ascii="Arial"/>
                <w:sz w:val="21"/>
              </w:rPr>
            </w:pPr>
          </w:p>
        </w:tc>
        <w:tc>
          <w:tcPr>
            <w:tcW w:w="685" w:type="dxa"/>
            <w:vAlign w:val="top"/>
          </w:tcPr>
          <w:p w14:paraId="21B173CC">
            <w:pPr>
              <w:rPr>
                <w:rFonts w:ascii="Arial"/>
                <w:sz w:val="21"/>
              </w:rPr>
            </w:pPr>
          </w:p>
        </w:tc>
        <w:tc>
          <w:tcPr>
            <w:tcW w:w="1183" w:type="dxa"/>
            <w:tcBorders>
              <w:right w:val="single" w:color="000000" w:sz="10" w:space="0"/>
            </w:tcBorders>
            <w:vAlign w:val="top"/>
          </w:tcPr>
          <w:p w14:paraId="4E21A95B">
            <w:pPr>
              <w:rPr>
                <w:rFonts w:ascii="Arial"/>
                <w:sz w:val="21"/>
              </w:rPr>
            </w:pPr>
          </w:p>
        </w:tc>
        <w:tc>
          <w:tcPr>
            <w:tcW w:w="1667" w:type="dxa"/>
            <w:tcBorders>
              <w:right w:val="single" w:color="000000" w:sz="10" w:space="0"/>
            </w:tcBorders>
            <w:vAlign w:val="top"/>
          </w:tcPr>
          <w:p w14:paraId="3B73AB2F">
            <w:pPr>
              <w:rPr>
                <w:rFonts w:ascii="Arial"/>
                <w:sz w:val="21"/>
              </w:rPr>
            </w:pPr>
          </w:p>
        </w:tc>
        <w:tc>
          <w:tcPr>
            <w:tcW w:w="1667" w:type="dxa"/>
            <w:tcBorders>
              <w:right w:val="single" w:color="000000" w:sz="10" w:space="0"/>
            </w:tcBorders>
            <w:vAlign w:val="top"/>
          </w:tcPr>
          <w:p w14:paraId="371DAA4E">
            <w:pPr>
              <w:rPr>
                <w:rFonts w:ascii="Arial"/>
                <w:sz w:val="21"/>
              </w:rPr>
            </w:pPr>
          </w:p>
        </w:tc>
      </w:tr>
      <w:tr w14:paraId="269CA2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trPr>
        <w:tc>
          <w:tcPr>
            <w:tcW w:w="807" w:type="dxa"/>
            <w:tcBorders>
              <w:left w:val="single" w:color="000000" w:sz="10" w:space="0"/>
            </w:tcBorders>
            <w:vAlign w:val="top"/>
          </w:tcPr>
          <w:p w14:paraId="01606D33">
            <w:pPr>
              <w:rPr>
                <w:rFonts w:ascii="Arial"/>
                <w:sz w:val="21"/>
              </w:rPr>
            </w:pPr>
          </w:p>
        </w:tc>
        <w:tc>
          <w:tcPr>
            <w:tcW w:w="1363" w:type="dxa"/>
            <w:vAlign w:val="top"/>
          </w:tcPr>
          <w:p w14:paraId="41425E8E">
            <w:pPr>
              <w:rPr>
                <w:rFonts w:ascii="Arial"/>
                <w:sz w:val="21"/>
              </w:rPr>
            </w:pPr>
          </w:p>
        </w:tc>
        <w:tc>
          <w:tcPr>
            <w:tcW w:w="1100" w:type="dxa"/>
            <w:vAlign w:val="top"/>
          </w:tcPr>
          <w:p w14:paraId="3EFB21DB">
            <w:pPr>
              <w:rPr>
                <w:rFonts w:ascii="Arial"/>
                <w:sz w:val="21"/>
              </w:rPr>
            </w:pPr>
          </w:p>
        </w:tc>
        <w:tc>
          <w:tcPr>
            <w:tcW w:w="1822" w:type="dxa"/>
            <w:vAlign w:val="top"/>
          </w:tcPr>
          <w:p w14:paraId="11ABDA44">
            <w:pPr>
              <w:rPr>
                <w:rFonts w:ascii="Arial"/>
                <w:sz w:val="21"/>
              </w:rPr>
            </w:pPr>
          </w:p>
        </w:tc>
        <w:tc>
          <w:tcPr>
            <w:tcW w:w="685" w:type="dxa"/>
            <w:vAlign w:val="top"/>
          </w:tcPr>
          <w:p w14:paraId="414C69ED">
            <w:pPr>
              <w:rPr>
                <w:rFonts w:ascii="Arial"/>
                <w:sz w:val="21"/>
              </w:rPr>
            </w:pPr>
          </w:p>
        </w:tc>
        <w:tc>
          <w:tcPr>
            <w:tcW w:w="1183" w:type="dxa"/>
            <w:tcBorders>
              <w:right w:val="single" w:color="000000" w:sz="10" w:space="0"/>
            </w:tcBorders>
            <w:vAlign w:val="top"/>
          </w:tcPr>
          <w:p w14:paraId="378A24AE">
            <w:pPr>
              <w:rPr>
                <w:rFonts w:ascii="Arial"/>
                <w:sz w:val="21"/>
              </w:rPr>
            </w:pPr>
          </w:p>
        </w:tc>
        <w:tc>
          <w:tcPr>
            <w:tcW w:w="1667" w:type="dxa"/>
            <w:tcBorders>
              <w:right w:val="single" w:color="000000" w:sz="10" w:space="0"/>
            </w:tcBorders>
            <w:vAlign w:val="top"/>
          </w:tcPr>
          <w:p w14:paraId="7B59550E">
            <w:pPr>
              <w:rPr>
                <w:rFonts w:ascii="Arial"/>
                <w:sz w:val="21"/>
              </w:rPr>
            </w:pPr>
          </w:p>
        </w:tc>
        <w:tc>
          <w:tcPr>
            <w:tcW w:w="1667" w:type="dxa"/>
            <w:tcBorders>
              <w:right w:val="single" w:color="000000" w:sz="10" w:space="0"/>
            </w:tcBorders>
            <w:vAlign w:val="top"/>
          </w:tcPr>
          <w:p w14:paraId="03432C46">
            <w:pPr>
              <w:rPr>
                <w:rFonts w:ascii="Arial"/>
                <w:sz w:val="21"/>
              </w:rPr>
            </w:pPr>
          </w:p>
        </w:tc>
      </w:tr>
      <w:tr w14:paraId="13CDB1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trPr>
        <w:tc>
          <w:tcPr>
            <w:tcW w:w="807" w:type="dxa"/>
            <w:tcBorders>
              <w:left w:val="single" w:color="000000" w:sz="10" w:space="0"/>
            </w:tcBorders>
            <w:vAlign w:val="top"/>
          </w:tcPr>
          <w:p w14:paraId="49CCCDED">
            <w:pPr>
              <w:rPr>
                <w:rFonts w:ascii="Arial"/>
                <w:sz w:val="21"/>
              </w:rPr>
            </w:pPr>
          </w:p>
        </w:tc>
        <w:tc>
          <w:tcPr>
            <w:tcW w:w="1363" w:type="dxa"/>
            <w:vAlign w:val="top"/>
          </w:tcPr>
          <w:p w14:paraId="4AEC15F6">
            <w:pPr>
              <w:rPr>
                <w:rFonts w:ascii="Arial"/>
                <w:sz w:val="21"/>
              </w:rPr>
            </w:pPr>
          </w:p>
        </w:tc>
        <w:tc>
          <w:tcPr>
            <w:tcW w:w="1100" w:type="dxa"/>
            <w:vAlign w:val="top"/>
          </w:tcPr>
          <w:p w14:paraId="5A77DD52">
            <w:pPr>
              <w:rPr>
                <w:rFonts w:ascii="Arial"/>
                <w:sz w:val="21"/>
              </w:rPr>
            </w:pPr>
          </w:p>
        </w:tc>
        <w:tc>
          <w:tcPr>
            <w:tcW w:w="1822" w:type="dxa"/>
            <w:vAlign w:val="top"/>
          </w:tcPr>
          <w:p w14:paraId="47518DD9">
            <w:pPr>
              <w:rPr>
                <w:rFonts w:ascii="Arial"/>
                <w:sz w:val="21"/>
              </w:rPr>
            </w:pPr>
          </w:p>
        </w:tc>
        <w:tc>
          <w:tcPr>
            <w:tcW w:w="685" w:type="dxa"/>
            <w:vAlign w:val="top"/>
          </w:tcPr>
          <w:p w14:paraId="33790FD4">
            <w:pPr>
              <w:rPr>
                <w:rFonts w:ascii="Arial"/>
                <w:sz w:val="21"/>
              </w:rPr>
            </w:pPr>
          </w:p>
        </w:tc>
        <w:tc>
          <w:tcPr>
            <w:tcW w:w="1183" w:type="dxa"/>
            <w:tcBorders>
              <w:right w:val="single" w:color="000000" w:sz="10" w:space="0"/>
            </w:tcBorders>
            <w:vAlign w:val="top"/>
          </w:tcPr>
          <w:p w14:paraId="545EBCD4">
            <w:pPr>
              <w:rPr>
                <w:rFonts w:ascii="Arial"/>
                <w:sz w:val="21"/>
              </w:rPr>
            </w:pPr>
          </w:p>
        </w:tc>
        <w:tc>
          <w:tcPr>
            <w:tcW w:w="1667" w:type="dxa"/>
            <w:tcBorders>
              <w:right w:val="single" w:color="000000" w:sz="10" w:space="0"/>
            </w:tcBorders>
            <w:vAlign w:val="top"/>
          </w:tcPr>
          <w:p w14:paraId="6F32305E">
            <w:pPr>
              <w:rPr>
                <w:rFonts w:ascii="Arial"/>
                <w:sz w:val="21"/>
              </w:rPr>
            </w:pPr>
          </w:p>
        </w:tc>
        <w:tc>
          <w:tcPr>
            <w:tcW w:w="1667" w:type="dxa"/>
            <w:tcBorders>
              <w:right w:val="single" w:color="000000" w:sz="10" w:space="0"/>
            </w:tcBorders>
            <w:vAlign w:val="top"/>
          </w:tcPr>
          <w:p w14:paraId="05989821">
            <w:pPr>
              <w:rPr>
                <w:rFonts w:ascii="Arial"/>
                <w:sz w:val="21"/>
              </w:rPr>
            </w:pPr>
          </w:p>
        </w:tc>
      </w:tr>
      <w:tr w14:paraId="3EC20A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5" w:hRule="atLeast"/>
        </w:trPr>
        <w:tc>
          <w:tcPr>
            <w:tcW w:w="807" w:type="dxa"/>
            <w:tcBorders>
              <w:left w:val="single" w:color="000000" w:sz="10" w:space="0"/>
            </w:tcBorders>
            <w:vAlign w:val="top"/>
          </w:tcPr>
          <w:p w14:paraId="489ECD40">
            <w:pPr>
              <w:rPr>
                <w:rFonts w:ascii="Arial"/>
                <w:sz w:val="21"/>
              </w:rPr>
            </w:pPr>
          </w:p>
        </w:tc>
        <w:tc>
          <w:tcPr>
            <w:tcW w:w="1363" w:type="dxa"/>
            <w:vAlign w:val="top"/>
          </w:tcPr>
          <w:p w14:paraId="1D37F753">
            <w:pPr>
              <w:rPr>
                <w:rFonts w:ascii="Arial"/>
                <w:sz w:val="21"/>
              </w:rPr>
            </w:pPr>
          </w:p>
        </w:tc>
        <w:tc>
          <w:tcPr>
            <w:tcW w:w="1100" w:type="dxa"/>
            <w:vAlign w:val="top"/>
          </w:tcPr>
          <w:p w14:paraId="39AB185A">
            <w:pPr>
              <w:rPr>
                <w:rFonts w:ascii="Arial"/>
                <w:sz w:val="21"/>
              </w:rPr>
            </w:pPr>
          </w:p>
        </w:tc>
        <w:tc>
          <w:tcPr>
            <w:tcW w:w="1822" w:type="dxa"/>
            <w:vAlign w:val="top"/>
          </w:tcPr>
          <w:p w14:paraId="035ED5A7">
            <w:pPr>
              <w:rPr>
                <w:rFonts w:ascii="Arial"/>
                <w:sz w:val="21"/>
              </w:rPr>
            </w:pPr>
          </w:p>
        </w:tc>
        <w:tc>
          <w:tcPr>
            <w:tcW w:w="685" w:type="dxa"/>
            <w:vAlign w:val="top"/>
          </w:tcPr>
          <w:p w14:paraId="5508EE69">
            <w:pPr>
              <w:rPr>
                <w:rFonts w:ascii="Arial"/>
                <w:sz w:val="21"/>
              </w:rPr>
            </w:pPr>
          </w:p>
        </w:tc>
        <w:tc>
          <w:tcPr>
            <w:tcW w:w="1183" w:type="dxa"/>
            <w:tcBorders>
              <w:right w:val="single" w:color="000000" w:sz="10" w:space="0"/>
            </w:tcBorders>
            <w:vAlign w:val="top"/>
          </w:tcPr>
          <w:p w14:paraId="6FEE2DA8">
            <w:pPr>
              <w:rPr>
                <w:rFonts w:ascii="Arial"/>
                <w:sz w:val="21"/>
              </w:rPr>
            </w:pPr>
          </w:p>
        </w:tc>
        <w:tc>
          <w:tcPr>
            <w:tcW w:w="1667" w:type="dxa"/>
            <w:tcBorders>
              <w:right w:val="single" w:color="000000" w:sz="10" w:space="0"/>
            </w:tcBorders>
            <w:vAlign w:val="top"/>
          </w:tcPr>
          <w:p w14:paraId="68DF9E8D">
            <w:pPr>
              <w:rPr>
                <w:rFonts w:ascii="Arial"/>
                <w:sz w:val="21"/>
              </w:rPr>
            </w:pPr>
          </w:p>
        </w:tc>
        <w:tc>
          <w:tcPr>
            <w:tcW w:w="1667" w:type="dxa"/>
            <w:tcBorders>
              <w:right w:val="single" w:color="000000" w:sz="10" w:space="0"/>
            </w:tcBorders>
            <w:vAlign w:val="top"/>
          </w:tcPr>
          <w:p w14:paraId="18C46D20">
            <w:pPr>
              <w:rPr>
                <w:rFonts w:ascii="Arial"/>
                <w:sz w:val="21"/>
              </w:rPr>
            </w:pPr>
          </w:p>
        </w:tc>
      </w:tr>
      <w:tr w14:paraId="2BF702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trPr>
        <w:tc>
          <w:tcPr>
            <w:tcW w:w="807" w:type="dxa"/>
            <w:tcBorders>
              <w:left w:val="single" w:color="000000" w:sz="10" w:space="0"/>
            </w:tcBorders>
            <w:vAlign w:val="top"/>
          </w:tcPr>
          <w:p w14:paraId="6DBFD39F">
            <w:pPr>
              <w:rPr>
                <w:rFonts w:ascii="Arial"/>
                <w:sz w:val="21"/>
              </w:rPr>
            </w:pPr>
          </w:p>
        </w:tc>
        <w:tc>
          <w:tcPr>
            <w:tcW w:w="1363" w:type="dxa"/>
            <w:vAlign w:val="top"/>
          </w:tcPr>
          <w:p w14:paraId="56FA0A06">
            <w:pPr>
              <w:rPr>
                <w:rFonts w:ascii="Arial"/>
                <w:sz w:val="21"/>
              </w:rPr>
            </w:pPr>
          </w:p>
        </w:tc>
        <w:tc>
          <w:tcPr>
            <w:tcW w:w="1100" w:type="dxa"/>
            <w:vAlign w:val="top"/>
          </w:tcPr>
          <w:p w14:paraId="5C05E3FE">
            <w:pPr>
              <w:rPr>
                <w:rFonts w:ascii="Arial"/>
                <w:sz w:val="21"/>
              </w:rPr>
            </w:pPr>
          </w:p>
        </w:tc>
        <w:tc>
          <w:tcPr>
            <w:tcW w:w="1822" w:type="dxa"/>
            <w:vAlign w:val="top"/>
          </w:tcPr>
          <w:p w14:paraId="1AA7BD05">
            <w:pPr>
              <w:rPr>
                <w:rFonts w:ascii="Arial"/>
                <w:sz w:val="21"/>
              </w:rPr>
            </w:pPr>
          </w:p>
        </w:tc>
        <w:tc>
          <w:tcPr>
            <w:tcW w:w="685" w:type="dxa"/>
            <w:vAlign w:val="top"/>
          </w:tcPr>
          <w:p w14:paraId="16F9AE34">
            <w:pPr>
              <w:rPr>
                <w:rFonts w:ascii="Arial"/>
                <w:sz w:val="21"/>
              </w:rPr>
            </w:pPr>
          </w:p>
        </w:tc>
        <w:tc>
          <w:tcPr>
            <w:tcW w:w="1183" w:type="dxa"/>
            <w:tcBorders>
              <w:right w:val="single" w:color="000000" w:sz="10" w:space="0"/>
            </w:tcBorders>
            <w:vAlign w:val="top"/>
          </w:tcPr>
          <w:p w14:paraId="72399D53">
            <w:pPr>
              <w:rPr>
                <w:rFonts w:ascii="Arial"/>
                <w:sz w:val="21"/>
              </w:rPr>
            </w:pPr>
          </w:p>
        </w:tc>
        <w:tc>
          <w:tcPr>
            <w:tcW w:w="1667" w:type="dxa"/>
            <w:tcBorders>
              <w:right w:val="single" w:color="000000" w:sz="10" w:space="0"/>
            </w:tcBorders>
            <w:vAlign w:val="top"/>
          </w:tcPr>
          <w:p w14:paraId="3763EABC">
            <w:pPr>
              <w:rPr>
                <w:rFonts w:ascii="Arial"/>
                <w:sz w:val="21"/>
              </w:rPr>
            </w:pPr>
          </w:p>
        </w:tc>
        <w:tc>
          <w:tcPr>
            <w:tcW w:w="1667" w:type="dxa"/>
            <w:tcBorders>
              <w:right w:val="single" w:color="000000" w:sz="10" w:space="0"/>
            </w:tcBorders>
            <w:vAlign w:val="top"/>
          </w:tcPr>
          <w:p w14:paraId="296B0106">
            <w:pPr>
              <w:rPr>
                <w:rFonts w:ascii="Arial"/>
                <w:sz w:val="21"/>
              </w:rPr>
            </w:pPr>
          </w:p>
        </w:tc>
      </w:tr>
      <w:tr w14:paraId="14A18A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1" w:hRule="atLeast"/>
        </w:trPr>
        <w:tc>
          <w:tcPr>
            <w:tcW w:w="807" w:type="dxa"/>
            <w:tcBorders>
              <w:left w:val="single" w:color="000000" w:sz="10" w:space="0"/>
            </w:tcBorders>
            <w:vAlign w:val="top"/>
          </w:tcPr>
          <w:p w14:paraId="1714DFAC">
            <w:pPr>
              <w:rPr>
                <w:rFonts w:ascii="Arial"/>
                <w:sz w:val="21"/>
              </w:rPr>
            </w:pPr>
          </w:p>
        </w:tc>
        <w:tc>
          <w:tcPr>
            <w:tcW w:w="1363" w:type="dxa"/>
            <w:vAlign w:val="top"/>
          </w:tcPr>
          <w:p w14:paraId="020B0E1B">
            <w:pPr>
              <w:rPr>
                <w:rFonts w:ascii="Arial"/>
                <w:sz w:val="21"/>
              </w:rPr>
            </w:pPr>
          </w:p>
        </w:tc>
        <w:tc>
          <w:tcPr>
            <w:tcW w:w="1100" w:type="dxa"/>
            <w:vAlign w:val="top"/>
          </w:tcPr>
          <w:p w14:paraId="0F05808D">
            <w:pPr>
              <w:rPr>
                <w:rFonts w:ascii="Arial"/>
                <w:sz w:val="21"/>
              </w:rPr>
            </w:pPr>
          </w:p>
        </w:tc>
        <w:tc>
          <w:tcPr>
            <w:tcW w:w="1822" w:type="dxa"/>
            <w:vAlign w:val="top"/>
          </w:tcPr>
          <w:p w14:paraId="15C275D1">
            <w:pPr>
              <w:rPr>
                <w:rFonts w:ascii="Arial"/>
                <w:sz w:val="21"/>
              </w:rPr>
            </w:pPr>
          </w:p>
        </w:tc>
        <w:tc>
          <w:tcPr>
            <w:tcW w:w="685" w:type="dxa"/>
            <w:vAlign w:val="top"/>
          </w:tcPr>
          <w:p w14:paraId="6A23A856">
            <w:pPr>
              <w:rPr>
                <w:rFonts w:ascii="Arial"/>
                <w:sz w:val="21"/>
              </w:rPr>
            </w:pPr>
          </w:p>
        </w:tc>
        <w:tc>
          <w:tcPr>
            <w:tcW w:w="1183" w:type="dxa"/>
            <w:tcBorders>
              <w:right w:val="single" w:color="000000" w:sz="10" w:space="0"/>
            </w:tcBorders>
            <w:vAlign w:val="top"/>
          </w:tcPr>
          <w:p w14:paraId="10256B95">
            <w:pPr>
              <w:rPr>
                <w:rFonts w:ascii="Arial"/>
                <w:sz w:val="21"/>
              </w:rPr>
            </w:pPr>
          </w:p>
        </w:tc>
        <w:tc>
          <w:tcPr>
            <w:tcW w:w="1667" w:type="dxa"/>
            <w:tcBorders>
              <w:right w:val="single" w:color="000000" w:sz="10" w:space="0"/>
            </w:tcBorders>
            <w:vAlign w:val="top"/>
          </w:tcPr>
          <w:p w14:paraId="36D4952F">
            <w:pPr>
              <w:rPr>
                <w:rFonts w:ascii="Arial"/>
                <w:sz w:val="21"/>
              </w:rPr>
            </w:pPr>
          </w:p>
        </w:tc>
        <w:tc>
          <w:tcPr>
            <w:tcW w:w="1667" w:type="dxa"/>
            <w:tcBorders>
              <w:right w:val="single" w:color="000000" w:sz="10" w:space="0"/>
            </w:tcBorders>
            <w:vAlign w:val="top"/>
          </w:tcPr>
          <w:p w14:paraId="464027F6">
            <w:pPr>
              <w:rPr>
                <w:rFonts w:ascii="Arial"/>
                <w:sz w:val="21"/>
              </w:rPr>
            </w:pPr>
          </w:p>
        </w:tc>
      </w:tr>
    </w:tbl>
    <w:p w14:paraId="57696B84">
      <w:pPr>
        <w:pStyle w:val="4"/>
        <w:spacing w:before="164" w:line="347" w:lineRule="auto"/>
        <w:ind w:right="117" w:firstLine="428" w:firstLineChars="200"/>
        <w:jc w:val="both"/>
        <w:rPr>
          <w:spacing w:val="-3"/>
          <w:sz w:val="22"/>
          <w:szCs w:val="22"/>
        </w:rPr>
      </w:pPr>
      <w:r>
        <w:rPr>
          <w:spacing w:val="-3"/>
          <w:sz w:val="22"/>
          <w:szCs w:val="22"/>
        </w:rPr>
        <w:t>质量标准：在符合</w:t>
      </w:r>
      <w:r>
        <w:rPr>
          <w:spacing w:val="-3"/>
          <w:sz w:val="22"/>
          <w:szCs w:val="22"/>
        </w:rPr>
        <w:fldChar w:fldCharType="begin"/>
      </w:r>
      <w:r>
        <w:rPr>
          <w:spacing w:val="-3"/>
          <w:sz w:val="22"/>
          <w:szCs w:val="22"/>
        </w:rPr>
        <w:instrText xml:space="preserve"> HYPERLINK "http://www.baidu.com/link?url=sk4nyY6vq-c0FsLacoELAyFbsp85kPJFkNFdS50MylAb8OGmaYInPVR7o33NuQQPkBOiC_SlJcmk4Pf8GpyQma" </w:instrText>
      </w:r>
      <w:r>
        <w:rPr>
          <w:spacing w:val="-3"/>
          <w:sz w:val="22"/>
          <w:szCs w:val="22"/>
        </w:rPr>
        <w:fldChar w:fldCharType="separate"/>
      </w:r>
      <w:r>
        <w:rPr>
          <w:spacing w:val="-3"/>
          <w:sz w:val="22"/>
          <w:szCs w:val="22"/>
        </w:rPr>
        <w:t>《中国药典》2020 版</w:t>
      </w:r>
      <w:r>
        <w:rPr>
          <w:spacing w:val="-3"/>
          <w:sz w:val="22"/>
          <w:szCs w:val="22"/>
        </w:rPr>
        <w:fldChar w:fldCharType="end"/>
      </w:r>
      <w:r>
        <w:rPr>
          <w:spacing w:val="-3"/>
          <w:sz w:val="22"/>
          <w:szCs w:val="22"/>
        </w:rPr>
        <w:t>或国家其他质量标准的基础上，同时 满足附件的质量要求（见附件）。院方对药品质量的要求的附件应由 乙方签字盖章确认，并由甲方留存一份。</w:t>
      </w:r>
    </w:p>
    <w:p w14:paraId="51C22C4B">
      <w:pPr>
        <w:pStyle w:val="4"/>
        <w:spacing w:before="73" w:line="219" w:lineRule="auto"/>
        <w:ind w:left="130"/>
        <w:rPr>
          <w:sz w:val="22"/>
          <w:szCs w:val="22"/>
        </w:rPr>
      </w:pPr>
      <w:r>
        <w:rPr>
          <w:b/>
          <w:bCs/>
          <w:spacing w:val="-6"/>
          <w:sz w:val="22"/>
          <w:szCs w:val="22"/>
        </w:rPr>
        <w:t>第</w:t>
      </w:r>
      <w:r>
        <w:rPr>
          <w:rFonts w:hint="eastAsia"/>
          <w:b/>
          <w:bCs/>
          <w:spacing w:val="-6"/>
          <w:sz w:val="22"/>
          <w:szCs w:val="22"/>
          <w:lang w:val="en-US" w:eastAsia="zh-CN"/>
        </w:rPr>
        <w:t>三</w:t>
      </w:r>
      <w:r>
        <w:rPr>
          <w:b/>
          <w:bCs/>
          <w:spacing w:val="-6"/>
          <w:sz w:val="22"/>
          <w:szCs w:val="22"/>
        </w:rPr>
        <w:t>条</w:t>
      </w:r>
      <w:r>
        <w:rPr>
          <w:spacing w:val="13"/>
          <w:sz w:val="22"/>
          <w:szCs w:val="22"/>
        </w:rPr>
        <w:t xml:space="preserve"> </w:t>
      </w:r>
      <w:r>
        <w:rPr>
          <w:b/>
          <w:bCs/>
          <w:spacing w:val="-6"/>
          <w:sz w:val="22"/>
          <w:szCs w:val="22"/>
        </w:rPr>
        <w:t>价格</w:t>
      </w:r>
    </w:p>
    <w:p w14:paraId="0BFBD919">
      <w:pPr>
        <w:pStyle w:val="4"/>
        <w:spacing w:before="99" w:line="219" w:lineRule="auto"/>
        <w:ind w:left="147"/>
        <w:rPr>
          <w:sz w:val="22"/>
          <w:szCs w:val="22"/>
        </w:rPr>
      </w:pPr>
      <w:r>
        <w:rPr>
          <w:spacing w:val="-3"/>
          <w:sz w:val="22"/>
          <w:szCs w:val="22"/>
        </w:rPr>
        <w:t>1、合同总价</w:t>
      </w:r>
      <w:r>
        <w:rPr>
          <w:rFonts w:hint="eastAsia" w:eastAsia="宋体"/>
          <w:spacing w:val="-3"/>
          <w:sz w:val="22"/>
          <w:szCs w:val="22"/>
          <w:lang w:eastAsia="zh-CN"/>
        </w:rPr>
        <w:t>（下浮率）</w:t>
      </w:r>
      <w:r>
        <w:rPr>
          <w:spacing w:val="-3"/>
          <w:sz w:val="22"/>
          <w:szCs w:val="22"/>
          <w:u w:val="single"/>
        </w:rPr>
        <w:t>：</w:t>
      </w:r>
      <w:r>
        <w:rPr>
          <w:rFonts w:hint="eastAsia" w:eastAsia="宋体"/>
          <w:spacing w:val="-3"/>
          <w:sz w:val="22"/>
          <w:szCs w:val="22"/>
          <w:u w:val="single"/>
          <w:lang w:val="en-US" w:eastAsia="zh-CN"/>
        </w:rPr>
        <w:t xml:space="preserve">     %   </w:t>
      </w:r>
      <w:r>
        <w:rPr>
          <w:rFonts w:hint="eastAsia" w:eastAsia="宋体"/>
          <w:spacing w:val="-3"/>
          <w:sz w:val="22"/>
          <w:szCs w:val="22"/>
          <w:lang w:val="en-US" w:eastAsia="zh-CN"/>
        </w:rPr>
        <w:t xml:space="preserve"> </w:t>
      </w:r>
      <w:r>
        <w:rPr>
          <w:sz w:val="22"/>
          <w:szCs w:val="22"/>
        </w:rPr>
        <w:t>大写</w:t>
      </w:r>
      <w:r>
        <w:rPr>
          <w:sz w:val="22"/>
          <w:szCs w:val="22"/>
          <w:u w:val="single" w:color="auto"/>
        </w:rPr>
        <w:t xml:space="preserve">                </w:t>
      </w:r>
      <w:r>
        <w:rPr>
          <w:sz w:val="22"/>
          <w:szCs w:val="22"/>
        </w:rPr>
        <w:t>。</w:t>
      </w:r>
    </w:p>
    <w:p w14:paraId="1A3ACC71">
      <w:pPr>
        <w:pStyle w:val="4"/>
        <w:spacing w:before="164" w:line="347" w:lineRule="auto"/>
        <w:ind w:right="117"/>
        <w:jc w:val="both"/>
        <w:rPr>
          <w:spacing w:val="-3"/>
          <w:sz w:val="22"/>
          <w:szCs w:val="22"/>
        </w:rPr>
      </w:pPr>
      <w:r>
        <w:rPr>
          <w:spacing w:val="-3"/>
          <w:sz w:val="22"/>
          <w:szCs w:val="22"/>
        </w:rPr>
        <w:t xml:space="preserve">2、 </w:t>
      </w:r>
      <w:r>
        <w:rPr>
          <w:rFonts w:hint="eastAsia"/>
          <w:spacing w:val="-3"/>
          <w:sz w:val="22"/>
          <w:szCs w:val="22"/>
          <w:lang w:val="en-US" w:eastAsia="zh-CN"/>
        </w:rPr>
        <w:t>单品的单价应包含但不限于货物价格、服务人员费用、运输费用、包装费用以及可能涉及的税费、保险费、仓储费用、检验费用、淡季储存成本、财务成本、管理成本、售后服务</w:t>
      </w:r>
      <w:r>
        <w:rPr>
          <w:spacing w:val="-3"/>
          <w:sz w:val="22"/>
          <w:szCs w:val="22"/>
        </w:rPr>
        <w:t>及合同实施过程中的应预见和不可预见费用等完成合同规定责任和义务、达到合同目的的一切费用。</w:t>
      </w:r>
    </w:p>
    <w:p w14:paraId="754DBF5E">
      <w:pPr>
        <w:pStyle w:val="4"/>
        <w:spacing w:before="164" w:line="347" w:lineRule="auto"/>
        <w:ind w:right="117"/>
        <w:jc w:val="both"/>
        <w:rPr>
          <w:spacing w:val="-3"/>
          <w:sz w:val="22"/>
          <w:szCs w:val="22"/>
        </w:rPr>
      </w:pPr>
      <w:r>
        <w:rPr>
          <w:spacing w:val="-3"/>
          <w:sz w:val="22"/>
          <w:szCs w:val="22"/>
        </w:rPr>
        <w:t>3、自协议签订日期起，乙方所供应的价格必须是合同约定的价格，</w:t>
      </w:r>
      <w:r>
        <w:rPr>
          <w:rFonts w:hint="eastAsia" w:eastAsia="宋体"/>
          <w:spacing w:val="-3"/>
          <w:sz w:val="22"/>
          <w:szCs w:val="22"/>
          <w:lang w:eastAsia="zh-CN"/>
        </w:rPr>
        <w:t>成交</w:t>
      </w:r>
      <w:r>
        <w:rPr>
          <w:spacing w:val="-3"/>
          <w:sz w:val="22"/>
          <w:szCs w:val="22"/>
        </w:rPr>
        <w:t>价格即为双方签订合同的约定价格。</w:t>
      </w:r>
    </w:p>
    <w:p w14:paraId="0C42B226">
      <w:pPr>
        <w:pStyle w:val="4"/>
        <w:spacing w:before="164" w:line="347" w:lineRule="auto"/>
        <w:ind w:right="117"/>
        <w:jc w:val="both"/>
        <w:rPr>
          <w:spacing w:val="-3"/>
          <w:sz w:val="22"/>
          <w:szCs w:val="22"/>
        </w:rPr>
      </w:pPr>
      <w:r>
        <w:rPr>
          <w:rFonts w:hint="eastAsia"/>
          <w:spacing w:val="-3"/>
          <w:sz w:val="22"/>
          <w:szCs w:val="22"/>
          <w:lang w:val="en-US" w:eastAsia="zh-CN"/>
        </w:rPr>
        <w:t>4</w:t>
      </w:r>
      <w:r>
        <w:rPr>
          <w:rFonts w:hint="eastAsia"/>
          <w:spacing w:val="-3"/>
          <w:sz w:val="22"/>
          <w:szCs w:val="22"/>
          <w:lang w:eastAsia="zh-CN"/>
        </w:rPr>
        <w:t>、</w:t>
      </w:r>
    </w:p>
    <w:p w14:paraId="6D6F6AEC">
      <w:pPr>
        <w:pStyle w:val="4"/>
        <w:spacing w:before="213" w:line="220" w:lineRule="auto"/>
        <w:ind w:left="130"/>
        <w:rPr>
          <w:b/>
          <w:bCs/>
          <w:spacing w:val="-3"/>
          <w:sz w:val="22"/>
          <w:szCs w:val="22"/>
        </w:rPr>
      </w:pPr>
      <w:r>
        <w:rPr>
          <w:b/>
          <w:bCs/>
          <w:spacing w:val="-3"/>
          <w:sz w:val="22"/>
          <w:szCs w:val="22"/>
        </w:rPr>
        <w:t>第</w:t>
      </w:r>
      <w:r>
        <w:rPr>
          <w:rFonts w:hint="eastAsia"/>
          <w:b/>
          <w:bCs/>
          <w:spacing w:val="-3"/>
          <w:sz w:val="22"/>
          <w:szCs w:val="22"/>
          <w:lang w:val="en-US" w:eastAsia="zh-CN"/>
        </w:rPr>
        <w:t>四</w:t>
      </w:r>
      <w:r>
        <w:rPr>
          <w:b/>
          <w:bCs/>
          <w:spacing w:val="-3"/>
          <w:sz w:val="22"/>
          <w:szCs w:val="22"/>
        </w:rPr>
        <w:t>条   付款</w:t>
      </w:r>
    </w:p>
    <w:p w14:paraId="5EC7DE6A">
      <w:pPr>
        <w:pStyle w:val="4"/>
        <w:spacing w:before="164" w:line="347" w:lineRule="auto"/>
        <w:ind w:right="117"/>
        <w:jc w:val="both"/>
        <w:rPr>
          <w:rFonts w:hint="eastAsia"/>
          <w:spacing w:val="-3"/>
          <w:sz w:val="22"/>
          <w:szCs w:val="22"/>
          <w:lang w:val="en-US" w:eastAsia="zh-CN"/>
        </w:rPr>
      </w:pPr>
      <w:r>
        <w:rPr>
          <w:rFonts w:hint="eastAsia"/>
          <w:spacing w:val="-3"/>
          <w:sz w:val="22"/>
          <w:szCs w:val="22"/>
          <w:lang w:val="en-US" w:eastAsia="zh-CN"/>
        </w:rPr>
        <w:t>1、付款周期：每批次货物送到采购人指定地点并且经过验收合格后，按照季 度实际供货量进行结算。次月起提交支付申请，90天后进行付款，具体以实际  签订合同为准，响应采购人要求。由乙方把相关供货资料整理汇总提交并经甲方 确认无误，并向甲方提供符合甲方做账要求的税务发票后， 甲方收到完整付款资 料后付至乙方账户。 乙方开户行：</w:t>
      </w:r>
      <w:r>
        <w:rPr>
          <w:rFonts w:hint="eastAsia"/>
          <w:spacing w:val="-3"/>
          <w:sz w:val="22"/>
          <w:szCs w:val="22"/>
          <w:u w:val="single"/>
          <w:lang w:val="en-US" w:eastAsia="zh-CN"/>
        </w:rPr>
        <w:t xml:space="preserve">                                </w:t>
      </w:r>
      <w:r>
        <w:rPr>
          <w:rFonts w:hint="eastAsia"/>
          <w:spacing w:val="-3"/>
          <w:sz w:val="22"/>
          <w:szCs w:val="22"/>
          <w:lang w:val="en-US" w:eastAsia="zh-CN"/>
        </w:rPr>
        <w:t xml:space="preserve"> 账号：</w:t>
      </w:r>
      <w:r>
        <w:rPr>
          <w:rFonts w:hint="eastAsia"/>
          <w:spacing w:val="-3"/>
          <w:sz w:val="22"/>
          <w:szCs w:val="22"/>
          <w:u w:val="single"/>
          <w:lang w:val="en-US" w:eastAsia="zh-CN"/>
        </w:rPr>
        <w:t xml:space="preserve">                                     </w:t>
      </w:r>
      <w:r>
        <w:rPr>
          <w:rFonts w:hint="eastAsia"/>
          <w:spacing w:val="-3"/>
          <w:sz w:val="22"/>
          <w:szCs w:val="22"/>
          <w:lang w:val="en-US" w:eastAsia="zh-CN"/>
        </w:rPr>
        <w:t>。</w:t>
      </w:r>
    </w:p>
    <w:p w14:paraId="03180380">
      <w:pPr>
        <w:pStyle w:val="4"/>
        <w:spacing w:before="164" w:line="347" w:lineRule="auto"/>
        <w:ind w:right="117"/>
        <w:jc w:val="both"/>
        <w:rPr>
          <w:rFonts w:hint="eastAsia"/>
          <w:spacing w:val="-3"/>
          <w:sz w:val="22"/>
          <w:szCs w:val="22"/>
          <w:lang w:val="en-US" w:eastAsia="zh-CN"/>
        </w:rPr>
      </w:pPr>
      <w:r>
        <w:rPr>
          <w:rFonts w:hint="eastAsia"/>
          <w:spacing w:val="-3"/>
          <w:sz w:val="22"/>
          <w:szCs w:val="22"/>
          <w:lang w:val="en-US" w:eastAsia="zh-CN"/>
        </w:rPr>
        <w:t>2、前款中表述的“付款资料”包括但不限于乙方开具的以甲方为抬头的符合税法 要求的增值税专用发票及销售清单。</w:t>
      </w:r>
    </w:p>
    <w:p w14:paraId="1949E931">
      <w:pPr>
        <w:pStyle w:val="4"/>
        <w:spacing w:before="213" w:line="220" w:lineRule="auto"/>
        <w:ind w:left="130"/>
        <w:rPr>
          <w:rFonts w:hint="eastAsia"/>
          <w:b/>
          <w:bCs/>
          <w:spacing w:val="-3"/>
          <w:sz w:val="22"/>
          <w:szCs w:val="22"/>
          <w:lang w:val="en-US" w:eastAsia="zh-CN"/>
        </w:rPr>
      </w:pPr>
      <w:r>
        <w:rPr>
          <w:rFonts w:hint="eastAsia"/>
          <w:b/>
          <w:bCs/>
          <w:spacing w:val="-3"/>
          <w:sz w:val="22"/>
          <w:szCs w:val="22"/>
          <w:lang w:val="en-US" w:eastAsia="zh-CN"/>
        </w:rPr>
        <w:t>第五条   订单生产、验收、交货及运费承担</w:t>
      </w:r>
    </w:p>
    <w:p w14:paraId="13416840">
      <w:pPr>
        <w:pStyle w:val="15"/>
        <w:keepNext w:val="0"/>
        <w:keepLines w:val="0"/>
        <w:pageBreakBefore w:val="0"/>
        <w:widowControl w:val="0"/>
        <w:wordWrap/>
        <w:topLinePunct w:val="0"/>
        <w:bidi w:val="0"/>
        <w:adjustRightInd/>
        <w:snapToGrid/>
        <w:spacing w:before="37" w:line="560" w:lineRule="exact"/>
        <w:textAlignment w:val="auto"/>
        <w:rPr>
          <w:rFonts w:hint="eastAsia" w:ascii="Arial" w:hAnsi="Arial" w:eastAsia="Arial" w:cs="Arial"/>
          <w:snapToGrid w:val="0"/>
          <w:color w:val="000000"/>
          <w:spacing w:val="-4"/>
          <w:kern w:val="0"/>
          <w:sz w:val="22"/>
          <w:szCs w:val="22"/>
          <w:lang w:val="en-US" w:eastAsia="zh-CN" w:bidi="ar-SA"/>
        </w:rPr>
      </w:pPr>
      <w:r>
        <w:rPr>
          <w:rFonts w:hint="eastAsia" w:ascii="Arial" w:hAnsi="Arial" w:eastAsia="Arial" w:cs="Arial"/>
          <w:snapToGrid w:val="0"/>
          <w:color w:val="000000"/>
          <w:spacing w:val="-4"/>
          <w:kern w:val="0"/>
          <w:sz w:val="22"/>
          <w:szCs w:val="22"/>
          <w:lang w:val="en-US" w:eastAsia="zh-CN" w:bidi="ar-SA"/>
        </w:rPr>
        <w:t>1、 乙方必须保障产品齐全，保证中药饮片质量，必须在医院要求的时限内按医院下达采购计划的品种、规格和数量，提供合格药品，送达指定地点，</w:t>
      </w:r>
    </w:p>
    <w:p w14:paraId="332B45FC">
      <w:pPr>
        <w:pStyle w:val="15"/>
        <w:keepNext w:val="0"/>
        <w:keepLines w:val="0"/>
        <w:pageBreakBefore w:val="0"/>
        <w:widowControl w:val="0"/>
        <w:wordWrap/>
        <w:topLinePunct w:val="0"/>
        <w:bidi w:val="0"/>
        <w:adjustRightInd/>
        <w:snapToGrid/>
        <w:spacing w:before="37" w:line="560" w:lineRule="exact"/>
        <w:textAlignment w:val="auto"/>
        <w:rPr>
          <w:rFonts w:hint="eastAsia" w:ascii="Arial" w:hAnsi="Arial" w:eastAsia="Arial" w:cs="Arial"/>
          <w:snapToGrid w:val="0"/>
          <w:color w:val="000000"/>
          <w:spacing w:val="-4"/>
          <w:kern w:val="0"/>
          <w:sz w:val="22"/>
          <w:szCs w:val="22"/>
          <w:lang w:val="en-US" w:eastAsia="zh-CN" w:bidi="ar-SA"/>
        </w:rPr>
      </w:pPr>
      <w:r>
        <w:rPr>
          <w:rFonts w:hint="eastAsia" w:ascii="Arial" w:hAnsi="Arial" w:eastAsia="Arial" w:cs="Arial"/>
          <w:snapToGrid w:val="0"/>
          <w:color w:val="000000"/>
          <w:spacing w:val="-4"/>
          <w:kern w:val="0"/>
          <w:sz w:val="22"/>
          <w:szCs w:val="22"/>
          <w:lang w:val="en-US" w:eastAsia="zh-CN" w:bidi="ar-SA"/>
        </w:rPr>
        <w:t xml:space="preserve"> 2、乙方应保证所配送的中药饮片的品种、规格、及生产企业相 一致。乙方不得随意变更药材生产厂家；不能以低价成交后以药材价格涨价等理由断供中药饮片，不得以任何借口（如无货，采购量少等） 不执行甲方中药饮片采购计划从而影响甲方的临床用药，保证临床用药不断货。</w:t>
      </w:r>
    </w:p>
    <w:p w14:paraId="151B4182">
      <w:pPr>
        <w:pStyle w:val="15"/>
        <w:keepNext w:val="0"/>
        <w:keepLines w:val="0"/>
        <w:pageBreakBefore w:val="0"/>
        <w:widowControl w:val="0"/>
        <w:wordWrap/>
        <w:topLinePunct w:val="0"/>
        <w:bidi w:val="0"/>
        <w:adjustRightInd/>
        <w:snapToGrid/>
        <w:spacing w:before="37" w:line="560" w:lineRule="exact"/>
        <w:textAlignment w:val="auto"/>
        <w:rPr>
          <w:rFonts w:hint="eastAsia" w:ascii="Arial" w:hAnsi="Arial" w:eastAsia="Arial" w:cs="Arial"/>
          <w:snapToGrid w:val="0"/>
          <w:color w:val="000000"/>
          <w:spacing w:val="-4"/>
          <w:kern w:val="0"/>
          <w:sz w:val="22"/>
          <w:szCs w:val="22"/>
          <w:lang w:val="en-US" w:eastAsia="zh-CN" w:bidi="ar-SA"/>
        </w:rPr>
      </w:pPr>
      <w:r>
        <w:rPr>
          <w:rFonts w:hint="eastAsia" w:ascii="Arial" w:hAnsi="Arial" w:eastAsia="Arial" w:cs="Arial"/>
          <w:snapToGrid w:val="0"/>
          <w:color w:val="000000"/>
          <w:spacing w:val="-4"/>
          <w:kern w:val="0"/>
          <w:sz w:val="22"/>
          <w:szCs w:val="22"/>
          <w:lang w:val="en-US" w:eastAsia="zh-CN" w:bidi="ar-SA"/>
        </w:rPr>
        <w:t>3、乙方若无法按照成交的品规及生产厂家供货，说明情况理由提前一周报医院审批同意后，可选择其他生产厂家的中药饮片（质量必须符合《2020 版药典》；药典未收录品种按最新地方法规及其他相关法律法规规定执行），备选供应的中药饮片报价须按照该项中药饮片的成交单价下浮 5%进行结算。</w:t>
      </w:r>
    </w:p>
    <w:p w14:paraId="2B1AD34B">
      <w:pPr>
        <w:pStyle w:val="15"/>
        <w:keepNext w:val="0"/>
        <w:keepLines w:val="0"/>
        <w:pageBreakBefore w:val="0"/>
        <w:widowControl w:val="0"/>
        <w:wordWrap/>
        <w:topLinePunct w:val="0"/>
        <w:bidi w:val="0"/>
        <w:adjustRightInd/>
        <w:snapToGrid/>
        <w:spacing w:before="37" w:line="560" w:lineRule="exact"/>
        <w:textAlignment w:val="auto"/>
        <w:rPr>
          <w:rFonts w:hint="eastAsia" w:ascii="Arial" w:hAnsi="Arial" w:eastAsia="Arial" w:cs="Arial"/>
          <w:snapToGrid w:val="0"/>
          <w:color w:val="000000"/>
          <w:spacing w:val="-4"/>
          <w:kern w:val="0"/>
          <w:sz w:val="22"/>
          <w:szCs w:val="22"/>
          <w:lang w:val="en-US" w:eastAsia="zh-CN" w:bidi="ar-SA"/>
        </w:rPr>
      </w:pPr>
      <w:r>
        <w:rPr>
          <w:rFonts w:hint="eastAsia" w:ascii="Arial" w:hAnsi="Arial" w:eastAsia="Arial" w:cs="Arial"/>
          <w:snapToGrid w:val="0"/>
          <w:color w:val="000000"/>
          <w:spacing w:val="-4"/>
          <w:kern w:val="0"/>
          <w:sz w:val="22"/>
          <w:szCs w:val="22"/>
          <w:lang w:val="en-US" w:eastAsia="zh-CN" w:bidi="ar-SA"/>
        </w:rPr>
        <w:t>4、每次配送的时间和数量以甲方的采购计划为准，原则上发出计划后24小时内送 达采购人指定地点。必要时本地供货公司应一日多次送货。急需药品10小时内配送到位，一般药品的配送，阿克苏地区内供货商不超过3天，阿克苏地区外供货商最长不超过7天，节假日必须照常配送。</w:t>
      </w:r>
    </w:p>
    <w:p w14:paraId="6FA8DEA7">
      <w:pPr>
        <w:pStyle w:val="15"/>
        <w:keepNext w:val="0"/>
        <w:keepLines w:val="0"/>
        <w:pageBreakBefore w:val="0"/>
        <w:widowControl w:val="0"/>
        <w:wordWrap/>
        <w:topLinePunct w:val="0"/>
        <w:bidi w:val="0"/>
        <w:adjustRightInd/>
        <w:snapToGrid/>
        <w:spacing w:before="37" w:line="560" w:lineRule="exact"/>
        <w:textAlignment w:val="auto"/>
        <w:rPr>
          <w:rFonts w:hint="eastAsia" w:ascii="Arial" w:hAnsi="Arial" w:eastAsia="Arial" w:cs="Arial"/>
          <w:snapToGrid w:val="0"/>
          <w:color w:val="000000"/>
          <w:spacing w:val="-4"/>
          <w:kern w:val="0"/>
          <w:sz w:val="22"/>
          <w:szCs w:val="22"/>
          <w:lang w:val="en-US" w:eastAsia="zh-CN" w:bidi="ar-SA"/>
        </w:rPr>
      </w:pPr>
      <w:r>
        <w:rPr>
          <w:rFonts w:hint="eastAsia" w:ascii="Arial" w:hAnsi="Arial" w:eastAsia="Arial" w:cs="Arial"/>
          <w:snapToGrid w:val="0"/>
          <w:color w:val="000000"/>
          <w:spacing w:val="-4"/>
          <w:kern w:val="0"/>
          <w:sz w:val="22"/>
          <w:szCs w:val="22"/>
          <w:lang w:val="en-US" w:eastAsia="zh-CN" w:bidi="ar-SA"/>
        </w:rPr>
        <w:t>5、乙方所供中药饮片应符合《中华人民共和国药典》或食品药品监督管理部门规 定的相关标准，按甲方中药饮片用药标准送货，送货时应附相应批号的中药饮片 检验报告书，以备验收检查，确保临床用药安全有效。</w:t>
      </w:r>
    </w:p>
    <w:p w14:paraId="1145FD68">
      <w:pPr>
        <w:pStyle w:val="15"/>
        <w:keepNext w:val="0"/>
        <w:keepLines w:val="0"/>
        <w:pageBreakBefore w:val="0"/>
        <w:widowControl w:val="0"/>
        <w:wordWrap/>
        <w:topLinePunct w:val="0"/>
        <w:bidi w:val="0"/>
        <w:adjustRightInd/>
        <w:snapToGrid/>
        <w:spacing w:before="37" w:line="560" w:lineRule="exact"/>
        <w:textAlignment w:val="auto"/>
        <w:rPr>
          <w:rFonts w:hint="eastAsia" w:ascii="Arial" w:hAnsi="Arial" w:eastAsia="Arial" w:cs="Arial"/>
          <w:snapToGrid w:val="0"/>
          <w:color w:val="000000"/>
          <w:spacing w:val="-4"/>
          <w:kern w:val="0"/>
          <w:sz w:val="22"/>
          <w:szCs w:val="22"/>
          <w:lang w:val="en-US" w:eastAsia="zh-CN" w:bidi="ar-SA"/>
        </w:rPr>
      </w:pPr>
      <w:r>
        <w:rPr>
          <w:rFonts w:hint="eastAsia" w:ascii="Arial" w:hAnsi="Arial" w:eastAsia="Arial" w:cs="Arial"/>
          <w:snapToGrid w:val="0"/>
          <w:color w:val="000000"/>
          <w:spacing w:val="-4"/>
          <w:kern w:val="0"/>
          <w:sz w:val="22"/>
          <w:szCs w:val="22"/>
          <w:lang w:val="en-US" w:eastAsia="zh-CN" w:bidi="ar-SA"/>
        </w:rPr>
        <w:t>6、乙 方 送 货 到 以 下 交 货 地 址 ， 运 输 费 用 由 乙 方 承 担 。 交 货 地 址 为：                                                                                。</w:t>
      </w:r>
    </w:p>
    <w:p w14:paraId="17B9A43C">
      <w:pPr>
        <w:pStyle w:val="15"/>
        <w:keepNext w:val="0"/>
        <w:keepLines w:val="0"/>
        <w:pageBreakBefore w:val="0"/>
        <w:widowControl w:val="0"/>
        <w:wordWrap/>
        <w:topLinePunct w:val="0"/>
        <w:bidi w:val="0"/>
        <w:adjustRightInd/>
        <w:snapToGrid/>
        <w:spacing w:before="37" w:line="560" w:lineRule="exact"/>
        <w:textAlignment w:val="auto"/>
        <w:rPr>
          <w:rFonts w:hint="eastAsia" w:ascii="Arial" w:hAnsi="Arial" w:eastAsia="Arial" w:cs="Arial"/>
          <w:snapToGrid w:val="0"/>
          <w:color w:val="000000"/>
          <w:spacing w:val="-4"/>
          <w:kern w:val="0"/>
          <w:sz w:val="22"/>
          <w:szCs w:val="22"/>
          <w:lang w:val="en-US" w:eastAsia="zh-CN" w:bidi="ar-SA"/>
        </w:rPr>
      </w:pPr>
      <w:r>
        <w:rPr>
          <w:rFonts w:hint="eastAsia" w:ascii="Arial" w:hAnsi="Arial" w:eastAsia="Arial" w:cs="Arial"/>
          <w:snapToGrid w:val="0"/>
          <w:color w:val="000000"/>
          <w:spacing w:val="-4"/>
          <w:kern w:val="0"/>
          <w:sz w:val="22"/>
          <w:szCs w:val="22"/>
          <w:lang w:val="en-US" w:eastAsia="zh-CN" w:bidi="ar-SA"/>
        </w:rPr>
        <w:t>7、甲方应当场对产品数量及包装外观进行验收，检查商品名称是否相符、零货数量 是否短少、整件数目是否相符或者商品包装是否破损， 甲方收货人员对乙方销售出库的产品进行验收，经验收合  格后， 甲方收货人员应在乙方的销售出库单据上进行签字确认后入库。到货入库的剩余有效期不短于质保期的80%；如有不符的，须与乙方配 送员当场确认，并由乙方三日内重新配送。产品质量验收由甲方根据其收货进度 及使用进度进行。</w:t>
      </w:r>
    </w:p>
    <w:p w14:paraId="0180C092">
      <w:pPr>
        <w:pStyle w:val="4"/>
        <w:spacing w:before="213" w:line="220" w:lineRule="auto"/>
        <w:ind w:left="130"/>
        <w:rPr>
          <w:rFonts w:hint="eastAsia"/>
          <w:b/>
          <w:bCs/>
          <w:spacing w:val="-3"/>
          <w:sz w:val="22"/>
          <w:szCs w:val="22"/>
          <w:lang w:val="en-US" w:eastAsia="zh-CN"/>
        </w:rPr>
      </w:pPr>
      <w:r>
        <w:rPr>
          <w:rFonts w:hint="eastAsia"/>
          <w:b/>
          <w:bCs/>
          <w:spacing w:val="-3"/>
          <w:sz w:val="22"/>
          <w:szCs w:val="22"/>
          <w:lang w:val="en-US" w:eastAsia="zh-CN"/>
        </w:rPr>
        <w:t>第六条   质量责任</w:t>
      </w:r>
    </w:p>
    <w:p w14:paraId="76BD860F">
      <w:pPr>
        <w:pStyle w:val="4"/>
        <w:spacing w:before="164" w:line="347" w:lineRule="auto"/>
        <w:ind w:right="117"/>
        <w:jc w:val="both"/>
        <w:rPr>
          <w:rFonts w:hint="eastAsia"/>
          <w:spacing w:val="-3"/>
          <w:sz w:val="22"/>
          <w:szCs w:val="22"/>
          <w:lang w:val="en-US" w:eastAsia="zh-CN"/>
        </w:rPr>
      </w:pPr>
      <w:r>
        <w:rPr>
          <w:rFonts w:hint="eastAsia"/>
          <w:spacing w:val="-3"/>
          <w:sz w:val="22"/>
          <w:szCs w:val="22"/>
          <w:lang w:val="en-US" w:eastAsia="zh-CN"/>
        </w:rPr>
        <w:t>1、乙方所供中药饮片应符合《中华人民共和国药典》或食品药品监督管理部门规 定的相关标准，并对质量负责。如乙方无法保障中药饮片质量， 则甲方有权调整中药饮片品种或选择从其他 途径购买。</w:t>
      </w:r>
    </w:p>
    <w:p w14:paraId="1A16D129">
      <w:pPr>
        <w:pStyle w:val="4"/>
        <w:spacing w:before="164" w:line="347" w:lineRule="auto"/>
        <w:ind w:right="117"/>
        <w:jc w:val="both"/>
        <w:rPr>
          <w:rFonts w:hint="eastAsia"/>
          <w:spacing w:val="-3"/>
          <w:sz w:val="22"/>
          <w:szCs w:val="22"/>
          <w:lang w:val="en-US" w:eastAsia="zh-CN"/>
        </w:rPr>
      </w:pPr>
      <w:r>
        <w:rPr>
          <w:rFonts w:hint="eastAsia"/>
          <w:spacing w:val="-3"/>
          <w:sz w:val="22"/>
          <w:szCs w:val="22"/>
          <w:lang w:val="en-US" w:eastAsia="zh-CN"/>
        </w:rPr>
        <w:t>2、甲方在质 量验收中发现质量问题时有权拒收或要求乙方退换，乙方应按甲方要求及时取回 或予以退换。中药饮片在销售过程中出现质量问题时应根据双方签订的质量保证 协议处理。</w:t>
      </w:r>
    </w:p>
    <w:p w14:paraId="1AD681DC">
      <w:pPr>
        <w:pStyle w:val="4"/>
        <w:spacing w:before="164" w:line="347" w:lineRule="auto"/>
        <w:ind w:right="117"/>
        <w:jc w:val="both"/>
        <w:rPr>
          <w:rFonts w:hint="eastAsia"/>
          <w:spacing w:val="-3"/>
          <w:sz w:val="22"/>
          <w:szCs w:val="22"/>
          <w:lang w:val="en-US" w:eastAsia="zh-CN"/>
        </w:rPr>
      </w:pPr>
      <w:r>
        <w:rPr>
          <w:rFonts w:hint="eastAsia"/>
          <w:spacing w:val="-3"/>
          <w:sz w:val="22"/>
          <w:szCs w:val="22"/>
          <w:lang w:val="en-US" w:eastAsia="zh-CN"/>
        </w:rPr>
        <w:t>3、因乙方中药饮片质量问题导致甲方被国家相关主管部门处罚的， 所产 生的罚款等一切费用由乙方承担（包括但不限于乙方因此而支出的信息费、差旅 费、律师费、诉讼费、保全费、保管费等） ，给甲方造成社会不良影响的， 乙方 应积极主动协调处理并赔偿甲方全部损失。</w:t>
      </w:r>
    </w:p>
    <w:p w14:paraId="711BEA7C">
      <w:pPr>
        <w:pStyle w:val="4"/>
        <w:spacing w:before="164" w:line="347" w:lineRule="auto"/>
        <w:ind w:right="117"/>
        <w:jc w:val="both"/>
        <w:rPr>
          <w:rFonts w:hint="eastAsia"/>
          <w:spacing w:val="-3"/>
          <w:sz w:val="22"/>
          <w:szCs w:val="22"/>
          <w:lang w:val="en-US" w:eastAsia="zh-CN"/>
        </w:rPr>
      </w:pPr>
      <w:r>
        <w:rPr>
          <w:rFonts w:hint="eastAsia"/>
          <w:spacing w:val="-3"/>
          <w:sz w:val="22"/>
          <w:szCs w:val="22"/>
          <w:lang w:val="en-US" w:eastAsia="zh-CN"/>
        </w:rPr>
        <w:t>4、中药饮片原包装完好情况下，如产生滞销、近效期、破损等情况时，  甲方有权 要求退换货，乙方应及时按甲方要求退换，退换货产生的物流等相关费用由乙方 承担。</w:t>
      </w:r>
    </w:p>
    <w:p w14:paraId="15DE8F22">
      <w:pPr>
        <w:pStyle w:val="4"/>
        <w:spacing w:before="164" w:line="347" w:lineRule="auto"/>
        <w:ind w:right="117"/>
        <w:jc w:val="both"/>
        <w:rPr>
          <w:rFonts w:hint="eastAsia"/>
          <w:spacing w:val="-3"/>
          <w:sz w:val="22"/>
          <w:szCs w:val="22"/>
          <w:lang w:val="en-US" w:eastAsia="zh-CN"/>
        </w:rPr>
      </w:pPr>
      <w:r>
        <w:rPr>
          <w:rFonts w:hint="eastAsia"/>
          <w:spacing w:val="-3"/>
          <w:sz w:val="22"/>
          <w:szCs w:val="22"/>
          <w:lang w:val="en-US" w:eastAsia="zh-CN"/>
        </w:rPr>
        <w:t>5、甲方在质保期内发现中药饮片存在质量问题的，甲方向有关部门进行汇报，甲方已支付的相应货款，乙方应及时退回或在征得甲方同意的情况下折抵下一批货 款。</w:t>
      </w:r>
    </w:p>
    <w:p w14:paraId="15A26FCD">
      <w:pPr>
        <w:pStyle w:val="4"/>
        <w:spacing w:before="164" w:line="347" w:lineRule="auto"/>
        <w:ind w:right="117"/>
        <w:jc w:val="both"/>
        <w:rPr>
          <w:rFonts w:hint="eastAsia"/>
          <w:spacing w:val="-3"/>
          <w:sz w:val="22"/>
          <w:szCs w:val="22"/>
          <w:lang w:val="en-US" w:eastAsia="zh-CN"/>
        </w:rPr>
      </w:pPr>
      <w:r>
        <w:rPr>
          <w:rFonts w:hint="eastAsia"/>
          <w:spacing w:val="-3"/>
          <w:sz w:val="22"/>
          <w:szCs w:val="22"/>
          <w:lang w:val="en-US" w:eastAsia="zh-CN"/>
        </w:rPr>
        <w:t>6、因乙方中药饮片质量问题导致甲方遭受第三方索赔产生的全部损失由乙方承 担（包括但不限于甲方因此而支出的罚款、违约金或赔偿金、利息、滞纳金、信 息费、差旅费、律师费、诉讼费、保全费、保管费及商誉损失等） ，给甲方造成 社会不良影响的，乙方应积极主动协调处理。</w:t>
      </w:r>
    </w:p>
    <w:p w14:paraId="6C9C6AB0">
      <w:pPr>
        <w:pStyle w:val="4"/>
        <w:spacing w:before="112" w:line="214" w:lineRule="auto"/>
        <w:ind w:left="49" w:right="121" w:hanging="12"/>
        <w:rPr>
          <w:rFonts w:hint="eastAsia"/>
          <w:spacing w:val="-3"/>
          <w:sz w:val="22"/>
          <w:szCs w:val="22"/>
          <w:lang w:val="en-US" w:eastAsia="zh-CN"/>
        </w:rPr>
      </w:pPr>
      <w:r>
        <w:rPr>
          <w:rFonts w:hint="eastAsia"/>
          <w:spacing w:val="-3"/>
          <w:sz w:val="22"/>
          <w:szCs w:val="22"/>
          <w:lang w:val="en-US" w:eastAsia="zh-CN"/>
        </w:rPr>
        <w:t>7、甲方以乙方供应品种的一个月账期设立中药饮片质量保证金，质量保证金对乙 方供应饮片全品种质保。</w:t>
      </w:r>
      <w:r>
        <w:rPr>
          <w:spacing w:val="-50"/>
          <w:sz w:val="28"/>
          <w:szCs w:val="28"/>
        </w:rPr>
        <w:t xml:space="preserve"> </w:t>
      </w:r>
    </w:p>
    <w:p w14:paraId="1A772508">
      <w:pPr>
        <w:pStyle w:val="4"/>
        <w:spacing w:before="164" w:line="347" w:lineRule="auto"/>
        <w:ind w:right="117"/>
        <w:jc w:val="both"/>
        <w:rPr>
          <w:rFonts w:hint="eastAsia"/>
          <w:spacing w:val="-3"/>
          <w:sz w:val="22"/>
          <w:szCs w:val="22"/>
          <w:lang w:val="en-US" w:eastAsia="zh-CN"/>
        </w:rPr>
      </w:pPr>
      <w:r>
        <w:rPr>
          <w:rFonts w:hint="eastAsia"/>
          <w:spacing w:val="-3"/>
          <w:sz w:val="22"/>
          <w:szCs w:val="22"/>
          <w:lang w:val="en-US" w:eastAsia="zh-CN"/>
        </w:rPr>
        <w:t>8、在供货期间因出现政策性第三方中药饮片交易平台或其他集中采购平台有同类品种可线上采购时，采购人有权终止合同自行转集中采购（乙方必须在《承诺函》中说明）。</w:t>
      </w:r>
    </w:p>
    <w:p w14:paraId="14FB9F84">
      <w:pPr>
        <w:pStyle w:val="4"/>
        <w:spacing w:before="213" w:line="220" w:lineRule="auto"/>
        <w:ind w:left="130"/>
        <w:rPr>
          <w:rFonts w:hint="eastAsia"/>
          <w:b/>
          <w:bCs/>
          <w:spacing w:val="-3"/>
          <w:sz w:val="22"/>
          <w:szCs w:val="22"/>
          <w:lang w:val="en-US" w:eastAsia="zh-CN"/>
        </w:rPr>
      </w:pPr>
      <w:r>
        <w:rPr>
          <w:rFonts w:hint="eastAsia"/>
          <w:b/>
          <w:bCs/>
          <w:spacing w:val="-3"/>
          <w:sz w:val="22"/>
          <w:szCs w:val="22"/>
          <w:lang w:val="en-US" w:eastAsia="zh-CN"/>
        </w:rPr>
        <w:t>第七条   双方主体资格</w:t>
      </w:r>
    </w:p>
    <w:p w14:paraId="49677A00">
      <w:pPr>
        <w:pStyle w:val="4"/>
        <w:spacing w:before="164" w:line="347" w:lineRule="auto"/>
        <w:ind w:right="117"/>
        <w:jc w:val="both"/>
        <w:rPr>
          <w:rFonts w:hint="eastAsia"/>
          <w:spacing w:val="-3"/>
          <w:sz w:val="22"/>
          <w:szCs w:val="22"/>
          <w:lang w:val="en-US" w:eastAsia="zh-CN"/>
        </w:rPr>
      </w:pPr>
      <w:r>
        <w:rPr>
          <w:rFonts w:hint="eastAsia"/>
          <w:spacing w:val="-3"/>
          <w:sz w:val="22"/>
          <w:szCs w:val="22"/>
          <w:lang w:val="en-US" w:eastAsia="zh-CN"/>
        </w:rPr>
        <w:t>1、甲乙双方须依据国家有关规定向对方提供真实合法有效的证照复印件，其中包 括：《药品经营/生产许可证》、《企业营业执照》、《药品GMP/GSP证书》、 《增值税一般纳税人资格证书》、《银行账户开户许可证》、法定代表人身份证 明、法人授权委托书以及公章、发票专用章、药品出库专用章、质量管理专用章（检验专用章或质量保证专用章）、法人印章等原始印记， 以上资料须加盖公章。</w:t>
      </w:r>
    </w:p>
    <w:p w14:paraId="4BD8A7B6">
      <w:pPr>
        <w:pStyle w:val="4"/>
        <w:spacing w:before="164" w:line="347" w:lineRule="auto"/>
        <w:ind w:right="117"/>
        <w:jc w:val="both"/>
        <w:rPr>
          <w:rFonts w:hint="eastAsia"/>
          <w:spacing w:val="-3"/>
          <w:sz w:val="22"/>
          <w:szCs w:val="22"/>
          <w:lang w:val="en-US" w:eastAsia="zh-CN"/>
        </w:rPr>
      </w:pPr>
      <w:r>
        <w:rPr>
          <w:rFonts w:hint="eastAsia"/>
          <w:spacing w:val="-3"/>
          <w:sz w:val="22"/>
          <w:szCs w:val="22"/>
          <w:lang w:val="en-US" w:eastAsia="zh-CN"/>
        </w:rPr>
        <w:t>2、 甲、乙双方若变更上述资料，  应及时书面告知对方，并向对方重新提交变更后  的相关证照资料，如不能及时重新提交变更后的证照资料而给对方造成经济损失  的，由资料变更方承担全部赔偿责任。</w:t>
      </w:r>
    </w:p>
    <w:p w14:paraId="0D8E06A5">
      <w:pPr>
        <w:pStyle w:val="4"/>
        <w:tabs>
          <w:tab w:val="left" w:pos="1288"/>
        </w:tabs>
        <w:spacing w:before="6" w:line="239" w:lineRule="auto"/>
        <w:ind w:left="46" w:hanging="17"/>
        <w:rPr>
          <w:rFonts w:hint="eastAsia" w:cs="微软雅黑"/>
          <w:snapToGrid w:val="0"/>
          <w:color w:val="000000"/>
          <w:spacing w:val="-3"/>
          <w:kern w:val="0"/>
          <w:sz w:val="22"/>
          <w:szCs w:val="22"/>
          <w:lang w:val="en-US" w:eastAsia="zh-CN" w:bidi="ar-SA"/>
        </w:rPr>
      </w:pPr>
    </w:p>
    <w:p w14:paraId="5E048BF1">
      <w:pPr>
        <w:pStyle w:val="4"/>
        <w:spacing w:before="120" w:line="188" w:lineRule="auto"/>
        <w:ind w:left="59"/>
        <w:rPr>
          <w:rFonts w:hint="eastAsia"/>
          <w:b/>
          <w:bCs/>
          <w:spacing w:val="-3"/>
          <w:sz w:val="22"/>
          <w:szCs w:val="22"/>
          <w:lang w:val="en-US" w:eastAsia="zh-CN"/>
        </w:rPr>
      </w:pPr>
      <w:r>
        <w:rPr>
          <w:rFonts w:hint="eastAsia"/>
          <w:b/>
          <w:bCs/>
          <w:spacing w:val="-3"/>
          <w:sz w:val="22"/>
          <w:szCs w:val="22"/>
          <w:lang w:val="en-US" w:eastAsia="zh-CN"/>
        </w:rPr>
        <w:t>第八条     违约责任</w:t>
      </w:r>
    </w:p>
    <w:p w14:paraId="35F20201">
      <w:pPr>
        <w:pStyle w:val="4"/>
        <w:spacing w:before="164" w:line="347" w:lineRule="auto"/>
        <w:ind w:right="117"/>
        <w:jc w:val="both"/>
        <w:rPr>
          <w:rFonts w:hint="eastAsia"/>
          <w:spacing w:val="-3"/>
          <w:sz w:val="22"/>
          <w:szCs w:val="22"/>
          <w:lang w:val="en-US" w:eastAsia="zh-CN"/>
        </w:rPr>
      </w:pPr>
      <w:r>
        <w:rPr>
          <w:rFonts w:hint="eastAsia"/>
          <w:spacing w:val="-3"/>
          <w:sz w:val="22"/>
          <w:szCs w:val="22"/>
          <w:lang w:val="en-US" w:eastAsia="zh-CN"/>
        </w:rPr>
        <w:t>1、乙方不能交货的， 甲方有权单方解除本合同并禁止乙方参加今后的招标， 同时 乙方应按不能交货部分货款的 30 ％向甲方支付违约金。</w:t>
      </w:r>
    </w:p>
    <w:p w14:paraId="07E6E651">
      <w:pPr>
        <w:pStyle w:val="4"/>
        <w:spacing w:before="164" w:line="347" w:lineRule="auto"/>
        <w:ind w:right="117"/>
        <w:jc w:val="both"/>
        <w:rPr>
          <w:rFonts w:hint="eastAsia"/>
          <w:spacing w:val="-3"/>
          <w:sz w:val="22"/>
          <w:szCs w:val="22"/>
          <w:lang w:val="en-US" w:eastAsia="zh-CN"/>
        </w:rPr>
      </w:pPr>
      <w:r>
        <w:rPr>
          <w:rFonts w:hint="eastAsia"/>
          <w:spacing w:val="-3"/>
          <w:sz w:val="22"/>
          <w:szCs w:val="22"/>
          <w:lang w:val="en-US" w:eastAsia="zh-CN"/>
        </w:rPr>
        <w:t>2、乙方不能按期交货的，须自接到订单起 2 个工作日与甲方协商， 甲方同意乙方 延期的，乙方应在新的交货期前完成交货；甲方不同意延期的或经延 期乙方仍不能完成交货的， 甲方有权终止本合同， 同时乙方应赔偿因此给甲方造  成的损失。对于连续三次无法保障中药饮片供货、连续断供15天以上或者供货期内两次药材验收不合格的，甲方有权解除合同或调整供应品种或再引进其他供应商。</w:t>
      </w:r>
    </w:p>
    <w:p w14:paraId="4818AC27">
      <w:pPr>
        <w:pStyle w:val="4"/>
        <w:spacing w:before="164" w:line="347" w:lineRule="auto"/>
        <w:ind w:right="117"/>
        <w:jc w:val="both"/>
        <w:rPr>
          <w:rFonts w:hint="eastAsia" w:cs="微软雅黑"/>
          <w:snapToGrid w:val="0"/>
          <w:color w:val="000000"/>
          <w:spacing w:val="-3"/>
          <w:kern w:val="0"/>
          <w:sz w:val="22"/>
          <w:szCs w:val="22"/>
          <w:lang w:val="en-US" w:eastAsia="zh-CN" w:bidi="ar-SA"/>
        </w:rPr>
      </w:pPr>
      <w:r>
        <w:rPr>
          <w:rFonts w:hint="eastAsia"/>
          <w:spacing w:val="-3"/>
          <w:sz w:val="22"/>
          <w:szCs w:val="22"/>
          <w:lang w:val="en-US" w:eastAsia="zh-CN"/>
        </w:rPr>
        <w:t>3、</w:t>
      </w:r>
      <w:r>
        <w:rPr>
          <w:rFonts w:hint="eastAsia" w:cs="微软雅黑"/>
          <w:snapToGrid w:val="0"/>
          <w:color w:val="000000"/>
          <w:spacing w:val="-3"/>
          <w:kern w:val="0"/>
          <w:sz w:val="22"/>
          <w:szCs w:val="22"/>
          <w:lang w:val="en-US" w:eastAsia="zh-CN" w:bidi="ar-SA"/>
        </w:rPr>
        <w:t>甲方无正当理由拒收货物，拒付货款的，甲方向乙方偿付合同总价</w:t>
      </w:r>
      <w:r>
        <w:rPr>
          <w:rFonts w:hint="eastAsia" w:cs="微软雅黑"/>
          <w:snapToGrid w:val="0"/>
          <w:color w:val="000000"/>
          <w:spacing w:val="-3"/>
          <w:kern w:val="0"/>
          <w:sz w:val="22"/>
          <w:szCs w:val="22"/>
          <w:u w:val="single"/>
          <w:lang w:val="en-US" w:eastAsia="zh-CN" w:bidi="ar-SA"/>
        </w:rPr>
        <w:t xml:space="preserve">    %</w:t>
      </w:r>
      <w:r>
        <w:rPr>
          <w:rFonts w:hint="eastAsia" w:cs="微软雅黑"/>
          <w:snapToGrid w:val="0"/>
          <w:color w:val="000000"/>
          <w:spacing w:val="-3"/>
          <w:kern w:val="0"/>
          <w:sz w:val="22"/>
          <w:szCs w:val="22"/>
          <w:lang w:val="en-US" w:eastAsia="zh-CN" w:bidi="ar-SA"/>
        </w:rPr>
        <w:t>的违约金。</w:t>
      </w:r>
    </w:p>
    <w:p w14:paraId="318EA466">
      <w:pPr>
        <w:pStyle w:val="4"/>
        <w:spacing w:before="164" w:line="347" w:lineRule="auto"/>
        <w:ind w:right="117"/>
        <w:jc w:val="both"/>
        <w:rPr>
          <w:spacing w:val="-3"/>
          <w:sz w:val="22"/>
          <w:szCs w:val="22"/>
        </w:rPr>
      </w:pPr>
      <w:r>
        <w:rPr>
          <w:rFonts w:hint="eastAsia" w:cs="微软雅黑"/>
          <w:snapToGrid w:val="0"/>
          <w:color w:val="000000"/>
          <w:spacing w:val="-3"/>
          <w:kern w:val="0"/>
          <w:sz w:val="22"/>
          <w:szCs w:val="22"/>
          <w:lang w:val="en-US" w:eastAsia="zh-CN" w:bidi="ar-SA"/>
        </w:rPr>
        <w:t>4、</w:t>
      </w:r>
      <w:r>
        <w:rPr>
          <w:spacing w:val="-3"/>
          <w:sz w:val="22"/>
          <w:szCs w:val="22"/>
        </w:rPr>
        <w:t>此次采购产品期限为一年， 合同期限内因乙方原因导致不能履约或质量无法保障</w:t>
      </w:r>
      <w:r>
        <w:rPr>
          <w:rFonts w:hint="eastAsia" w:cs="微软雅黑"/>
          <w:snapToGrid w:val="0"/>
          <w:color w:val="000000"/>
          <w:spacing w:val="-3"/>
          <w:kern w:val="0"/>
          <w:sz w:val="22"/>
          <w:szCs w:val="22"/>
          <w:lang w:val="en-US" w:eastAsia="zh-CN" w:bidi="ar-SA"/>
        </w:rPr>
        <w:t>或乙方不能为甲方提供及时有效的售后服务，</w:t>
      </w:r>
      <w:r>
        <w:rPr>
          <w:spacing w:val="-3"/>
          <w:sz w:val="22"/>
          <w:szCs w:val="22"/>
        </w:rPr>
        <w:t>甲方有权解除合同或调整供应品种或再引进其他供应商。甲方解除合同的， 乙方应按合同价的</w:t>
      </w:r>
      <w:r>
        <w:rPr>
          <w:rFonts w:hint="eastAsia"/>
          <w:spacing w:val="-3"/>
          <w:sz w:val="22"/>
          <w:szCs w:val="22"/>
          <w:u w:val="single"/>
          <w:lang w:val="en-US" w:eastAsia="zh-CN"/>
        </w:rPr>
        <w:t xml:space="preserve">     </w:t>
      </w:r>
      <w:r>
        <w:rPr>
          <w:spacing w:val="-3"/>
          <w:sz w:val="22"/>
          <w:szCs w:val="22"/>
        </w:rPr>
        <w:t>%向甲方支付违约金。</w:t>
      </w:r>
    </w:p>
    <w:p w14:paraId="31216C58">
      <w:pPr>
        <w:pStyle w:val="4"/>
        <w:spacing w:before="164" w:line="347" w:lineRule="auto"/>
        <w:ind w:right="117"/>
        <w:jc w:val="both"/>
        <w:rPr>
          <w:rFonts w:ascii="Arial"/>
          <w:sz w:val="21"/>
        </w:rPr>
      </w:pPr>
      <w:r>
        <w:rPr>
          <w:rFonts w:hint="eastAsia" w:cs="微软雅黑"/>
          <w:snapToGrid w:val="0"/>
          <w:color w:val="000000"/>
          <w:spacing w:val="-3"/>
          <w:kern w:val="0"/>
          <w:sz w:val="22"/>
          <w:szCs w:val="22"/>
          <w:lang w:val="en-US" w:eastAsia="zh-CN" w:bidi="ar-SA"/>
        </w:rPr>
        <w:t>5、任何一方违反本合同约定的，应立即纠正或停止相关行为，承担相应的法律责 任，并赔偿造成的相应损失。</w:t>
      </w:r>
    </w:p>
    <w:p w14:paraId="0C1D8F29">
      <w:pPr>
        <w:pStyle w:val="4"/>
        <w:spacing w:before="120" w:line="188" w:lineRule="auto"/>
        <w:ind w:left="59"/>
        <w:rPr>
          <w:rFonts w:hint="eastAsia"/>
          <w:b/>
          <w:bCs/>
          <w:spacing w:val="-3"/>
          <w:sz w:val="22"/>
          <w:szCs w:val="22"/>
          <w:lang w:val="en-US" w:eastAsia="zh-CN"/>
        </w:rPr>
      </w:pPr>
      <w:r>
        <w:rPr>
          <w:rFonts w:hint="eastAsia"/>
          <w:b/>
          <w:bCs/>
          <w:spacing w:val="-3"/>
          <w:sz w:val="22"/>
          <w:szCs w:val="22"/>
          <w:lang w:val="en-US" w:eastAsia="zh-CN"/>
        </w:rPr>
        <w:t>第九条   争议的解决</w:t>
      </w:r>
    </w:p>
    <w:p w14:paraId="26F774D2">
      <w:pPr>
        <w:pStyle w:val="4"/>
        <w:spacing w:before="164" w:line="347" w:lineRule="auto"/>
        <w:ind w:right="117"/>
        <w:jc w:val="both"/>
        <w:rPr>
          <w:rFonts w:ascii="Arial"/>
          <w:sz w:val="21"/>
        </w:rPr>
      </w:pPr>
      <w:r>
        <w:rPr>
          <w:rFonts w:hint="eastAsia" w:cs="微软雅黑"/>
          <w:snapToGrid w:val="0"/>
          <w:color w:val="000000"/>
          <w:spacing w:val="-3"/>
          <w:kern w:val="0"/>
          <w:sz w:val="22"/>
          <w:szCs w:val="22"/>
          <w:lang w:val="en-US" w:eastAsia="zh-CN" w:bidi="ar-SA"/>
        </w:rPr>
        <w:t>凡因本合同及本合同的履行发生争议的，双方应友好协商解决，协商解决不成， 由甲方所在地人民法院裁决。</w:t>
      </w:r>
    </w:p>
    <w:p w14:paraId="56355DF0">
      <w:pPr>
        <w:pStyle w:val="4"/>
        <w:spacing w:before="120" w:line="188" w:lineRule="auto"/>
        <w:ind w:left="59"/>
        <w:rPr>
          <w:rFonts w:hint="eastAsia"/>
          <w:b/>
          <w:bCs/>
          <w:spacing w:val="-3"/>
          <w:sz w:val="22"/>
          <w:szCs w:val="22"/>
          <w:lang w:val="en-US" w:eastAsia="zh-CN"/>
        </w:rPr>
      </w:pPr>
      <w:r>
        <w:rPr>
          <w:rFonts w:hint="eastAsia"/>
          <w:b/>
          <w:bCs/>
          <w:spacing w:val="-3"/>
          <w:sz w:val="22"/>
          <w:szCs w:val="22"/>
          <w:lang w:val="en-US" w:eastAsia="zh-CN"/>
        </w:rPr>
        <w:t>第十条   其他</w:t>
      </w:r>
    </w:p>
    <w:p w14:paraId="7E9C7B66">
      <w:pPr>
        <w:pStyle w:val="4"/>
        <w:spacing w:before="164" w:line="347" w:lineRule="auto"/>
        <w:ind w:right="117"/>
        <w:jc w:val="both"/>
        <w:rPr>
          <w:rFonts w:hint="eastAsia" w:cs="微软雅黑"/>
          <w:snapToGrid w:val="0"/>
          <w:color w:val="000000"/>
          <w:spacing w:val="-3"/>
          <w:kern w:val="0"/>
          <w:sz w:val="22"/>
          <w:szCs w:val="22"/>
          <w:lang w:val="en-US" w:eastAsia="zh-CN" w:bidi="ar-SA"/>
        </w:rPr>
      </w:pPr>
      <w:r>
        <w:rPr>
          <w:rFonts w:hint="eastAsia" w:cs="微软雅黑"/>
          <w:snapToGrid w:val="0"/>
          <w:color w:val="000000"/>
          <w:spacing w:val="-3"/>
          <w:kern w:val="0"/>
          <w:sz w:val="22"/>
          <w:szCs w:val="22"/>
          <w:lang w:val="en-US" w:eastAsia="zh-CN" w:bidi="ar-SA"/>
        </w:rPr>
        <w:t xml:space="preserve">1、本合同期限为 </w:t>
      </w:r>
      <w:r>
        <w:rPr>
          <w:rFonts w:hint="eastAsia" w:cs="微软雅黑"/>
          <w:snapToGrid w:val="0"/>
          <w:color w:val="000000"/>
          <w:spacing w:val="-3"/>
          <w:kern w:val="0"/>
          <w:sz w:val="22"/>
          <w:szCs w:val="22"/>
          <w:u w:val="single"/>
          <w:lang w:val="en-US" w:eastAsia="zh-CN" w:bidi="ar-SA"/>
        </w:rPr>
        <w:t xml:space="preserve">       </w:t>
      </w:r>
      <w:r>
        <w:rPr>
          <w:rFonts w:hint="eastAsia" w:cs="微软雅黑"/>
          <w:snapToGrid w:val="0"/>
          <w:color w:val="000000"/>
          <w:spacing w:val="-3"/>
          <w:kern w:val="0"/>
          <w:sz w:val="22"/>
          <w:szCs w:val="22"/>
          <w:lang w:val="en-US" w:eastAsia="zh-CN" w:bidi="ar-SA"/>
        </w:rPr>
        <w:t>年，自</w:t>
      </w:r>
      <w:r>
        <w:rPr>
          <w:rFonts w:hint="eastAsia" w:cs="微软雅黑"/>
          <w:snapToGrid w:val="0"/>
          <w:color w:val="000000"/>
          <w:spacing w:val="-3"/>
          <w:kern w:val="0"/>
          <w:sz w:val="22"/>
          <w:szCs w:val="22"/>
          <w:u w:val="single"/>
          <w:lang w:val="en-US" w:eastAsia="zh-CN" w:bidi="ar-SA"/>
        </w:rPr>
        <w:t xml:space="preserve">      </w:t>
      </w:r>
      <w:r>
        <w:rPr>
          <w:rFonts w:hint="eastAsia" w:cs="微软雅黑"/>
          <w:snapToGrid w:val="0"/>
          <w:color w:val="000000"/>
          <w:spacing w:val="-3"/>
          <w:kern w:val="0"/>
          <w:sz w:val="22"/>
          <w:szCs w:val="22"/>
          <w:lang w:val="en-US" w:eastAsia="zh-CN" w:bidi="ar-SA"/>
        </w:rPr>
        <w:t>年</w:t>
      </w:r>
      <w:r>
        <w:rPr>
          <w:rFonts w:hint="eastAsia" w:cs="微软雅黑"/>
          <w:snapToGrid w:val="0"/>
          <w:color w:val="000000"/>
          <w:spacing w:val="-3"/>
          <w:kern w:val="0"/>
          <w:sz w:val="22"/>
          <w:szCs w:val="22"/>
          <w:u w:val="single"/>
          <w:lang w:val="en-US" w:eastAsia="zh-CN" w:bidi="ar-SA"/>
        </w:rPr>
        <w:t xml:space="preserve">     </w:t>
      </w:r>
      <w:r>
        <w:rPr>
          <w:rFonts w:hint="eastAsia" w:cs="微软雅黑"/>
          <w:snapToGrid w:val="0"/>
          <w:color w:val="000000"/>
          <w:spacing w:val="-3"/>
          <w:kern w:val="0"/>
          <w:sz w:val="22"/>
          <w:szCs w:val="22"/>
          <w:lang w:val="en-US" w:eastAsia="zh-CN" w:bidi="ar-SA"/>
        </w:rPr>
        <w:t>月</w:t>
      </w:r>
      <w:r>
        <w:rPr>
          <w:rFonts w:hint="eastAsia" w:cs="微软雅黑"/>
          <w:snapToGrid w:val="0"/>
          <w:color w:val="000000"/>
          <w:spacing w:val="-3"/>
          <w:kern w:val="0"/>
          <w:sz w:val="22"/>
          <w:szCs w:val="22"/>
          <w:u w:val="single"/>
          <w:lang w:val="en-US" w:eastAsia="zh-CN" w:bidi="ar-SA"/>
        </w:rPr>
        <w:t xml:space="preserve">      </w:t>
      </w:r>
      <w:r>
        <w:rPr>
          <w:rFonts w:hint="eastAsia" w:cs="微软雅黑"/>
          <w:snapToGrid w:val="0"/>
          <w:color w:val="000000"/>
          <w:spacing w:val="-3"/>
          <w:kern w:val="0"/>
          <w:sz w:val="22"/>
          <w:szCs w:val="22"/>
          <w:lang w:val="en-US" w:eastAsia="zh-CN" w:bidi="ar-SA"/>
        </w:rPr>
        <w:t>日起至</w:t>
      </w:r>
      <w:r>
        <w:rPr>
          <w:rFonts w:hint="eastAsia" w:cs="微软雅黑"/>
          <w:snapToGrid w:val="0"/>
          <w:color w:val="000000"/>
          <w:spacing w:val="-3"/>
          <w:kern w:val="0"/>
          <w:sz w:val="22"/>
          <w:szCs w:val="22"/>
          <w:u w:val="single"/>
          <w:lang w:val="en-US" w:eastAsia="zh-CN" w:bidi="ar-SA"/>
        </w:rPr>
        <w:t xml:space="preserve">       </w:t>
      </w:r>
      <w:r>
        <w:rPr>
          <w:rFonts w:hint="eastAsia" w:cs="微软雅黑"/>
          <w:snapToGrid w:val="0"/>
          <w:color w:val="000000"/>
          <w:spacing w:val="-3"/>
          <w:kern w:val="0"/>
          <w:sz w:val="22"/>
          <w:szCs w:val="22"/>
          <w:lang w:val="en-US" w:eastAsia="zh-CN" w:bidi="ar-SA"/>
        </w:rPr>
        <w:t>年</w:t>
      </w:r>
      <w:r>
        <w:rPr>
          <w:rFonts w:hint="eastAsia" w:cs="微软雅黑"/>
          <w:snapToGrid w:val="0"/>
          <w:color w:val="000000"/>
          <w:spacing w:val="-3"/>
          <w:kern w:val="0"/>
          <w:sz w:val="22"/>
          <w:szCs w:val="22"/>
          <w:u w:val="single"/>
          <w:lang w:val="en-US" w:eastAsia="zh-CN" w:bidi="ar-SA"/>
        </w:rPr>
        <w:t xml:space="preserve">      </w:t>
      </w:r>
      <w:r>
        <w:rPr>
          <w:rFonts w:hint="eastAsia" w:cs="微软雅黑"/>
          <w:snapToGrid w:val="0"/>
          <w:color w:val="000000"/>
          <w:spacing w:val="-3"/>
          <w:kern w:val="0"/>
          <w:sz w:val="22"/>
          <w:szCs w:val="22"/>
          <w:lang w:val="en-US" w:eastAsia="zh-CN" w:bidi="ar-SA"/>
        </w:rPr>
        <w:t>月</w:t>
      </w:r>
      <w:r>
        <w:rPr>
          <w:rFonts w:hint="eastAsia" w:cs="微软雅黑"/>
          <w:snapToGrid w:val="0"/>
          <w:color w:val="000000"/>
          <w:spacing w:val="-3"/>
          <w:kern w:val="0"/>
          <w:sz w:val="22"/>
          <w:szCs w:val="22"/>
          <w:u w:val="single"/>
          <w:lang w:val="en-US" w:eastAsia="zh-CN" w:bidi="ar-SA"/>
        </w:rPr>
        <w:t xml:space="preserve">      </w:t>
      </w:r>
      <w:r>
        <w:rPr>
          <w:rFonts w:hint="eastAsia" w:cs="微软雅黑"/>
          <w:snapToGrid w:val="0"/>
          <w:color w:val="000000"/>
          <w:spacing w:val="-3"/>
          <w:kern w:val="0"/>
          <w:sz w:val="22"/>
          <w:szCs w:val="22"/>
          <w:lang w:val="en-US" w:eastAsia="zh-CN" w:bidi="ar-SA"/>
        </w:rPr>
        <w:t>日止。</w:t>
      </w:r>
    </w:p>
    <w:p w14:paraId="6807FEDC">
      <w:pPr>
        <w:pStyle w:val="4"/>
        <w:spacing w:before="164" w:line="347" w:lineRule="auto"/>
        <w:ind w:right="117"/>
        <w:jc w:val="both"/>
        <w:rPr>
          <w:rFonts w:hint="eastAsia" w:cs="微软雅黑"/>
          <w:snapToGrid w:val="0"/>
          <w:color w:val="000000"/>
          <w:spacing w:val="-3"/>
          <w:kern w:val="0"/>
          <w:sz w:val="22"/>
          <w:szCs w:val="22"/>
          <w:lang w:val="en-US" w:eastAsia="zh-CN" w:bidi="ar-SA"/>
        </w:rPr>
      </w:pPr>
      <w:r>
        <w:rPr>
          <w:rFonts w:hint="eastAsia" w:cs="微软雅黑"/>
          <w:snapToGrid w:val="0"/>
          <w:color w:val="000000"/>
          <w:spacing w:val="-3"/>
          <w:kern w:val="0"/>
          <w:sz w:val="22"/>
          <w:szCs w:val="22"/>
          <w:lang w:val="en-US" w:eastAsia="zh-CN" w:bidi="ar-SA"/>
        </w:rPr>
        <w:t>2、如乙方在履行合同过程中违约， 甲方有权从质量保证金中直接扣除违约金及 给甲方造成的损失。</w:t>
      </w:r>
    </w:p>
    <w:p w14:paraId="7E8FE390">
      <w:pPr>
        <w:pStyle w:val="4"/>
        <w:spacing w:before="164" w:line="347" w:lineRule="auto"/>
        <w:ind w:right="117"/>
        <w:jc w:val="both"/>
        <w:rPr>
          <w:rFonts w:hint="eastAsia" w:cs="微软雅黑"/>
          <w:snapToGrid w:val="0"/>
          <w:color w:val="000000"/>
          <w:spacing w:val="-3"/>
          <w:kern w:val="0"/>
          <w:sz w:val="22"/>
          <w:szCs w:val="22"/>
          <w:lang w:val="en-US" w:eastAsia="zh-CN" w:bidi="ar-SA"/>
        </w:rPr>
      </w:pPr>
      <w:r>
        <w:rPr>
          <w:rFonts w:hint="eastAsia" w:cs="微软雅黑"/>
          <w:snapToGrid w:val="0"/>
          <w:color w:val="000000"/>
          <w:spacing w:val="-3"/>
          <w:kern w:val="0"/>
          <w:sz w:val="22"/>
          <w:szCs w:val="22"/>
          <w:lang w:val="en-US" w:eastAsia="zh-CN" w:bidi="ar-SA"/>
        </w:rPr>
        <w:t>3、乙方不得采用任何物质、非物质利益等不正当手段贿赂甲方工作人员，  否则， 甲方有权单方终止本合同。本条款的效力不得被双方其他任何形式任何时间的约  定变更或替换。</w:t>
      </w:r>
    </w:p>
    <w:p w14:paraId="08B56C3C">
      <w:pPr>
        <w:pStyle w:val="4"/>
        <w:spacing w:before="164" w:line="347" w:lineRule="auto"/>
        <w:ind w:right="117"/>
        <w:jc w:val="both"/>
        <w:rPr>
          <w:rFonts w:hint="eastAsia" w:cs="微软雅黑"/>
          <w:snapToGrid w:val="0"/>
          <w:color w:val="000000"/>
          <w:spacing w:val="-3"/>
          <w:kern w:val="0"/>
          <w:sz w:val="22"/>
          <w:szCs w:val="22"/>
          <w:lang w:val="en-US" w:eastAsia="zh-CN" w:bidi="ar-SA"/>
        </w:rPr>
      </w:pPr>
      <w:r>
        <w:rPr>
          <w:rFonts w:hint="eastAsia" w:cs="微软雅黑"/>
          <w:snapToGrid w:val="0"/>
          <w:color w:val="000000"/>
          <w:spacing w:val="-3"/>
          <w:kern w:val="0"/>
          <w:sz w:val="22"/>
          <w:szCs w:val="22"/>
          <w:lang w:val="en-US" w:eastAsia="zh-CN" w:bidi="ar-SA"/>
        </w:rPr>
        <w:t>4、乙方应保证具有较强的本地化服务能力， 配有较强的技术队伍， 能为甲方提 供快速的售后服务响应，保证接到甲方通知后成交供应商在5个小时内到达现场，24 小时内提供解决方案。</w:t>
      </w:r>
    </w:p>
    <w:p w14:paraId="1DB1EE45">
      <w:pPr>
        <w:pStyle w:val="4"/>
        <w:spacing w:before="164" w:line="347" w:lineRule="auto"/>
        <w:ind w:right="117"/>
        <w:jc w:val="both"/>
        <w:rPr>
          <w:rFonts w:hint="eastAsia" w:cs="微软雅黑"/>
          <w:snapToGrid w:val="0"/>
          <w:color w:val="000000"/>
          <w:spacing w:val="-3"/>
          <w:kern w:val="0"/>
          <w:sz w:val="22"/>
          <w:szCs w:val="22"/>
          <w:lang w:val="en-US" w:eastAsia="zh-CN" w:bidi="ar-SA"/>
        </w:rPr>
      </w:pPr>
      <w:r>
        <w:rPr>
          <w:rFonts w:hint="eastAsia" w:cs="微软雅黑"/>
          <w:snapToGrid w:val="0"/>
          <w:color w:val="000000"/>
          <w:spacing w:val="-3"/>
          <w:kern w:val="0"/>
          <w:sz w:val="22"/>
          <w:szCs w:val="22"/>
          <w:lang w:val="en-US" w:eastAsia="zh-CN" w:bidi="ar-SA"/>
        </w:rPr>
        <w:t>5、双方签订的《中药饮片质量保证协议》是本合同的组成部分， 与本合同具有 同等法律效力。</w:t>
      </w:r>
    </w:p>
    <w:p w14:paraId="1E98E78D">
      <w:pPr>
        <w:pStyle w:val="4"/>
        <w:spacing w:before="164" w:line="347" w:lineRule="auto"/>
        <w:ind w:right="117"/>
        <w:jc w:val="both"/>
        <w:rPr>
          <w:rFonts w:hint="eastAsia" w:cs="微软雅黑"/>
          <w:snapToGrid w:val="0"/>
          <w:color w:val="000000"/>
          <w:spacing w:val="-3"/>
          <w:kern w:val="0"/>
          <w:sz w:val="22"/>
          <w:szCs w:val="22"/>
          <w:lang w:val="en-US" w:eastAsia="zh-CN" w:bidi="ar-SA"/>
        </w:rPr>
      </w:pPr>
      <w:r>
        <w:rPr>
          <w:rFonts w:hint="eastAsia" w:cs="微软雅黑"/>
          <w:snapToGrid w:val="0"/>
          <w:color w:val="000000"/>
          <w:spacing w:val="-3"/>
          <w:kern w:val="0"/>
          <w:sz w:val="22"/>
          <w:szCs w:val="22"/>
          <w:lang w:val="en-US" w:eastAsia="zh-CN" w:bidi="ar-SA"/>
        </w:rPr>
        <w:t>6、双方保证各自的主体资格真实合法，且在本合同期限内持续有效。</w:t>
      </w:r>
    </w:p>
    <w:p w14:paraId="7AC97A0A">
      <w:pPr>
        <w:pStyle w:val="4"/>
        <w:spacing w:before="164" w:line="347" w:lineRule="auto"/>
        <w:ind w:right="117"/>
        <w:jc w:val="both"/>
        <w:rPr>
          <w:rFonts w:hint="eastAsia" w:cs="微软雅黑"/>
          <w:snapToGrid w:val="0"/>
          <w:color w:val="000000"/>
          <w:spacing w:val="-3"/>
          <w:kern w:val="0"/>
          <w:sz w:val="22"/>
          <w:szCs w:val="22"/>
          <w:lang w:val="en-US" w:eastAsia="zh-CN" w:bidi="ar-SA"/>
        </w:rPr>
      </w:pPr>
      <w:r>
        <w:rPr>
          <w:rFonts w:hint="eastAsia" w:cs="微软雅黑"/>
          <w:snapToGrid w:val="0"/>
          <w:color w:val="000000"/>
          <w:spacing w:val="-3"/>
          <w:kern w:val="0"/>
          <w:sz w:val="22"/>
          <w:szCs w:val="22"/>
          <w:lang w:val="en-US" w:eastAsia="zh-CN" w:bidi="ar-SA"/>
        </w:rPr>
        <w:t>7、本合同自双方法定代表人或授权委托人签字盖章之日起生效。</w:t>
      </w:r>
    </w:p>
    <w:p w14:paraId="385AB683">
      <w:pPr>
        <w:pStyle w:val="4"/>
        <w:spacing w:before="164" w:line="347" w:lineRule="auto"/>
        <w:ind w:right="117"/>
        <w:jc w:val="both"/>
        <w:rPr>
          <w:rFonts w:hint="eastAsia" w:cs="微软雅黑"/>
          <w:snapToGrid w:val="0"/>
          <w:color w:val="000000"/>
          <w:spacing w:val="-3"/>
          <w:kern w:val="0"/>
          <w:sz w:val="22"/>
          <w:szCs w:val="22"/>
          <w:lang w:val="en-US" w:eastAsia="zh-CN" w:bidi="ar-SA"/>
        </w:rPr>
      </w:pPr>
      <w:r>
        <w:rPr>
          <w:rFonts w:hint="eastAsia" w:cs="微软雅黑"/>
          <w:snapToGrid w:val="0"/>
          <w:color w:val="000000"/>
          <w:spacing w:val="-3"/>
          <w:kern w:val="0"/>
          <w:sz w:val="22"/>
          <w:szCs w:val="22"/>
          <w:lang w:val="en-US" w:eastAsia="zh-CN" w:bidi="ar-SA"/>
        </w:rPr>
        <w:t>8、本合同一式</w:t>
      </w:r>
      <w:r>
        <w:rPr>
          <w:rFonts w:hint="eastAsia" w:cs="微软雅黑"/>
          <w:snapToGrid w:val="0"/>
          <w:color w:val="000000"/>
          <w:spacing w:val="-3"/>
          <w:kern w:val="0"/>
          <w:sz w:val="22"/>
          <w:szCs w:val="22"/>
          <w:u w:val="single"/>
          <w:lang w:val="en-US" w:eastAsia="zh-CN" w:bidi="ar-SA"/>
        </w:rPr>
        <w:t xml:space="preserve">    </w:t>
      </w:r>
      <w:r>
        <w:rPr>
          <w:rFonts w:hint="eastAsia" w:cs="微软雅黑"/>
          <w:snapToGrid w:val="0"/>
          <w:color w:val="000000"/>
          <w:spacing w:val="-3"/>
          <w:kern w:val="0"/>
          <w:sz w:val="22"/>
          <w:szCs w:val="22"/>
          <w:lang w:val="en-US" w:eastAsia="zh-CN" w:bidi="ar-SA"/>
        </w:rPr>
        <w:t>份，其中甲方</w:t>
      </w:r>
      <w:r>
        <w:rPr>
          <w:rFonts w:hint="eastAsia" w:cs="微软雅黑"/>
          <w:snapToGrid w:val="0"/>
          <w:color w:val="000000"/>
          <w:spacing w:val="-3"/>
          <w:kern w:val="0"/>
          <w:sz w:val="22"/>
          <w:szCs w:val="22"/>
          <w:u w:val="single"/>
          <w:lang w:val="en-US" w:eastAsia="zh-CN" w:bidi="ar-SA"/>
        </w:rPr>
        <w:t xml:space="preserve">    </w:t>
      </w:r>
      <w:r>
        <w:rPr>
          <w:rFonts w:hint="eastAsia" w:cs="微软雅黑"/>
          <w:snapToGrid w:val="0"/>
          <w:color w:val="000000"/>
          <w:spacing w:val="-3"/>
          <w:kern w:val="0"/>
          <w:sz w:val="22"/>
          <w:szCs w:val="22"/>
          <w:lang w:val="en-US" w:eastAsia="zh-CN" w:bidi="ar-SA"/>
        </w:rPr>
        <w:t>份、乙方</w:t>
      </w:r>
      <w:r>
        <w:rPr>
          <w:rFonts w:hint="eastAsia" w:cs="微软雅黑"/>
          <w:snapToGrid w:val="0"/>
          <w:color w:val="000000"/>
          <w:spacing w:val="-3"/>
          <w:kern w:val="0"/>
          <w:sz w:val="22"/>
          <w:szCs w:val="22"/>
          <w:u w:val="single"/>
          <w:lang w:val="en-US" w:eastAsia="zh-CN" w:bidi="ar-SA"/>
        </w:rPr>
        <w:t xml:space="preserve">    </w:t>
      </w:r>
      <w:r>
        <w:rPr>
          <w:rFonts w:hint="eastAsia" w:cs="微软雅黑"/>
          <w:snapToGrid w:val="0"/>
          <w:color w:val="000000"/>
          <w:spacing w:val="-3"/>
          <w:kern w:val="0"/>
          <w:sz w:val="22"/>
          <w:szCs w:val="22"/>
          <w:lang w:val="en-US" w:eastAsia="zh-CN" w:bidi="ar-SA"/>
        </w:rPr>
        <w:t xml:space="preserve">份，采购代理机构 </w:t>
      </w:r>
      <w:r>
        <w:rPr>
          <w:rFonts w:hint="eastAsia" w:cs="微软雅黑"/>
          <w:snapToGrid w:val="0"/>
          <w:color w:val="000000"/>
          <w:spacing w:val="-3"/>
          <w:kern w:val="0"/>
          <w:sz w:val="22"/>
          <w:szCs w:val="22"/>
          <w:u w:val="single"/>
          <w:lang w:val="en-US" w:eastAsia="zh-CN" w:bidi="ar-SA"/>
        </w:rPr>
        <w:t xml:space="preserve">壹 </w:t>
      </w:r>
      <w:r>
        <w:rPr>
          <w:rFonts w:hint="eastAsia" w:cs="微软雅黑"/>
          <w:snapToGrid w:val="0"/>
          <w:color w:val="000000"/>
          <w:spacing w:val="-3"/>
          <w:kern w:val="0"/>
          <w:sz w:val="22"/>
          <w:szCs w:val="22"/>
          <w:lang w:val="en-US" w:eastAsia="zh-CN" w:bidi="ar-SA"/>
        </w:rPr>
        <w:t>份（须在合同签 订之日起 3 个工作日内递交），具有同等法律效力。</w:t>
      </w:r>
    </w:p>
    <w:p w14:paraId="4260966A">
      <w:pPr>
        <w:pStyle w:val="4"/>
        <w:spacing w:before="164" w:line="347" w:lineRule="auto"/>
        <w:ind w:right="117"/>
        <w:jc w:val="both"/>
        <w:rPr>
          <w:rFonts w:hint="eastAsia" w:cs="微软雅黑"/>
          <w:snapToGrid w:val="0"/>
          <w:color w:val="000000"/>
          <w:spacing w:val="-3"/>
          <w:kern w:val="0"/>
          <w:sz w:val="22"/>
          <w:szCs w:val="22"/>
          <w:lang w:val="en-US" w:eastAsia="zh-CN" w:bidi="ar-SA"/>
        </w:rPr>
      </w:pPr>
      <w:r>
        <w:rPr>
          <w:rFonts w:hint="eastAsia" w:cs="微软雅黑"/>
          <w:snapToGrid w:val="0"/>
          <w:color w:val="000000"/>
          <w:spacing w:val="-3"/>
          <w:kern w:val="0"/>
          <w:sz w:val="22"/>
          <w:szCs w:val="22"/>
          <w:lang w:val="en-US" w:eastAsia="zh-CN" w:bidi="ar-SA"/>
        </w:rPr>
        <w:t>9、本合同合计</w:t>
      </w:r>
      <w:r>
        <w:rPr>
          <w:rFonts w:hint="eastAsia" w:cs="微软雅黑"/>
          <w:snapToGrid w:val="0"/>
          <w:color w:val="000000"/>
          <w:spacing w:val="-3"/>
          <w:kern w:val="0"/>
          <w:sz w:val="22"/>
          <w:szCs w:val="22"/>
          <w:u w:val="single"/>
          <w:lang w:val="en-US" w:eastAsia="zh-CN" w:bidi="ar-SA"/>
        </w:rPr>
        <w:t xml:space="preserve">    </w:t>
      </w:r>
      <w:r>
        <w:rPr>
          <w:rFonts w:hint="eastAsia" w:cs="微软雅黑"/>
          <w:snapToGrid w:val="0"/>
          <w:color w:val="000000"/>
          <w:spacing w:val="-3"/>
          <w:kern w:val="0"/>
          <w:sz w:val="22"/>
          <w:szCs w:val="22"/>
          <w:lang w:val="en-US" w:eastAsia="zh-CN" w:bidi="ar-SA"/>
        </w:rPr>
        <w:t>页 A4 纸张，缺页之合同为无效合同。</w:t>
      </w:r>
    </w:p>
    <w:p w14:paraId="7028266D">
      <w:pPr>
        <w:pStyle w:val="4"/>
        <w:spacing w:before="98" w:line="261" w:lineRule="auto"/>
        <w:ind w:left="364" w:right="58" w:hanging="360"/>
        <w:rPr>
          <w:rFonts w:hint="eastAsia" w:cs="微软雅黑"/>
          <w:snapToGrid w:val="0"/>
          <w:color w:val="000000"/>
          <w:spacing w:val="-3"/>
          <w:kern w:val="0"/>
          <w:sz w:val="22"/>
          <w:szCs w:val="22"/>
          <w:lang w:val="en-US" w:eastAsia="zh-CN" w:bidi="ar-SA"/>
        </w:rPr>
      </w:pPr>
    </w:p>
    <w:p w14:paraId="3DF8F673">
      <w:pPr>
        <w:pStyle w:val="4"/>
        <w:spacing w:before="98" w:line="261" w:lineRule="auto"/>
        <w:ind w:left="364" w:right="58" w:hanging="360"/>
        <w:rPr>
          <w:rFonts w:hint="eastAsia" w:cs="微软雅黑"/>
          <w:snapToGrid w:val="0"/>
          <w:color w:val="000000"/>
          <w:spacing w:val="-3"/>
          <w:kern w:val="0"/>
          <w:sz w:val="22"/>
          <w:szCs w:val="22"/>
          <w:lang w:val="en-US" w:eastAsia="zh-CN" w:bidi="ar-SA"/>
        </w:rPr>
      </w:pPr>
    </w:p>
    <w:p w14:paraId="5631BAA3">
      <w:pPr>
        <w:pStyle w:val="4"/>
        <w:spacing w:before="72" w:line="219" w:lineRule="auto"/>
        <w:ind w:left="30"/>
        <w:rPr>
          <w:rFonts w:hint="default" w:eastAsia="微软雅黑"/>
          <w:sz w:val="22"/>
          <w:szCs w:val="22"/>
          <w:lang w:val="en-US" w:eastAsia="zh-CN"/>
        </w:rPr>
      </w:pPr>
      <w:r>
        <w:rPr>
          <w:spacing w:val="-7"/>
          <w:sz w:val="22"/>
          <w:szCs w:val="22"/>
        </w:rPr>
        <w:t>甲方（盖章</w:t>
      </w:r>
      <w:r>
        <w:rPr>
          <w:sz w:val="22"/>
          <w:szCs w:val="22"/>
        </w:rPr>
        <w:t>）：</w:t>
      </w:r>
      <w:r>
        <w:rPr>
          <w:spacing w:val="1"/>
          <w:sz w:val="22"/>
          <w:szCs w:val="22"/>
        </w:rPr>
        <w:t xml:space="preserve">               </w:t>
      </w:r>
      <w:r>
        <w:rPr>
          <w:spacing w:val="-7"/>
          <w:sz w:val="22"/>
          <w:szCs w:val="22"/>
        </w:rPr>
        <w:t xml:space="preserve">             </w:t>
      </w:r>
      <w:r>
        <w:rPr>
          <w:rFonts w:hint="eastAsia"/>
          <w:spacing w:val="-7"/>
          <w:sz w:val="22"/>
          <w:szCs w:val="22"/>
          <w:lang w:val="en-US" w:eastAsia="zh-CN"/>
        </w:rPr>
        <w:t xml:space="preserve">                     </w:t>
      </w:r>
      <w:r>
        <w:rPr>
          <w:spacing w:val="1"/>
          <w:sz w:val="22"/>
          <w:szCs w:val="22"/>
        </w:rPr>
        <w:t xml:space="preserve">       </w:t>
      </w:r>
      <w:r>
        <w:rPr>
          <w:spacing w:val="-7"/>
          <w:sz w:val="22"/>
          <w:szCs w:val="22"/>
        </w:rPr>
        <w:t>乙方（盖章</w:t>
      </w:r>
      <w:r>
        <w:rPr>
          <w:sz w:val="22"/>
          <w:szCs w:val="22"/>
        </w:rPr>
        <w:t>）：</w:t>
      </w:r>
      <w:r>
        <w:rPr>
          <w:rFonts w:hint="eastAsia"/>
          <w:sz w:val="22"/>
          <w:szCs w:val="22"/>
          <w:lang w:val="en-US" w:eastAsia="zh-CN"/>
        </w:rPr>
        <w:t xml:space="preserve">                        </w:t>
      </w:r>
    </w:p>
    <w:p w14:paraId="4363DE71">
      <w:pPr>
        <w:pStyle w:val="4"/>
        <w:spacing w:before="157" w:line="230" w:lineRule="auto"/>
        <w:ind w:left="1"/>
        <w:rPr>
          <w:rFonts w:hint="default" w:ascii="Arial" w:eastAsia="微软雅黑"/>
          <w:sz w:val="21"/>
          <w:lang w:val="en-US" w:eastAsia="zh-CN"/>
        </w:rPr>
      </w:pPr>
      <w:r>
        <w:rPr>
          <w:spacing w:val="-3"/>
          <w:sz w:val="22"/>
          <w:szCs w:val="22"/>
        </w:rPr>
        <w:t>地址：</w:t>
      </w:r>
      <w:r>
        <w:rPr>
          <w:sz w:val="22"/>
          <w:szCs w:val="22"/>
        </w:rPr>
        <w:t xml:space="preserve">                    </w:t>
      </w:r>
      <w:r>
        <w:rPr>
          <w:spacing w:val="-7"/>
          <w:sz w:val="22"/>
          <w:szCs w:val="22"/>
        </w:rPr>
        <w:t xml:space="preserve">             </w:t>
      </w:r>
      <w:r>
        <w:rPr>
          <w:rFonts w:hint="eastAsia"/>
          <w:spacing w:val="-7"/>
          <w:sz w:val="22"/>
          <w:szCs w:val="22"/>
          <w:lang w:val="en-US" w:eastAsia="zh-CN"/>
        </w:rPr>
        <w:t xml:space="preserve">                     </w:t>
      </w:r>
      <w:r>
        <w:rPr>
          <w:sz w:val="22"/>
          <w:szCs w:val="22"/>
        </w:rPr>
        <w:t xml:space="preserve">    </w:t>
      </w:r>
      <w:r>
        <w:rPr>
          <w:rFonts w:hint="eastAsia"/>
          <w:sz w:val="22"/>
          <w:szCs w:val="22"/>
          <w:lang w:val="en-US" w:eastAsia="zh-CN"/>
        </w:rPr>
        <w:t xml:space="preserve">       </w:t>
      </w:r>
      <w:r>
        <w:rPr>
          <w:sz w:val="22"/>
          <w:szCs w:val="22"/>
        </w:rPr>
        <w:t xml:space="preserve">     </w:t>
      </w:r>
      <w:r>
        <w:rPr>
          <w:spacing w:val="-3"/>
          <w:sz w:val="22"/>
          <w:szCs w:val="22"/>
        </w:rPr>
        <w:t>地址：</w:t>
      </w:r>
      <w:r>
        <w:rPr>
          <w:rFonts w:hint="eastAsia"/>
          <w:spacing w:val="-3"/>
          <w:sz w:val="22"/>
          <w:szCs w:val="22"/>
          <w:lang w:val="en-US" w:eastAsia="zh-CN"/>
        </w:rPr>
        <w:t xml:space="preserve">                                                                  </w:t>
      </w:r>
    </w:p>
    <w:p w14:paraId="2707B164">
      <w:pPr>
        <w:spacing w:line="252" w:lineRule="auto"/>
        <w:rPr>
          <w:rFonts w:ascii="Arial"/>
          <w:sz w:val="21"/>
        </w:rPr>
      </w:pPr>
      <w:r>
        <w:rPr>
          <w:spacing w:val="-7"/>
          <w:sz w:val="22"/>
          <w:szCs w:val="22"/>
        </w:rPr>
        <w:t xml:space="preserve">             </w:t>
      </w:r>
      <w:r>
        <w:rPr>
          <w:rFonts w:hint="eastAsia"/>
          <w:spacing w:val="-7"/>
          <w:sz w:val="22"/>
          <w:szCs w:val="22"/>
          <w:lang w:val="en-US" w:eastAsia="zh-CN"/>
        </w:rPr>
        <w:t xml:space="preserve">                     </w:t>
      </w:r>
    </w:p>
    <w:p w14:paraId="64A535F5">
      <w:pPr>
        <w:pStyle w:val="4"/>
        <w:spacing w:before="72" w:line="219" w:lineRule="auto"/>
        <w:ind w:left="30"/>
        <w:rPr>
          <w:rFonts w:hint="default" w:eastAsia="微软雅黑"/>
          <w:spacing w:val="-7"/>
          <w:sz w:val="22"/>
          <w:szCs w:val="22"/>
          <w:lang w:val="en-US" w:eastAsia="zh-CN"/>
        </w:rPr>
      </w:pPr>
      <w:r>
        <w:rPr>
          <w:spacing w:val="-7"/>
          <w:sz w:val="22"/>
          <w:szCs w:val="22"/>
        </w:rPr>
        <w:t xml:space="preserve">法定代表(签字)：                  </w:t>
      </w:r>
      <w:r>
        <w:rPr>
          <w:rFonts w:hint="eastAsia"/>
          <w:spacing w:val="-7"/>
          <w:sz w:val="22"/>
          <w:szCs w:val="22"/>
          <w:lang w:val="en-US" w:eastAsia="zh-CN"/>
        </w:rPr>
        <w:t xml:space="preserve">                     </w:t>
      </w:r>
      <w:r>
        <w:rPr>
          <w:spacing w:val="-7"/>
          <w:sz w:val="22"/>
          <w:szCs w:val="22"/>
        </w:rPr>
        <w:t xml:space="preserve">              法定代表(签字)：</w:t>
      </w:r>
      <w:r>
        <w:rPr>
          <w:rFonts w:hint="eastAsia"/>
          <w:spacing w:val="-7"/>
          <w:sz w:val="22"/>
          <w:szCs w:val="22"/>
          <w:lang w:val="en-US" w:eastAsia="zh-CN"/>
        </w:rPr>
        <w:t xml:space="preserve">                                       </w:t>
      </w:r>
    </w:p>
    <w:p w14:paraId="33D52034">
      <w:pPr>
        <w:pStyle w:val="4"/>
        <w:spacing w:before="72" w:line="219" w:lineRule="auto"/>
        <w:ind w:left="30"/>
        <w:rPr>
          <w:rFonts w:hint="default" w:eastAsia="微软雅黑"/>
          <w:spacing w:val="-7"/>
          <w:sz w:val="22"/>
          <w:szCs w:val="22"/>
          <w:lang w:val="en-US" w:eastAsia="zh-CN"/>
        </w:rPr>
      </w:pPr>
      <w:r>
        <w:rPr>
          <w:spacing w:val="-7"/>
          <w:sz w:val="22"/>
          <w:szCs w:val="22"/>
        </w:rPr>
        <w:t xml:space="preserve">授权代表人：                    </w:t>
      </w:r>
      <w:r>
        <w:rPr>
          <w:rFonts w:hint="eastAsia"/>
          <w:spacing w:val="-7"/>
          <w:sz w:val="22"/>
          <w:szCs w:val="22"/>
          <w:lang w:val="en-US" w:eastAsia="zh-CN"/>
        </w:rPr>
        <w:t xml:space="preserve">                     </w:t>
      </w:r>
      <w:r>
        <w:rPr>
          <w:spacing w:val="-7"/>
          <w:sz w:val="22"/>
          <w:szCs w:val="22"/>
        </w:rPr>
        <w:t xml:space="preserve">                 授权代表人：</w:t>
      </w:r>
      <w:r>
        <w:rPr>
          <w:rFonts w:hint="eastAsia"/>
          <w:spacing w:val="-7"/>
          <w:sz w:val="22"/>
          <w:szCs w:val="22"/>
          <w:lang w:val="en-US" w:eastAsia="zh-CN"/>
        </w:rPr>
        <w:t xml:space="preserve">                                     </w:t>
      </w:r>
    </w:p>
    <w:p w14:paraId="0FF36753">
      <w:pPr>
        <w:pStyle w:val="4"/>
        <w:spacing w:before="72" w:line="219" w:lineRule="auto"/>
        <w:ind w:left="30"/>
        <w:rPr>
          <w:rFonts w:hint="default" w:eastAsia="微软雅黑"/>
          <w:spacing w:val="-7"/>
          <w:sz w:val="22"/>
          <w:szCs w:val="22"/>
          <w:lang w:val="en-US" w:eastAsia="zh-CN"/>
        </w:rPr>
      </w:pPr>
      <w:r>
        <w:rPr>
          <w:spacing w:val="-7"/>
          <w:sz w:val="22"/>
          <w:szCs w:val="22"/>
        </w:rPr>
        <w:t xml:space="preserve">电话：                      </w:t>
      </w:r>
      <w:r>
        <w:rPr>
          <w:rFonts w:hint="eastAsia"/>
          <w:spacing w:val="-7"/>
          <w:sz w:val="22"/>
          <w:szCs w:val="22"/>
          <w:lang w:val="en-US" w:eastAsia="zh-CN"/>
        </w:rPr>
        <w:t xml:space="preserve">                                    </w:t>
      </w:r>
      <w:r>
        <w:rPr>
          <w:spacing w:val="-7"/>
          <w:sz w:val="22"/>
          <w:szCs w:val="22"/>
        </w:rPr>
        <w:t xml:space="preserve">  </w:t>
      </w:r>
      <w:r>
        <w:rPr>
          <w:rFonts w:hint="eastAsia"/>
          <w:spacing w:val="-7"/>
          <w:sz w:val="22"/>
          <w:szCs w:val="22"/>
          <w:lang w:val="en-US" w:eastAsia="zh-CN"/>
        </w:rPr>
        <w:t xml:space="preserve">    </w:t>
      </w:r>
      <w:r>
        <w:rPr>
          <w:spacing w:val="-7"/>
          <w:sz w:val="22"/>
          <w:szCs w:val="22"/>
        </w:rPr>
        <w:t xml:space="preserve">     电话：</w:t>
      </w:r>
      <w:r>
        <w:rPr>
          <w:rFonts w:hint="eastAsia"/>
          <w:spacing w:val="-7"/>
          <w:sz w:val="22"/>
          <w:szCs w:val="22"/>
          <w:lang w:val="en-US" w:eastAsia="zh-CN"/>
        </w:rPr>
        <w:t xml:space="preserve">  </w:t>
      </w:r>
    </w:p>
    <w:p w14:paraId="08F7994D">
      <w:pPr>
        <w:pStyle w:val="4"/>
        <w:spacing w:before="72" w:line="219" w:lineRule="auto"/>
        <w:ind w:left="30"/>
        <w:rPr>
          <w:rFonts w:hint="default" w:eastAsia="微软雅黑"/>
          <w:spacing w:val="-7"/>
          <w:sz w:val="22"/>
          <w:szCs w:val="22"/>
          <w:lang w:val="en-US" w:eastAsia="zh-CN"/>
        </w:rPr>
      </w:pPr>
      <w:r>
        <w:rPr>
          <w:spacing w:val="-7"/>
          <w:sz w:val="22"/>
          <w:szCs w:val="22"/>
        </w:rPr>
        <w:t>签约时间：</w:t>
      </w:r>
      <w:r>
        <w:rPr>
          <w:rFonts w:hint="eastAsia"/>
          <w:spacing w:val="-7"/>
          <w:sz w:val="22"/>
          <w:szCs w:val="22"/>
          <w:lang w:val="en-US" w:eastAsia="zh-CN"/>
        </w:rPr>
        <w:t xml:space="preserve"> </w:t>
      </w:r>
      <w:r>
        <w:rPr>
          <w:rFonts w:hint="eastAsia" w:cs="微软雅黑"/>
          <w:snapToGrid w:val="0"/>
          <w:color w:val="000000"/>
          <w:spacing w:val="-3"/>
          <w:kern w:val="0"/>
          <w:sz w:val="22"/>
          <w:szCs w:val="22"/>
          <w:u w:val="single"/>
          <w:lang w:val="en-US" w:eastAsia="zh-CN" w:bidi="ar-SA"/>
        </w:rPr>
        <w:t xml:space="preserve">      </w:t>
      </w:r>
      <w:r>
        <w:rPr>
          <w:rFonts w:hint="eastAsia" w:cs="微软雅黑"/>
          <w:snapToGrid w:val="0"/>
          <w:color w:val="000000"/>
          <w:spacing w:val="-3"/>
          <w:kern w:val="0"/>
          <w:sz w:val="22"/>
          <w:szCs w:val="22"/>
          <w:lang w:val="en-US" w:eastAsia="zh-CN" w:bidi="ar-SA"/>
        </w:rPr>
        <w:t>年</w:t>
      </w:r>
      <w:r>
        <w:rPr>
          <w:rFonts w:hint="eastAsia" w:cs="微软雅黑"/>
          <w:snapToGrid w:val="0"/>
          <w:color w:val="000000"/>
          <w:spacing w:val="-3"/>
          <w:kern w:val="0"/>
          <w:sz w:val="22"/>
          <w:szCs w:val="22"/>
          <w:u w:val="single"/>
          <w:lang w:val="en-US" w:eastAsia="zh-CN" w:bidi="ar-SA"/>
        </w:rPr>
        <w:t xml:space="preserve">     </w:t>
      </w:r>
      <w:r>
        <w:rPr>
          <w:rFonts w:hint="eastAsia" w:cs="微软雅黑"/>
          <w:snapToGrid w:val="0"/>
          <w:color w:val="000000"/>
          <w:spacing w:val="-3"/>
          <w:kern w:val="0"/>
          <w:sz w:val="22"/>
          <w:szCs w:val="22"/>
          <w:lang w:val="en-US" w:eastAsia="zh-CN" w:bidi="ar-SA"/>
        </w:rPr>
        <w:t>月</w:t>
      </w:r>
      <w:r>
        <w:rPr>
          <w:rFonts w:hint="eastAsia" w:cs="微软雅黑"/>
          <w:snapToGrid w:val="0"/>
          <w:color w:val="000000"/>
          <w:spacing w:val="-3"/>
          <w:kern w:val="0"/>
          <w:sz w:val="22"/>
          <w:szCs w:val="22"/>
          <w:u w:val="single"/>
          <w:lang w:val="en-US" w:eastAsia="zh-CN" w:bidi="ar-SA"/>
        </w:rPr>
        <w:t xml:space="preserve">      </w:t>
      </w:r>
      <w:r>
        <w:rPr>
          <w:rFonts w:hint="eastAsia" w:cs="微软雅黑"/>
          <w:snapToGrid w:val="0"/>
          <w:color w:val="000000"/>
          <w:spacing w:val="-3"/>
          <w:kern w:val="0"/>
          <w:sz w:val="22"/>
          <w:szCs w:val="22"/>
          <w:lang w:val="en-US" w:eastAsia="zh-CN" w:bidi="ar-SA"/>
        </w:rPr>
        <w:t>日</w:t>
      </w:r>
      <w:r>
        <w:rPr>
          <w:rFonts w:hint="eastAsia"/>
          <w:spacing w:val="-7"/>
          <w:sz w:val="22"/>
          <w:szCs w:val="22"/>
          <w:lang w:val="en-US" w:eastAsia="zh-CN"/>
        </w:rPr>
        <w:t xml:space="preserve">                              </w:t>
      </w:r>
      <w:r>
        <w:rPr>
          <w:spacing w:val="-7"/>
          <w:sz w:val="22"/>
          <w:szCs w:val="22"/>
        </w:rPr>
        <w:t xml:space="preserve"> 签约时间：</w:t>
      </w:r>
      <w:r>
        <w:rPr>
          <w:rFonts w:hint="eastAsia" w:cs="微软雅黑"/>
          <w:snapToGrid w:val="0"/>
          <w:color w:val="000000"/>
          <w:spacing w:val="-3"/>
          <w:kern w:val="0"/>
          <w:sz w:val="22"/>
          <w:szCs w:val="22"/>
          <w:u w:val="single"/>
          <w:lang w:val="en-US" w:eastAsia="zh-CN" w:bidi="ar-SA"/>
        </w:rPr>
        <w:t xml:space="preserve">      </w:t>
      </w:r>
      <w:r>
        <w:rPr>
          <w:rFonts w:hint="eastAsia" w:cs="微软雅黑"/>
          <w:snapToGrid w:val="0"/>
          <w:color w:val="000000"/>
          <w:spacing w:val="-3"/>
          <w:kern w:val="0"/>
          <w:sz w:val="22"/>
          <w:szCs w:val="22"/>
          <w:lang w:val="en-US" w:eastAsia="zh-CN" w:bidi="ar-SA"/>
        </w:rPr>
        <w:t>年</w:t>
      </w:r>
      <w:r>
        <w:rPr>
          <w:rFonts w:hint="eastAsia" w:cs="微软雅黑"/>
          <w:snapToGrid w:val="0"/>
          <w:color w:val="000000"/>
          <w:spacing w:val="-3"/>
          <w:kern w:val="0"/>
          <w:sz w:val="22"/>
          <w:szCs w:val="22"/>
          <w:u w:val="single"/>
          <w:lang w:val="en-US" w:eastAsia="zh-CN" w:bidi="ar-SA"/>
        </w:rPr>
        <w:t xml:space="preserve">     </w:t>
      </w:r>
      <w:r>
        <w:rPr>
          <w:rFonts w:hint="eastAsia" w:cs="微软雅黑"/>
          <w:snapToGrid w:val="0"/>
          <w:color w:val="000000"/>
          <w:spacing w:val="-3"/>
          <w:kern w:val="0"/>
          <w:sz w:val="22"/>
          <w:szCs w:val="22"/>
          <w:lang w:val="en-US" w:eastAsia="zh-CN" w:bidi="ar-SA"/>
        </w:rPr>
        <w:t>月</w:t>
      </w:r>
      <w:r>
        <w:rPr>
          <w:rFonts w:hint="eastAsia" w:cs="微软雅黑"/>
          <w:snapToGrid w:val="0"/>
          <w:color w:val="000000"/>
          <w:spacing w:val="-3"/>
          <w:kern w:val="0"/>
          <w:sz w:val="22"/>
          <w:szCs w:val="22"/>
          <w:u w:val="single"/>
          <w:lang w:val="en-US" w:eastAsia="zh-CN" w:bidi="ar-SA"/>
        </w:rPr>
        <w:t xml:space="preserve">      </w:t>
      </w:r>
      <w:r>
        <w:rPr>
          <w:rFonts w:hint="eastAsia" w:cs="微软雅黑"/>
          <w:snapToGrid w:val="0"/>
          <w:color w:val="000000"/>
          <w:spacing w:val="-3"/>
          <w:kern w:val="0"/>
          <w:sz w:val="22"/>
          <w:szCs w:val="22"/>
          <w:lang w:val="en-US" w:eastAsia="zh-CN" w:bidi="ar-SA"/>
        </w:rPr>
        <w:t>日</w:t>
      </w:r>
      <w:r>
        <w:rPr>
          <w:rFonts w:hint="eastAsia"/>
          <w:spacing w:val="-7"/>
          <w:sz w:val="22"/>
          <w:szCs w:val="22"/>
          <w:lang w:val="en-US" w:eastAsia="zh-CN"/>
        </w:rPr>
        <w:t xml:space="preserve">                   </w:t>
      </w:r>
    </w:p>
    <w:p w14:paraId="688E0A73">
      <w:pPr>
        <w:pStyle w:val="4"/>
        <w:spacing w:before="72" w:line="219" w:lineRule="auto"/>
        <w:ind w:left="30"/>
        <w:rPr>
          <w:spacing w:val="-7"/>
          <w:sz w:val="22"/>
          <w:szCs w:val="22"/>
        </w:rPr>
      </w:pPr>
    </w:p>
    <w:p w14:paraId="33225475">
      <w:pPr>
        <w:spacing w:line="249" w:lineRule="auto"/>
        <w:rPr>
          <w:rFonts w:ascii="Arial"/>
          <w:sz w:val="21"/>
        </w:rPr>
      </w:pPr>
    </w:p>
    <w:p w14:paraId="6C964F2E">
      <w:pPr>
        <w:pStyle w:val="4"/>
        <w:spacing w:before="72" w:line="219" w:lineRule="auto"/>
        <w:ind w:left="2"/>
        <w:rPr>
          <w:b/>
          <w:bCs/>
          <w:spacing w:val="-2"/>
          <w:sz w:val="22"/>
          <w:szCs w:val="22"/>
        </w:rPr>
      </w:pPr>
      <w:r>
        <w:rPr>
          <w:rFonts w:hint="eastAsia"/>
          <w:b/>
          <w:bCs/>
          <w:spacing w:val="-2"/>
          <w:sz w:val="22"/>
          <w:szCs w:val="22"/>
          <w:lang w:val="en-US" w:eastAsia="zh-CN"/>
        </w:rPr>
        <w:t>注：1、</w:t>
      </w:r>
      <w:r>
        <w:rPr>
          <w:b/>
          <w:bCs/>
          <w:spacing w:val="-2"/>
          <w:sz w:val="22"/>
          <w:szCs w:val="22"/>
        </w:rPr>
        <w:t>授权委托人签字需要提供：乙方给委托人出具的授权委托书原件（委托权限应 明确授权代表人有代表乙方签订合同的授权）、法定代表人身份证明书原件、乙 方营业执照复印件（加盖公章）、授权委托人身份证复印件（加盖公章），注意 合同签订日期应在成交通知书载明时期之日起</w:t>
      </w:r>
      <w:r>
        <w:rPr>
          <w:rFonts w:hint="eastAsia"/>
          <w:b/>
          <w:bCs/>
          <w:spacing w:val="-2"/>
          <w:sz w:val="22"/>
          <w:szCs w:val="22"/>
          <w:lang w:val="en-US" w:eastAsia="zh-CN"/>
        </w:rPr>
        <w:t>10</w:t>
      </w:r>
      <w:r>
        <w:rPr>
          <w:b/>
          <w:bCs/>
          <w:spacing w:val="-2"/>
          <w:sz w:val="22"/>
          <w:szCs w:val="22"/>
        </w:rPr>
        <w:t>日内完成。</w:t>
      </w:r>
    </w:p>
    <w:p w14:paraId="45D8F0B4">
      <w:pPr>
        <w:pStyle w:val="4"/>
        <w:spacing w:before="72" w:line="219" w:lineRule="auto"/>
        <w:ind w:left="2"/>
        <w:rPr>
          <w:rFonts w:hint="eastAsia" w:eastAsia="微软雅黑"/>
          <w:sz w:val="22"/>
          <w:szCs w:val="22"/>
          <w:lang w:eastAsia="zh-CN"/>
        </w:rPr>
      </w:pPr>
      <w:r>
        <w:rPr>
          <w:rFonts w:hint="eastAsia"/>
          <w:b/>
          <w:bCs/>
          <w:spacing w:val="-2"/>
          <w:sz w:val="22"/>
          <w:szCs w:val="22"/>
          <w:lang w:val="en-US" w:eastAsia="zh-CN"/>
        </w:rPr>
        <w:t>2、</w:t>
      </w:r>
      <w:r>
        <w:rPr>
          <w:b/>
          <w:bCs/>
          <w:spacing w:val="-2"/>
          <w:sz w:val="22"/>
          <w:szCs w:val="22"/>
        </w:rPr>
        <w:t>其他未尽事宜由供需双方在采购合同中详细约定</w:t>
      </w:r>
      <w:r>
        <w:rPr>
          <w:rFonts w:hint="eastAsia"/>
          <w:b/>
          <w:bCs/>
          <w:spacing w:val="-2"/>
          <w:sz w:val="22"/>
          <w:szCs w:val="22"/>
          <w:lang w:eastAsia="zh-CN"/>
        </w:rPr>
        <w:t>。</w:t>
      </w:r>
    </w:p>
    <w:p w14:paraId="07213EBE">
      <w:pPr>
        <w:spacing w:line="239" w:lineRule="auto"/>
        <w:rPr>
          <w:sz w:val="28"/>
          <w:szCs w:val="28"/>
        </w:rPr>
        <w:sectPr>
          <w:footerReference r:id="rId15" w:type="default"/>
          <w:pgSz w:w="11905" w:h="16839"/>
          <w:pgMar w:top="1163" w:right="959" w:bottom="1305" w:left="1050" w:header="854" w:footer="986" w:gutter="0"/>
          <w:cols w:space="720" w:num="1"/>
        </w:sectPr>
      </w:pPr>
    </w:p>
    <w:p w14:paraId="6C4ED0D1">
      <w:pPr>
        <w:pStyle w:val="4"/>
        <w:spacing w:before="114" w:line="224" w:lineRule="auto"/>
        <w:jc w:val="center"/>
        <w:rPr>
          <w:rFonts w:hint="eastAsia" w:ascii="方正大标宋简体" w:hAnsi="方正大标宋简体" w:eastAsia="方正大标宋简体" w:cs="方正大标宋简体"/>
          <w:b/>
          <w:bCs/>
          <w:spacing w:val="3"/>
          <w:sz w:val="40"/>
          <w:szCs w:val="40"/>
        </w:rPr>
      </w:pPr>
      <w:r>
        <w:rPr>
          <w:rFonts w:hint="eastAsia" w:ascii="方正大标宋简体" w:hAnsi="方正大标宋简体" w:eastAsia="方正大标宋简体" w:cs="方正大标宋简体"/>
          <w:b/>
          <w:bCs/>
          <w:spacing w:val="3"/>
          <w:sz w:val="40"/>
          <w:szCs w:val="40"/>
        </w:rPr>
        <w:t>中药饮片质量保证协议</w:t>
      </w:r>
    </w:p>
    <w:p w14:paraId="42E322E1">
      <w:pPr>
        <w:pStyle w:val="4"/>
        <w:spacing w:before="30" w:line="203" w:lineRule="auto"/>
        <w:ind w:right="120"/>
        <w:jc w:val="both"/>
        <w:rPr>
          <w:rFonts w:hint="eastAsia" w:ascii="仿宋_GB2312" w:hAnsi="仿宋_GB2312" w:eastAsia="仿宋_GB2312" w:cs="仿宋_GB2312"/>
          <w:spacing w:val="-5"/>
          <w:sz w:val="30"/>
          <w:szCs w:val="30"/>
        </w:rPr>
      </w:pPr>
      <w:r>
        <w:rPr>
          <w:rFonts w:hint="eastAsia" w:ascii="仿宋_GB2312" w:hAnsi="仿宋_GB2312" w:eastAsia="仿宋_GB2312" w:cs="仿宋_GB2312"/>
          <w:spacing w:val="-5"/>
          <w:sz w:val="30"/>
          <w:szCs w:val="30"/>
        </w:rPr>
        <w:t>甲方（医疗机构）：</w:t>
      </w:r>
    </w:p>
    <w:p w14:paraId="6E00A1A7">
      <w:pPr>
        <w:pStyle w:val="4"/>
        <w:spacing w:before="30" w:line="203" w:lineRule="auto"/>
        <w:ind w:right="120"/>
        <w:jc w:val="both"/>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pacing w:val="-5"/>
          <w:sz w:val="30"/>
          <w:szCs w:val="30"/>
        </w:rPr>
        <w:t xml:space="preserve">乙方（药品供应企业）： </w:t>
      </w:r>
      <w:r>
        <w:rPr>
          <w:rFonts w:hint="eastAsia" w:ascii="仿宋_GB2312" w:hAnsi="仿宋_GB2312" w:eastAsia="仿宋_GB2312" w:cs="仿宋_GB2312"/>
          <w:sz w:val="30"/>
          <w:szCs w:val="30"/>
          <w:lang w:val="en-US" w:eastAsia="zh-CN"/>
        </w:rPr>
        <w:t xml:space="preserve">                  </w:t>
      </w:r>
    </w:p>
    <w:p w14:paraId="025CA05B">
      <w:pPr>
        <w:pStyle w:val="4"/>
        <w:spacing w:before="30" w:line="203" w:lineRule="auto"/>
        <w:ind w:left="46" w:right="120" w:firstLine="570"/>
        <w:jc w:val="both"/>
        <w:rPr>
          <w:rFonts w:hint="eastAsia" w:ascii="仿宋_GB2312" w:hAnsi="仿宋_GB2312" w:eastAsia="仿宋_GB2312" w:cs="仿宋_GB2312"/>
          <w:sz w:val="30"/>
          <w:szCs w:val="30"/>
        </w:rPr>
      </w:pPr>
      <w:r>
        <w:rPr>
          <w:rFonts w:hint="eastAsia" w:ascii="仿宋_GB2312" w:hAnsi="仿宋_GB2312" w:eastAsia="仿宋_GB2312" w:cs="仿宋_GB2312"/>
          <w:spacing w:val="-5"/>
          <w:sz w:val="30"/>
          <w:szCs w:val="30"/>
        </w:rPr>
        <w:t>为了保证中药饮片质量，</w:t>
      </w:r>
      <w:r>
        <w:rPr>
          <w:rFonts w:hint="eastAsia" w:ascii="仿宋_GB2312" w:hAnsi="仿宋_GB2312" w:eastAsia="仿宋_GB2312" w:cs="仿宋_GB2312"/>
          <w:spacing w:val="-47"/>
          <w:sz w:val="30"/>
          <w:szCs w:val="30"/>
        </w:rPr>
        <w:t xml:space="preserve"> </w:t>
      </w:r>
      <w:r>
        <w:rPr>
          <w:rFonts w:hint="eastAsia" w:ascii="仿宋_GB2312" w:hAnsi="仿宋_GB2312" w:eastAsia="仿宋_GB2312" w:cs="仿宋_GB2312"/>
          <w:spacing w:val="-5"/>
          <w:sz w:val="30"/>
          <w:szCs w:val="30"/>
        </w:rPr>
        <w:t>明确责任，维护双方权益，</w:t>
      </w:r>
      <w:r>
        <w:rPr>
          <w:rFonts w:hint="eastAsia" w:ascii="仿宋_GB2312" w:hAnsi="仿宋_GB2312" w:eastAsia="仿宋_GB2312" w:cs="仿宋_GB2312"/>
          <w:spacing w:val="-39"/>
          <w:sz w:val="30"/>
          <w:szCs w:val="30"/>
        </w:rPr>
        <w:t xml:space="preserve"> </w:t>
      </w:r>
      <w:r>
        <w:rPr>
          <w:rFonts w:hint="eastAsia" w:ascii="仿宋_GB2312" w:hAnsi="仿宋_GB2312" w:eastAsia="仿宋_GB2312" w:cs="仿宋_GB2312"/>
          <w:spacing w:val="-5"/>
          <w:sz w:val="30"/>
          <w:szCs w:val="30"/>
        </w:rPr>
        <w:t>甲、乙双方本着平等互</w:t>
      </w:r>
      <w:r>
        <w:rPr>
          <w:rFonts w:hint="eastAsia" w:ascii="仿宋_GB2312" w:hAnsi="仿宋_GB2312" w:eastAsia="仿宋_GB2312" w:cs="仿宋_GB2312"/>
          <w:sz w:val="30"/>
          <w:szCs w:val="30"/>
        </w:rPr>
        <w:t xml:space="preserve"> </w:t>
      </w:r>
      <w:r>
        <w:rPr>
          <w:rFonts w:hint="eastAsia" w:ascii="仿宋_GB2312" w:hAnsi="仿宋_GB2312" w:eastAsia="仿宋_GB2312" w:cs="仿宋_GB2312"/>
          <w:spacing w:val="-3"/>
          <w:sz w:val="30"/>
          <w:szCs w:val="30"/>
        </w:rPr>
        <w:t>利、公平、公正、协商一致的原则，根据《</w:t>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HYPERLINK "http://www.baidu.com/link?url=EqO9yL6cVhpgs6dflxo0g_6XKr__pmdfi-dPRQk1wvv3uY8SAZczf9ib-_8hNjC77ZMTXxJJI3xPiNaJmXdLAvTfiBtDEwLjWmpEU2BwXaMJPlu4RPzxZ0z106mP_RJt51HJtrOgxLP4o28DVxt3YIcnZwLtmAJXH_CR0GNJa66uDW-0Z1ARI8B9-W3S_szpoHqIm1y1kv37uLx5Bs_Y0BtS-ZBJykkt05X_b_yoSptk944F9e_3rTsg3RTiwwzX"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pacing w:val="-3"/>
          <w:sz w:val="30"/>
          <w:szCs w:val="30"/>
        </w:rPr>
        <w:t>中华人民共和国</w:t>
      </w:r>
      <w:r>
        <w:rPr>
          <w:rFonts w:hint="eastAsia" w:ascii="仿宋_GB2312" w:hAnsi="仿宋_GB2312" w:eastAsia="仿宋_GB2312" w:cs="仿宋_GB2312"/>
          <w:spacing w:val="-3"/>
          <w:sz w:val="30"/>
          <w:szCs w:val="30"/>
        </w:rPr>
        <w:fldChar w:fldCharType="end"/>
      </w:r>
      <w:r>
        <w:rPr>
          <w:rFonts w:hint="eastAsia" w:ascii="仿宋_GB2312" w:hAnsi="仿宋_GB2312" w:eastAsia="仿宋_GB2312" w:cs="仿宋_GB2312"/>
          <w:spacing w:val="-3"/>
          <w:sz w:val="30"/>
          <w:szCs w:val="30"/>
        </w:rPr>
        <w:t>药品管理法》、《药</w:t>
      </w:r>
      <w:r>
        <w:rPr>
          <w:rFonts w:hint="eastAsia" w:ascii="仿宋_GB2312" w:hAnsi="仿宋_GB2312" w:eastAsia="仿宋_GB2312" w:cs="仿宋_GB2312"/>
          <w:spacing w:val="-11"/>
          <w:sz w:val="30"/>
          <w:szCs w:val="30"/>
        </w:rPr>
        <w:t>品生产质量管理规范（GMP）》、《药品经营质量管理规范（</w:t>
      </w:r>
      <w:r>
        <w:rPr>
          <w:rFonts w:hint="eastAsia" w:ascii="仿宋_GB2312" w:hAnsi="仿宋_GB2312" w:eastAsia="仿宋_GB2312" w:cs="仿宋_GB2312"/>
          <w:spacing w:val="-12"/>
          <w:sz w:val="30"/>
          <w:szCs w:val="30"/>
        </w:rPr>
        <w:t>GSP）》等法律、法</w:t>
      </w:r>
      <w:r>
        <w:rPr>
          <w:rFonts w:hint="eastAsia" w:ascii="仿宋_GB2312" w:hAnsi="仿宋_GB2312" w:eastAsia="仿宋_GB2312" w:cs="仿宋_GB2312"/>
          <w:spacing w:val="-4"/>
          <w:sz w:val="30"/>
          <w:szCs w:val="30"/>
        </w:rPr>
        <w:t>规以及相关规定，达成中药饮片质量保证协议如下：</w:t>
      </w:r>
    </w:p>
    <w:p w14:paraId="293E3873">
      <w:pPr>
        <w:pStyle w:val="4"/>
        <w:spacing w:before="92" w:line="203" w:lineRule="auto"/>
        <w:ind w:left="46" w:right="120" w:firstLine="554"/>
        <w:rPr>
          <w:rFonts w:hint="eastAsia" w:ascii="仿宋_GB2312" w:hAnsi="仿宋_GB2312" w:eastAsia="仿宋_GB2312" w:cs="仿宋_GB2312"/>
          <w:sz w:val="30"/>
          <w:szCs w:val="30"/>
        </w:rPr>
      </w:pPr>
      <w:r>
        <w:rPr>
          <w:rFonts w:hint="eastAsia" w:ascii="仿宋_GB2312" w:hAnsi="仿宋_GB2312" w:eastAsia="仿宋_GB2312" w:cs="仿宋_GB2312"/>
          <w:spacing w:val="-7"/>
          <w:sz w:val="30"/>
          <w:szCs w:val="30"/>
        </w:rPr>
        <w:t>一、乙方须是具有法定资质的中药饮片生产或经营企业，且具有履行供货合</w:t>
      </w:r>
      <w:r>
        <w:rPr>
          <w:rFonts w:hint="eastAsia" w:ascii="仿宋_GB2312" w:hAnsi="仿宋_GB2312" w:eastAsia="仿宋_GB2312" w:cs="仿宋_GB2312"/>
          <w:spacing w:val="-3"/>
          <w:sz w:val="30"/>
          <w:szCs w:val="30"/>
        </w:rPr>
        <w:t>同的能力。乙方须向甲方提供加盖公章的合法、有效、符合规定的药品生产（经</w:t>
      </w:r>
      <w:r>
        <w:rPr>
          <w:rFonts w:hint="eastAsia" w:ascii="仿宋_GB2312" w:hAnsi="仿宋_GB2312" w:eastAsia="仿宋_GB2312" w:cs="仿宋_GB2312"/>
          <w:spacing w:val="11"/>
          <w:sz w:val="30"/>
          <w:szCs w:val="30"/>
        </w:rPr>
        <w:t xml:space="preserve"> </w:t>
      </w:r>
      <w:r>
        <w:rPr>
          <w:rFonts w:hint="eastAsia" w:ascii="仿宋_GB2312" w:hAnsi="仿宋_GB2312" w:eastAsia="仿宋_GB2312" w:cs="仿宋_GB2312"/>
          <w:spacing w:val="-10"/>
          <w:sz w:val="30"/>
          <w:szCs w:val="30"/>
        </w:rPr>
        <w:t>营）</w:t>
      </w:r>
      <w:r>
        <w:rPr>
          <w:rFonts w:hint="eastAsia" w:ascii="仿宋_GB2312" w:hAnsi="仿宋_GB2312" w:eastAsia="仿宋_GB2312" w:cs="仿宋_GB2312"/>
          <w:spacing w:val="-44"/>
          <w:sz w:val="30"/>
          <w:szCs w:val="30"/>
        </w:rPr>
        <w:t xml:space="preserve"> </w:t>
      </w:r>
      <w:r>
        <w:rPr>
          <w:rFonts w:hint="eastAsia" w:ascii="仿宋_GB2312" w:hAnsi="仿宋_GB2312" w:eastAsia="仿宋_GB2312" w:cs="仿宋_GB2312"/>
          <w:spacing w:val="-10"/>
          <w:sz w:val="30"/>
          <w:szCs w:val="30"/>
        </w:rPr>
        <w:t>许可证、营业执照、GMP/GSP 认证证书、《税务登记证》、《组织机构代码</w:t>
      </w:r>
      <w:r>
        <w:rPr>
          <w:rFonts w:hint="eastAsia" w:ascii="仿宋_GB2312" w:hAnsi="仿宋_GB2312" w:eastAsia="仿宋_GB2312" w:cs="仿宋_GB2312"/>
          <w:sz w:val="30"/>
          <w:szCs w:val="30"/>
        </w:rPr>
        <w:t xml:space="preserve"> </w:t>
      </w:r>
      <w:r>
        <w:rPr>
          <w:rFonts w:hint="eastAsia" w:ascii="仿宋_GB2312" w:hAnsi="仿宋_GB2312" w:eastAsia="仿宋_GB2312" w:cs="仿宋_GB2312"/>
          <w:spacing w:val="-6"/>
          <w:sz w:val="30"/>
          <w:szCs w:val="30"/>
        </w:rPr>
        <w:t>证》、印模、随货同行单（票）</w:t>
      </w:r>
      <w:r>
        <w:rPr>
          <w:rFonts w:hint="eastAsia" w:ascii="仿宋_GB2312" w:hAnsi="仿宋_GB2312" w:eastAsia="仿宋_GB2312" w:cs="仿宋_GB2312"/>
          <w:spacing w:val="68"/>
          <w:sz w:val="30"/>
          <w:szCs w:val="30"/>
        </w:rPr>
        <w:t xml:space="preserve"> </w:t>
      </w:r>
      <w:r>
        <w:rPr>
          <w:rFonts w:hint="eastAsia" w:ascii="仿宋_GB2312" w:hAnsi="仿宋_GB2312" w:eastAsia="仿宋_GB2312" w:cs="仿宋_GB2312"/>
          <w:spacing w:val="-6"/>
          <w:sz w:val="30"/>
          <w:szCs w:val="30"/>
        </w:rPr>
        <w:t>样式、银行开</w:t>
      </w:r>
      <w:r>
        <w:rPr>
          <w:rFonts w:hint="eastAsia" w:ascii="仿宋_GB2312" w:hAnsi="仿宋_GB2312" w:eastAsia="仿宋_GB2312" w:cs="仿宋_GB2312"/>
          <w:spacing w:val="-7"/>
          <w:sz w:val="30"/>
          <w:szCs w:val="30"/>
        </w:rPr>
        <w:t>户户名、开户银行及账号、开户证</w:t>
      </w:r>
      <w:r>
        <w:rPr>
          <w:rFonts w:hint="eastAsia" w:ascii="仿宋_GB2312" w:hAnsi="仿宋_GB2312" w:eastAsia="仿宋_GB2312" w:cs="仿宋_GB2312"/>
          <w:sz w:val="30"/>
          <w:szCs w:val="30"/>
        </w:rPr>
        <w:t xml:space="preserve"> </w:t>
      </w:r>
      <w:r>
        <w:rPr>
          <w:rFonts w:hint="eastAsia" w:ascii="仿宋_GB2312" w:hAnsi="仿宋_GB2312" w:eastAsia="仿宋_GB2312" w:cs="仿宋_GB2312"/>
          <w:spacing w:val="-2"/>
          <w:sz w:val="30"/>
          <w:szCs w:val="30"/>
        </w:rPr>
        <w:t>明等企业资质证照的复印件，且对其真实性、有效性负</w:t>
      </w:r>
      <w:r>
        <w:rPr>
          <w:rFonts w:hint="eastAsia" w:ascii="仿宋_GB2312" w:hAnsi="仿宋_GB2312" w:eastAsia="仿宋_GB2312" w:cs="仿宋_GB2312"/>
          <w:spacing w:val="-3"/>
          <w:sz w:val="30"/>
          <w:szCs w:val="30"/>
        </w:rPr>
        <w:t>责。</w:t>
      </w:r>
    </w:p>
    <w:p w14:paraId="03C8340D">
      <w:pPr>
        <w:pStyle w:val="4"/>
        <w:spacing w:before="49" w:line="205" w:lineRule="auto"/>
        <w:ind w:left="48" w:right="120" w:firstLine="556"/>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HYPERLINK "http://www.baidu.com/link?url=sk4nyY6vq-c0FsLacoELAyFbsp85kPJFkNFdS50MylAb8OGmaYInPVR7o33NuQQPkBOiC_SlJcmk4Pf8GpyQma"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pacing w:val="-7"/>
          <w:sz w:val="30"/>
          <w:szCs w:val="30"/>
        </w:rPr>
        <w:t>二、乙方向甲方提供的中药饮片必须在符合《中国药典》2020 版</w:t>
      </w:r>
      <w:r>
        <w:rPr>
          <w:rFonts w:hint="eastAsia" w:ascii="仿宋_GB2312" w:hAnsi="仿宋_GB2312" w:eastAsia="仿宋_GB2312" w:cs="仿宋_GB2312"/>
          <w:spacing w:val="-7"/>
          <w:sz w:val="30"/>
          <w:szCs w:val="30"/>
        </w:rPr>
        <w:fldChar w:fldCharType="end"/>
      </w:r>
      <w:r>
        <w:rPr>
          <w:rFonts w:hint="eastAsia" w:ascii="仿宋_GB2312" w:hAnsi="仿宋_GB2312" w:eastAsia="仿宋_GB2312" w:cs="仿宋_GB2312"/>
          <w:spacing w:val="-7"/>
          <w:sz w:val="30"/>
          <w:szCs w:val="30"/>
        </w:rPr>
        <w:t>或国家其他</w:t>
      </w:r>
      <w:r>
        <w:rPr>
          <w:rFonts w:hint="eastAsia" w:ascii="仿宋_GB2312" w:hAnsi="仿宋_GB2312" w:eastAsia="仿宋_GB2312" w:cs="仿宋_GB2312"/>
          <w:spacing w:val="-3"/>
          <w:sz w:val="30"/>
          <w:szCs w:val="30"/>
        </w:rPr>
        <w:t>质量标准的基础上，</w:t>
      </w:r>
      <w:r>
        <w:rPr>
          <w:rFonts w:hint="eastAsia" w:ascii="仿宋_GB2312" w:hAnsi="仿宋_GB2312" w:eastAsia="仿宋_GB2312" w:cs="仿宋_GB2312"/>
          <w:spacing w:val="-10"/>
          <w:sz w:val="30"/>
          <w:szCs w:val="30"/>
        </w:rPr>
        <w:t xml:space="preserve"> </w:t>
      </w:r>
      <w:r>
        <w:rPr>
          <w:rFonts w:hint="eastAsia" w:ascii="仿宋_GB2312" w:hAnsi="仿宋_GB2312" w:eastAsia="仿宋_GB2312" w:cs="仿宋_GB2312"/>
          <w:spacing w:val="-3"/>
          <w:sz w:val="30"/>
          <w:szCs w:val="30"/>
        </w:rPr>
        <w:t>同时满足合同附件的质量要求（见</w:t>
      </w:r>
      <w:r>
        <w:rPr>
          <w:rFonts w:hint="eastAsia" w:ascii="仿宋_GB2312" w:hAnsi="仿宋_GB2312" w:eastAsia="仿宋_GB2312" w:cs="仿宋_GB2312"/>
          <w:spacing w:val="-81"/>
          <w:sz w:val="30"/>
          <w:szCs w:val="30"/>
        </w:rPr>
        <w:t xml:space="preserve"> </w:t>
      </w:r>
      <w:r>
        <w:rPr>
          <w:rFonts w:hint="eastAsia" w:ascii="仿宋_GB2312" w:hAnsi="仿宋_GB2312" w:eastAsia="仿宋_GB2312" w:cs="仿宋_GB2312"/>
          <w:spacing w:val="1"/>
          <w:sz w:val="30"/>
          <w:szCs w:val="30"/>
          <w:u w:val="single" w:color="auto"/>
        </w:rPr>
        <w:t xml:space="preserve">                                </w:t>
      </w:r>
      <w:r>
        <w:rPr>
          <w:rFonts w:hint="eastAsia" w:ascii="仿宋_GB2312" w:hAnsi="仿宋_GB2312" w:eastAsia="仿宋_GB2312" w:cs="仿宋_GB2312"/>
          <w:spacing w:val="-43"/>
          <w:sz w:val="30"/>
          <w:szCs w:val="30"/>
        </w:rPr>
        <w:t xml:space="preserve"> </w:t>
      </w:r>
      <w:r>
        <w:rPr>
          <w:rFonts w:hint="eastAsia" w:ascii="仿宋_GB2312" w:hAnsi="仿宋_GB2312" w:eastAsia="仿宋_GB2312" w:cs="仿宋_GB2312"/>
          <w:spacing w:val="-3"/>
          <w:sz w:val="30"/>
          <w:szCs w:val="30"/>
        </w:rPr>
        <w:t>合</w:t>
      </w:r>
      <w:r>
        <w:rPr>
          <w:rFonts w:hint="eastAsia" w:ascii="仿宋_GB2312" w:hAnsi="仿宋_GB2312" w:eastAsia="仿宋_GB2312" w:cs="仿宋_GB2312"/>
          <w:spacing w:val="-2"/>
          <w:sz w:val="30"/>
          <w:szCs w:val="30"/>
        </w:rPr>
        <w:t>同附件）相关饮片须提供相应的毒性饮片加工资质或野生动物及其</w:t>
      </w:r>
      <w:r>
        <w:rPr>
          <w:rFonts w:hint="eastAsia" w:ascii="仿宋_GB2312" w:hAnsi="仿宋_GB2312" w:eastAsia="仿宋_GB2312" w:cs="仿宋_GB2312"/>
          <w:spacing w:val="-3"/>
          <w:sz w:val="30"/>
          <w:szCs w:val="30"/>
        </w:rPr>
        <w:t>产品经营利用</w:t>
      </w:r>
      <w:r>
        <w:rPr>
          <w:rFonts w:hint="eastAsia" w:ascii="仿宋_GB2312" w:hAnsi="仿宋_GB2312" w:eastAsia="仿宋_GB2312" w:cs="仿宋_GB2312"/>
          <w:spacing w:val="-7"/>
          <w:sz w:val="30"/>
          <w:szCs w:val="30"/>
        </w:rPr>
        <w:t>许可证资质等或送新疆药检所检测。若甲方分批采购，甲方需制作该批次药品的种类、数量及质量要求的附件清单，经乙方盖章确认后一份交由甲方留存。未见</w:t>
      </w:r>
      <w:r>
        <w:rPr>
          <w:rFonts w:hint="eastAsia" w:ascii="仿宋_GB2312" w:hAnsi="仿宋_GB2312" w:eastAsia="仿宋_GB2312" w:cs="仿宋_GB2312"/>
          <w:spacing w:val="-2"/>
          <w:sz w:val="30"/>
          <w:szCs w:val="30"/>
        </w:rPr>
        <w:t>相关合同附件，如院方对本合同药品质量有特殊要求，建议在合同</w:t>
      </w:r>
      <w:r>
        <w:rPr>
          <w:rFonts w:hint="eastAsia" w:ascii="仿宋_GB2312" w:hAnsi="仿宋_GB2312" w:eastAsia="仿宋_GB2312" w:cs="仿宋_GB2312"/>
          <w:spacing w:val="-3"/>
          <w:sz w:val="30"/>
          <w:szCs w:val="30"/>
        </w:rPr>
        <w:t>附件中载明要</w:t>
      </w:r>
      <w:r>
        <w:rPr>
          <w:rFonts w:hint="eastAsia" w:ascii="仿宋_GB2312" w:hAnsi="仿宋_GB2312" w:eastAsia="仿宋_GB2312" w:cs="仿宋_GB2312"/>
          <w:spacing w:val="-6"/>
          <w:sz w:val="30"/>
          <w:szCs w:val="30"/>
        </w:rPr>
        <w:t>求的内容并经对方盖章确认留存。如果院方分批次购买药品，建</w:t>
      </w:r>
      <w:r>
        <w:rPr>
          <w:rFonts w:hint="eastAsia" w:ascii="仿宋_GB2312" w:hAnsi="仿宋_GB2312" w:eastAsia="仿宋_GB2312" w:cs="仿宋_GB2312"/>
          <w:spacing w:val="-7"/>
          <w:sz w:val="30"/>
          <w:szCs w:val="30"/>
        </w:rPr>
        <w:t>议将每次购买的</w:t>
      </w:r>
      <w:r>
        <w:rPr>
          <w:rFonts w:hint="eastAsia" w:ascii="仿宋_GB2312" w:hAnsi="仿宋_GB2312" w:eastAsia="仿宋_GB2312" w:cs="仿宋_GB2312"/>
          <w:spacing w:val="-3"/>
          <w:sz w:val="30"/>
          <w:szCs w:val="30"/>
        </w:rPr>
        <w:t>物品的质量要求制作附件清单并经对方盖章确认留存。</w:t>
      </w:r>
    </w:p>
    <w:p w14:paraId="0AFE840D">
      <w:pPr>
        <w:pStyle w:val="4"/>
        <w:spacing w:before="38" w:line="203" w:lineRule="auto"/>
        <w:ind w:left="47" w:right="25" w:firstLine="556"/>
        <w:rPr>
          <w:rFonts w:hint="eastAsia" w:ascii="仿宋_GB2312" w:hAnsi="仿宋_GB2312" w:eastAsia="仿宋_GB2312" w:cs="仿宋_GB2312"/>
          <w:sz w:val="30"/>
          <w:szCs w:val="30"/>
        </w:rPr>
      </w:pPr>
      <w:r>
        <w:rPr>
          <w:rFonts w:hint="eastAsia" w:ascii="仿宋_GB2312" w:hAnsi="仿宋_GB2312" w:eastAsia="仿宋_GB2312" w:cs="仿宋_GB2312"/>
          <w:spacing w:val="-7"/>
          <w:sz w:val="30"/>
          <w:szCs w:val="30"/>
        </w:rPr>
        <w:t>三、乙方在首次向甲方供货和乙方的销售业务人员发生变换时，须向甲方提</w:t>
      </w:r>
      <w:r>
        <w:rPr>
          <w:rFonts w:hint="eastAsia" w:ascii="仿宋_GB2312" w:hAnsi="仿宋_GB2312" w:eastAsia="仿宋_GB2312" w:cs="仿宋_GB2312"/>
          <w:spacing w:val="6"/>
          <w:sz w:val="30"/>
          <w:szCs w:val="30"/>
        </w:rPr>
        <w:t>供加盖公章原印章的销售人员身份证复印件及加盖乙方公章和法定代表人印章</w:t>
      </w:r>
      <w:r>
        <w:rPr>
          <w:rFonts w:hint="eastAsia" w:ascii="仿宋_GB2312" w:hAnsi="仿宋_GB2312" w:eastAsia="仿宋_GB2312" w:cs="仿宋_GB2312"/>
          <w:spacing w:val="-7"/>
          <w:sz w:val="30"/>
          <w:szCs w:val="30"/>
        </w:rPr>
        <w:t>（或者签名）的法人授权书，授权书应载明：授权销售品种、地</w:t>
      </w:r>
      <w:r>
        <w:rPr>
          <w:rFonts w:hint="eastAsia" w:ascii="仿宋_GB2312" w:hAnsi="仿宋_GB2312" w:eastAsia="仿宋_GB2312" w:cs="仿宋_GB2312"/>
          <w:spacing w:val="-8"/>
          <w:sz w:val="30"/>
          <w:szCs w:val="30"/>
        </w:rPr>
        <w:t>域、期限、权限、</w:t>
      </w:r>
      <w:r>
        <w:rPr>
          <w:rFonts w:hint="eastAsia" w:ascii="仿宋_GB2312" w:hAnsi="仿宋_GB2312" w:eastAsia="仿宋_GB2312" w:cs="仿宋_GB2312"/>
          <w:sz w:val="30"/>
          <w:szCs w:val="30"/>
        </w:rPr>
        <w:t xml:space="preserve"> </w:t>
      </w:r>
      <w:r>
        <w:rPr>
          <w:rFonts w:hint="eastAsia" w:ascii="仿宋_GB2312" w:hAnsi="仿宋_GB2312" w:eastAsia="仿宋_GB2312" w:cs="仿宋_GB2312"/>
          <w:spacing w:val="-4"/>
          <w:sz w:val="30"/>
          <w:szCs w:val="30"/>
        </w:rPr>
        <w:t>销售人员的身份证号码等内容。</w:t>
      </w:r>
    </w:p>
    <w:p w14:paraId="36B6E5DB">
      <w:pPr>
        <w:pStyle w:val="4"/>
        <w:spacing w:before="40" w:line="203" w:lineRule="auto"/>
        <w:ind w:left="46" w:right="120" w:firstLine="582"/>
        <w:rPr>
          <w:rFonts w:hint="eastAsia" w:ascii="仿宋_GB2312" w:hAnsi="仿宋_GB2312" w:eastAsia="仿宋_GB2312" w:cs="仿宋_GB2312"/>
          <w:sz w:val="30"/>
          <w:szCs w:val="30"/>
        </w:rPr>
      </w:pPr>
      <w:r>
        <w:rPr>
          <w:rFonts w:hint="eastAsia" w:ascii="仿宋_GB2312" w:hAnsi="仿宋_GB2312" w:eastAsia="仿宋_GB2312" w:cs="仿宋_GB2312"/>
          <w:spacing w:val="-9"/>
          <w:sz w:val="30"/>
          <w:szCs w:val="30"/>
        </w:rPr>
        <w:t>四、进口的中药饮片，乙方须提供与所供应</w:t>
      </w:r>
      <w:r>
        <w:rPr>
          <w:rFonts w:hint="eastAsia" w:ascii="仿宋_GB2312" w:hAnsi="仿宋_GB2312" w:eastAsia="仿宋_GB2312" w:cs="仿宋_GB2312"/>
          <w:spacing w:val="-10"/>
          <w:sz w:val="30"/>
          <w:szCs w:val="30"/>
        </w:rPr>
        <w:t>的中药饮片相符的并加盖有供货</w:t>
      </w:r>
      <w:r>
        <w:rPr>
          <w:rFonts w:hint="eastAsia" w:ascii="仿宋_GB2312" w:hAnsi="仿宋_GB2312" w:eastAsia="仿宋_GB2312" w:cs="仿宋_GB2312"/>
          <w:spacing w:val="1"/>
          <w:sz w:val="30"/>
          <w:szCs w:val="30"/>
        </w:rPr>
        <w:t xml:space="preserve"> </w:t>
      </w:r>
      <w:r>
        <w:rPr>
          <w:rFonts w:hint="eastAsia" w:ascii="仿宋_GB2312" w:hAnsi="仿宋_GB2312" w:eastAsia="仿宋_GB2312" w:cs="仿宋_GB2312"/>
          <w:spacing w:val="-3"/>
          <w:sz w:val="30"/>
          <w:szCs w:val="30"/>
        </w:rPr>
        <w:t>单位质量管理机构原印章的《进口药品注册证》、《进口药材批件》、《进口药</w:t>
      </w:r>
      <w:r>
        <w:rPr>
          <w:rFonts w:hint="eastAsia" w:ascii="仿宋_GB2312" w:hAnsi="仿宋_GB2312" w:eastAsia="仿宋_GB2312" w:cs="仿宋_GB2312"/>
          <w:spacing w:val="10"/>
          <w:sz w:val="30"/>
          <w:szCs w:val="30"/>
        </w:rPr>
        <w:t xml:space="preserve"> </w:t>
      </w:r>
      <w:r>
        <w:rPr>
          <w:rFonts w:hint="eastAsia" w:ascii="仿宋_GB2312" w:hAnsi="仿宋_GB2312" w:eastAsia="仿宋_GB2312" w:cs="仿宋_GB2312"/>
          <w:spacing w:val="-3"/>
          <w:sz w:val="30"/>
          <w:szCs w:val="30"/>
        </w:rPr>
        <w:t>品检验报告书》、《药品经营许可证》或《药品生产许可证》、《企业法人营业</w:t>
      </w:r>
      <w:r>
        <w:rPr>
          <w:rFonts w:hint="eastAsia" w:ascii="仿宋_GB2312" w:hAnsi="仿宋_GB2312" w:eastAsia="仿宋_GB2312" w:cs="仿宋_GB2312"/>
          <w:spacing w:val="12"/>
          <w:sz w:val="30"/>
          <w:szCs w:val="30"/>
        </w:rPr>
        <w:t xml:space="preserve"> </w:t>
      </w:r>
      <w:r>
        <w:rPr>
          <w:rFonts w:hint="eastAsia" w:ascii="仿宋_GB2312" w:hAnsi="仿宋_GB2312" w:eastAsia="仿宋_GB2312" w:cs="仿宋_GB2312"/>
          <w:spacing w:val="-3"/>
          <w:sz w:val="30"/>
          <w:szCs w:val="30"/>
        </w:rPr>
        <w:t>执照》、《进口药品报检报告书》、《进口药品通关单》、出厂检验报告书、原</w:t>
      </w:r>
      <w:r>
        <w:rPr>
          <w:rFonts w:hint="eastAsia" w:ascii="仿宋_GB2312" w:hAnsi="仿宋_GB2312" w:eastAsia="仿宋_GB2312" w:cs="仿宋_GB2312"/>
          <w:spacing w:val="-2"/>
          <w:sz w:val="30"/>
          <w:szCs w:val="30"/>
        </w:rPr>
        <w:t>产地证明等复印件，进口中药饮片应有中文标签和中文说明书。</w:t>
      </w:r>
    </w:p>
    <w:p w14:paraId="5821BDE9">
      <w:pPr>
        <w:pStyle w:val="4"/>
        <w:spacing w:before="38" w:line="198" w:lineRule="auto"/>
        <w:ind w:left="53" w:right="121" w:firstLine="547"/>
        <w:rPr>
          <w:rFonts w:hint="eastAsia" w:ascii="仿宋_GB2312" w:hAnsi="仿宋_GB2312" w:eastAsia="仿宋_GB2312" w:cs="仿宋_GB2312"/>
          <w:sz w:val="30"/>
          <w:szCs w:val="30"/>
        </w:rPr>
      </w:pPr>
      <w:r>
        <w:rPr>
          <w:rFonts w:hint="eastAsia" w:ascii="仿宋_GB2312" w:hAnsi="仿宋_GB2312" w:eastAsia="仿宋_GB2312" w:cs="仿宋_GB2312"/>
          <w:spacing w:val="-7"/>
          <w:sz w:val="30"/>
          <w:szCs w:val="30"/>
        </w:rPr>
        <w:t>五、乙方向甲方供应的中药饮片，须随货附有所供同批号中药饮片加盖有供</w:t>
      </w:r>
      <w:r>
        <w:rPr>
          <w:rFonts w:hint="eastAsia" w:ascii="仿宋_GB2312" w:hAnsi="仿宋_GB2312" w:eastAsia="仿宋_GB2312" w:cs="仿宋_GB2312"/>
          <w:spacing w:val="-2"/>
          <w:sz w:val="30"/>
          <w:szCs w:val="30"/>
        </w:rPr>
        <w:t>货单位公章原印章或质量检验管理机构专用章原印章的质量检验报告书。</w:t>
      </w:r>
    </w:p>
    <w:p w14:paraId="2A3CFB15">
      <w:pPr>
        <w:pStyle w:val="4"/>
        <w:spacing w:before="38" w:line="204" w:lineRule="auto"/>
        <w:ind w:left="46" w:right="111" w:firstLine="551"/>
        <w:rPr>
          <w:rFonts w:hint="eastAsia" w:ascii="仿宋_GB2312" w:hAnsi="仿宋_GB2312" w:eastAsia="仿宋_GB2312" w:cs="仿宋_GB2312"/>
          <w:sz w:val="30"/>
          <w:szCs w:val="30"/>
        </w:rPr>
      </w:pPr>
      <w:r>
        <w:rPr>
          <w:rFonts w:hint="eastAsia" w:ascii="仿宋_GB2312" w:hAnsi="仿宋_GB2312" w:eastAsia="仿宋_GB2312" w:cs="仿宋_GB2312"/>
          <w:spacing w:val="-2"/>
          <w:sz w:val="30"/>
          <w:szCs w:val="30"/>
        </w:rPr>
        <w:t>六、乙方向甲方提供的中药饮片的包装、标签、说明书等须符合国家的有关规定，其包装能确保中药饮片质量和运输要求，运输途中须按中药饮片</w:t>
      </w:r>
      <w:r>
        <w:rPr>
          <w:rFonts w:hint="eastAsia" w:ascii="仿宋_GB2312" w:hAnsi="仿宋_GB2312" w:eastAsia="仿宋_GB2312" w:cs="仿宋_GB2312"/>
          <w:spacing w:val="-3"/>
          <w:sz w:val="30"/>
          <w:szCs w:val="30"/>
        </w:rPr>
        <w:t>储存特性</w:t>
      </w:r>
      <w:r>
        <w:rPr>
          <w:rFonts w:hint="eastAsia" w:ascii="仿宋_GB2312" w:hAnsi="仿宋_GB2312" w:eastAsia="仿宋_GB2312" w:cs="仿宋_GB2312"/>
          <w:spacing w:val="-2"/>
          <w:sz w:val="30"/>
          <w:szCs w:val="30"/>
        </w:rPr>
        <w:t>和保管运输要求，中药饮片须印有或贴有标签，且必须注明品名、规格、产地、</w:t>
      </w:r>
      <w:r>
        <w:rPr>
          <w:rFonts w:hint="eastAsia" w:ascii="仿宋_GB2312" w:hAnsi="仿宋_GB2312" w:eastAsia="仿宋_GB2312" w:cs="仿宋_GB2312"/>
          <w:spacing w:val="6"/>
          <w:sz w:val="30"/>
          <w:szCs w:val="30"/>
        </w:rPr>
        <w:t xml:space="preserve"> </w:t>
      </w:r>
      <w:r>
        <w:rPr>
          <w:rFonts w:hint="eastAsia" w:ascii="仿宋_GB2312" w:hAnsi="仿宋_GB2312" w:eastAsia="仿宋_GB2312" w:cs="仿宋_GB2312"/>
          <w:spacing w:val="-8"/>
          <w:sz w:val="30"/>
          <w:szCs w:val="30"/>
        </w:rPr>
        <w:t>生产企业、生产批号、生产日期、有效期等内容，实施批准文号管理的中药</w:t>
      </w:r>
      <w:r>
        <w:rPr>
          <w:rFonts w:hint="eastAsia" w:ascii="仿宋_GB2312" w:hAnsi="仿宋_GB2312" w:eastAsia="仿宋_GB2312" w:cs="仿宋_GB2312"/>
          <w:spacing w:val="-9"/>
          <w:sz w:val="30"/>
          <w:szCs w:val="30"/>
        </w:rPr>
        <w:t>饮片</w:t>
      </w:r>
      <w:r>
        <w:rPr>
          <w:rFonts w:hint="eastAsia" w:ascii="仿宋_GB2312" w:hAnsi="仿宋_GB2312" w:eastAsia="仿宋_GB2312" w:cs="仿宋_GB2312"/>
          <w:spacing w:val="-5"/>
          <w:sz w:val="30"/>
          <w:szCs w:val="30"/>
        </w:rPr>
        <w:t>还必须注明批准文号。</w:t>
      </w:r>
    </w:p>
    <w:p w14:paraId="50D3D094">
      <w:pPr>
        <w:pStyle w:val="4"/>
        <w:spacing w:before="39" w:line="203" w:lineRule="auto"/>
        <w:ind w:left="50" w:right="121" w:firstLine="551"/>
        <w:rPr>
          <w:rFonts w:hint="eastAsia" w:ascii="仿宋_GB2312" w:hAnsi="仿宋_GB2312" w:eastAsia="仿宋_GB2312" w:cs="仿宋_GB2312"/>
          <w:sz w:val="30"/>
          <w:szCs w:val="30"/>
        </w:rPr>
      </w:pPr>
      <w:r>
        <w:rPr>
          <w:rFonts w:hint="eastAsia" w:ascii="仿宋_GB2312" w:hAnsi="仿宋_GB2312" w:eastAsia="仿宋_GB2312" w:cs="仿宋_GB2312"/>
          <w:spacing w:val="-2"/>
          <w:sz w:val="30"/>
          <w:szCs w:val="30"/>
        </w:rPr>
        <w:t>七、乙方销售给甲方的中药饮片，须随货向甲方</w:t>
      </w:r>
      <w:r>
        <w:rPr>
          <w:rFonts w:hint="eastAsia" w:ascii="仿宋_GB2312" w:hAnsi="仿宋_GB2312" w:eastAsia="仿宋_GB2312" w:cs="仿宋_GB2312"/>
          <w:spacing w:val="-3"/>
          <w:sz w:val="30"/>
          <w:szCs w:val="30"/>
        </w:rPr>
        <w:t>提供随货同行单（票</w:t>
      </w:r>
      <w:r>
        <w:rPr>
          <w:rFonts w:hint="eastAsia" w:ascii="仿宋_GB2312" w:hAnsi="仿宋_GB2312" w:eastAsia="仿宋_GB2312" w:cs="仿宋_GB2312"/>
          <w:spacing w:val="-21"/>
          <w:sz w:val="30"/>
          <w:szCs w:val="30"/>
        </w:rPr>
        <w:t>），</w:t>
      </w:r>
      <w:r>
        <w:rPr>
          <w:rFonts w:hint="eastAsia" w:ascii="仿宋_GB2312" w:hAnsi="仿宋_GB2312" w:eastAsia="仿宋_GB2312" w:cs="仿宋_GB2312"/>
          <w:spacing w:val="-3"/>
          <w:sz w:val="30"/>
          <w:szCs w:val="30"/>
        </w:rPr>
        <w:t>内</w:t>
      </w:r>
      <w:r>
        <w:rPr>
          <w:rFonts w:hint="eastAsia" w:ascii="仿宋_GB2312" w:hAnsi="仿宋_GB2312" w:eastAsia="仿宋_GB2312" w:cs="仿宋_GB2312"/>
          <w:spacing w:val="-2"/>
          <w:sz w:val="30"/>
          <w:szCs w:val="30"/>
        </w:rPr>
        <w:t>容包括供货单位、品名、产地、规格、生产厂商、批号、生产</w:t>
      </w:r>
      <w:r>
        <w:rPr>
          <w:rFonts w:hint="eastAsia" w:ascii="仿宋_GB2312" w:hAnsi="仿宋_GB2312" w:eastAsia="仿宋_GB2312" w:cs="仿宋_GB2312"/>
          <w:spacing w:val="-3"/>
          <w:sz w:val="30"/>
          <w:szCs w:val="30"/>
        </w:rPr>
        <w:t>日期、有效期、数</w:t>
      </w:r>
      <w:r>
        <w:rPr>
          <w:rFonts w:hint="eastAsia" w:ascii="仿宋_GB2312" w:hAnsi="仿宋_GB2312" w:eastAsia="仿宋_GB2312" w:cs="仿宋_GB2312"/>
          <w:sz w:val="30"/>
          <w:szCs w:val="30"/>
        </w:rPr>
        <w:t xml:space="preserve"> </w:t>
      </w:r>
      <w:r>
        <w:rPr>
          <w:rFonts w:hint="eastAsia" w:ascii="仿宋_GB2312" w:hAnsi="仿宋_GB2312" w:eastAsia="仿宋_GB2312" w:cs="仿宋_GB2312"/>
          <w:spacing w:val="-9"/>
          <w:sz w:val="30"/>
          <w:szCs w:val="30"/>
        </w:rPr>
        <w:t>量、收货地址、收货单位、发货日期等内容，内容须与实物相符并加盖公</w:t>
      </w:r>
      <w:r>
        <w:rPr>
          <w:rFonts w:hint="eastAsia" w:ascii="仿宋_GB2312" w:hAnsi="仿宋_GB2312" w:eastAsia="仿宋_GB2312" w:cs="仿宋_GB2312"/>
          <w:spacing w:val="-10"/>
          <w:sz w:val="30"/>
          <w:szCs w:val="30"/>
        </w:rPr>
        <w:t>章，否</w:t>
      </w:r>
      <w:r>
        <w:rPr>
          <w:rFonts w:hint="eastAsia" w:ascii="仿宋_GB2312" w:hAnsi="仿宋_GB2312" w:eastAsia="仿宋_GB2312" w:cs="仿宋_GB2312"/>
          <w:spacing w:val="-7"/>
          <w:sz w:val="30"/>
          <w:szCs w:val="30"/>
        </w:rPr>
        <w:t>则甲方有权拒收。</w:t>
      </w:r>
    </w:p>
    <w:p w14:paraId="0442DEFC">
      <w:pPr>
        <w:pStyle w:val="4"/>
        <w:spacing w:before="38" w:line="203" w:lineRule="auto"/>
        <w:ind w:left="48" w:firstLine="546"/>
        <w:rPr>
          <w:rFonts w:hint="eastAsia" w:ascii="仿宋_GB2312" w:hAnsi="仿宋_GB2312" w:eastAsia="仿宋_GB2312" w:cs="仿宋_GB2312"/>
          <w:sz w:val="30"/>
          <w:szCs w:val="30"/>
        </w:rPr>
      </w:pPr>
      <w:r>
        <w:rPr>
          <w:rFonts w:hint="eastAsia" w:ascii="仿宋_GB2312" w:hAnsi="仿宋_GB2312" w:eastAsia="仿宋_GB2312" w:cs="仿宋_GB2312"/>
          <w:spacing w:val="-13"/>
          <w:sz w:val="30"/>
          <w:szCs w:val="30"/>
        </w:rPr>
        <w:t>八、乙方向甲方提供的中药饮片，以交货日计算：有效</w:t>
      </w:r>
      <w:r>
        <w:rPr>
          <w:rFonts w:hint="eastAsia" w:ascii="仿宋_GB2312" w:hAnsi="仿宋_GB2312" w:eastAsia="仿宋_GB2312" w:cs="仿宋_GB2312"/>
          <w:spacing w:val="-14"/>
          <w:sz w:val="30"/>
          <w:szCs w:val="30"/>
        </w:rPr>
        <w:t>期三年以上（含三年）</w:t>
      </w:r>
      <w:r>
        <w:rPr>
          <w:rFonts w:hint="eastAsia" w:ascii="仿宋_GB2312" w:hAnsi="仿宋_GB2312" w:eastAsia="仿宋_GB2312" w:cs="仿宋_GB2312"/>
          <w:spacing w:val="1"/>
          <w:sz w:val="30"/>
          <w:szCs w:val="30"/>
        </w:rPr>
        <w:t xml:space="preserve"> </w:t>
      </w:r>
      <w:r>
        <w:rPr>
          <w:rFonts w:hint="eastAsia" w:ascii="仿宋_GB2312" w:hAnsi="仿宋_GB2312" w:eastAsia="仿宋_GB2312" w:cs="仿宋_GB2312"/>
          <w:spacing w:val="-11"/>
          <w:sz w:val="30"/>
          <w:szCs w:val="30"/>
        </w:rPr>
        <w:t>的中药饮片生产批号应在12 个月内。乙方供货时，原则上是一个品种</w:t>
      </w:r>
      <w:r>
        <w:rPr>
          <w:rFonts w:hint="eastAsia" w:ascii="仿宋_GB2312" w:hAnsi="仿宋_GB2312" w:eastAsia="仿宋_GB2312" w:cs="仿宋_GB2312"/>
          <w:spacing w:val="18"/>
          <w:sz w:val="30"/>
          <w:szCs w:val="30"/>
        </w:rPr>
        <w:t xml:space="preserve"> </w:t>
      </w:r>
      <w:r>
        <w:rPr>
          <w:rFonts w:hint="eastAsia" w:ascii="仿宋_GB2312" w:hAnsi="仿宋_GB2312" w:eastAsia="仿宋_GB2312" w:cs="仿宋_GB2312"/>
          <w:spacing w:val="-11"/>
          <w:sz w:val="30"/>
          <w:szCs w:val="30"/>
        </w:rPr>
        <w:t>10 件内一</w:t>
      </w:r>
      <w:r>
        <w:rPr>
          <w:rFonts w:hint="eastAsia" w:ascii="仿宋_GB2312" w:hAnsi="仿宋_GB2312" w:eastAsia="仿宋_GB2312" w:cs="仿宋_GB2312"/>
          <w:spacing w:val="-9"/>
          <w:sz w:val="30"/>
          <w:szCs w:val="30"/>
        </w:rPr>
        <w:t>个批号，20 件以内不超过二个批号。整件药品应有合格证，合格证应加盖检验员</w:t>
      </w:r>
      <w:r>
        <w:rPr>
          <w:rFonts w:hint="eastAsia" w:ascii="仿宋_GB2312" w:hAnsi="仿宋_GB2312" w:eastAsia="仿宋_GB2312" w:cs="仿宋_GB2312"/>
          <w:spacing w:val="-7"/>
          <w:sz w:val="30"/>
          <w:szCs w:val="30"/>
        </w:rPr>
        <w:t>印章、质检印章。</w:t>
      </w:r>
    </w:p>
    <w:p w14:paraId="6EFFBED2">
      <w:pPr>
        <w:pStyle w:val="4"/>
        <w:spacing w:before="41" w:line="201" w:lineRule="auto"/>
        <w:ind w:left="46" w:right="26" w:firstLine="559"/>
        <w:rPr>
          <w:rFonts w:hint="eastAsia" w:ascii="仿宋_GB2312" w:hAnsi="仿宋_GB2312" w:eastAsia="仿宋_GB2312" w:cs="仿宋_GB2312"/>
          <w:sz w:val="30"/>
          <w:szCs w:val="30"/>
        </w:rPr>
      </w:pPr>
      <w:r>
        <w:rPr>
          <w:rFonts w:hint="eastAsia" w:ascii="仿宋_GB2312" w:hAnsi="仿宋_GB2312" w:eastAsia="仿宋_GB2312" w:cs="仿宋_GB2312"/>
          <w:spacing w:val="-10"/>
          <w:sz w:val="30"/>
          <w:szCs w:val="30"/>
        </w:rPr>
        <w:t>九、乙方须按照国家规定及时、据实开据合法税票， 税票应列明药品的品名、</w:t>
      </w:r>
      <w:r>
        <w:rPr>
          <w:rFonts w:hint="eastAsia" w:ascii="仿宋_GB2312" w:hAnsi="仿宋_GB2312" w:eastAsia="仿宋_GB2312" w:cs="仿宋_GB2312"/>
          <w:spacing w:val="9"/>
          <w:sz w:val="30"/>
          <w:szCs w:val="30"/>
        </w:rPr>
        <w:t xml:space="preserve"> </w:t>
      </w:r>
      <w:r>
        <w:rPr>
          <w:rFonts w:hint="eastAsia" w:ascii="仿宋_GB2312" w:hAnsi="仿宋_GB2312" w:eastAsia="仿宋_GB2312" w:cs="仿宋_GB2312"/>
          <w:spacing w:val="-2"/>
          <w:sz w:val="30"/>
          <w:szCs w:val="30"/>
        </w:rPr>
        <w:t>规格、产地、单位、数量、单价、金额等。甲方付款前乙方应先向甲方</w:t>
      </w:r>
      <w:r>
        <w:rPr>
          <w:rFonts w:hint="eastAsia" w:ascii="仿宋_GB2312" w:hAnsi="仿宋_GB2312" w:eastAsia="仿宋_GB2312" w:cs="仿宋_GB2312"/>
          <w:spacing w:val="-3"/>
          <w:sz w:val="30"/>
          <w:szCs w:val="30"/>
        </w:rPr>
        <w:t>提供相应</w:t>
      </w:r>
      <w:r>
        <w:rPr>
          <w:rFonts w:hint="eastAsia" w:ascii="仿宋_GB2312" w:hAnsi="仿宋_GB2312" w:eastAsia="仿宋_GB2312" w:cs="仿宋_GB2312"/>
          <w:spacing w:val="-4"/>
          <w:sz w:val="30"/>
          <w:szCs w:val="30"/>
        </w:rPr>
        <w:t>的税务发票，否则甲方有权决绝付款。</w:t>
      </w:r>
    </w:p>
    <w:p w14:paraId="260BDB1B">
      <w:pPr>
        <w:pStyle w:val="4"/>
        <w:spacing w:before="38" w:line="203" w:lineRule="auto"/>
        <w:ind w:left="49" w:right="121" w:firstLine="554"/>
        <w:rPr>
          <w:rFonts w:hint="eastAsia" w:ascii="仿宋_GB2312" w:hAnsi="仿宋_GB2312" w:eastAsia="仿宋_GB2312" w:cs="仿宋_GB2312"/>
          <w:sz w:val="30"/>
          <w:szCs w:val="30"/>
        </w:rPr>
      </w:pPr>
      <w:r>
        <w:rPr>
          <w:rFonts w:hint="eastAsia" w:ascii="仿宋_GB2312" w:hAnsi="仿宋_GB2312" w:eastAsia="仿宋_GB2312" w:cs="仿宋_GB2312"/>
          <w:spacing w:val="-3"/>
          <w:sz w:val="30"/>
          <w:szCs w:val="30"/>
        </w:rPr>
        <w:t>十、中药饮片运输的质量保证及责任：</w:t>
      </w:r>
      <w:r>
        <w:rPr>
          <w:rFonts w:hint="eastAsia" w:ascii="仿宋_GB2312" w:hAnsi="仿宋_GB2312" w:eastAsia="仿宋_GB2312" w:cs="仿宋_GB2312"/>
          <w:spacing w:val="-55"/>
          <w:sz w:val="30"/>
          <w:szCs w:val="30"/>
        </w:rPr>
        <w:t xml:space="preserve"> </w:t>
      </w:r>
      <w:r>
        <w:rPr>
          <w:rFonts w:hint="eastAsia" w:ascii="仿宋_GB2312" w:hAnsi="仿宋_GB2312" w:eastAsia="仿宋_GB2312" w:cs="仿宋_GB2312"/>
          <w:spacing w:val="-3"/>
          <w:sz w:val="30"/>
          <w:szCs w:val="30"/>
        </w:rPr>
        <w:t>乙方应按包装的要求采用密闭运输工</w:t>
      </w:r>
      <w:r>
        <w:rPr>
          <w:rFonts w:hint="eastAsia" w:ascii="仿宋_GB2312" w:hAnsi="仿宋_GB2312" w:eastAsia="仿宋_GB2312" w:cs="仿宋_GB2312"/>
          <w:spacing w:val="-7"/>
          <w:sz w:val="30"/>
          <w:szCs w:val="30"/>
        </w:rPr>
        <w:t>具运输，针对天气、道路情况及路程采取适当有效的措施，保证中药饮片在途运</w:t>
      </w:r>
      <w:r>
        <w:rPr>
          <w:rFonts w:hint="eastAsia" w:ascii="仿宋_GB2312" w:hAnsi="仿宋_GB2312" w:eastAsia="仿宋_GB2312" w:cs="仿宋_GB2312"/>
          <w:spacing w:val="16"/>
          <w:sz w:val="30"/>
          <w:szCs w:val="30"/>
        </w:rPr>
        <w:t xml:space="preserve"> </w:t>
      </w:r>
      <w:r>
        <w:rPr>
          <w:rFonts w:hint="eastAsia" w:ascii="仿宋_GB2312" w:hAnsi="仿宋_GB2312" w:eastAsia="仿宋_GB2312" w:cs="仿宋_GB2312"/>
          <w:spacing w:val="-2"/>
          <w:sz w:val="30"/>
          <w:szCs w:val="30"/>
        </w:rPr>
        <w:t>输的质量和安全。中药饮片因仓储不当或在运输途中所造成的一</w:t>
      </w:r>
      <w:r>
        <w:rPr>
          <w:rFonts w:hint="eastAsia" w:ascii="仿宋_GB2312" w:hAnsi="仿宋_GB2312" w:eastAsia="仿宋_GB2312" w:cs="仿宋_GB2312"/>
          <w:spacing w:val="-3"/>
          <w:sz w:val="30"/>
          <w:szCs w:val="30"/>
        </w:rPr>
        <w:t>切损失或损坏，</w:t>
      </w:r>
      <w:r>
        <w:rPr>
          <w:rFonts w:hint="eastAsia" w:ascii="仿宋_GB2312" w:hAnsi="仿宋_GB2312" w:eastAsia="仿宋_GB2312" w:cs="仿宋_GB2312"/>
          <w:spacing w:val="-2"/>
          <w:sz w:val="30"/>
          <w:szCs w:val="30"/>
        </w:rPr>
        <w:t>全部由乙方负责，乙方须将中药饮片送达甲方指定的收货地点。</w:t>
      </w:r>
    </w:p>
    <w:p w14:paraId="30741FDB">
      <w:pPr>
        <w:pStyle w:val="4"/>
        <w:spacing w:before="41" w:line="188" w:lineRule="auto"/>
        <w:ind w:left="604"/>
        <w:rPr>
          <w:rFonts w:hint="eastAsia" w:ascii="仿宋_GB2312" w:hAnsi="仿宋_GB2312" w:eastAsia="仿宋_GB2312" w:cs="仿宋_GB2312"/>
          <w:sz w:val="30"/>
          <w:szCs w:val="30"/>
        </w:rPr>
      </w:pPr>
      <w:r>
        <w:rPr>
          <w:rFonts w:hint="eastAsia" w:ascii="仿宋_GB2312" w:hAnsi="仿宋_GB2312" w:eastAsia="仿宋_GB2312" w:cs="仿宋_GB2312"/>
          <w:spacing w:val="-7"/>
          <w:sz w:val="30"/>
          <w:szCs w:val="30"/>
        </w:rPr>
        <w:t>十一、甲方责任</w:t>
      </w:r>
    </w:p>
    <w:p w14:paraId="0270B01E">
      <w:pPr>
        <w:pStyle w:val="4"/>
        <w:spacing w:before="39" w:line="198" w:lineRule="auto"/>
        <w:ind w:left="58" w:right="166" w:firstLine="549"/>
        <w:rPr>
          <w:rFonts w:hint="eastAsia" w:ascii="仿宋_GB2312" w:hAnsi="仿宋_GB2312" w:eastAsia="仿宋_GB2312" w:cs="仿宋_GB2312"/>
          <w:sz w:val="30"/>
          <w:szCs w:val="30"/>
        </w:rPr>
      </w:pPr>
      <w:r>
        <w:rPr>
          <w:rFonts w:hint="eastAsia" w:ascii="仿宋_GB2312" w:hAnsi="仿宋_GB2312" w:eastAsia="仿宋_GB2312" w:cs="仿宋_GB2312"/>
          <w:spacing w:val="-1"/>
          <w:sz w:val="30"/>
          <w:szCs w:val="30"/>
        </w:rPr>
        <w:t>1、甲方向乙方购进中药饮片时，</w:t>
      </w:r>
      <w:r>
        <w:rPr>
          <w:rFonts w:hint="eastAsia" w:ascii="仿宋_GB2312" w:hAnsi="仿宋_GB2312" w:eastAsia="仿宋_GB2312" w:cs="仿宋_GB2312"/>
          <w:spacing w:val="-55"/>
          <w:sz w:val="30"/>
          <w:szCs w:val="30"/>
        </w:rPr>
        <w:t xml:space="preserve"> </w:t>
      </w:r>
      <w:r>
        <w:rPr>
          <w:rFonts w:hint="eastAsia" w:ascii="仿宋_GB2312" w:hAnsi="仿宋_GB2312" w:eastAsia="仿宋_GB2312" w:cs="仿宋_GB2312"/>
          <w:spacing w:val="-1"/>
          <w:sz w:val="30"/>
          <w:szCs w:val="30"/>
        </w:rPr>
        <w:t>应向乙方提供合法、有效的企业资质证书</w:t>
      </w:r>
      <w:r>
        <w:rPr>
          <w:rFonts w:hint="eastAsia" w:ascii="仿宋_GB2312" w:hAnsi="仿宋_GB2312" w:eastAsia="仿宋_GB2312" w:cs="仿宋_GB2312"/>
          <w:sz w:val="30"/>
          <w:szCs w:val="30"/>
        </w:rPr>
        <w:t xml:space="preserve"> </w:t>
      </w:r>
      <w:r>
        <w:rPr>
          <w:rFonts w:hint="eastAsia" w:ascii="仿宋_GB2312" w:hAnsi="仿宋_GB2312" w:eastAsia="仿宋_GB2312" w:cs="仿宋_GB2312"/>
          <w:spacing w:val="-3"/>
          <w:sz w:val="30"/>
          <w:szCs w:val="30"/>
        </w:rPr>
        <w:t>包括《药品经营许可证》、营业执照副本等加盖印章的复印件。</w:t>
      </w:r>
    </w:p>
    <w:p w14:paraId="7882D6FB">
      <w:pPr>
        <w:pStyle w:val="4"/>
        <w:spacing w:before="39" w:line="204" w:lineRule="auto"/>
        <w:ind w:left="46" w:right="121" w:firstLine="544"/>
        <w:rPr>
          <w:rFonts w:hint="eastAsia" w:ascii="仿宋_GB2312" w:hAnsi="仿宋_GB2312" w:eastAsia="仿宋_GB2312" w:cs="仿宋_GB2312"/>
          <w:sz w:val="30"/>
          <w:szCs w:val="30"/>
        </w:rPr>
      </w:pPr>
      <w:r>
        <w:rPr>
          <w:rFonts w:hint="eastAsia" w:ascii="仿宋_GB2312" w:hAnsi="仿宋_GB2312" w:eastAsia="仿宋_GB2312" w:cs="仿宋_GB2312"/>
          <w:spacing w:val="-4"/>
          <w:sz w:val="30"/>
          <w:szCs w:val="30"/>
        </w:rPr>
        <w:t>2、乙方中药饮片运输达到甲方后，甲方应在3日内及时验收。甲方在药品</w:t>
      </w:r>
      <w:r>
        <w:rPr>
          <w:rFonts w:hint="eastAsia" w:ascii="仿宋_GB2312" w:hAnsi="仿宋_GB2312" w:eastAsia="仿宋_GB2312" w:cs="仿宋_GB2312"/>
          <w:sz w:val="30"/>
          <w:szCs w:val="30"/>
        </w:rPr>
        <w:t xml:space="preserve"> </w:t>
      </w:r>
      <w:r>
        <w:rPr>
          <w:rFonts w:hint="eastAsia" w:ascii="仿宋_GB2312" w:hAnsi="仿宋_GB2312" w:eastAsia="仿宋_GB2312" w:cs="仿宋_GB2312"/>
          <w:spacing w:val="-8"/>
          <w:sz w:val="30"/>
          <w:szCs w:val="30"/>
        </w:rPr>
        <w:t>验收、经营或使用中药饮片时发现质量问题，应及时通知乙方，并提供详细、确</w:t>
      </w:r>
      <w:r>
        <w:rPr>
          <w:rFonts w:hint="eastAsia" w:ascii="仿宋_GB2312" w:hAnsi="仿宋_GB2312" w:eastAsia="仿宋_GB2312" w:cs="仿宋_GB2312"/>
          <w:spacing w:val="-2"/>
          <w:sz w:val="30"/>
          <w:szCs w:val="30"/>
        </w:rPr>
        <w:t>定的质量信息，配合乙方做好调查取证和善后处理工作，若乙方药品存</w:t>
      </w:r>
      <w:r>
        <w:rPr>
          <w:rFonts w:hint="eastAsia" w:ascii="仿宋_GB2312" w:hAnsi="仿宋_GB2312" w:eastAsia="仿宋_GB2312" w:cs="仿宋_GB2312"/>
          <w:spacing w:val="-3"/>
          <w:sz w:val="30"/>
          <w:szCs w:val="30"/>
        </w:rPr>
        <w:t>在质量问</w:t>
      </w:r>
      <w:r>
        <w:rPr>
          <w:rFonts w:hint="eastAsia" w:ascii="仿宋_GB2312" w:hAnsi="仿宋_GB2312" w:eastAsia="仿宋_GB2312" w:cs="仿宋_GB2312"/>
          <w:spacing w:val="-2"/>
          <w:sz w:val="30"/>
          <w:szCs w:val="30"/>
        </w:rPr>
        <w:t>题，乙方应在接到甲方药品质量异议之日起</w:t>
      </w:r>
      <w:r>
        <w:rPr>
          <w:rFonts w:hint="eastAsia" w:ascii="仿宋_GB2312" w:hAnsi="仿宋_GB2312" w:eastAsia="仿宋_GB2312" w:cs="仿宋_GB2312"/>
          <w:spacing w:val="-2"/>
          <w:sz w:val="30"/>
          <w:szCs w:val="30"/>
          <w:lang w:val="en-US" w:eastAsia="zh-CN"/>
        </w:rPr>
        <w:t>三</w:t>
      </w:r>
      <w:r>
        <w:rPr>
          <w:rFonts w:hint="eastAsia" w:ascii="仿宋_GB2312" w:hAnsi="仿宋_GB2312" w:eastAsia="仿宋_GB2312" w:cs="仿宋_GB2312"/>
          <w:spacing w:val="-2"/>
          <w:sz w:val="30"/>
          <w:szCs w:val="30"/>
        </w:rPr>
        <w:t>日内重新为甲方提供符合</w:t>
      </w:r>
      <w:r>
        <w:rPr>
          <w:rFonts w:hint="eastAsia" w:ascii="仿宋_GB2312" w:hAnsi="仿宋_GB2312" w:eastAsia="仿宋_GB2312" w:cs="仿宋_GB2312"/>
          <w:spacing w:val="-3"/>
          <w:sz w:val="30"/>
          <w:szCs w:val="30"/>
        </w:rPr>
        <w:t>质量要求</w:t>
      </w:r>
      <w:r>
        <w:rPr>
          <w:rFonts w:hint="eastAsia" w:ascii="仿宋_GB2312" w:hAnsi="仿宋_GB2312" w:eastAsia="仿宋_GB2312" w:cs="仿宋_GB2312"/>
          <w:sz w:val="30"/>
          <w:szCs w:val="30"/>
        </w:rPr>
        <w:t xml:space="preserve"> </w:t>
      </w:r>
      <w:r>
        <w:rPr>
          <w:rFonts w:hint="eastAsia" w:ascii="仿宋_GB2312" w:hAnsi="仿宋_GB2312" w:eastAsia="仿宋_GB2312" w:cs="仿宋_GB2312"/>
          <w:spacing w:val="-8"/>
          <w:sz w:val="30"/>
          <w:szCs w:val="30"/>
        </w:rPr>
        <w:t>的中药饮片。</w:t>
      </w:r>
    </w:p>
    <w:p w14:paraId="104BD578">
      <w:pPr>
        <w:pStyle w:val="4"/>
        <w:spacing w:before="37" w:line="198" w:lineRule="auto"/>
        <w:ind w:left="47" w:right="168" w:firstLine="545"/>
        <w:rPr>
          <w:rFonts w:hint="eastAsia" w:ascii="仿宋_GB2312" w:hAnsi="仿宋_GB2312" w:eastAsia="仿宋_GB2312" w:cs="仿宋_GB2312"/>
          <w:sz w:val="30"/>
          <w:szCs w:val="30"/>
        </w:rPr>
      </w:pPr>
      <w:r>
        <w:rPr>
          <w:rFonts w:hint="eastAsia" w:ascii="仿宋_GB2312" w:hAnsi="仿宋_GB2312" w:eastAsia="仿宋_GB2312" w:cs="仿宋_GB2312"/>
          <w:spacing w:val="-1"/>
          <w:sz w:val="30"/>
          <w:szCs w:val="30"/>
        </w:rPr>
        <w:t>3、甲方在中药饮片验收合格并双方互签验收合格的相关文书后，</w:t>
      </w:r>
      <w:r>
        <w:rPr>
          <w:rFonts w:hint="eastAsia" w:ascii="仿宋_GB2312" w:hAnsi="仿宋_GB2312" w:eastAsia="仿宋_GB2312" w:cs="仿宋_GB2312"/>
          <w:spacing w:val="-42"/>
          <w:sz w:val="30"/>
          <w:szCs w:val="30"/>
        </w:rPr>
        <w:t xml:space="preserve"> </w:t>
      </w:r>
      <w:r>
        <w:rPr>
          <w:rFonts w:hint="eastAsia" w:ascii="仿宋_GB2312" w:hAnsi="仿宋_GB2312" w:eastAsia="仿宋_GB2312" w:cs="仿宋_GB2312"/>
          <w:spacing w:val="-1"/>
          <w:sz w:val="30"/>
          <w:szCs w:val="30"/>
        </w:rPr>
        <w:t>应按合同</w:t>
      </w:r>
      <w:r>
        <w:rPr>
          <w:rFonts w:hint="eastAsia" w:ascii="仿宋_GB2312" w:hAnsi="仿宋_GB2312" w:eastAsia="仿宋_GB2312" w:cs="仿宋_GB2312"/>
          <w:spacing w:val="-7"/>
          <w:sz w:val="30"/>
          <w:szCs w:val="30"/>
        </w:rPr>
        <w:t>期限付给货款。</w:t>
      </w:r>
    </w:p>
    <w:p w14:paraId="5858DB7C">
      <w:pPr>
        <w:pStyle w:val="4"/>
        <w:spacing w:before="347" w:line="188" w:lineRule="auto"/>
        <w:ind w:left="604"/>
        <w:rPr>
          <w:rFonts w:hint="eastAsia" w:ascii="仿宋_GB2312" w:hAnsi="仿宋_GB2312" w:eastAsia="仿宋_GB2312" w:cs="仿宋_GB2312"/>
          <w:sz w:val="30"/>
          <w:szCs w:val="30"/>
        </w:rPr>
      </w:pPr>
      <w:r>
        <w:rPr>
          <w:rFonts w:hint="eastAsia" w:ascii="仿宋_GB2312" w:hAnsi="仿宋_GB2312" w:eastAsia="仿宋_GB2312" w:cs="仿宋_GB2312"/>
          <w:spacing w:val="-4"/>
          <w:sz w:val="30"/>
          <w:szCs w:val="30"/>
        </w:rPr>
        <w:t>十二、乙方责任</w:t>
      </w:r>
    </w:p>
    <w:p w14:paraId="040A2444">
      <w:pPr>
        <w:pStyle w:val="4"/>
        <w:spacing w:before="37" w:line="203" w:lineRule="auto"/>
        <w:ind w:left="46" w:right="120" w:firstLine="561"/>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1、乙方承诺对所提供的中药饮片承担全部质量责任，凡属产品质量问题，</w:t>
      </w:r>
      <w:r>
        <w:rPr>
          <w:rFonts w:hint="eastAsia" w:ascii="仿宋_GB2312" w:hAnsi="仿宋_GB2312" w:eastAsia="仿宋_GB2312" w:cs="仿宋_GB2312"/>
          <w:spacing w:val="-6"/>
          <w:sz w:val="30"/>
          <w:szCs w:val="30"/>
        </w:rPr>
        <w:t>甲方有权向乙方退货。如双方对中药饮片质</w:t>
      </w:r>
      <w:r>
        <w:rPr>
          <w:rFonts w:hint="eastAsia" w:ascii="仿宋_GB2312" w:hAnsi="仿宋_GB2312" w:eastAsia="仿宋_GB2312" w:cs="仿宋_GB2312"/>
          <w:spacing w:val="-7"/>
          <w:sz w:val="30"/>
          <w:szCs w:val="30"/>
        </w:rPr>
        <w:t>量产生争议，以甲方所在地的法定检</w:t>
      </w:r>
      <w:r>
        <w:rPr>
          <w:rFonts w:hint="eastAsia" w:ascii="仿宋_GB2312" w:hAnsi="仿宋_GB2312" w:eastAsia="仿宋_GB2312" w:cs="仿宋_GB2312"/>
          <w:spacing w:val="-2"/>
          <w:sz w:val="30"/>
          <w:szCs w:val="30"/>
        </w:rPr>
        <w:t>验部门的检验报告为准，乙方承担一切费用。甲方的收货行为不代表对</w:t>
      </w:r>
      <w:r>
        <w:rPr>
          <w:rFonts w:hint="eastAsia" w:ascii="仿宋_GB2312" w:hAnsi="仿宋_GB2312" w:eastAsia="仿宋_GB2312" w:cs="仿宋_GB2312"/>
          <w:spacing w:val="-3"/>
          <w:sz w:val="30"/>
          <w:szCs w:val="30"/>
        </w:rPr>
        <w:t>乙方所供</w:t>
      </w:r>
      <w:r>
        <w:rPr>
          <w:rFonts w:hint="eastAsia" w:ascii="仿宋_GB2312" w:hAnsi="仿宋_GB2312" w:eastAsia="仿宋_GB2312" w:cs="仿宋_GB2312"/>
          <w:spacing w:val="-2"/>
          <w:sz w:val="30"/>
          <w:szCs w:val="30"/>
        </w:rPr>
        <w:t>中药饮片最终质量的认可，乙方仍承担中药饮片在有效期内的质量担保责任。</w:t>
      </w:r>
    </w:p>
    <w:p w14:paraId="625A63D2">
      <w:pPr>
        <w:pStyle w:val="4"/>
        <w:spacing w:before="40" w:line="201" w:lineRule="auto"/>
        <w:ind w:left="47" w:right="121" w:firstLine="543"/>
        <w:rPr>
          <w:rFonts w:hint="eastAsia" w:ascii="仿宋_GB2312" w:hAnsi="仿宋_GB2312" w:eastAsia="仿宋_GB2312" w:cs="仿宋_GB2312"/>
          <w:sz w:val="30"/>
          <w:szCs w:val="30"/>
        </w:rPr>
      </w:pPr>
      <w:r>
        <w:rPr>
          <w:rFonts w:hint="eastAsia" w:ascii="仿宋_GB2312" w:hAnsi="仿宋_GB2312" w:eastAsia="仿宋_GB2312" w:cs="仿宋_GB2312"/>
          <w:spacing w:val="1"/>
          <w:sz w:val="30"/>
          <w:szCs w:val="30"/>
        </w:rPr>
        <w:t>2、乙方承诺提供的中药饮片因质量问题（包括包装质量）</w:t>
      </w:r>
      <w:r>
        <w:rPr>
          <w:rFonts w:hint="eastAsia" w:ascii="仿宋_GB2312" w:hAnsi="仿宋_GB2312" w:eastAsia="仿宋_GB2312" w:cs="仿宋_GB2312"/>
          <w:spacing w:val="-57"/>
          <w:sz w:val="30"/>
          <w:szCs w:val="30"/>
        </w:rPr>
        <w:t xml:space="preserve"> </w:t>
      </w:r>
      <w:r>
        <w:rPr>
          <w:rFonts w:hint="eastAsia" w:ascii="仿宋_GB2312" w:hAnsi="仿宋_GB2312" w:eastAsia="仿宋_GB2312" w:cs="仿宋_GB2312"/>
          <w:spacing w:val="1"/>
          <w:sz w:val="30"/>
          <w:szCs w:val="30"/>
        </w:rPr>
        <w:t>所产生的一</w:t>
      </w:r>
      <w:r>
        <w:rPr>
          <w:rFonts w:hint="eastAsia" w:ascii="仿宋_GB2312" w:hAnsi="仿宋_GB2312" w:eastAsia="仿宋_GB2312" w:cs="仿宋_GB2312"/>
          <w:sz w:val="30"/>
          <w:szCs w:val="30"/>
        </w:rPr>
        <w:t>切不</w:t>
      </w:r>
      <w:r>
        <w:rPr>
          <w:rFonts w:hint="eastAsia" w:ascii="仿宋_GB2312" w:hAnsi="仿宋_GB2312" w:eastAsia="仿宋_GB2312" w:cs="仿宋_GB2312"/>
          <w:spacing w:val="1"/>
          <w:sz w:val="30"/>
          <w:szCs w:val="30"/>
        </w:rPr>
        <w:t>良后果以及造成甲方的损失，均由乙方承担全部责任并无条件赔偿一切损失，</w:t>
      </w:r>
      <w:r>
        <w:rPr>
          <w:rFonts w:hint="eastAsia" w:ascii="仿宋_GB2312" w:hAnsi="仿宋_GB2312" w:eastAsia="仿宋_GB2312" w:cs="仿宋_GB2312"/>
          <w:spacing w:val="-3"/>
          <w:sz w:val="30"/>
          <w:szCs w:val="30"/>
        </w:rPr>
        <w:t>损失金额由甲方确定，乙方无条件执行。</w:t>
      </w:r>
    </w:p>
    <w:p w14:paraId="3E000433">
      <w:pPr>
        <w:pStyle w:val="4"/>
        <w:spacing w:before="39" w:line="198" w:lineRule="auto"/>
        <w:ind w:left="84" w:right="159" w:firstLine="508"/>
        <w:rPr>
          <w:rFonts w:hint="eastAsia" w:ascii="仿宋_GB2312" w:hAnsi="仿宋_GB2312" w:eastAsia="仿宋_GB2312" w:cs="仿宋_GB2312"/>
          <w:sz w:val="30"/>
          <w:szCs w:val="30"/>
        </w:rPr>
      </w:pPr>
      <w:r>
        <w:rPr>
          <w:rFonts w:hint="eastAsia" w:ascii="仿宋_GB2312" w:hAnsi="仿宋_GB2312" w:eastAsia="仿宋_GB2312" w:cs="仿宋_GB2312"/>
          <w:spacing w:val="-2"/>
          <w:sz w:val="30"/>
          <w:szCs w:val="30"/>
        </w:rPr>
        <w:t>3、乙方承诺在接到甲方查询时，</w:t>
      </w:r>
      <w:r>
        <w:rPr>
          <w:rFonts w:hint="eastAsia" w:ascii="仿宋_GB2312" w:hAnsi="仿宋_GB2312" w:eastAsia="仿宋_GB2312" w:cs="仿宋_GB2312"/>
          <w:spacing w:val="-30"/>
          <w:sz w:val="30"/>
          <w:szCs w:val="30"/>
        </w:rPr>
        <w:t xml:space="preserve"> </w:t>
      </w:r>
      <w:r>
        <w:rPr>
          <w:rFonts w:hint="eastAsia" w:ascii="仿宋_GB2312" w:hAnsi="仿宋_GB2312" w:eastAsia="仿宋_GB2312" w:cs="仿宋_GB2312"/>
          <w:spacing w:val="-2"/>
          <w:sz w:val="30"/>
          <w:szCs w:val="30"/>
        </w:rPr>
        <w:t>以甲方函（电话）</w:t>
      </w:r>
      <w:r>
        <w:rPr>
          <w:rFonts w:hint="eastAsia" w:ascii="仿宋_GB2312" w:hAnsi="仿宋_GB2312" w:eastAsia="仿宋_GB2312" w:cs="仿宋_GB2312"/>
          <w:spacing w:val="-49"/>
          <w:sz w:val="30"/>
          <w:szCs w:val="30"/>
        </w:rPr>
        <w:t xml:space="preserve"> </w:t>
      </w:r>
      <w:r>
        <w:rPr>
          <w:rFonts w:hint="eastAsia" w:ascii="仿宋_GB2312" w:hAnsi="仿宋_GB2312" w:eastAsia="仿宋_GB2312" w:cs="仿宋_GB2312"/>
          <w:spacing w:val="-2"/>
          <w:sz w:val="30"/>
          <w:szCs w:val="30"/>
        </w:rPr>
        <w:t>到达之日起二</w:t>
      </w:r>
      <w:r>
        <w:rPr>
          <w:rFonts w:hint="eastAsia" w:ascii="仿宋_GB2312" w:hAnsi="仿宋_GB2312" w:eastAsia="仿宋_GB2312" w:cs="仿宋_GB2312"/>
          <w:spacing w:val="-3"/>
          <w:sz w:val="30"/>
          <w:szCs w:val="30"/>
        </w:rPr>
        <w:t>天内须向</w:t>
      </w:r>
      <w:r>
        <w:rPr>
          <w:rFonts w:hint="eastAsia" w:ascii="仿宋_GB2312" w:hAnsi="仿宋_GB2312" w:eastAsia="仿宋_GB2312" w:cs="仿宋_GB2312"/>
          <w:spacing w:val="-4"/>
          <w:sz w:val="30"/>
          <w:szCs w:val="30"/>
        </w:rPr>
        <w:t>甲方作出明确答复，逾期造成的后果均由乙方承担全部责任。</w:t>
      </w:r>
    </w:p>
    <w:p w14:paraId="55DCEA93">
      <w:pPr>
        <w:pStyle w:val="4"/>
        <w:spacing w:before="39" w:line="198" w:lineRule="auto"/>
        <w:ind w:left="48" w:right="164" w:firstLine="537"/>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4、乙方承诺保证所提供的资料的合法性和真实性，</w:t>
      </w:r>
      <w:r>
        <w:rPr>
          <w:rFonts w:hint="eastAsia" w:ascii="仿宋_GB2312" w:hAnsi="仿宋_GB2312" w:eastAsia="仿宋_GB2312" w:cs="仿宋_GB2312"/>
          <w:spacing w:val="-56"/>
          <w:sz w:val="30"/>
          <w:szCs w:val="30"/>
        </w:rPr>
        <w:t xml:space="preserve"> </w:t>
      </w:r>
      <w:r>
        <w:rPr>
          <w:rFonts w:hint="eastAsia" w:ascii="仿宋_GB2312" w:hAnsi="仿宋_GB2312" w:eastAsia="仿宋_GB2312" w:cs="仿宋_GB2312"/>
          <w:sz w:val="30"/>
          <w:szCs w:val="30"/>
        </w:rPr>
        <w:t>如</w:t>
      </w:r>
      <w:r>
        <w:rPr>
          <w:rFonts w:hint="eastAsia" w:ascii="仿宋_GB2312" w:hAnsi="仿宋_GB2312" w:eastAsia="仿宋_GB2312" w:cs="仿宋_GB2312"/>
          <w:spacing w:val="-1"/>
          <w:sz w:val="30"/>
          <w:szCs w:val="30"/>
        </w:rPr>
        <w:t>因提供虚假资料等问</w:t>
      </w:r>
      <w:r>
        <w:rPr>
          <w:rFonts w:hint="eastAsia" w:ascii="仿宋_GB2312" w:hAnsi="仿宋_GB2312" w:eastAsia="仿宋_GB2312" w:cs="仿宋_GB2312"/>
          <w:sz w:val="30"/>
          <w:szCs w:val="30"/>
        </w:rPr>
        <w:t xml:space="preserve"> </w:t>
      </w:r>
      <w:r>
        <w:rPr>
          <w:rFonts w:hint="eastAsia" w:ascii="仿宋_GB2312" w:hAnsi="仿宋_GB2312" w:eastAsia="仿宋_GB2312" w:cs="仿宋_GB2312"/>
          <w:spacing w:val="-2"/>
          <w:sz w:val="30"/>
          <w:szCs w:val="30"/>
        </w:rPr>
        <w:t>题而产生的一切不良后果，均由乙方负完全责任并无条件赔偿一切损失。</w:t>
      </w:r>
    </w:p>
    <w:p w14:paraId="35F54D51">
      <w:pPr>
        <w:pStyle w:val="4"/>
        <w:spacing w:before="40" w:line="198" w:lineRule="auto"/>
        <w:ind w:left="54" w:right="121" w:firstLine="539"/>
        <w:rPr>
          <w:rFonts w:hint="eastAsia" w:ascii="仿宋_GB2312" w:hAnsi="仿宋_GB2312" w:eastAsia="仿宋_GB2312" w:cs="仿宋_GB2312"/>
          <w:sz w:val="30"/>
          <w:szCs w:val="30"/>
        </w:rPr>
      </w:pPr>
      <w:r>
        <w:rPr>
          <w:rFonts w:hint="eastAsia" w:ascii="仿宋_GB2312" w:hAnsi="仿宋_GB2312" w:eastAsia="仿宋_GB2312" w:cs="仿宋_GB2312"/>
          <w:spacing w:val="-4"/>
          <w:sz w:val="30"/>
          <w:szCs w:val="30"/>
        </w:rPr>
        <w:t>5、乙方承诺按 GSP 等国家有关规定储存甲方所需中药</w:t>
      </w:r>
      <w:r>
        <w:rPr>
          <w:rFonts w:hint="eastAsia" w:ascii="仿宋_GB2312" w:hAnsi="仿宋_GB2312" w:eastAsia="仿宋_GB2312" w:cs="仿宋_GB2312"/>
          <w:spacing w:val="-5"/>
          <w:sz w:val="30"/>
          <w:szCs w:val="30"/>
        </w:rPr>
        <w:t>饮片，</w:t>
      </w:r>
      <w:r>
        <w:rPr>
          <w:rFonts w:hint="eastAsia" w:ascii="仿宋_GB2312" w:hAnsi="仿宋_GB2312" w:eastAsia="仿宋_GB2312" w:cs="仿宋_GB2312"/>
          <w:spacing w:val="-22"/>
          <w:sz w:val="30"/>
          <w:szCs w:val="30"/>
        </w:rPr>
        <w:t xml:space="preserve"> </w:t>
      </w:r>
      <w:r>
        <w:rPr>
          <w:rFonts w:hint="eastAsia" w:ascii="仿宋_GB2312" w:hAnsi="仿宋_GB2312" w:eastAsia="仿宋_GB2312" w:cs="仿宋_GB2312"/>
          <w:spacing w:val="-5"/>
          <w:sz w:val="30"/>
          <w:szCs w:val="30"/>
        </w:rPr>
        <w:t>由于乙方储存</w:t>
      </w:r>
      <w:r>
        <w:rPr>
          <w:rFonts w:hint="eastAsia" w:ascii="仿宋_GB2312" w:hAnsi="仿宋_GB2312" w:eastAsia="仿宋_GB2312" w:cs="仿宋_GB2312"/>
          <w:spacing w:val="-3"/>
          <w:sz w:val="30"/>
          <w:szCs w:val="30"/>
        </w:rPr>
        <w:t>不当造成的中药饮片质量问题由乙方承担全部责任。</w:t>
      </w:r>
    </w:p>
    <w:p w14:paraId="0A6E41DE">
      <w:pPr>
        <w:pStyle w:val="4"/>
        <w:spacing w:before="41" w:line="201" w:lineRule="auto"/>
        <w:ind w:left="48" w:right="120" w:firstLine="541"/>
        <w:rPr>
          <w:rFonts w:hint="eastAsia" w:ascii="仿宋_GB2312" w:hAnsi="仿宋_GB2312" w:eastAsia="仿宋_GB2312" w:cs="仿宋_GB2312"/>
          <w:sz w:val="30"/>
          <w:szCs w:val="30"/>
        </w:rPr>
      </w:pPr>
      <w:r>
        <w:rPr>
          <w:rFonts w:hint="eastAsia" w:ascii="仿宋_GB2312" w:hAnsi="仿宋_GB2312" w:eastAsia="仿宋_GB2312" w:cs="仿宋_GB2312"/>
          <w:spacing w:val="2"/>
          <w:sz w:val="30"/>
          <w:szCs w:val="30"/>
        </w:rPr>
        <w:t>6、乙方承诺保证所提供的中药饮片包装上印有的商品条</w:t>
      </w:r>
      <w:r>
        <w:rPr>
          <w:rFonts w:hint="eastAsia" w:ascii="仿宋_GB2312" w:hAnsi="仿宋_GB2312" w:eastAsia="仿宋_GB2312" w:cs="仿宋_GB2312"/>
          <w:spacing w:val="1"/>
          <w:sz w:val="30"/>
          <w:szCs w:val="30"/>
        </w:rPr>
        <w:t>码是经过相关主管</w:t>
      </w:r>
      <w:r>
        <w:rPr>
          <w:rFonts w:hint="eastAsia" w:ascii="仿宋_GB2312" w:hAnsi="仿宋_GB2312" w:eastAsia="仿宋_GB2312" w:cs="仿宋_GB2312"/>
          <w:sz w:val="30"/>
          <w:szCs w:val="30"/>
        </w:rPr>
        <w:t xml:space="preserve"> </w:t>
      </w:r>
      <w:r>
        <w:rPr>
          <w:rFonts w:hint="eastAsia" w:ascii="仿宋_GB2312" w:hAnsi="仿宋_GB2312" w:eastAsia="仿宋_GB2312" w:cs="仿宋_GB2312"/>
          <w:spacing w:val="-7"/>
          <w:sz w:val="30"/>
          <w:szCs w:val="30"/>
        </w:rPr>
        <w:t>部门核准注册、备案， 如印有未经核准注册、备案或者伪造的商品条码的而产生</w:t>
      </w:r>
      <w:r>
        <w:rPr>
          <w:rFonts w:hint="eastAsia" w:ascii="仿宋_GB2312" w:hAnsi="仿宋_GB2312" w:eastAsia="仿宋_GB2312" w:cs="仿宋_GB2312"/>
          <w:spacing w:val="17"/>
          <w:sz w:val="30"/>
          <w:szCs w:val="30"/>
        </w:rPr>
        <w:t xml:space="preserve"> </w:t>
      </w:r>
      <w:r>
        <w:rPr>
          <w:rFonts w:hint="eastAsia" w:ascii="仿宋_GB2312" w:hAnsi="仿宋_GB2312" w:eastAsia="仿宋_GB2312" w:cs="仿宋_GB2312"/>
          <w:spacing w:val="-2"/>
          <w:sz w:val="30"/>
          <w:szCs w:val="30"/>
        </w:rPr>
        <w:t>的一切不良后果由乙方负完全责任并无条件赔偿一切损失。</w:t>
      </w:r>
    </w:p>
    <w:p w14:paraId="6347E49A">
      <w:pPr>
        <w:pStyle w:val="4"/>
        <w:spacing w:before="38" w:line="198" w:lineRule="auto"/>
        <w:ind w:left="64" w:right="120" w:firstLine="540"/>
        <w:rPr>
          <w:rFonts w:hint="eastAsia" w:ascii="仿宋_GB2312" w:hAnsi="仿宋_GB2312" w:eastAsia="仿宋_GB2312" w:cs="仿宋_GB2312"/>
          <w:sz w:val="30"/>
          <w:szCs w:val="30"/>
        </w:rPr>
      </w:pPr>
      <w:r>
        <w:rPr>
          <w:rFonts w:hint="eastAsia" w:ascii="仿宋_GB2312" w:hAnsi="仿宋_GB2312" w:eastAsia="仿宋_GB2312" w:cs="仿宋_GB2312"/>
          <w:spacing w:val="-13"/>
          <w:w w:val="99"/>
          <w:sz w:val="30"/>
          <w:szCs w:val="30"/>
        </w:rPr>
        <w:t>十三、本协议所涉及的条款，如与有关法律、法规有悖，则以现行法律法规</w:t>
      </w:r>
      <w:r>
        <w:rPr>
          <w:rFonts w:hint="eastAsia" w:ascii="仿宋_GB2312" w:hAnsi="仿宋_GB2312" w:eastAsia="仿宋_GB2312" w:cs="仿宋_GB2312"/>
          <w:spacing w:val="-11"/>
          <w:sz w:val="30"/>
          <w:szCs w:val="30"/>
        </w:rPr>
        <w:t>的规定为准。</w:t>
      </w:r>
    </w:p>
    <w:p w14:paraId="0C401513">
      <w:pPr>
        <w:pStyle w:val="4"/>
        <w:spacing w:before="40" w:line="198" w:lineRule="auto"/>
        <w:ind w:left="48" w:right="120" w:firstLine="555"/>
        <w:rPr>
          <w:rFonts w:hint="eastAsia" w:ascii="仿宋_GB2312" w:hAnsi="仿宋_GB2312" w:eastAsia="仿宋_GB2312" w:cs="仿宋_GB2312"/>
          <w:sz w:val="30"/>
          <w:szCs w:val="30"/>
        </w:rPr>
      </w:pPr>
      <w:r>
        <w:rPr>
          <w:rFonts w:hint="eastAsia" w:ascii="仿宋_GB2312" w:hAnsi="仿宋_GB2312" w:eastAsia="仿宋_GB2312" w:cs="仿宋_GB2312"/>
          <w:spacing w:val="-9"/>
          <w:sz w:val="30"/>
          <w:szCs w:val="30"/>
        </w:rPr>
        <w:t>十四、本协议未尽事宜，由双方协调解决。双</w:t>
      </w:r>
      <w:r>
        <w:rPr>
          <w:rFonts w:hint="eastAsia" w:ascii="仿宋_GB2312" w:hAnsi="仿宋_GB2312" w:eastAsia="仿宋_GB2312" w:cs="仿宋_GB2312"/>
          <w:spacing w:val="-10"/>
          <w:sz w:val="30"/>
          <w:szCs w:val="30"/>
        </w:rPr>
        <w:t>方发生争议时应先友好协商解</w:t>
      </w:r>
      <w:r>
        <w:rPr>
          <w:rFonts w:hint="eastAsia" w:ascii="仿宋_GB2312" w:hAnsi="仿宋_GB2312" w:eastAsia="仿宋_GB2312" w:cs="仿宋_GB2312"/>
          <w:spacing w:val="1"/>
          <w:sz w:val="30"/>
          <w:szCs w:val="30"/>
        </w:rPr>
        <w:t xml:space="preserve"> </w:t>
      </w:r>
      <w:r>
        <w:rPr>
          <w:rFonts w:hint="eastAsia" w:ascii="仿宋_GB2312" w:hAnsi="仿宋_GB2312" w:eastAsia="仿宋_GB2312" w:cs="仿宋_GB2312"/>
          <w:spacing w:val="-3"/>
          <w:sz w:val="30"/>
          <w:szCs w:val="30"/>
        </w:rPr>
        <w:t>决，协商不成时，通过甲方所在地人民法院诉讼解决。</w:t>
      </w:r>
    </w:p>
    <w:p w14:paraId="052C133A">
      <w:pPr>
        <w:pStyle w:val="4"/>
        <w:spacing w:before="39" w:line="198" w:lineRule="auto"/>
        <w:ind w:left="64" w:right="120" w:firstLine="540"/>
        <w:rPr>
          <w:rFonts w:hint="eastAsia" w:ascii="仿宋_GB2312" w:hAnsi="仿宋_GB2312" w:eastAsia="仿宋_GB2312" w:cs="仿宋_GB2312"/>
          <w:sz w:val="30"/>
          <w:szCs w:val="30"/>
        </w:rPr>
      </w:pPr>
      <w:r>
        <w:rPr>
          <w:rFonts w:hint="eastAsia" w:ascii="仿宋_GB2312" w:hAnsi="仿宋_GB2312" w:eastAsia="仿宋_GB2312" w:cs="仿宋_GB2312"/>
          <w:spacing w:val="-10"/>
          <w:sz w:val="30"/>
          <w:szCs w:val="30"/>
        </w:rPr>
        <w:t>十五、本协议一式</w:t>
      </w:r>
      <w:r>
        <w:rPr>
          <w:rFonts w:hint="eastAsia" w:ascii="仿宋_GB2312" w:hAnsi="仿宋_GB2312" w:eastAsia="仿宋_GB2312" w:cs="仿宋_GB2312"/>
          <w:spacing w:val="-10"/>
          <w:sz w:val="30"/>
          <w:szCs w:val="30"/>
          <w:u w:val="single"/>
          <w:lang w:val="en-US" w:eastAsia="zh-CN"/>
        </w:rPr>
        <w:t xml:space="preserve">  </w:t>
      </w:r>
      <w:r>
        <w:rPr>
          <w:rFonts w:hint="eastAsia" w:ascii="仿宋_GB2312" w:hAnsi="仿宋_GB2312" w:eastAsia="仿宋_GB2312" w:cs="仿宋_GB2312"/>
          <w:spacing w:val="-10"/>
          <w:sz w:val="30"/>
          <w:szCs w:val="30"/>
        </w:rPr>
        <w:t>份，</w:t>
      </w:r>
      <w:r>
        <w:rPr>
          <w:rFonts w:hint="eastAsia" w:ascii="仿宋_GB2312" w:hAnsi="仿宋_GB2312" w:eastAsia="仿宋_GB2312" w:cs="仿宋_GB2312"/>
          <w:spacing w:val="-36"/>
          <w:sz w:val="30"/>
          <w:szCs w:val="30"/>
        </w:rPr>
        <w:t xml:space="preserve"> </w:t>
      </w:r>
      <w:r>
        <w:rPr>
          <w:rFonts w:hint="eastAsia" w:ascii="仿宋_GB2312" w:hAnsi="仿宋_GB2312" w:eastAsia="仿宋_GB2312" w:cs="仿宋_GB2312"/>
          <w:spacing w:val="-10"/>
          <w:sz w:val="30"/>
          <w:szCs w:val="30"/>
        </w:rPr>
        <w:t>甲方</w:t>
      </w:r>
      <w:r>
        <w:rPr>
          <w:rFonts w:hint="eastAsia" w:ascii="仿宋_GB2312" w:hAnsi="仿宋_GB2312" w:eastAsia="仿宋_GB2312" w:cs="仿宋_GB2312"/>
          <w:spacing w:val="-10"/>
          <w:sz w:val="30"/>
          <w:szCs w:val="30"/>
          <w:u w:val="single"/>
          <w:lang w:val="en-US" w:eastAsia="zh-CN"/>
        </w:rPr>
        <w:t xml:space="preserve">  </w:t>
      </w:r>
      <w:r>
        <w:rPr>
          <w:rFonts w:hint="eastAsia" w:ascii="仿宋_GB2312" w:hAnsi="仿宋_GB2312" w:eastAsia="仿宋_GB2312" w:cs="仿宋_GB2312"/>
          <w:spacing w:val="-10"/>
          <w:sz w:val="30"/>
          <w:szCs w:val="30"/>
        </w:rPr>
        <w:t>份、乙方</w:t>
      </w:r>
      <w:r>
        <w:rPr>
          <w:rFonts w:hint="eastAsia" w:ascii="仿宋_GB2312" w:hAnsi="仿宋_GB2312" w:eastAsia="仿宋_GB2312" w:cs="仿宋_GB2312"/>
          <w:spacing w:val="-10"/>
          <w:sz w:val="30"/>
          <w:szCs w:val="30"/>
          <w:u w:val="single"/>
          <w:lang w:val="en-US" w:eastAsia="zh-CN"/>
        </w:rPr>
        <w:t xml:space="preserve">  </w:t>
      </w:r>
      <w:r>
        <w:rPr>
          <w:rFonts w:hint="eastAsia" w:ascii="仿宋_GB2312" w:hAnsi="仿宋_GB2312" w:eastAsia="仿宋_GB2312" w:cs="仿宋_GB2312"/>
          <w:spacing w:val="-10"/>
          <w:sz w:val="30"/>
          <w:szCs w:val="30"/>
        </w:rPr>
        <w:t>份， 自甲乙双方</w:t>
      </w:r>
      <w:r>
        <w:rPr>
          <w:rFonts w:hint="eastAsia" w:ascii="仿宋_GB2312" w:hAnsi="仿宋_GB2312" w:eastAsia="仿宋_GB2312" w:cs="仿宋_GB2312"/>
          <w:spacing w:val="-11"/>
          <w:sz w:val="30"/>
          <w:szCs w:val="30"/>
        </w:rPr>
        <w:t>签字盖章之日起</w:t>
      </w:r>
      <w:r>
        <w:rPr>
          <w:rFonts w:hint="eastAsia" w:ascii="仿宋_GB2312" w:hAnsi="仿宋_GB2312" w:eastAsia="仿宋_GB2312" w:cs="仿宋_GB2312"/>
          <w:sz w:val="30"/>
          <w:szCs w:val="30"/>
        </w:rPr>
        <w:t xml:space="preserve"> </w:t>
      </w:r>
      <w:r>
        <w:rPr>
          <w:rFonts w:hint="eastAsia" w:ascii="仿宋_GB2312" w:hAnsi="仿宋_GB2312" w:eastAsia="仿宋_GB2312" w:cs="仿宋_GB2312"/>
          <w:spacing w:val="-6"/>
          <w:sz w:val="30"/>
          <w:szCs w:val="30"/>
        </w:rPr>
        <w:t>生效，有效期限一年。</w:t>
      </w:r>
    </w:p>
    <w:p w14:paraId="359684C9">
      <w:pPr>
        <w:spacing w:line="249" w:lineRule="auto"/>
        <w:rPr>
          <w:rFonts w:hint="eastAsia" w:ascii="仿宋_GB2312" w:hAnsi="仿宋_GB2312" w:eastAsia="仿宋_GB2312" w:cs="仿宋_GB2312"/>
          <w:sz w:val="30"/>
          <w:szCs w:val="30"/>
        </w:rPr>
      </w:pPr>
    </w:p>
    <w:p w14:paraId="565DAFC5">
      <w:pPr>
        <w:spacing w:line="249" w:lineRule="auto"/>
        <w:rPr>
          <w:rFonts w:hint="eastAsia" w:ascii="仿宋_GB2312" w:hAnsi="仿宋_GB2312" w:eastAsia="仿宋_GB2312" w:cs="仿宋_GB2312"/>
          <w:sz w:val="30"/>
          <w:szCs w:val="30"/>
        </w:rPr>
      </w:pPr>
    </w:p>
    <w:p w14:paraId="7CA75B65">
      <w:pPr>
        <w:spacing w:line="250" w:lineRule="auto"/>
        <w:rPr>
          <w:rFonts w:hint="eastAsia" w:ascii="仿宋_GB2312" w:hAnsi="仿宋_GB2312" w:eastAsia="仿宋_GB2312" w:cs="仿宋_GB2312"/>
          <w:sz w:val="30"/>
          <w:szCs w:val="30"/>
        </w:rPr>
      </w:pPr>
    </w:p>
    <w:p w14:paraId="57E9839C">
      <w:pPr>
        <w:pStyle w:val="4"/>
        <w:spacing w:before="121" w:line="183" w:lineRule="auto"/>
        <w:ind w:left="84"/>
        <w:rPr>
          <w:rFonts w:hint="eastAsia" w:ascii="仿宋_GB2312" w:hAnsi="仿宋_GB2312" w:eastAsia="仿宋_GB2312" w:cs="仿宋_GB2312"/>
          <w:sz w:val="30"/>
          <w:szCs w:val="30"/>
        </w:rPr>
      </w:pPr>
      <w:r>
        <w:rPr>
          <w:rFonts w:hint="eastAsia" w:ascii="仿宋_GB2312" w:hAnsi="仿宋_GB2312" w:eastAsia="仿宋_GB2312" w:cs="仿宋_GB2312"/>
          <w:spacing w:val="-12"/>
          <w:sz w:val="30"/>
          <w:szCs w:val="30"/>
        </w:rPr>
        <w:t>甲方（盖章</w:t>
      </w:r>
      <w:r>
        <w:rPr>
          <w:rFonts w:hint="eastAsia" w:ascii="仿宋_GB2312" w:hAnsi="仿宋_GB2312" w:eastAsia="仿宋_GB2312" w:cs="仿宋_GB2312"/>
          <w:spacing w:val="-9"/>
          <w:sz w:val="30"/>
          <w:szCs w:val="30"/>
        </w:rPr>
        <w:t>）：</w:t>
      </w:r>
      <w:r>
        <w:rPr>
          <w:rFonts w:hint="eastAsia" w:ascii="仿宋_GB2312" w:hAnsi="仿宋_GB2312" w:eastAsia="仿宋_GB2312" w:cs="仿宋_GB2312"/>
          <w:spacing w:val="1"/>
          <w:sz w:val="30"/>
          <w:szCs w:val="30"/>
        </w:rPr>
        <w:t xml:space="preserve">                          </w:t>
      </w:r>
      <w:r>
        <w:rPr>
          <w:rFonts w:hint="eastAsia" w:ascii="仿宋_GB2312" w:hAnsi="仿宋_GB2312" w:eastAsia="仿宋_GB2312" w:cs="仿宋_GB2312"/>
          <w:spacing w:val="-12"/>
          <w:sz w:val="30"/>
          <w:szCs w:val="30"/>
        </w:rPr>
        <w:t>乙方（盖章</w:t>
      </w:r>
      <w:r>
        <w:rPr>
          <w:rFonts w:hint="eastAsia" w:ascii="仿宋_GB2312" w:hAnsi="仿宋_GB2312" w:eastAsia="仿宋_GB2312" w:cs="仿宋_GB2312"/>
          <w:spacing w:val="-9"/>
          <w:sz w:val="30"/>
          <w:szCs w:val="30"/>
        </w:rPr>
        <w:t>）：</w:t>
      </w:r>
    </w:p>
    <w:p w14:paraId="2DEF1951">
      <w:pPr>
        <w:spacing w:line="343" w:lineRule="auto"/>
        <w:rPr>
          <w:rFonts w:hint="eastAsia" w:ascii="仿宋_GB2312" w:hAnsi="仿宋_GB2312" w:eastAsia="仿宋_GB2312" w:cs="仿宋_GB2312"/>
          <w:sz w:val="30"/>
          <w:szCs w:val="30"/>
        </w:rPr>
      </w:pPr>
    </w:p>
    <w:p w14:paraId="0DBD8373">
      <w:pPr>
        <w:pStyle w:val="4"/>
        <w:spacing w:before="120" w:line="188" w:lineRule="auto"/>
        <w:ind w:left="56"/>
        <w:rPr>
          <w:rFonts w:hint="eastAsia" w:ascii="仿宋_GB2312" w:hAnsi="仿宋_GB2312" w:eastAsia="仿宋_GB2312" w:cs="仿宋_GB2312"/>
          <w:sz w:val="30"/>
          <w:szCs w:val="30"/>
        </w:rPr>
      </w:pPr>
      <w:r>
        <w:rPr>
          <w:rFonts w:hint="eastAsia" w:ascii="仿宋_GB2312" w:hAnsi="仿宋_GB2312" w:eastAsia="仿宋_GB2312" w:cs="仿宋_GB2312"/>
          <w:spacing w:val="-10"/>
          <w:sz w:val="30"/>
          <w:szCs w:val="30"/>
        </w:rPr>
        <w:t>法定代表人：</w:t>
      </w:r>
      <w:r>
        <w:rPr>
          <w:rFonts w:hint="eastAsia" w:ascii="仿宋_GB2312" w:hAnsi="仿宋_GB2312" w:eastAsia="仿宋_GB2312" w:cs="仿宋_GB2312"/>
          <w:spacing w:val="2"/>
          <w:sz w:val="30"/>
          <w:szCs w:val="30"/>
        </w:rPr>
        <w:t xml:space="preserve">                           </w:t>
      </w:r>
      <w:r>
        <w:rPr>
          <w:rFonts w:hint="eastAsia" w:ascii="仿宋_GB2312" w:hAnsi="仿宋_GB2312" w:eastAsia="仿宋_GB2312" w:cs="仿宋_GB2312"/>
          <w:spacing w:val="-10"/>
          <w:sz w:val="30"/>
          <w:szCs w:val="30"/>
        </w:rPr>
        <w:t>法定代表人：</w:t>
      </w:r>
    </w:p>
    <w:p w14:paraId="2CD982F2">
      <w:pPr>
        <w:spacing w:line="332" w:lineRule="auto"/>
        <w:rPr>
          <w:rFonts w:hint="eastAsia" w:ascii="仿宋_GB2312" w:hAnsi="仿宋_GB2312" w:eastAsia="仿宋_GB2312" w:cs="仿宋_GB2312"/>
          <w:sz w:val="30"/>
          <w:szCs w:val="30"/>
        </w:rPr>
      </w:pPr>
    </w:p>
    <w:p w14:paraId="271545F6">
      <w:pPr>
        <w:pStyle w:val="4"/>
        <w:spacing w:before="121" w:line="189" w:lineRule="auto"/>
        <w:ind w:left="53"/>
        <w:rPr>
          <w:rFonts w:hint="eastAsia" w:ascii="仿宋_GB2312" w:hAnsi="仿宋_GB2312" w:eastAsia="仿宋_GB2312" w:cs="仿宋_GB2312"/>
          <w:sz w:val="30"/>
          <w:szCs w:val="30"/>
        </w:rPr>
      </w:pPr>
      <w:r>
        <w:rPr>
          <w:rFonts w:hint="eastAsia" w:ascii="仿宋_GB2312" w:hAnsi="仿宋_GB2312" w:eastAsia="仿宋_GB2312" w:cs="仿宋_GB2312"/>
          <w:spacing w:val="-5"/>
          <w:sz w:val="30"/>
          <w:szCs w:val="30"/>
        </w:rPr>
        <w:t>代理人：                                代理人：</w:t>
      </w:r>
    </w:p>
    <w:p w14:paraId="7E1ECFA1">
      <w:pPr>
        <w:spacing w:line="188" w:lineRule="auto"/>
        <w:rPr>
          <w:rFonts w:hint="eastAsia" w:ascii="仿宋_GB2312" w:hAnsi="仿宋_GB2312" w:eastAsia="仿宋_GB2312" w:cs="仿宋_GB2312"/>
          <w:sz w:val="30"/>
          <w:szCs w:val="30"/>
        </w:rPr>
      </w:pPr>
    </w:p>
    <w:p w14:paraId="11BB07A4">
      <w:pPr>
        <w:rPr>
          <w:rFonts w:ascii="Arial"/>
          <w:sz w:val="21"/>
        </w:rPr>
      </w:pPr>
      <w:r>
        <w:rPr>
          <w:rFonts w:hint="eastAsia" w:ascii="仿宋_GB2312" w:hAnsi="仿宋_GB2312" w:eastAsia="仿宋_GB2312" w:cs="仿宋_GB2312"/>
          <w:spacing w:val="-7"/>
          <w:sz w:val="30"/>
          <w:szCs w:val="30"/>
        </w:rPr>
        <w:t>签约时间：</w:t>
      </w:r>
      <w:r>
        <w:rPr>
          <w:rFonts w:hint="eastAsia" w:ascii="仿宋_GB2312" w:hAnsi="仿宋_GB2312" w:eastAsia="仿宋_GB2312" w:cs="仿宋_GB2312"/>
          <w:spacing w:val="-7"/>
          <w:sz w:val="30"/>
          <w:szCs w:val="30"/>
          <w:lang w:val="en-US" w:eastAsia="zh-CN"/>
        </w:rPr>
        <w:t xml:space="preserve"> </w:t>
      </w:r>
      <w:r>
        <w:rPr>
          <w:rFonts w:hint="eastAsia" w:ascii="仿宋_GB2312" w:hAnsi="仿宋_GB2312" w:eastAsia="仿宋_GB2312" w:cs="仿宋_GB2312"/>
          <w:snapToGrid w:val="0"/>
          <w:color w:val="000000"/>
          <w:spacing w:val="-3"/>
          <w:kern w:val="0"/>
          <w:sz w:val="30"/>
          <w:szCs w:val="30"/>
          <w:u w:val="single"/>
          <w:lang w:val="en-US" w:eastAsia="zh-CN" w:bidi="ar-SA"/>
        </w:rPr>
        <w:t xml:space="preserve">    </w:t>
      </w:r>
      <w:r>
        <w:rPr>
          <w:rFonts w:hint="eastAsia" w:ascii="仿宋_GB2312" w:hAnsi="仿宋_GB2312" w:eastAsia="仿宋_GB2312" w:cs="仿宋_GB2312"/>
          <w:snapToGrid w:val="0"/>
          <w:color w:val="000000"/>
          <w:spacing w:val="-3"/>
          <w:kern w:val="0"/>
          <w:sz w:val="30"/>
          <w:szCs w:val="30"/>
          <w:lang w:val="en-US" w:eastAsia="zh-CN" w:bidi="ar-SA"/>
        </w:rPr>
        <w:t>年</w:t>
      </w:r>
      <w:r>
        <w:rPr>
          <w:rFonts w:hint="eastAsia" w:ascii="仿宋_GB2312" w:hAnsi="仿宋_GB2312" w:eastAsia="仿宋_GB2312" w:cs="仿宋_GB2312"/>
          <w:snapToGrid w:val="0"/>
          <w:color w:val="000000"/>
          <w:spacing w:val="-3"/>
          <w:kern w:val="0"/>
          <w:sz w:val="30"/>
          <w:szCs w:val="30"/>
          <w:u w:val="single"/>
          <w:lang w:val="en-US" w:eastAsia="zh-CN" w:bidi="ar-SA"/>
        </w:rPr>
        <w:t xml:space="preserve">   </w:t>
      </w:r>
      <w:r>
        <w:rPr>
          <w:rFonts w:hint="eastAsia" w:ascii="仿宋_GB2312" w:hAnsi="仿宋_GB2312" w:eastAsia="仿宋_GB2312" w:cs="仿宋_GB2312"/>
          <w:snapToGrid w:val="0"/>
          <w:color w:val="000000"/>
          <w:spacing w:val="-3"/>
          <w:kern w:val="0"/>
          <w:sz w:val="30"/>
          <w:szCs w:val="30"/>
          <w:lang w:val="en-US" w:eastAsia="zh-CN" w:bidi="ar-SA"/>
        </w:rPr>
        <w:t>月</w:t>
      </w:r>
      <w:r>
        <w:rPr>
          <w:rFonts w:hint="eastAsia" w:ascii="仿宋_GB2312" w:hAnsi="仿宋_GB2312" w:eastAsia="仿宋_GB2312" w:cs="仿宋_GB2312"/>
          <w:snapToGrid w:val="0"/>
          <w:color w:val="000000"/>
          <w:spacing w:val="-3"/>
          <w:kern w:val="0"/>
          <w:sz w:val="30"/>
          <w:szCs w:val="30"/>
          <w:u w:val="single"/>
          <w:lang w:val="en-US" w:eastAsia="zh-CN" w:bidi="ar-SA"/>
        </w:rPr>
        <w:t xml:space="preserve">    </w:t>
      </w:r>
      <w:r>
        <w:rPr>
          <w:rFonts w:hint="eastAsia" w:ascii="仿宋_GB2312" w:hAnsi="仿宋_GB2312" w:eastAsia="仿宋_GB2312" w:cs="仿宋_GB2312"/>
          <w:snapToGrid w:val="0"/>
          <w:color w:val="000000"/>
          <w:spacing w:val="-3"/>
          <w:kern w:val="0"/>
          <w:sz w:val="30"/>
          <w:szCs w:val="30"/>
          <w:lang w:val="en-US" w:eastAsia="zh-CN" w:bidi="ar-SA"/>
        </w:rPr>
        <w:t>日</w:t>
      </w:r>
      <w:r>
        <w:rPr>
          <w:rFonts w:hint="eastAsia" w:ascii="仿宋_GB2312" w:hAnsi="仿宋_GB2312" w:eastAsia="仿宋_GB2312" w:cs="仿宋_GB2312"/>
          <w:spacing w:val="-7"/>
          <w:sz w:val="30"/>
          <w:szCs w:val="30"/>
          <w:lang w:val="en-US" w:eastAsia="zh-CN"/>
        </w:rPr>
        <w:t xml:space="preserve">           </w:t>
      </w:r>
      <w:r>
        <w:rPr>
          <w:rFonts w:hint="eastAsia" w:ascii="仿宋_GB2312" w:hAnsi="仿宋_GB2312" w:eastAsia="仿宋_GB2312" w:cs="仿宋_GB2312"/>
          <w:spacing w:val="-7"/>
          <w:sz w:val="30"/>
          <w:szCs w:val="30"/>
        </w:rPr>
        <w:t xml:space="preserve"> 签约时间：</w:t>
      </w:r>
      <w:r>
        <w:rPr>
          <w:rFonts w:hint="eastAsia" w:ascii="仿宋_GB2312" w:hAnsi="仿宋_GB2312" w:eastAsia="仿宋_GB2312" w:cs="仿宋_GB2312"/>
          <w:snapToGrid w:val="0"/>
          <w:color w:val="000000"/>
          <w:spacing w:val="-3"/>
          <w:kern w:val="0"/>
          <w:sz w:val="30"/>
          <w:szCs w:val="30"/>
          <w:u w:val="single"/>
          <w:lang w:val="en-US" w:eastAsia="zh-CN" w:bidi="ar-SA"/>
        </w:rPr>
        <w:t xml:space="preserve">    </w:t>
      </w:r>
      <w:r>
        <w:rPr>
          <w:rFonts w:hint="eastAsia" w:ascii="仿宋_GB2312" w:hAnsi="仿宋_GB2312" w:eastAsia="仿宋_GB2312" w:cs="仿宋_GB2312"/>
          <w:snapToGrid w:val="0"/>
          <w:color w:val="000000"/>
          <w:spacing w:val="-3"/>
          <w:kern w:val="0"/>
          <w:sz w:val="30"/>
          <w:szCs w:val="30"/>
          <w:lang w:val="en-US" w:eastAsia="zh-CN" w:bidi="ar-SA"/>
        </w:rPr>
        <w:t>年</w:t>
      </w:r>
      <w:r>
        <w:rPr>
          <w:rFonts w:hint="eastAsia" w:ascii="仿宋_GB2312" w:hAnsi="仿宋_GB2312" w:eastAsia="仿宋_GB2312" w:cs="仿宋_GB2312"/>
          <w:snapToGrid w:val="0"/>
          <w:color w:val="000000"/>
          <w:spacing w:val="-3"/>
          <w:kern w:val="0"/>
          <w:sz w:val="30"/>
          <w:szCs w:val="30"/>
          <w:u w:val="single"/>
          <w:lang w:val="en-US" w:eastAsia="zh-CN" w:bidi="ar-SA"/>
        </w:rPr>
        <w:t xml:space="preserve">   </w:t>
      </w:r>
      <w:r>
        <w:rPr>
          <w:rFonts w:hint="eastAsia" w:ascii="仿宋_GB2312" w:hAnsi="仿宋_GB2312" w:eastAsia="仿宋_GB2312" w:cs="仿宋_GB2312"/>
          <w:snapToGrid w:val="0"/>
          <w:color w:val="000000"/>
          <w:spacing w:val="-3"/>
          <w:kern w:val="0"/>
          <w:sz w:val="30"/>
          <w:szCs w:val="30"/>
          <w:lang w:val="en-US" w:eastAsia="zh-CN" w:bidi="ar-SA"/>
        </w:rPr>
        <w:t>月</w:t>
      </w:r>
      <w:r>
        <w:rPr>
          <w:rFonts w:hint="eastAsia" w:ascii="仿宋_GB2312" w:hAnsi="仿宋_GB2312" w:eastAsia="仿宋_GB2312" w:cs="仿宋_GB2312"/>
          <w:snapToGrid w:val="0"/>
          <w:color w:val="000000"/>
          <w:spacing w:val="-3"/>
          <w:kern w:val="0"/>
          <w:sz w:val="30"/>
          <w:szCs w:val="30"/>
          <w:u w:val="single"/>
          <w:lang w:val="en-US" w:eastAsia="zh-CN" w:bidi="ar-SA"/>
        </w:rPr>
        <w:t xml:space="preserve">    </w:t>
      </w:r>
      <w:r>
        <w:rPr>
          <w:rFonts w:hint="eastAsia" w:ascii="仿宋_GB2312" w:hAnsi="仿宋_GB2312" w:eastAsia="仿宋_GB2312" w:cs="仿宋_GB2312"/>
          <w:snapToGrid w:val="0"/>
          <w:color w:val="000000"/>
          <w:spacing w:val="-3"/>
          <w:kern w:val="0"/>
          <w:sz w:val="30"/>
          <w:szCs w:val="30"/>
          <w:lang w:val="en-US" w:eastAsia="zh-CN" w:bidi="ar-SA"/>
        </w:rPr>
        <w:t>日</w:t>
      </w:r>
    </w:p>
    <w:p w14:paraId="4F77F63F">
      <w:pPr>
        <w:spacing w:before="263" w:line="220" w:lineRule="auto"/>
        <w:ind w:left="1285"/>
        <w:rPr>
          <w:rFonts w:ascii="宋体" w:hAnsi="宋体" w:eastAsia="宋体" w:cs="宋体"/>
          <w:sz w:val="28"/>
          <w:szCs w:val="28"/>
        </w:rPr>
      </w:pPr>
    </w:p>
    <w:sectPr>
      <w:headerReference r:id="rId16" w:type="default"/>
      <w:footerReference r:id="rId17" w:type="default"/>
      <w:pgSz w:w="11905" w:h="16838"/>
      <w:pgMar w:top="1276" w:right="1814" w:bottom="1276" w:left="1814" w:header="567" w:footer="567" w:gutter="0"/>
      <w:pgNumType w:fmt="decimal"/>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方正仿宋_GB2312">
    <w:panose1 w:val="02000000000000000000"/>
    <w:charset w:val="86"/>
    <w:family w:val="auto"/>
    <w:pitch w:val="default"/>
    <w:sig w:usb0="A00002BF" w:usb1="184F6CFA" w:usb2="00000012" w:usb3="00000000" w:csb0="00040001" w:csb1="00000000"/>
  </w:font>
  <w:font w:name="Arial Unicode MS">
    <w:altName w:val="宋体"/>
    <w:panose1 w:val="020B0604020202020204"/>
    <w:charset w:val="86"/>
    <w:family w:val="roman"/>
    <w:pitch w:val="default"/>
    <w:sig w:usb0="00000000" w:usb1="00000000" w:usb2="0000003F" w:usb3="00000000" w:csb0="603F01FF" w:csb1="FFFF0000"/>
  </w:font>
  <w:font w:name="MS Gothic">
    <w:panose1 w:val="020B0609070205080204"/>
    <w:charset w:val="80"/>
    <w:family w:val="auto"/>
    <w:pitch w:val="default"/>
    <w:sig w:usb0="E00002FF" w:usb1="6AC7FDFB" w:usb2="00000012" w:usb3="00000000" w:csb0="4002009F" w:csb1="DFD7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方正大标宋简体">
    <w:altName w:val="微软雅黑"/>
    <w:panose1 w:val="02000000000000000000"/>
    <w:charset w:val="86"/>
    <w:family w:val="auto"/>
    <w:pitch w:val="default"/>
    <w:sig w:usb0="00000000" w:usb1="00000000" w:usb2="00000012" w:usb3="00000000" w:csb0="00040001" w:csb1="00000000"/>
  </w:font>
  <w:font w:name="FangSong_GB2312">
    <w:altName w:val="仿宋_GB2312"/>
    <w:panose1 w:val="00000000000000000000"/>
    <w:charset w:val="00"/>
    <w:family w:val="auto"/>
    <w:pitch w:val="default"/>
    <w:sig w:usb0="00000000" w:usb1="00000000" w:usb2="00000000" w:usb3="00000000" w:csb0="00000000" w:csb1="0000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AB346D">
    <w:pPr>
      <w:spacing w:line="176" w:lineRule="auto"/>
      <w:ind w:left="4605"/>
      <w:rPr>
        <w:rFonts w:ascii="Times New Roman" w:hAnsi="Times New Roman" w:eastAsia="Times New Roman" w:cs="Times New Roman"/>
        <w:sz w:val="18"/>
        <w:szCs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924DAC">
    <w:pPr>
      <w:spacing w:before="74" w:line="174" w:lineRule="auto"/>
      <w:ind w:left="3981"/>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55</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4"/>
        <w:sz w:val="18"/>
        <w:szCs w:val="1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728F1A">
    <w:pPr>
      <w:spacing w:line="17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F3F83C">
                          <w:pPr>
                            <w:pStyle w:val="6"/>
                          </w:pPr>
                          <w:r>
                            <w:fldChar w:fldCharType="begin"/>
                          </w:r>
                          <w:r>
                            <w:instrText xml:space="preserve"> PAGE  \* MERGEFORMAT </w:instrText>
                          </w:r>
                          <w:r>
                            <w:fldChar w:fldCharType="separate"/>
                          </w:r>
                          <w:r>
                            <w:t>61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5EF3F83C">
                    <w:pPr>
                      <w:pStyle w:val="6"/>
                    </w:pPr>
                    <w:r>
                      <w:fldChar w:fldCharType="begin"/>
                    </w:r>
                    <w:r>
                      <w:instrText xml:space="preserve"> PAGE  \* MERGEFORMAT </w:instrText>
                    </w:r>
                    <w:r>
                      <w:fldChar w:fldCharType="separate"/>
                    </w:r>
                    <w:r>
                      <w:t>61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CAE8C8">
    <w:pPr>
      <w:spacing w:line="17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B149D7">
                          <w:pPr>
                            <w:pStyle w:val="6"/>
                          </w:pPr>
                          <w:r>
                            <w:fldChar w:fldCharType="begin"/>
                          </w:r>
                          <w:r>
                            <w:instrText xml:space="preserve"> PAGE  \* MERGEFORMAT </w:instrText>
                          </w:r>
                          <w:r>
                            <w:fldChar w:fldCharType="separate"/>
                          </w:r>
                          <w:r>
                            <w:t>62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5EB149D7">
                    <w:pPr>
                      <w:pStyle w:val="6"/>
                    </w:pPr>
                    <w:r>
                      <w:fldChar w:fldCharType="begin"/>
                    </w:r>
                    <w:r>
                      <w:instrText xml:space="preserve"> PAGE  \* MERGEFORMAT </w:instrText>
                    </w:r>
                    <w:r>
                      <w:fldChar w:fldCharType="separate"/>
                    </w:r>
                    <w:r>
                      <w:t>62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26989D">
    <w:pPr>
      <w:spacing w:after="168" w:line="43" w:lineRule="exact"/>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051056">
                          <w:pPr>
                            <w:pStyle w:val="6"/>
                          </w:pPr>
                          <w:r>
                            <w:fldChar w:fldCharType="begin"/>
                          </w:r>
                          <w:r>
                            <w:instrText xml:space="preserve"> PAGE  \* MERGEFORMAT </w:instrText>
                          </w:r>
                          <w:r>
                            <w:fldChar w:fldCharType="separate"/>
                          </w:r>
                          <w:r>
                            <w:t>64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04051056">
                    <w:pPr>
                      <w:pStyle w:val="6"/>
                    </w:pPr>
                    <w:r>
                      <w:fldChar w:fldCharType="begin"/>
                    </w:r>
                    <w:r>
                      <w:instrText xml:space="preserve"> PAGE  \* MERGEFORMAT </w:instrText>
                    </w:r>
                    <w:r>
                      <w:fldChar w:fldCharType="separate"/>
                    </w:r>
                    <w:r>
                      <w:t>64</w:t>
                    </w:r>
                    <w:r>
                      <w:fldChar w:fldCharType="end"/>
                    </w:r>
                  </w:p>
                </w:txbxContent>
              </v:textbox>
            </v:shape>
          </w:pict>
        </mc:Fallback>
      </mc:AlternateContent>
    </w:r>
  </w:p>
  <w:p w14:paraId="4A1FDBF7">
    <w:pPr>
      <w:spacing w:line="176" w:lineRule="auto"/>
      <w:rPr>
        <w:rFonts w:ascii="Times New Roman" w:hAnsi="Times New Roman" w:eastAsia="Times New Roman" w:cs="Times New Roman"/>
        <w:sz w:val="18"/>
        <w:szCs w:val="1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D3DE2D">
    <w:pPr>
      <w:spacing w:after="168" w:line="43" w:lineRule="exact"/>
    </w:pPr>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AE3147">
                          <w:pPr>
                            <w:pStyle w:val="6"/>
                          </w:pPr>
                          <w:r>
                            <w:fldChar w:fldCharType="begin"/>
                          </w:r>
                          <w:r>
                            <w:instrText xml:space="preserve"> PAGE  \* MERGEFORMAT </w:instrText>
                          </w:r>
                          <w:r>
                            <w:fldChar w:fldCharType="separate"/>
                          </w:r>
                          <w:r>
                            <w:t>65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0CAE3147">
                    <w:pPr>
                      <w:pStyle w:val="6"/>
                    </w:pPr>
                    <w:r>
                      <w:fldChar w:fldCharType="begin"/>
                    </w:r>
                    <w:r>
                      <w:instrText xml:space="preserve"> PAGE  \* MERGEFORMAT </w:instrText>
                    </w:r>
                    <w:r>
                      <w:fldChar w:fldCharType="separate"/>
                    </w:r>
                    <w:r>
                      <w:t>65</w:t>
                    </w:r>
                    <w:r>
                      <w:fldChar w:fldCharType="end"/>
                    </w:r>
                  </w:p>
                </w:txbxContent>
              </v:textbox>
            </v:shape>
          </w:pict>
        </mc:Fallback>
      </mc:AlternateContent>
    </w:r>
  </w:p>
  <w:p w14:paraId="09603CFB">
    <w:pPr>
      <w:spacing w:line="176" w:lineRule="auto"/>
      <w:rPr>
        <w:rFonts w:ascii="Times New Roman" w:hAnsi="Times New Roman" w:eastAsia="Times New Roman" w:cs="Times New Roman"/>
        <w:sz w:val="18"/>
        <w:szCs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2A0334">
    <w:pPr>
      <w:spacing w:line="17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A2221E">
                          <w:pPr>
                            <w:pStyle w:val="6"/>
                          </w:pPr>
                          <w:r>
                            <w:fldChar w:fldCharType="begin"/>
                          </w:r>
                          <w:r>
                            <w:instrText xml:space="preserve"> PAGE  \* MERGEFORMAT </w:instrText>
                          </w:r>
                          <w:r>
                            <w:fldChar w:fldCharType="separate"/>
                          </w:r>
                          <w:r>
                            <w:t>68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69A2221E">
                    <w:pPr>
                      <w:pStyle w:val="6"/>
                    </w:pPr>
                    <w:r>
                      <w:fldChar w:fldCharType="begin"/>
                    </w:r>
                    <w:r>
                      <w:instrText xml:space="preserve"> PAGE  \* MERGEFORMAT </w:instrText>
                    </w:r>
                    <w:r>
                      <w:fldChar w:fldCharType="separate"/>
                    </w:r>
                    <w:r>
                      <w:t>68</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DEA01C">
    <w:pPr>
      <w:spacing w:after="170" w:line="43" w:lineRule="exact"/>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B2DA84">
                          <w:pPr>
                            <w:pStyle w:val="6"/>
                          </w:pPr>
                          <w:r>
                            <w:fldChar w:fldCharType="begin"/>
                          </w:r>
                          <w:r>
                            <w:instrText xml:space="preserve"> PAGE  \* MERGEFORMAT </w:instrText>
                          </w:r>
                          <w:r>
                            <w:fldChar w:fldCharType="separate"/>
                          </w:r>
                          <w:r>
                            <w:t>71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2BB2DA84">
                    <w:pPr>
                      <w:pStyle w:val="6"/>
                    </w:pPr>
                    <w:r>
                      <w:fldChar w:fldCharType="begin"/>
                    </w:r>
                    <w:r>
                      <w:instrText xml:space="preserve"> PAGE  \* MERGEFORMAT </w:instrText>
                    </w:r>
                    <w:r>
                      <w:fldChar w:fldCharType="separate"/>
                    </w:r>
                    <w:r>
                      <w:t>71</w:t>
                    </w:r>
                    <w:r>
                      <w:fldChar w:fldCharType="end"/>
                    </w:r>
                  </w:p>
                </w:txbxContent>
              </v:textbox>
            </v:shape>
          </w:pict>
        </mc:Fallback>
      </mc:AlternateContent>
    </w:r>
  </w:p>
  <w:p w14:paraId="4D12ED91">
    <w:pPr>
      <w:spacing w:line="173" w:lineRule="auto"/>
      <w:rPr>
        <w:rFonts w:ascii="Times New Roman" w:hAnsi="Times New Roman" w:eastAsia="Times New Roman" w:cs="Times New Roman"/>
        <w:sz w:val="18"/>
        <w:szCs w:val="18"/>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600111">
    <w:pPr>
      <w:spacing w:line="176" w:lineRule="auto"/>
      <w:ind w:left="423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419CA6">
                          <w:pPr>
                            <w:pStyle w:val="6"/>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2T0J0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2T0J0zAgAAYwQAAA4AAAAAAAAAAQAgAAAAHwEAAGRycy9lMm9Eb2MueG1sUEsF&#10;BgAAAAAGAAYAWQEAAMQFAAAAAA==&#10;">
              <v:fill on="f" focussize="0,0"/>
              <v:stroke on="f" weight="0.5pt"/>
              <v:imagedata o:title=""/>
              <o:lock v:ext="edit" aspectratio="f"/>
              <v:textbox inset="0mm,0mm,0mm,0mm" style="mso-fit-shape-to-text:t;">
                <w:txbxContent>
                  <w:p w14:paraId="32419CA6">
                    <w:pPr>
                      <w:pStyle w:val="6"/>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080CB9">
    <w:pPr>
      <w:spacing w:line="194" w:lineRule="auto"/>
      <w:ind w:left="48"/>
      <w:rPr>
        <w:rFonts w:ascii="FangSong_GB2312" w:hAnsi="FangSong_GB2312" w:eastAsia="FangSong_GB2312" w:cs="FangSong_GB2312"/>
        <w:sz w:val="19"/>
        <w:szCs w:val="19"/>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F32C11">
    <w:pPr>
      <w:pStyle w:val="4"/>
      <w:spacing w:line="14" w:lineRule="auto"/>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3A7557">
    <w:pPr>
      <w:pStyle w:val="4"/>
      <w:spacing w:line="14" w:lineRule="auto"/>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9D8F86">
    <w:pPr>
      <w:spacing w:line="14" w:lineRule="exact"/>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8B3A30"/>
    <w:multiLevelType w:val="singleLevel"/>
    <w:tmpl w:val="828B3A30"/>
    <w:lvl w:ilvl="0" w:tentative="0">
      <w:start w:val="6"/>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Nzk5MGMyMGE3NzgzNTQ5NWY5OTQ2YjYwNzEzZTc5ZDgifQ=="/>
  </w:docVars>
  <w:rsids>
    <w:rsidRoot w:val="00000000"/>
    <w:rsid w:val="006360BD"/>
    <w:rsid w:val="00D07B9F"/>
    <w:rsid w:val="01C30F4E"/>
    <w:rsid w:val="022C3E83"/>
    <w:rsid w:val="02B16063"/>
    <w:rsid w:val="03D746CC"/>
    <w:rsid w:val="046D45DA"/>
    <w:rsid w:val="048D1B00"/>
    <w:rsid w:val="06DF7A00"/>
    <w:rsid w:val="07894D94"/>
    <w:rsid w:val="07F474C3"/>
    <w:rsid w:val="08624EAC"/>
    <w:rsid w:val="086504F8"/>
    <w:rsid w:val="08A802CF"/>
    <w:rsid w:val="09C53F74"/>
    <w:rsid w:val="09CC2C76"/>
    <w:rsid w:val="0A8C4462"/>
    <w:rsid w:val="0AB21F41"/>
    <w:rsid w:val="0C0A7891"/>
    <w:rsid w:val="0C8C0749"/>
    <w:rsid w:val="0D500C6D"/>
    <w:rsid w:val="0DAE2BEC"/>
    <w:rsid w:val="0E0C4665"/>
    <w:rsid w:val="0E71409B"/>
    <w:rsid w:val="10302BA9"/>
    <w:rsid w:val="111D4D94"/>
    <w:rsid w:val="11EA07B6"/>
    <w:rsid w:val="12B10E5E"/>
    <w:rsid w:val="140627FC"/>
    <w:rsid w:val="14A77623"/>
    <w:rsid w:val="14F44A3B"/>
    <w:rsid w:val="14FF5B54"/>
    <w:rsid w:val="15001FCE"/>
    <w:rsid w:val="15D37C93"/>
    <w:rsid w:val="15F15AC1"/>
    <w:rsid w:val="15FE5EDE"/>
    <w:rsid w:val="169A5732"/>
    <w:rsid w:val="172F4AF3"/>
    <w:rsid w:val="181109B7"/>
    <w:rsid w:val="184A63B0"/>
    <w:rsid w:val="18A44B4E"/>
    <w:rsid w:val="19170B59"/>
    <w:rsid w:val="19D9750D"/>
    <w:rsid w:val="1A062609"/>
    <w:rsid w:val="1A3E6C81"/>
    <w:rsid w:val="1A557254"/>
    <w:rsid w:val="1B801CC8"/>
    <w:rsid w:val="1BFD50DB"/>
    <w:rsid w:val="1C031914"/>
    <w:rsid w:val="1C1465EC"/>
    <w:rsid w:val="1D5A37B5"/>
    <w:rsid w:val="1E277299"/>
    <w:rsid w:val="1F625134"/>
    <w:rsid w:val="1F6C236A"/>
    <w:rsid w:val="1FC62A11"/>
    <w:rsid w:val="1FE94B65"/>
    <w:rsid w:val="243303ED"/>
    <w:rsid w:val="243A6685"/>
    <w:rsid w:val="24F6231C"/>
    <w:rsid w:val="25304CEC"/>
    <w:rsid w:val="25473008"/>
    <w:rsid w:val="26985C75"/>
    <w:rsid w:val="27363334"/>
    <w:rsid w:val="276E48D2"/>
    <w:rsid w:val="2927172A"/>
    <w:rsid w:val="29DB01C2"/>
    <w:rsid w:val="2A532558"/>
    <w:rsid w:val="2B5067BC"/>
    <w:rsid w:val="2C411A3E"/>
    <w:rsid w:val="2C426C66"/>
    <w:rsid w:val="2E187C37"/>
    <w:rsid w:val="2F9027ED"/>
    <w:rsid w:val="32792E2E"/>
    <w:rsid w:val="33A95A17"/>
    <w:rsid w:val="34861547"/>
    <w:rsid w:val="35851C2B"/>
    <w:rsid w:val="3664574D"/>
    <w:rsid w:val="36CE5337"/>
    <w:rsid w:val="38C61DEC"/>
    <w:rsid w:val="39900FC9"/>
    <w:rsid w:val="399D145A"/>
    <w:rsid w:val="39B50289"/>
    <w:rsid w:val="3C186A68"/>
    <w:rsid w:val="3DDA6CB7"/>
    <w:rsid w:val="3E3768DD"/>
    <w:rsid w:val="3E8973E0"/>
    <w:rsid w:val="3EB92D70"/>
    <w:rsid w:val="3F123212"/>
    <w:rsid w:val="3F9707F3"/>
    <w:rsid w:val="409B1E8D"/>
    <w:rsid w:val="409F402D"/>
    <w:rsid w:val="41872CB2"/>
    <w:rsid w:val="42500858"/>
    <w:rsid w:val="429813C4"/>
    <w:rsid w:val="42D40179"/>
    <w:rsid w:val="4315253F"/>
    <w:rsid w:val="44A409D6"/>
    <w:rsid w:val="458D6CC8"/>
    <w:rsid w:val="46A73A7B"/>
    <w:rsid w:val="47C357D6"/>
    <w:rsid w:val="486067C3"/>
    <w:rsid w:val="487F0B87"/>
    <w:rsid w:val="48F549A5"/>
    <w:rsid w:val="48FB5330"/>
    <w:rsid w:val="4992760D"/>
    <w:rsid w:val="499907DA"/>
    <w:rsid w:val="49EB25FE"/>
    <w:rsid w:val="4A5760AD"/>
    <w:rsid w:val="4A8D520D"/>
    <w:rsid w:val="4AD21992"/>
    <w:rsid w:val="4B077974"/>
    <w:rsid w:val="4D4E01B7"/>
    <w:rsid w:val="4D6D5452"/>
    <w:rsid w:val="4E8F36DE"/>
    <w:rsid w:val="4F00019C"/>
    <w:rsid w:val="4F0A2E10"/>
    <w:rsid w:val="4F1C324D"/>
    <w:rsid w:val="4F381F8C"/>
    <w:rsid w:val="4F6939F7"/>
    <w:rsid w:val="50026FE7"/>
    <w:rsid w:val="50C91618"/>
    <w:rsid w:val="50D96E8E"/>
    <w:rsid w:val="516D5D9B"/>
    <w:rsid w:val="51BD136F"/>
    <w:rsid w:val="52120376"/>
    <w:rsid w:val="521E31BF"/>
    <w:rsid w:val="529F3CCF"/>
    <w:rsid w:val="54F43FC9"/>
    <w:rsid w:val="552C5BF2"/>
    <w:rsid w:val="56F94C94"/>
    <w:rsid w:val="583D3C73"/>
    <w:rsid w:val="584D7242"/>
    <w:rsid w:val="58516A7C"/>
    <w:rsid w:val="58E230FD"/>
    <w:rsid w:val="59007B03"/>
    <w:rsid w:val="59162E41"/>
    <w:rsid w:val="5A3B68D8"/>
    <w:rsid w:val="5AD7215D"/>
    <w:rsid w:val="5AE14B60"/>
    <w:rsid w:val="5C7F2AAC"/>
    <w:rsid w:val="5CAE3391"/>
    <w:rsid w:val="5DCB1D21"/>
    <w:rsid w:val="5DED33BD"/>
    <w:rsid w:val="5E8A398A"/>
    <w:rsid w:val="5F383D7A"/>
    <w:rsid w:val="5FD96238"/>
    <w:rsid w:val="5FF9014B"/>
    <w:rsid w:val="60680979"/>
    <w:rsid w:val="60762418"/>
    <w:rsid w:val="61415A5F"/>
    <w:rsid w:val="61F23D20"/>
    <w:rsid w:val="626F3907"/>
    <w:rsid w:val="627B2BFA"/>
    <w:rsid w:val="636837DF"/>
    <w:rsid w:val="63AD6150"/>
    <w:rsid w:val="64A16C91"/>
    <w:rsid w:val="65534AD5"/>
    <w:rsid w:val="658D6813"/>
    <w:rsid w:val="66546D57"/>
    <w:rsid w:val="666A3D00"/>
    <w:rsid w:val="68D828A4"/>
    <w:rsid w:val="69677B04"/>
    <w:rsid w:val="69E20907"/>
    <w:rsid w:val="6A400901"/>
    <w:rsid w:val="6AE009A2"/>
    <w:rsid w:val="6BA936A1"/>
    <w:rsid w:val="6C993192"/>
    <w:rsid w:val="6D8D482C"/>
    <w:rsid w:val="6DBE4C67"/>
    <w:rsid w:val="6E6B027C"/>
    <w:rsid w:val="6E8A3FD5"/>
    <w:rsid w:val="6F173698"/>
    <w:rsid w:val="6F1818C0"/>
    <w:rsid w:val="6F960E0D"/>
    <w:rsid w:val="70295F76"/>
    <w:rsid w:val="70B30221"/>
    <w:rsid w:val="71124A12"/>
    <w:rsid w:val="72974A54"/>
    <w:rsid w:val="72BD3ED6"/>
    <w:rsid w:val="73062B16"/>
    <w:rsid w:val="730648B7"/>
    <w:rsid w:val="730F322E"/>
    <w:rsid w:val="73675D4A"/>
    <w:rsid w:val="737722D7"/>
    <w:rsid w:val="7391418D"/>
    <w:rsid w:val="74161AF0"/>
    <w:rsid w:val="756C4FA9"/>
    <w:rsid w:val="75E672A0"/>
    <w:rsid w:val="76AA3530"/>
    <w:rsid w:val="77297B97"/>
    <w:rsid w:val="77447D69"/>
    <w:rsid w:val="77B27DE0"/>
    <w:rsid w:val="781A1C6A"/>
    <w:rsid w:val="78280DF2"/>
    <w:rsid w:val="783E7867"/>
    <w:rsid w:val="7B0A6CF0"/>
    <w:rsid w:val="7B0F59D4"/>
    <w:rsid w:val="7BFE3CD9"/>
    <w:rsid w:val="7C665BBF"/>
    <w:rsid w:val="7C93052B"/>
    <w:rsid w:val="7CF6329A"/>
    <w:rsid w:val="7D91302E"/>
    <w:rsid w:val="7E30220C"/>
    <w:rsid w:val="7E364F49"/>
    <w:rsid w:val="7E413C0D"/>
    <w:rsid w:val="7E9A7122"/>
    <w:rsid w:val="7F2B188D"/>
    <w:rsid w:val="7F2D4072"/>
    <w:rsid w:val="7FB0270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3"/>
    <w:basedOn w:val="1"/>
    <w:next w:val="3"/>
    <w:qFormat/>
    <w:uiPriority w:val="0"/>
    <w:pPr>
      <w:keepNext/>
      <w:keepLines/>
      <w:spacing w:before="260" w:beforeLines="0" w:after="260" w:afterLines="0" w:line="416" w:lineRule="auto"/>
      <w:outlineLvl w:val="2"/>
    </w:pPr>
    <w:rPr>
      <w:b/>
      <w:bCs/>
      <w:sz w:val="32"/>
      <w:szCs w:val="32"/>
    </w:rPr>
  </w:style>
  <w:style w:type="character" w:default="1" w:styleId="11">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3">
    <w:name w:val="Normal Indent"/>
    <w:basedOn w:val="1"/>
    <w:next w:val="1"/>
    <w:qFormat/>
    <w:uiPriority w:val="0"/>
    <w:pPr>
      <w:ind w:firstLine="420" w:firstLineChars="200"/>
    </w:pPr>
  </w:style>
  <w:style w:type="paragraph" w:styleId="4">
    <w:name w:val="Body Text"/>
    <w:basedOn w:val="1"/>
    <w:autoRedefine/>
    <w:semiHidden/>
    <w:qFormat/>
    <w:uiPriority w:val="0"/>
    <w:rPr>
      <w:rFonts w:ascii="Arial" w:hAnsi="Arial" w:eastAsia="Arial" w:cs="Arial"/>
      <w:sz w:val="21"/>
      <w:szCs w:val="21"/>
      <w:lang w:val="en-US" w:eastAsia="en-US" w:bidi="ar-SA"/>
    </w:rPr>
  </w:style>
  <w:style w:type="paragraph" w:styleId="5">
    <w:name w:val="Plain Text"/>
    <w:basedOn w:val="1"/>
    <w:next w:val="4"/>
    <w:qFormat/>
    <w:uiPriority w:val="0"/>
    <w:rPr>
      <w:rFonts w:ascii="宋体" w:hAnsi="Courier New"/>
    </w:rPr>
  </w:style>
  <w:style w:type="paragraph" w:styleId="6">
    <w:name w:val="footer"/>
    <w:basedOn w:val="1"/>
    <w:autoRedefine/>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autoRedefine/>
    <w:qFormat/>
    <w:uiPriority w:val="0"/>
    <w:pPr>
      <w:spacing w:before="0" w:beforeAutospacing="1" w:after="0" w:afterAutospacing="1"/>
      <w:ind w:left="0" w:right="0"/>
      <w:jc w:val="left"/>
    </w:pPr>
    <w:rPr>
      <w:kern w:val="0"/>
      <w:sz w:val="24"/>
      <w:lang w:val="en-US" w:eastAsia="zh-CN" w:bidi="ar"/>
    </w:rPr>
  </w:style>
  <w:style w:type="table" w:styleId="10">
    <w:name w:val="Table Grid"/>
    <w:basedOn w:val="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styleId="13">
    <w:name w:val="HTML Sample"/>
    <w:basedOn w:val="11"/>
    <w:autoRedefine/>
    <w:qFormat/>
    <w:uiPriority w:val="0"/>
    <w:rPr>
      <w:rFonts w:ascii="Courier New" w:hAnsi="Courier New"/>
    </w:rPr>
  </w:style>
  <w:style w:type="table" w:customStyle="1" w:styleId="14">
    <w:name w:val="Table Normal"/>
    <w:autoRedefine/>
    <w:semiHidden/>
    <w:unhideWhenUsed/>
    <w:qFormat/>
    <w:uiPriority w:val="0"/>
    <w:tblPr>
      <w:tblCellMar>
        <w:top w:w="0" w:type="dxa"/>
        <w:left w:w="0" w:type="dxa"/>
        <w:bottom w:w="0" w:type="dxa"/>
        <w:right w:w="0" w:type="dxa"/>
      </w:tblCellMar>
    </w:tblPr>
  </w:style>
  <w:style w:type="paragraph" w:customStyle="1" w:styleId="15">
    <w:name w:val="Table Text"/>
    <w:basedOn w:val="1"/>
    <w:autoRedefine/>
    <w:semiHidden/>
    <w:qFormat/>
    <w:uiPriority w:val="0"/>
    <w:rPr>
      <w:rFonts w:ascii="仿宋" w:hAnsi="仿宋" w:eastAsia="仿宋" w:cs="仿宋"/>
      <w:sz w:val="24"/>
      <w:szCs w:val="24"/>
      <w:lang w:val="en-US" w:eastAsia="en-US" w:bidi="ar-SA"/>
    </w:rPr>
  </w:style>
  <w:style w:type="character" w:customStyle="1" w:styleId="16">
    <w:name w:val="font61"/>
    <w:basedOn w:val="11"/>
    <w:autoRedefine/>
    <w:qFormat/>
    <w:uiPriority w:val="0"/>
    <w:rPr>
      <w:rFonts w:ascii="方正小标宋简体" w:hAnsi="方正小标宋简体" w:eastAsia="方正小标宋简体" w:cs="方正小标宋简体"/>
      <w:color w:val="000000"/>
      <w:sz w:val="40"/>
      <w:szCs w:val="40"/>
      <w:u w:val="none"/>
    </w:rPr>
  </w:style>
  <w:style w:type="character" w:customStyle="1" w:styleId="17">
    <w:name w:val="font71"/>
    <w:basedOn w:val="11"/>
    <w:autoRedefine/>
    <w:qFormat/>
    <w:uiPriority w:val="0"/>
    <w:rPr>
      <w:rFonts w:hint="default" w:ascii="方正小标宋简体" w:hAnsi="方正小标宋简体" w:eastAsia="方正小标宋简体" w:cs="方正小标宋简体"/>
      <w:color w:val="000000"/>
      <w:sz w:val="20"/>
      <w:szCs w:val="20"/>
      <w:u w:val="none"/>
    </w:rPr>
  </w:style>
  <w:style w:type="character" w:customStyle="1" w:styleId="18">
    <w:name w:val="font81"/>
    <w:basedOn w:val="11"/>
    <w:autoRedefine/>
    <w:qFormat/>
    <w:uiPriority w:val="0"/>
    <w:rPr>
      <w:rFonts w:ascii="方正仿宋_GB2312" w:hAnsi="方正仿宋_GB2312" w:eastAsia="方正仿宋_GB2312" w:cs="方正仿宋_GB2312"/>
      <w:color w:val="000000"/>
      <w:sz w:val="20"/>
      <w:szCs w:val="20"/>
      <w:u w:val="none"/>
    </w:rPr>
  </w:style>
  <w:style w:type="character" w:customStyle="1" w:styleId="19">
    <w:name w:val="font31"/>
    <w:basedOn w:val="11"/>
    <w:autoRedefine/>
    <w:qFormat/>
    <w:uiPriority w:val="0"/>
    <w:rPr>
      <w:rFonts w:hint="default" w:ascii="Times New Roman" w:hAnsi="Times New Roman" w:cs="Times New Roman"/>
      <w:color w:val="000000"/>
      <w:sz w:val="20"/>
      <w:szCs w:val="20"/>
      <w:u w:val="none"/>
    </w:rPr>
  </w:style>
  <w:style w:type="character" w:customStyle="1" w:styleId="20">
    <w:name w:val="font91"/>
    <w:basedOn w:val="11"/>
    <w:autoRedefine/>
    <w:qFormat/>
    <w:uiPriority w:val="0"/>
    <w:rPr>
      <w:rFonts w:hint="default" w:ascii="Times New Roman" w:hAnsi="Times New Roman" w:cs="Times New Roman"/>
      <w:color w:val="000000"/>
      <w:sz w:val="20"/>
      <w:szCs w:val="20"/>
      <w:u w:val="none"/>
      <w:vertAlign w:val="superscript"/>
    </w:rPr>
  </w:style>
  <w:style w:type="character" w:customStyle="1" w:styleId="21">
    <w:name w:val="font101"/>
    <w:basedOn w:val="11"/>
    <w:autoRedefine/>
    <w:qFormat/>
    <w:uiPriority w:val="0"/>
    <w:rPr>
      <w:rFonts w:hint="default" w:ascii="Times New Roman" w:hAnsi="Times New Roman" w:cs="Times New Roman"/>
      <w:color w:val="000000"/>
      <w:sz w:val="20"/>
      <w:szCs w:val="20"/>
      <w:u w:val="none"/>
      <w:vertAlign w:val="subscript"/>
    </w:rPr>
  </w:style>
  <w:style w:type="character" w:customStyle="1" w:styleId="22">
    <w:name w:val="font112"/>
    <w:basedOn w:val="11"/>
    <w:autoRedefine/>
    <w:qFormat/>
    <w:uiPriority w:val="0"/>
    <w:rPr>
      <w:rFonts w:hint="default" w:ascii="方正仿宋_GB2312" w:hAnsi="方正仿宋_GB2312" w:eastAsia="方正仿宋_GB2312" w:cs="方正仿宋_GB2312"/>
      <w:color w:val="000000"/>
      <w:sz w:val="20"/>
      <w:szCs w:val="20"/>
      <w:u w:val="none"/>
      <w:vertAlign w:val="subscript"/>
    </w:rPr>
  </w:style>
  <w:style w:type="character" w:customStyle="1" w:styleId="23">
    <w:name w:val="font51"/>
    <w:basedOn w:val="11"/>
    <w:autoRedefine/>
    <w:qFormat/>
    <w:uiPriority w:val="0"/>
    <w:rPr>
      <w:rFonts w:hint="default" w:ascii="Times New Roman" w:hAnsi="Times New Roman" w:cs="Times New Roman"/>
      <w:color w:val="000000"/>
      <w:sz w:val="18"/>
      <w:szCs w:val="18"/>
      <w:u w:val="none"/>
    </w:rPr>
  </w:style>
  <w:style w:type="character" w:customStyle="1" w:styleId="24">
    <w:name w:val="font41"/>
    <w:basedOn w:val="11"/>
    <w:autoRedefine/>
    <w:qFormat/>
    <w:uiPriority w:val="0"/>
    <w:rPr>
      <w:rFonts w:hint="default" w:ascii="方正仿宋_GB2312" w:hAnsi="方正仿宋_GB2312" w:eastAsia="方正仿宋_GB2312" w:cs="方正仿宋_GB2312"/>
      <w:color w:val="000000"/>
      <w:sz w:val="18"/>
      <w:szCs w:val="18"/>
      <w:u w:val="none"/>
    </w:rPr>
  </w:style>
  <w:style w:type="character" w:customStyle="1" w:styleId="25">
    <w:name w:val="font121"/>
    <w:basedOn w:val="11"/>
    <w:autoRedefine/>
    <w:qFormat/>
    <w:uiPriority w:val="0"/>
    <w:rPr>
      <w:rFonts w:hint="default" w:ascii="Times New Roman" w:hAnsi="Times New Roman" w:cs="Times New Roman"/>
      <w:color w:val="000000"/>
      <w:sz w:val="18"/>
      <w:szCs w:val="18"/>
      <w:u w:val="none"/>
      <w:vertAlign w:val="subscript"/>
    </w:rPr>
  </w:style>
  <w:style w:type="paragraph" w:customStyle="1" w:styleId="26">
    <w:name w:val="样式 样式 样式 左侧:  2 字符1 + 首行缩进:  2 字符1 + 首行缩进:  2 字符"/>
    <w:basedOn w:val="1"/>
    <w:qFormat/>
    <w:uiPriority w:val="0"/>
    <w:pPr>
      <w:widowControl/>
      <w:spacing w:before="60" w:beforeLines="0" w:after="120" w:afterLines="0" w:line="440" w:lineRule="atLeast"/>
      <w:ind w:firstLine="480"/>
    </w:pPr>
    <w:rPr>
      <w:rFonts w:hint="eastAsia"/>
      <w:sz w:val="24"/>
    </w:rPr>
  </w:style>
  <w:style w:type="paragraph" w:customStyle="1" w:styleId="27">
    <w:name w:val="_Style 5"/>
    <w:basedOn w:val="1"/>
    <w:qFormat/>
    <w:uiPriority w:val="1"/>
    <w:pPr>
      <w:ind w:left="1040" w:firstLine="559"/>
    </w:pPr>
    <w:rPr>
      <w:rFonts w:ascii="宋体" w:hAnsi="宋体" w:eastAsia="宋体" w:cs="宋体"/>
      <w:lang w:val="zh-CN" w:eastAsia="zh-CN" w:bidi="zh-CN"/>
    </w:rPr>
  </w:style>
  <w:style w:type="character" w:customStyle="1" w:styleId="28">
    <w:name w:val="样式 仿宋"/>
    <w:qFormat/>
    <w:uiPriority w:val="0"/>
    <w:rPr>
      <w:rFonts w:ascii="仿宋" w:hAnsi="仿宋" w:eastAsia="仿宋"/>
      <w:kern w:val="1"/>
    </w:rPr>
  </w:style>
  <w:style w:type="paragraph" w:customStyle="1" w:styleId="29">
    <w:name w:val="Default"/>
    <w:basedOn w:val="5"/>
    <w:next w:val="1"/>
    <w:qFormat/>
    <w:uiPriority w:val="0"/>
    <w:pPr>
      <w:widowControl w:val="0"/>
      <w:autoSpaceDE w:val="0"/>
      <w:autoSpaceDN w:val="0"/>
      <w:adjustRightInd w:val="0"/>
    </w:pPr>
    <w:rPr>
      <w:rFonts w:ascii="Arial Unicode MS" w:hAnsi="Times New Roman" w:eastAsia="Arial Unicode MS" w:cs="Arial Unicode MS"/>
      <w:color w:val="000000"/>
      <w:sz w:val="24"/>
      <w:szCs w:val="24"/>
      <w:lang w:val="en-US" w:eastAsia="zh-CN" w:bidi="ar-SA"/>
    </w:rPr>
  </w:style>
  <w:style w:type="paragraph" w:customStyle="1" w:styleId="30">
    <w:name w:val="列出段落1"/>
    <w:basedOn w:val="1"/>
    <w:next w:val="1"/>
    <w:autoRedefine/>
    <w:qFormat/>
    <w:uiPriority w:val="34"/>
    <w:pPr>
      <w:ind w:firstLine="420" w:firstLineChars="200"/>
    </w:pPr>
  </w:style>
  <w:style w:type="paragraph" w:customStyle="1" w:styleId="31">
    <w:name w:val="标书正文"/>
    <w:basedOn w:val="1"/>
    <w:autoRedefine/>
    <w:qFormat/>
    <w:uiPriority w:val="0"/>
    <w:pPr>
      <w:spacing w:line="360" w:lineRule="auto"/>
      <w:ind w:firstLine="497" w:firstLineChars="207"/>
    </w:pPr>
    <w:rPr>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8" Type="http://schemas.openxmlformats.org/officeDocument/2006/relationships/fontTable" Target="fontTable.xml"/><Relationship Id="rId37" Type="http://schemas.openxmlformats.org/officeDocument/2006/relationships/numbering" Target="numbering.xml"/><Relationship Id="rId36" Type="http://schemas.openxmlformats.org/officeDocument/2006/relationships/customXml" Target="../customXml/item1.xml"/><Relationship Id="rId35" Type="http://schemas.openxmlformats.org/officeDocument/2006/relationships/image" Target="media/image17.png"/><Relationship Id="rId34" Type="http://schemas.openxmlformats.org/officeDocument/2006/relationships/image" Target="media/image16.png"/><Relationship Id="rId33" Type="http://schemas.openxmlformats.org/officeDocument/2006/relationships/image" Target="media/image15.png"/><Relationship Id="rId32" Type="http://schemas.openxmlformats.org/officeDocument/2006/relationships/image" Target="media/image14.png"/><Relationship Id="rId31" Type="http://schemas.openxmlformats.org/officeDocument/2006/relationships/image" Target="media/image13.png"/><Relationship Id="rId30" Type="http://schemas.openxmlformats.org/officeDocument/2006/relationships/image" Target="media/image12.png"/><Relationship Id="rId3" Type="http://schemas.openxmlformats.org/officeDocument/2006/relationships/footnotes" Target="footnotes.xml"/><Relationship Id="rId29" Type="http://schemas.openxmlformats.org/officeDocument/2006/relationships/image" Target="media/image11.png"/><Relationship Id="rId28" Type="http://schemas.openxmlformats.org/officeDocument/2006/relationships/image" Target="media/image10.png"/><Relationship Id="rId27" Type="http://schemas.openxmlformats.org/officeDocument/2006/relationships/image" Target="media/image9.png"/><Relationship Id="rId26" Type="http://schemas.openxmlformats.org/officeDocument/2006/relationships/image" Target="media/image8.png"/><Relationship Id="rId25" Type="http://schemas.openxmlformats.org/officeDocument/2006/relationships/image" Target="media/image7.png"/><Relationship Id="rId24" Type="http://schemas.openxmlformats.org/officeDocument/2006/relationships/image" Target="media/image6.png"/><Relationship Id="rId23" Type="http://schemas.openxmlformats.org/officeDocument/2006/relationships/image" Target="media/image5.png"/><Relationship Id="rId22" Type="http://schemas.openxmlformats.org/officeDocument/2006/relationships/image" Target="media/image4.png"/><Relationship Id="rId21" Type="http://schemas.openxmlformats.org/officeDocument/2006/relationships/image" Target="media/image3.png"/><Relationship Id="rId20" Type="http://schemas.openxmlformats.org/officeDocument/2006/relationships/image" Target="media/image2.png"/><Relationship Id="rId2" Type="http://schemas.openxmlformats.org/officeDocument/2006/relationships/settings" Target="settings.xml"/><Relationship Id="rId19" Type="http://schemas.openxmlformats.org/officeDocument/2006/relationships/image" Target="media/image1.png"/><Relationship Id="rId18" Type="http://schemas.openxmlformats.org/officeDocument/2006/relationships/theme" Target="theme/theme1.xml"/><Relationship Id="rId17" Type="http://schemas.openxmlformats.org/officeDocument/2006/relationships/footer" Target="footer10.xml"/><Relationship Id="rId16" Type="http://schemas.openxmlformats.org/officeDocument/2006/relationships/header" Target="header3.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128</Pages>
  <Words>5128</Words>
  <Characters>5745</Characters>
  <TotalTime>2</TotalTime>
  <ScaleCrop>false</ScaleCrop>
  <LinksUpToDate>false</LinksUpToDate>
  <CharactersWithSpaces>6001</CharactersWithSpaces>
  <Application>WPS Office_12.1.0.20305_F1E327BC-269C-435d-A152-05C5408002CA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2024-04-22T12:41:00Z</dcterms:created>
  <dc:creator>USER</dc:creator>
  <cp:lastModifiedBy>刘彦祖</cp:lastModifiedBy>
  <cp:lastPrinted>2024-07-02T08:45:00Z</cp:lastPrinted>
  <dcterms:modified xsi:type="dcterms:W3CDTF">2025-02-26T04:01:24Z</dcterms:modified>
  <dc:title>政协统办一号楼</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2024-04-22T15:33:46Z</vt:filetime>
  </property>
  <property fmtid="{D5CDD505-2E9C-101B-9397-08002B2CF9AE}" pid="4" name="KSOProductBuildVer">
    <vt:lpwstr>2052-12.1.0.20305</vt:lpwstr>
  </property>
  <property fmtid="{D5CDD505-2E9C-101B-9397-08002B2CF9AE}" pid="5" name="ICV">
    <vt:lpwstr>74AE706E0E4F414EB64D17C9A78E08DB_13</vt:lpwstr>
  </property>
  <property fmtid="{D5CDD505-2E9C-101B-9397-08002B2CF9AE}" pid="6" name="KSOTemplateDocerSaveRecord">
    <vt:lpwstr>eyJoZGlkIjoiMDY0ZjNjOTExYmExMjg0MmIyMTIzNmYyYmRkMDRhNmMiLCJ1c2VySWQiOiI3MjU0NjIzODIifQ==</vt:lpwstr>
  </property>
</Properties>
</file>