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BB509">
      <w:pPr>
        <w:spacing w:line="760" w:lineRule="exact"/>
        <w:jc w:val="center"/>
        <w:rPr>
          <w:rFonts w:hint="eastAsia" w:ascii="仿宋" w:hAnsi="仿宋" w:eastAsia="仿宋" w:cs="仿宋"/>
          <w:b/>
          <w:bCs/>
          <w:color w:val="auto"/>
          <w:sz w:val="40"/>
          <w:szCs w:val="40"/>
          <w:highlight w:val="none"/>
          <w:lang w:eastAsia="zh-CN"/>
        </w:rPr>
      </w:pPr>
    </w:p>
    <w:p w14:paraId="069BAAD8">
      <w:pPr>
        <w:spacing w:line="760" w:lineRule="exact"/>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eastAsia="zh-CN"/>
        </w:rPr>
        <w:t>克州二中</w:t>
      </w:r>
      <w:r>
        <w:rPr>
          <w:rFonts w:hint="eastAsia" w:ascii="仿宋" w:hAnsi="仿宋" w:eastAsia="仿宋" w:cs="仿宋"/>
          <w:b/>
          <w:bCs/>
          <w:color w:val="auto"/>
          <w:sz w:val="52"/>
          <w:szCs w:val="52"/>
          <w:highlight w:val="none"/>
          <w:lang w:val="en-US" w:eastAsia="zh-CN"/>
        </w:rPr>
        <w:t>2025年</w:t>
      </w:r>
      <w:r>
        <w:rPr>
          <w:rFonts w:hint="eastAsia" w:ascii="仿宋" w:hAnsi="仿宋" w:eastAsia="仿宋" w:cs="仿宋"/>
          <w:b/>
          <w:bCs/>
          <w:color w:val="auto"/>
          <w:sz w:val="52"/>
          <w:szCs w:val="52"/>
          <w:highlight w:val="none"/>
          <w:lang w:eastAsia="zh-CN"/>
        </w:rPr>
        <w:t>学生食堂后厨工作</w:t>
      </w:r>
    </w:p>
    <w:p w14:paraId="0F9CB8DE">
      <w:pPr>
        <w:spacing w:line="760" w:lineRule="exact"/>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eastAsia="zh-CN"/>
        </w:rPr>
        <w:t>人员服务采购项目</w:t>
      </w:r>
    </w:p>
    <w:p w14:paraId="2EAB18DC">
      <w:pPr>
        <w:spacing w:line="760" w:lineRule="exact"/>
        <w:jc w:val="center"/>
        <w:rPr>
          <w:rFonts w:hint="default"/>
          <w:color w:val="auto"/>
          <w:highlight w:val="none"/>
          <w:lang w:val="en-US"/>
        </w:rPr>
      </w:pPr>
      <w:r>
        <w:rPr>
          <w:rFonts w:hint="eastAsia" w:ascii="仿宋" w:hAnsi="仿宋" w:eastAsia="仿宋" w:cs="仿宋"/>
          <w:b/>
          <w:bCs/>
          <w:color w:val="auto"/>
          <w:sz w:val="36"/>
          <w:szCs w:val="36"/>
          <w:highlight w:val="none"/>
          <w:lang w:eastAsia="zh-CN"/>
        </w:rPr>
        <w:t>项目编号：KZZB-20</w:t>
      </w:r>
      <w:r>
        <w:rPr>
          <w:rFonts w:hint="eastAsia" w:ascii="仿宋" w:hAnsi="仿宋" w:eastAsia="仿宋" w:cs="仿宋"/>
          <w:b/>
          <w:bCs/>
          <w:color w:val="auto"/>
          <w:sz w:val="36"/>
          <w:szCs w:val="36"/>
          <w:highlight w:val="none"/>
          <w:lang w:val="en-US" w:eastAsia="zh-CN"/>
        </w:rPr>
        <w:t>25017</w:t>
      </w:r>
    </w:p>
    <w:p w14:paraId="13A7D367">
      <w:pPr>
        <w:pStyle w:val="31"/>
        <w:rPr>
          <w:rFonts w:ascii="仿宋" w:hAnsi="仿宋" w:eastAsia="仿宋" w:cs="仿宋"/>
          <w:color w:val="auto"/>
          <w:highlight w:val="none"/>
        </w:rPr>
      </w:pPr>
    </w:p>
    <w:p w14:paraId="1D1BED8E">
      <w:pPr>
        <w:pStyle w:val="31"/>
        <w:rPr>
          <w:rFonts w:ascii="仿宋" w:hAnsi="仿宋" w:eastAsia="仿宋" w:cs="仿宋"/>
          <w:color w:val="auto"/>
          <w:highlight w:val="none"/>
        </w:rPr>
      </w:pPr>
    </w:p>
    <w:p w14:paraId="79A2E2CC">
      <w:pPr>
        <w:pStyle w:val="31"/>
        <w:rPr>
          <w:rFonts w:ascii="仿宋" w:hAnsi="仿宋" w:eastAsia="仿宋" w:cs="仿宋"/>
          <w:color w:val="auto"/>
          <w:highlight w:val="none"/>
        </w:rPr>
      </w:pPr>
    </w:p>
    <w:p w14:paraId="2F3CAA6D">
      <w:pPr>
        <w:pStyle w:val="31"/>
        <w:jc w:val="center"/>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drawing>
          <wp:anchor distT="0" distB="0" distL="114300" distR="114300" simplePos="0" relativeHeight="251663360" behindDoc="1" locked="0" layoutInCell="1" allowOverlap="1">
            <wp:simplePos x="0" y="0"/>
            <wp:positionH relativeFrom="column">
              <wp:posOffset>1601470</wp:posOffset>
            </wp:positionH>
            <wp:positionV relativeFrom="page">
              <wp:posOffset>3815080</wp:posOffset>
            </wp:positionV>
            <wp:extent cx="2440940" cy="2383155"/>
            <wp:effectExtent l="0" t="0" r="16510" b="1714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6" cstate="print"/>
                    <a:stretch>
                      <a:fillRect/>
                    </a:stretch>
                  </pic:blipFill>
                  <pic:spPr>
                    <a:xfrm>
                      <a:off x="0" y="0"/>
                      <a:ext cx="2440940" cy="2383155"/>
                    </a:xfrm>
                    <a:prstGeom prst="rect">
                      <a:avLst/>
                    </a:prstGeom>
                    <a:noFill/>
                    <a:ln>
                      <a:noFill/>
                    </a:ln>
                  </pic:spPr>
                </pic:pic>
              </a:graphicData>
            </a:graphic>
          </wp:anchor>
        </w:drawing>
      </w:r>
      <w:r>
        <w:rPr>
          <w:rFonts w:hint="eastAsia" w:ascii="仿宋" w:hAnsi="仿宋" w:eastAsia="仿宋" w:cs="仿宋"/>
          <w:b/>
          <w:color w:val="auto"/>
          <w:sz w:val="96"/>
          <w:szCs w:val="96"/>
          <w:highlight w:val="none"/>
        </w:rPr>
        <w:t>招</w:t>
      </w:r>
    </w:p>
    <w:p w14:paraId="1C33D9CC">
      <w:pPr>
        <w:pStyle w:val="31"/>
        <w:jc w:val="center"/>
        <w:rPr>
          <w:rFonts w:ascii="仿宋" w:hAnsi="仿宋" w:eastAsia="仿宋" w:cs="仿宋"/>
          <w:b/>
          <w:bCs/>
          <w:color w:val="auto"/>
          <w:sz w:val="96"/>
          <w:szCs w:val="96"/>
          <w:highlight w:val="none"/>
        </w:rPr>
      </w:pPr>
      <w:r>
        <w:rPr>
          <w:rFonts w:hint="eastAsia" w:ascii="仿宋" w:hAnsi="仿宋" w:eastAsia="仿宋" w:cs="仿宋"/>
          <w:b/>
          <w:color w:val="auto"/>
          <w:sz w:val="96"/>
          <w:szCs w:val="96"/>
          <w:highlight w:val="none"/>
        </w:rPr>
        <w:t>标</w:t>
      </w:r>
    </w:p>
    <w:p w14:paraId="5E27A867">
      <w:pPr>
        <w:pStyle w:val="31"/>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6304C22">
      <w:pPr>
        <w:pStyle w:val="31"/>
        <w:jc w:val="center"/>
        <w:rPr>
          <w:rFonts w:ascii="仿宋" w:hAnsi="仿宋" w:eastAsia="仿宋" w:cs="仿宋"/>
          <w:color w:val="auto"/>
          <w:sz w:val="84"/>
          <w:szCs w:val="84"/>
          <w:highlight w:val="none"/>
        </w:rPr>
      </w:pPr>
      <w:r>
        <w:rPr>
          <w:rFonts w:hint="eastAsia" w:ascii="仿宋" w:hAnsi="仿宋" w:eastAsia="仿宋" w:cs="仿宋"/>
          <w:b/>
          <w:bCs/>
          <w:color w:val="auto"/>
          <w:sz w:val="96"/>
          <w:szCs w:val="96"/>
          <w:highlight w:val="none"/>
        </w:rPr>
        <w:t>件</w:t>
      </w:r>
    </w:p>
    <w:p w14:paraId="5194B097">
      <w:pPr>
        <w:pStyle w:val="31"/>
        <w:rPr>
          <w:rFonts w:ascii="仿宋" w:hAnsi="仿宋" w:eastAsia="仿宋" w:cs="仿宋"/>
          <w:color w:val="auto"/>
          <w:highlight w:val="none"/>
        </w:rPr>
      </w:pPr>
    </w:p>
    <w:p w14:paraId="25ACB7C2">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采购单位：</w:t>
      </w:r>
      <w:r>
        <w:rPr>
          <w:rFonts w:hint="eastAsia" w:ascii="仿宋" w:hAnsi="仿宋" w:eastAsia="仿宋" w:cs="仿宋"/>
          <w:color w:val="auto"/>
          <w:sz w:val="32"/>
          <w:szCs w:val="32"/>
          <w:highlight w:val="none"/>
          <w:lang w:val="en-US" w:eastAsia="zh-CN"/>
        </w:rPr>
        <w:t>克孜勒苏柯尔克孜自治州第二中学</w:t>
      </w:r>
    </w:p>
    <w:p w14:paraId="0B19E2A1">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联 系 人: 张先生</w:t>
      </w:r>
    </w:p>
    <w:p w14:paraId="4FA069D3">
      <w:pPr>
        <w:spacing w:line="70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联系电话：</w:t>
      </w:r>
      <w:r>
        <w:rPr>
          <w:rFonts w:hint="eastAsia" w:ascii="仿宋" w:hAnsi="仿宋" w:eastAsia="仿宋" w:cs="仿宋"/>
          <w:color w:val="auto"/>
          <w:sz w:val="32"/>
          <w:szCs w:val="32"/>
          <w:highlight w:val="none"/>
          <w:lang w:val="en-US" w:eastAsia="zh-CN"/>
        </w:rPr>
        <w:t>13579576900</w:t>
      </w:r>
    </w:p>
    <w:p w14:paraId="68F45D7C">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p>
    <w:p w14:paraId="05ACDE0E">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联 系 人：朱先生</w:t>
      </w:r>
    </w:p>
    <w:p w14:paraId="6CD5E529">
      <w:pPr>
        <w:spacing w:line="700" w:lineRule="exact"/>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eastAsia="zh-CN"/>
        </w:rPr>
        <w:t>联系电话:</w:t>
      </w:r>
      <w:r>
        <w:rPr>
          <w:rFonts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18609088999</w:t>
      </w:r>
    </w:p>
    <w:p w14:paraId="6EEC5EA5">
      <w:pPr>
        <w:pStyle w:val="33"/>
        <w:rPr>
          <w:rFonts w:ascii="仿宋" w:hAnsi="仿宋" w:eastAsia="仿宋" w:cs="仿宋"/>
          <w:b/>
          <w:color w:val="auto"/>
          <w:sz w:val="36"/>
          <w:szCs w:val="36"/>
          <w:highlight w:val="none"/>
          <w:lang w:eastAsia="zh-CN"/>
        </w:rPr>
      </w:pPr>
    </w:p>
    <w:p w14:paraId="65EE4C4C">
      <w:pPr>
        <w:jc w:val="center"/>
        <w:rPr>
          <w:rFonts w:hint="eastAsia" w:ascii="仿宋" w:hAnsi="仿宋" w:eastAsia="仿宋" w:cs="仿宋"/>
          <w:b/>
          <w:color w:val="auto"/>
          <w:sz w:val="36"/>
          <w:szCs w:val="36"/>
          <w:highlight w:val="none"/>
          <w:lang w:eastAsia="zh-CN"/>
        </w:rPr>
      </w:pPr>
    </w:p>
    <w:p w14:paraId="427ED731">
      <w:pPr>
        <w:jc w:val="center"/>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招投标监督管理机构备案登记栏</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02C6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14:paraId="3EA38B2B">
            <w:pPr>
              <w:spacing w:line="500" w:lineRule="exact"/>
              <w:jc w:val="both"/>
              <w:rPr>
                <w:rFonts w:ascii="仿宋" w:hAnsi="仿宋" w:eastAsia="仿宋" w:cs="仿宋"/>
                <w:color w:val="auto"/>
                <w:highlight w:val="none"/>
                <w:lang w:eastAsia="zh-CN"/>
              </w:rPr>
            </w:pPr>
          </w:p>
          <w:p w14:paraId="09163934">
            <w:pPr>
              <w:spacing w:line="500" w:lineRule="exact"/>
              <w:jc w:val="both"/>
              <w:rPr>
                <w:rFonts w:ascii="仿宋" w:hAnsi="仿宋" w:eastAsia="仿宋" w:cs="仿宋"/>
                <w:color w:val="auto"/>
                <w:sz w:val="32"/>
                <w:szCs w:val="32"/>
                <w:highlight w:val="none"/>
                <w:lang w:eastAsia="zh-CN"/>
              </w:rPr>
            </w:pPr>
          </w:p>
          <w:p w14:paraId="03EC7E55">
            <w:pPr>
              <w:spacing w:line="500" w:lineRule="exact"/>
              <w:jc w:val="both"/>
              <w:rPr>
                <w:rFonts w:ascii="仿宋" w:hAnsi="仿宋" w:eastAsia="仿宋" w:cs="仿宋"/>
                <w:color w:val="auto"/>
                <w:sz w:val="32"/>
                <w:szCs w:val="32"/>
                <w:highlight w:val="none"/>
                <w:lang w:eastAsia="zh-CN"/>
              </w:rPr>
            </w:pPr>
          </w:p>
          <w:p w14:paraId="7E9D2446">
            <w:pPr>
              <w:spacing w:line="500" w:lineRule="exact"/>
              <w:jc w:val="both"/>
              <w:rPr>
                <w:rFonts w:ascii="仿宋" w:hAnsi="仿宋" w:eastAsia="仿宋" w:cs="仿宋"/>
                <w:color w:val="auto"/>
                <w:w w:val="95"/>
                <w:sz w:val="32"/>
                <w:szCs w:val="32"/>
                <w:highlight w:val="none"/>
                <w:lang w:eastAsia="zh-CN"/>
              </w:rPr>
            </w:pPr>
            <w:r>
              <w:rPr>
                <w:rFonts w:hint="eastAsia" w:ascii="仿宋" w:hAnsi="仿宋" w:eastAsia="仿宋" w:cs="仿宋"/>
                <w:color w:val="auto"/>
                <w:sz w:val="32"/>
                <w:szCs w:val="32"/>
                <w:highlight w:val="none"/>
                <w:lang w:eastAsia="zh-CN"/>
              </w:rPr>
              <w:t>采购单位：</w:t>
            </w:r>
            <w:r>
              <w:rPr>
                <w:rFonts w:hint="eastAsia" w:ascii="仿宋" w:hAnsi="仿宋" w:eastAsia="仿宋" w:cs="仿宋"/>
                <w:color w:val="auto"/>
                <w:sz w:val="32"/>
                <w:szCs w:val="32"/>
                <w:highlight w:val="none"/>
                <w:lang w:val="en-US" w:eastAsia="zh-CN"/>
              </w:rPr>
              <w:t>克孜勒苏柯尔克孜自治州第二中学</w:t>
            </w:r>
            <w:r>
              <w:rPr>
                <w:rFonts w:hint="eastAsia" w:ascii="仿宋" w:hAnsi="仿宋" w:eastAsia="仿宋" w:cs="仿宋"/>
                <w:color w:val="auto"/>
                <w:w w:val="95"/>
                <w:sz w:val="32"/>
                <w:szCs w:val="32"/>
                <w:highlight w:val="none"/>
                <w:lang w:eastAsia="zh-CN"/>
              </w:rPr>
              <w:t>（盖章）</w:t>
            </w:r>
          </w:p>
          <w:p w14:paraId="54C55191">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3C585AC5">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744A948A">
            <w:pPr>
              <w:spacing w:line="500" w:lineRule="exact"/>
              <w:jc w:val="both"/>
              <w:rPr>
                <w:rFonts w:ascii="仿宋" w:hAnsi="仿宋" w:eastAsia="仿宋" w:cs="仿宋"/>
                <w:color w:val="auto"/>
                <w:sz w:val="32"/>
                <w:szCs w:val="32"/>
                <w:highlight w:val="none"/>
                <w:lang w:eastAsia="zh-CN"/>
              </w:rPr>
            </w:pPr>
          </w:p>
          <w:p w14:paraId="14A79F39">
            <w:pPr>
              <w:spacing w:line="500" w:lineRule="exact"/>
              <w:jc w:val="both"/>
              <w:rPr>
                <w:rFonts w:ascii="仿宋" w:hAnsi="仿宋" w:eastAsia="仿宋" w:cs="仿宋"/>
                <w:color w:val="auto"/>
                <w:sz w:val="32"/>
                <w:szCs w:val="32"/>
                <w:highlight w:val="none"/>
                <w:lang w:eastAsia="zh-CN"/>
              </w:rPr>
            </w:pPr>
          </w:p>
          <w:p w14:paraId="5C0400F2">
            <w:pPr>
              <w:spacing w:line="500" w:lineRule="exact"/>
              <w:ind w:left="3520" w:hanging="3520" w:hangingChars="1100"/>
              <w:jc w:val="both"/>
              <w:rPr>
                <w:rFonts w:ascii="仿宋" w:hAnsi="仿宋" w:eastAsia="仿宋" w:cs="仿宋"/>
                <w:color w:val="auto"/>
                <w:sz w:val="32"/>
                <w:szCs w:val="32"/>
                <w:highlight w:val="none"/>
                <w:lang w:eastAsia="zh-CN"/>
              </w:rPr>
            </w:pPr>
          </w:p>
          <w:p w14:paraId="19DB2569">
            <w:pPr>
              <w:spacing w:line="500" w:lineRule="exact"/>
              <w:ind w:left="2560" w:hanging="2560" w:hangingChars="8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采购项目名称：克州二中2025年学生食堂后厨工作人员服务采购项目</w:t>
            </w:r>
            <w:r>
              <w:rPr>
                <w:rFonts w:hint="eastAsia" w:ascii="仿宋" w:hAnsi="仿宋" w:eastAsia="仿宋" w:cs="仿宋"/>
                <w:color w:val="auto"/>
                <w:sz w:val="32"/>
                <w:szCs w:val="32"/>
                <w:highlight w:val="none"/>
                <w:lang w:val="en-US" w:eastAsia="zh-CN"/>
              </w:rPr>
              <w:t xml:space="preserve">      </w:t>
            </w:r>
          </w:p>
          <w:p w14:paraId="1DB6DDDA">
            <w:pPr>
              <w:spacing w:line="500" w:lineRule="exact"/>
              <w:jc w:val="both"/>
              <w:rPr>
                <w:rFonts w:ascii="仿宋" w:hAnsi="仿宋" w:eastAsia="仿宋" w:cs="仿宋"/>
                <w:color w:val="auto"/>
                <w:sz w:val="32"/>
                <w:szCs w:val="32"/>
                <w:highlight w:val="none"/>
                <w:lang w:eastAsia="zh-CN"/>
              </w:rPr>
            </w:pPr>
          </w:p>
          <w:p w14:paraId="0BAB2934">
            <w:pPr>
              <w:spacing w:line="500" w:lineRule="exact"/>
              <w:jc w:val="both"/>
              <w:rPr>
                <w:rFonts w:ascii="仿宋" w:hAnsi="仿宋" w:eastAsia="仿宋" w:cs="仿宋"/>
                <w:color w:val="auto"/>
                <w:sz w:val="32"/>
                <w:szCs w:val="32"/>
                <w:highlight w:val="none"/>
                <w:lang w:eastAsia="zh-CN"/>
              </w:rPr>
            </w:pPr>
          </w:p>
          <w:p w14:paraId="2EB767F3">
            <w:pPr>
              <w:pStyle w:val="33"/>
              <w:jc w:val="both"/>
              <w:rPr>
                <w:rFonts w:ascii="仿宋" w:hAnsi="仿宋" w:eastAsia="仿宋" w:cs="仿宋"/>
                <w:color w:val="auto"/>
                <w:sz w:val="32"/>
                <w:szCs w:val="32"/>
                <w:highlight w:val="none"/>
                <w:lang w:eastAsia="zh-CN"/>
              </w:rPr>
            </w:pPr>
          </w:p>
          <w:p w14:paraId="56D085A6">
            <w:pPr>
              <w:pStyle w:val="33"/>
              <w:jc w:val="both"/>
              <w:rPr>
                <w:rFonts w:ascii="仿宋" w:hAnsi="仿宋" w:eastAsia="仿宋" w:cs="仿宋"/>
                <w:color w:val="auto"/>
                <w:sz w:val="32"/>
                <w:szCs w:val="32"/>
                <w:highlight w:val="none"/>
                <w:lang w:eastAsia="zh-CN"/>
              </w:rPr>
            </w:pPr>
          </w:p>
          <w:p w14:paraId="33C24BB6">
            <w:pPr>
              <w:pStyle w:val="33"/>
              <w:jc w:val="both"/>
              <w:rPr>
                <w:rFonts w:ascii="仿宋" w:hAnsi="仿宋" w:eastAsia="仿宋" w:cs="仿宋"/>
                <w:color w:val="auto"/>
                <w:sz w:val="32"/>
                <w:szCs w:val="32"/>
                <w:highlight w:val="none"/>
                <w:lang w:eastAsia="zh-CN"/>
              </w:rPr>
            </w:pPr>
          </w:p>
          <w:p w14:paraId="4FA840D0">
            <w:pPr>
              <w:pStyle w:val="33"/>
              <w:jc w:val="both"/>
              <w:rPr>
                <w:rFonts w:ascii="仿宋" w:hAnsi="仿宋" w:eastAsia="仿宋" w:cs="仿宋"/>
                <w:color w:val="auto"/>
                <w:sz w:val="32"/>
                <w:szCs w:val="32"/>
                <w:highlight w:val="none"/>
                <w:lang w:eastAsia="zh-CN"/>
              </w:rPr>
            </w:pPr>
          </w:p>
          <w:p w14:paraId="10C65A8E">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（盖章）</w:t>
            </w:r>
          </w:p>
          <w:p w14:paraId="1E15B8C4">
            <w:pPr>
              <w:pStyle w:val="5"/>
              <w:jc w:val="both"/>
              <w:outlineLvl w:val="2"/>
              <w:rPr>
                <w:rFonts w:ascii="仿宋" w:hAnsi="仿宋" w:eastAsia="仿宋" w:cs="仿宋"/>
                <w:color w:val="auto"/>
                <w:highlight w:val="none"/>
                <w:lang w:eastAsia="zh-CN"/>
              </w:rPr>
            </w:pPr>
          </w:p>
          <w:p w14:paraId="490D35BF">
            <w:pPr>
              <w:jc w:val="both"/>
              <w:rPr>
                <w:color w:val="auto"/>
                <w:highlight w:val="none"/>
                <w:lang w:eastAsia="zh-CN"/>
              </w:rPr>
            </w:pPr>
          </w:p>
          <w:p w14:paraId="1A7A160D">
            <w:pPr>
              <w:pStyle w:val="5"/>
              <w:jc w:val="center"/>
              <w:outlineLvl w:val="2"/>
              <w:rPr>
                <w:rFonts w:ascii="仿宋" w:hAnsi="仿宋" w:eastAsia="仿宋" w:cs="仿宋"/>
                <w:color w:val="auto"/>
                <w:highlight w:val="none"/>
              </w:rPr>
            </w:pPr>
            <w:r>
              <w:rPr>
                <w:rFonts w:hint="eastAsia" w:ascii="仿宋" w:hAnsi="仿宋" w:eastAsia="仿宋" w:cs="仿宋"/>
                <w:color w:val="auto"/>
                <w:highlight w:val="none"/>
              </w:rPr>
              <w:t>日  期：20</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月</w:t>
            </w:r>
          </w:p>
          <w:p w14:paraId="52AFE32D">
            <w:pPr>
              <w:pStyle w:val="5"/>
              <w:jc w:val="both"/>
              <w:outlineLvl w:val="2"/>
              <w:rPr>
                <w:rFonts w:ascii="仿宋" w:hAnsi="仿宋" w:eastAsia="仿宋" w:cs="仿宋"/>
                <w:color w:val="auto"/>
                <w:highlight w:val="none"/>
              </w:rPr>
            </w:pPr>
          </w:p>
        </w:tc>
      </w:tr>
    </w:tbl>
    <w:p w14:paraId="16CF6359">
      <w:pPr>
        <w:spacing w:line="240" w:lineRule="exact"/>
        <w:rPr>
          <w:rFonts w:ascii="仿宋" w:hAnsi="仿宋" w:eastAsia="仿宋" w:cs="仿宋"/>
          <w:color w:val="auto"/>
          <w:sz w:val="44"/>
          <w:szCs w:val="44"/>
          <w:highlight w:val="none"/>
          <w:lang w:eastAsia="zh-CN"/>
        </w:rPr>
        <w:sectPr>
          <w:headerReference r:id="rId3" w:type="default"/>
          <w:footerReference r:id="rId4" w:type="default"/>
          <w:pgSz w:w="11906" w:h="16838"/>
          <w:pgMar w:top="1440" w:right="1519" w:bottom="1440" w:left="1519" w:header="851" w:footer="992" w:gutter="0"/>
          <w:pgNumType w:fmt="decimal" w:start="1"/>
          <w:cols w:space="720" w:num="1"/>
          <w:docGrid w:type="linesAndChars" w:linePitch="312" w:charSpace="0"/>
        </w:sectPr>
      </w:pPr>
    </w:p>
    <w:p w14:paraId="76478127">
      <w:pPr>
        <w:pStyle w:val="35"/>
        <w:spacing w:before="0" w:line="360" w:lineRule="auto"/>
        <w:jc w:val="both"/>
        <w:rPr>
          <w:rFonts w:ascii="仿宋" w:hAnsi="仿宋" w:eastAsia="仿宋" w:cs="仿宋"/>
          <w:color w:val="auto"/>
          <w:sz w:val="44"/>
          <w:szCs w:val="44"/>
          <w:highlight w:val="none"/>
          <w:lang w:val="zh-CN"/>
        </w:rPr>
      </w:pPr>
    </w:p>
    <w:p w14:paraId="025B2524">
      <w:pPr>
        <w:pStyle w:val="35"/>
        <w:spacing w:before="0"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44"/>
          <w:szCs w:val="44"/>
          <w:highlight w:val="none"/>
          <w:lang w:val="zh-CN"/>
        </w:rPr>
        <w:t>目    录</w:t>
      </w:r>
    </w:p>
    <w:p w14:paraId="0F5EAF49">
      <w:pPr>
        <w:widowControl/>
        <w:rPr>
          <w:rFonts w:ascii="仿宋" w:hAnsi="仿宋" w:eastAsia="仿宋" w:cs="仿宋"/>
          <w:color w:val="auto"/>
          <w:sz w:val="30"/>
          <w:szCs w:val="30"/>
          <w:highlight w:val="none"/>
        </w:rPr>
      </w:pPr>
    </w:p>
    <w:p w14:paraId="5C24A316">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0C669CB5">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供应商须知</w:t>
      </w:r>
    </w:p>
    <w:p w14:paraId="6A6A0CE4">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23378F46">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技术规格数量及质量要求</w:t>
      </w:r>
    </w:p>
    <w:p w14:paraId="63CFD15B">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2F9F505A">
      <w:pPr>
        <w:pStyle w:val="33"/>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770BB29E">
      <w:pPr>
        <w:pStyle w:val="10"/>
        <w:numPr>
          <w:ilvl w:val="0"/>
          <w:numId w:val="0"/>
        </w:numPr>
        <w:spacing w:line="480" w:lineRule="auto"/>
        <w:rPr>
          <w:rFonts w:ascii="仿宋" w:hAnsi="仿宋" w:eastAsia="仿宋" w:cs="仿宋"/>
          <w:color w:val="auto"/>
          <w:highlight w:val="none"/>
          <w:lang w:eastAsia="zh-CN"/>
        </w:rPr>
      </w:pPr>
    </w:p>
    <w:p w14:paraId="6B9CCAF3">
      <w:pPr>
        <w:spacing w:line="480" w:lineRule="auto"/>
        <w:rPr>
          <w:rFonts w:ascii="仿宋" w:hAnsi="仿宋" w:eastAsia="仿宋" w:cs="仿宋"/>
          <w:color w:val="auto"/>
          <w:highlight w:val="none"/>
          <w:lang w:eastAsia="zh-CN"/>
        </w:rPr>
      </w:pPr>
    </w:p>
    <w:p w14:paraId="4AF31C83">
      <w:pPr>
        <w:pStyle w:val="5"/>
        <w:rPr>
          <w:rFonts w:ascii="仿宋" w:hAnsi="仿宋" w:eastAsia="仿宋" w:cs="仿宋"/>
          <w:color w:val="auto"/>
          <w:highlight w:val="none"/>
          <w:lang w:eastAsia="zh-CN"/>
        </w:rPr>
      </w:pPr>
    </w:p>
    <w:p w14:paraId="74DDA81B">
      <w:pPr>
        <w:rPr>
          <w:rFonts w:ascii="仿宋" w:hAnsi="仿宋" w:eastAsia="仿宋" w:cs="仿宋"/>
          <w:color w:val="auto"/>
          <w:highlight w:val="none"/>
          <w:lang w:eastAsia="zh-CN"/>
        </w:rPr>
      </w:pPr>
    </w:p>
    <w:p w14:paraId="6F979980">
      <w:pPr>
        <w:pStyle w:val="5"/>
        <w:rPr>
          <w:rFonts w:ascii="仿宋" w:hAnsi="仿宋" w:eastAsia="仿宋" w:cs="仿宋"/>
          <w:color w:val="auto"/>
          <w:highlight w:val="none"/>
          <w:lang w:eastAsia="zh-CN"/>
        </w:rPr>
      </w:pPr>
    </w:p>
    <w:p w14:paraId="1C00D3DE">
      <w:pPr>
        <w:rPr>
          <w:rFonts w:ascii="仿宋" w:hAnsi="仿宋" w:eastAsia="仿宋" w:cs="仿宋"/>
          <w:color w:val="auto"/>
          <w:highlight w:val="none"/>
          <w:lang w:eastAsia="zh-CN"/>
        </w:rPr>
      </w:pPr>
    </w:p>
    <w:p w14:paraId="1BF34CB9">
      <w:pPr>
        <w:pStyle w:val="5"/>
        <w:rPr>
          <w:rFonts w:ascii="仿宋" w:hAnsi="仿宋" w:eastAsia="仿宋" w:cs="仿宋"/>
          <w:color w:val="auto"/>
          <w:highlight w:val="none"/>
          <w:lang w:eastAsia="zh-CN"/>
        </w:rPr>
      </w:pPr>
    </w:p>
    <w:p w14:paraId="56796DCC">
      <w:pPr>
        <w:rPr>
          <w:rFonts w:ascii="仿宋" w:hAnsi="仿宋" w:eastAsia="仿宋" w:cs="仿宋"/>
          <w:color w:val="auto"/>
          <w:highlight w:val="none"/>
          <w:lang w:eastAsia="zh-CN"/>
        </w:rPr>
      </w:pPr>
    </w:p>
    <w:p w14:paraId="5BEB0D83">
      <w:pPr>
        <w:pStyle w:val="5"/>
        <w:rPr>
          <w:rFonts w:ascii="仿宋" w:hAnsi="仿宋" w:eastAsia="仿宋" w:cs="仿宋"/>
          <w:color w:val="auto"/>
          <w:highlight w:val="none"/>
          <w:lang w:eastAsia="zh-CN"/>
        </w:rPr>
      </w:pPr>
    </w:p>
    <w:p w14:paraId="6968FC8B">
      <w:pPr>
        <w:pStyle w:val="36"/>
        <w:keepNext/>
        <w:keepLines/>
        <w:spacing w:before="120" w:after="300"/>
        <w:jc w:val="both"/>
        <w:rPr>
          <w:rFonts w:ascii="仿宋" w:hAnsi="仿宋" w:eastAsia="仿宋" w:cs="仿宋"/>
          <w:b/>
          <w:bCs/>
          <w:color w:val="auto"/>
          <w:highlight w:val="none"/>
        </w:rPr>
        <w:sectPr>
          <w:footerReference r:id="rId5" w:type="default"/>
          <w:pgSz w:w="11906" w:h="16838"/>
          <w:pgMar w:top="1440" w:right="1080" w:bottom="1440" w:left="1080" w:header="851" w:footer="992" w:gutter="0"/>
          <w:pgNumType w:fmt="decimal" w:start="1"/>
          <w:cols w:space="720" w:num="1"/>
          <w:docGrid w:type="linesAndChars" w:linePitch="312" w:charSpace="0"/>
        </w:sectPr>
      </w:pPr>
    </w:p>
    <w:p w14:paraId="2139C197">
      <w:pPr>
        <w:pStyle w:val="36"/>
        <w:keepNext/>
        <w:keepLines/>
        <w:pageBreakBefore w:val="0"/>
        <w:kinsoku/>
        <w:wordWrap/>
        <w:overflowPunct/>
        <w:topLinePunct w:val="0"/>
        <w:autoSpaceDE/>
        <w:autoSpaceDN/>
        <w:bidi w:val="0"/>
        <w:adjustRightInd/>
        <w:snapToGrid/>
        <w:spacing w:before="120" w:after="300" w:line="400" w:lineRule="exact"/>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rPr>
        <w:t>第一</w:t>
      </w:r>
      <w:r>
        <w:rPr>
          <w:rFonts w:hint="eastAsia" w:ascii="仿宋" w:hAnsi="仿宋" w:eastAsia="仿宋" w:cs="仿宋"/>
          <w:b/>
          <w:bCs/>
          <w:color w:val="auto"/>
          <w:highlight w:val="none"/>
          <w:lang w:val="en-US" w:eastAsia="zh-CN"/>
        </w:rPr>
        <w:t xml:space="preserve">章 </w:t>
      </w:r>
      <w:r>
        <w:rPr>
          <w:rFonts w:hint="eastAsia" w:ascii="仿宋" w:hAnsi="仿宋" w:eastAsia="仿宋" w:cs="仿宋"/>
          <w:b/>
          <w:bCs/>
          <w:color w:val="auto"/>
          <w:highlight w:val="none"/>
          <w:lang w:eastAsia="zh-CN"/>
        </w:rPr>
        <w:t>招标公告</w:t>
      </w:r>
    </w:p>
    <w:p w14:paraId="7BB0082B">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
        </w:rPr>
      </w:pPr>
      <w:r>
        <w:rPr>
          <w:rFonts w:hint="eastAsia" w:ascii="仿宋" w:hAnsi="仿宋" w:eastAsia="仿宋" w:cs="仿宋"/>
          <w:b/>
          <w:bCs/>
          <w:i w:val="0"/>
          <w:iCs w:val="0"/>
          <w:caps w:val="0"/>
          <w:color w:val="auto"/>
          <w:spacing w:val="0"/>
          <w:kern w:val="0"/>
          <w:sz w:val="32"/>
          <w:szCs w:val="32"/>
          <w:highlight w:val="none"/>
          <w:lang w:val="en-US" w:eastAsia="zh-CN" w:bidi="ar"/>
        </w:rPr>
        <w:t>克州二中2025年学生食堂后厨工作人员服务采购项目</w:t>
      </w:r>
    </w:p>
    <w:p w14:paraId="2440CC4E">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kern w:val="0"/>
          <w:sz w:val="24"/>
          <w:szCs w:val="24"/>
          <w:highlight w:val="none"/>
          <w:lang w:val="en-US" w:eastAsia="zh-CN" w:bidi="ar"/>
        </w:rPr>
      </w:pPr>
      <w:r>
        <w:rPr>
          <w:rFonts w:hint="eastAsia" w:ascii="仿宋" w:hAnsi="仿宋" w:eastAsia="仿宋" w:cs="仿宋"/>
          <w:b/>
          <w:bCs/>
          <w:i w:val="0"/>
          <w:iCs w:val="0"/>
          <w:caps w:val="0"/>
          <w:color w:val="auto"/>
          <w:spacing w:val="0"/>
          <w:kern w:val="0"/>
          <w:sz w:val="32"/>
          <w:szCs w:val="32"/>
          <w:highlight w:val="none"/>
          <w:lang w:val="en-US" w:eastAsia="zh-CN" w:bidi="ar"/>
        </w:rPr>
        <w:t>公开招标公告</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4E5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9743" w:type="dxa"/>
            <w:noWrap w:val="0"/>
            <w:vAlign w:val="top"/>
          </w:tcPr>
          <w:p w14:paraId="6ECC0A4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项目概况</w:t>
            </w:r>
          </w:p>
          <w:p w14:paraId="4D59B9D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b w:val="0"/>
                <w:bCs w:val="0"/>
                <w:color w:val="auto"/>
                <w:sz w:val="36"/>
                <w:szCs w:val="36"/>
                <w:highlight w:val="none"/>
                <w:vertAlign w:val="baseline"/>
              </w:rPr>
            </w:pPr>
            <w:r>
              <w:rPr>
                <w:rFonts w:hint="eastAsia" w:ascii="仿宋" w:hAnsi="仿宋" w:eastAsia="仿宋" w:cs="仿宋"/>
                <w:i w:val="0"/>
                <w:iCs w:val="0"/>
                <w:caps w:val="0"/>
                <w:color w:val="auto"/>
                <w:spacing w:val="0"/>
                <w:sz w:val="24"/>
                <w:szCs w:val="24"/>
                <w:highlight w:val="none"/>
                <w:lang w:eastAsia="zh-CN"/>
              </w:rPr>
              <w:t>克州二中2025年学生食堂后厨工作人员服务采购项目</w:t>
            </w:r>
            <w:r>
              <w:rPr>
                <w:rFonts w:hint="eastAsia" w:ascii="仿宋" w:hAnsi="仿宋" w:eastAsia="仿宋" w:cs="仿宋"/>
                <w:i w:val="0"/>
                <w:iCs w:val="0"/>
                <w:caps w:val="0"/>
                <w:color w:val="auto"/>
                <w:spacing w:val="0"/>
                <w:sz w:val="24"/>
                <w:szCs w:val="24"/>
                <w:highlight w:val="none"/>
              </w:rPr>
              <w:t>的潜在投标人应在政采云平台线上获取招标文件</w:t>
            </w:r>
            <w:r>
              <w:rPr>
                <w:rFonts w:hint="eastAsia" w:ascii="仿宋" w:hAnsi="仿宋" w:eastAsia="仿宋" w:cs="仿宋"/>
                <w:b w:val="0"/>
                <w:bCs w:val="0"/>
                <w:i w:val="0"/>
                <w:iCs w:val="0"/>
                <w:caps w:val="0"/>
                <w:color w:val="auto"/>
                <w:spacing w:val="0"/>
                <w:sz w:val="24"/>
                <w:szCs w:val="24"/>
                <w:highlight w:val="none"/>
              </w:rPr>
              <w:t>，并于</w:t>
            </w:r>
            <w:r>
              <w:rPr>
                <w:rFonts w:hint="eastAsia" w:ascii="仿宋" w:hAnsi="仿宋" w:eastAsia="仿宋" w:cs="仿宋"/>
                <w:b w:val="0"/>
                <w:bCs w:val="0"/>
                <w:i w:val="0"/>
                <w:iCs w:val="0"/>
                <w:caps w:val="0"/>
                <w:color w:val="auto"/>
                <w:spacing w:val="0"/>
                <w:sz w:val="24"/>
                <w:szCs w:val="24"/>
                <w:highlight w:val="none"/>
                <w:u w:val="single"/>
              </w:rPr>
              <w:t>202</w:t>
            </w:r>
            <w:r>
              <w:rPr>
                <w:rFonts w:hint="eastAsia" w:ascii="仿宋" w:hAnsi="仿宋" w:eastAsia="仿宋" w:cs="仿宋"/>
                <w:b w:val="0"/>
                <w:bCs w:val="0"/>
                <w:i w:val="0"/>
                <w:iCs w:val="0"/>
                <w:caps w:val="0"/>
                <w:color w:val="auto"/>
                <w:spacing w:val="0"/>
                <w:sz w:val="24"/>
                <w:szCs w:val="24"/>
                <w:highlight w:val="none"/>
                <w:u w:val="single"/>
                <w:lang w:val="en-US" w:eastAsia="zh-CN"/>
              </w:rPr>
              <w:t>5</w:t>
            </w:r>
            <w:r>
              <w:rPr>
                <w:rFonts w:hint="eastAsia" w:ascii="仿宋" w:hAnsi="仿宋" w:eastAsia="仿宋" w:cs="仿宋"/>
                <w:b w:val="0"/>
                <w:bCs w:val="0"/>
                <w:i w:val="0"/>
                <w:iCs w:val="0"/>
                <w:caps w:val="0"/>
                <w:color w:val="auto"/>
                <w:spacing w:val="0"/>
                <w:sz w:val="24"/>
                <w:szCs w:val="24"/>
                <w:highlight w:val="none"/>
                <w:u w:val="single"/>
              </w:rPr>
              <w:t>年</w:t>
            </w:r>
            <w:r>
              <w:rPr>
                <w:rFonts w:hint="eastAsia" w:ascii="仿宋" w:hAnsi="仿宋" w:eastAsia="仿宋" w:cs="仿宋"/>
                <w:b w:val="0"/>
                <w:bCs w:val="0"/>
                <w:i w:val="0"/>
                <w:iCs w:val="0"/>
                <w:caps w:val="0"/>
                <w:color w:val="auto"/>
                <w:spacing w:val="0"/>
                <w:sz w:val="24"/>
                <w:szCs w:val="24"/>
                <w:highlight w:val="none"/>
                <w:u w:val="single"/>
                <w:lang w:val="en-US" w:eastAsia="zh-CN"/>
              </w:rPr>
              <w:t>3</w:t>
            </w:r>
            <w:r>
              <w:rPr>
                <w:rFonts w:hint="eastAsia" w:ascii="仿宋" w:hAnsi="仿宋" w:eastAsia="仿宋" w:cs="仿宋"/>
                <w:b w:val="0"/>
                <w:bCs w:val="0"/>
                <w:i w:val="0"/>
                <w:iCs w:val="0"/>
                <w:caps w:val="0"/>
                <w:color w:val="auto"/>
                <w:spacing w:val="0"/>
                <w:sz w:val="24"/>
                <w:szCs w:val="24"/>
                <w:highlight w:val="none"/>
                <w:u w:val="single"/>
              </w:rPr>
              <w:t>月</w:t>
            </w:r>
            <w:r>
              <w:rPr>
                <w:rFonts w:hint="eastAsia" w:ascii="仿宋" w:hAnsi="仿宋" w:eastAsia="仿宋" w:cs="仿宋"/>
                <w:b w:val="0"/>
                <w:bCs w:val="0"/>
                <w:i w:val="0"/>
                <w:iCs w:val="0"/>
                <w:caps w:val="0"/>
                <w:color w:val="auto"/>
                <w:spacing w:val="0"/>
                <w:sz w:val="24"/>
                <w:szCs w:val="24"/>
                <w:highlight w:val="none"/>
                <w:u w:val="single"/>
                <w:lang w:val="en-US" w:eastAsia="zh-CN"/>
              </w:rPr>
              <w:t>4</w:t>
            </w:r>
            <w:r>
              <w:rPr>
                <w:rFonts w:hint="eastAsia" w:ascii="仿宋" w:hAnsi="仿宋" w:eastAsia="仿宋" w:cs="仿宋"/>
                <w:b w:val="0"/>
                <w:bCs w:val="0"/>
                <w:i w:val="0"/>
                <w:iCs w:val="0"/>
                <w:caps w:val="0"/>
                <w:color w:val="auto"/>
                <w:spacing w:val="0"/>
                <w:sz w:val="24"/>
                <w:szCs w:val="24"/>
                <w:highlight w:val="none"/>
                <w:u w:val="single"/>
              </w:rPr>
              <w:t>日</w:t>
            </w:r>
            <w:r>
              <w:rPr>
                <w:rFonts w:hint="eastAsia" w:ascii="仿宋" w:hAnsi="仿宋" w:eastAsia="仿宋" w:cs="仿宋"/>
                <w:b w:val="0"/>
                <w:bCs w:val="0"/>
                <w:i w:val="0"/>
                <w:iCs w:val="0"/>
                <w:caps w:val="0"/>
                <w:color w:val="auto"/>
                <w:spacing w:val="0"/>
                <w:sz w:val="24"/>
                <w:szCs w:val="24"/>
                <w:highlight w:val="none"/>
                <w:u w:val="single"/>
                <w:lang w:val="en-US" w:eastAsia="zh-CN"/>
              </w:rPr>
              <w:t>10</w:t>
            </w:r>
            <w:r>
              <w:rPr>
                <w:rFonts w:hint="eastAsia" w:ascii="仿宋" w:hAnsi="仿宋" w:eastAsia="仿宋" w:cs="仿宋"/>
                <w:b w:val="0"/>
                <w:bCs w:val="0"/>
                <w:i w:val="0"/>
                <w:iCs w:val="0"/>
                <w:caps w:val="0"/>
                <w:color w:val="auto"/>
                <w:spacing w:val="0"/>
                <w:sz w:val="24"/>
                <w:szCs w:val="24"/>
                <w:highlight w:val="none"/>
                <w:u w:val="single"/>
              </w:rPr>
              <w:t>:</w:t>
            </w:r>
            <w:r>
              <w:rPr>
                <w:rFonts w:hint="eastAsia" w:ascii="仿宋" w:hAnsi="仿宋" w:eastAsia="仿宋" w:cs="仿宋"/>
                <w:b w:val="0"/>
                <w:bCs w:val="0"/>
                <w:i w:val="0"/>
                <w:iCs w:val="0"/>
                <w:caps w:val="0"/>
                <w:color w:val="auto"/>
                <w:spacing w:val="0"/>
                <w:sz w:val="24"/>
                <w:szCs w:val="24"/>
                <w:highlight w:val="none"/>
                <w:u w:val="single"/>
                <w:lang w:val="en-US" w:eastAsia="zh-CN"/>
              </w:rPr>
              <w:t>3</w:t>
            </w:r>
            <w:r>
              <w:rPr>
                <w:rFonts w:hint="eastAsia" w:ascii="仿宋" w:hAnsi="仿宋" w:eastAsia="仿宋" w:cs="仿宋"/>
                <w:b w:val="0"/>
                <w:bCs w:val="0"/>
                <w:i w:val="0"/>
                <w:iCs w:val="0"/>
                <w:caps w:val="0"/>
                <w:color w:val="auto"/>
                <w:spacing w:val="0"/>
                <w:sz w:val="24"/>
                <w:szCs w:val="24"/>
                <w:highlight w:val="none"/>
                <w:u w:val="single"/>
              </w:rPr>
              <w:t>0</w:t>
            </w:r>
            <w:r>
              <w:rPr>
                <w:rFonts w:hint="eastAsia" w:ascii="仿宋" w:hAnsi="仿宋" w:eastAsia="仿宋" w:cs="仿宋"/>
                <w:b w:val="0"/>
                <w:bCs w:val="0"/>
                <w:i w:val="0"/>
                <w:iCs w:val="0"/>
                <w:caps w:val="0"/>
                <w:color w:val="auto"/>
                <w:spacing w:val="0"/>
                <w:sz w:val="24"/>
                <w:szCs w:val="24"/>
                <w:highlight w:val="none"/>
              </w:rPr>
              <w:t>（北京时间）前递交投标文件。</w:t>
            </w:r>
          </w:p>
        </w:tc>
      </w:tr>
    </w:tbl>
    <w:p w14:paraId="1E87066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一、项目基本情况</w:t>
      </w:r>
    </w:p>
    <w:p w14:paraId="611E3F5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项目编号：KZZB-20</w:t>
      </w:r>
      <w:r>
        <w:rPr>
          <w:rFonts w:hint="eastAsia" w:ascii="仿宋" w:hAnsi="仿宋" w:eastAsia="仿宋" w:cs="仿宋"/>
          <w:b w:val="0"/>
          <w:bCs w:val="0"/>
          <w:i w:val="0"/>
          <w:iCs w:val="0"/>
          <w:caps w:val="0"/>
          <w:color w:val="auto"/>
          <w:spacing w:val="0"/>
          <w:sz w:val="24"/>
          <w:szCs w:val="24"/>
          <w:highlight w:val="none"/>
          <w:lang w:val="en-US" w:eastAsia="zh-CN"/>
        </w:rPr>
        <w:t>25017</w:t>
      </w:r>
    </w:p>
    <w:p w14:paraId="2250442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rPr>
        <w:t>项目名称：</w:t>
      </w:r>
      <w:r>
        <w:rPr>
          <w:rFonts w:hint="eastAsia" w:ascii="仿宋" w:hAnsi="仿宋" w:eastAsia="仿宋" w:cs="仿宋"/>
          <w:b w:val="0"/>
          <w:bCs w:val="0"/>
          <w:i w:val="0"/>
          <w:iCs w:val="0"/>
          <w:caps w:val="0"/>
          <w:color w:val="auto"/>
          <w:spacing w:val="0"/>
          <w:sz w:val="24"/>
          <w:szCs w:val="24"/>
          <w:highlight w:val="none"/>
          <w:lang w:eastAsia="zh-CN"/>
        </w:rPr>
        <w:t>克州二中2025年学生食堂后厨工作人员服务采购项目</w:t>
      </w:r>
    </w:p>
    <w:p w14:paraId="00E5297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采购方式：公开招标</w:t>
      </w:r>
    </w:p>
    <w:p w14:paraId="3732613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预算金额（元）：</w:t>
      </w:r>
      <w:r>
        <w:rPr>
          <w:rFonts w:hint="eastAsia" w:ascii="仿宋" w:hAnsi="仿宋" w:eastAsia="仿宋" w:cs="仿宋"/>
          <w:b w:val="0"/>
          <w:bCs w:val="0"/>
          <w:i w:val="0"/>
          <w:iCs w:val="0"/>
          <w:caps w:val="0"/>
          <w:color w:val="auto"/>
          <w:spacing w:val="0"/>
          <w:sz w:val="24"/>
          <w:szCs w:val="24"/>
          <w:highlight w:val="none"/>
          <w:lang w:val="en-US" w:eastAsia="zh-CN"/>
        </w:rPr>
        <w:t>1925000</w:t>
      </w:r>
    </w:p>
    <w:p w14:paraId="5D058F7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最高限价（元）：</w:t>
      </w:r>
      <w:r>
        <w:rPr>
          <w:rFonts w:hint="eastAsia" w:ascii="仿宋" w:hAnsi="仿宋" w:eastAsia="仿宋" w:cs="仿宋"/>
          <w:b w:val="0"/>
          <w:bCs w:val="0"/>
          <w:i w:val="0"/>
          <w:iCs w:val="0"/>
          <w:caps w:val="0"/>
          <w:color w:val="auto"/>
          <w:spacing w:val="0"/>
          <w:sz w:val="24"/>
          <w:szCs w:val="24"/>
          <w:highlight w:val="none"/>
          <w:lang w:val="en-US" w:eastAsia="zh-CN"/>
        </w:rPr>
        <w:t>1925000</w:t>
      </w:r>
    </w:p>
    <w:p w14:paraId="65DAE1F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采购需求：</w:t>
      </w:r>
    </w:p>
    <w:p w14:paraId="5533CE6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720" w:leftChars="300" w:right="0" w:firstLine="0" w:firstLineChars="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标项一:</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标项名称:克州二中2025年学生食堂后厨工作人员服务采购项目</w:t>
      </w:r>
    </w:p>
    <w:p w14:paraId="1567BE2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720" w:firstLineChars="3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0CDC4BD5">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720" w:firstLineChars="3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预算金额（元）:</w:t>
      </w:r>
      <w:r>
        <w:rPr>
          <w:rFonts w:hint="eastAsia" w:ascii="仿宋" w:hAnsi="仿宋" w:eastAsia="仿宋" w:cs="仿宋"/>
          <w:b w:val="0"/>
          <w:bCs w:val="0"/>
          <w:i w:val="0"/>
          <w:iCs w:val="0"/>
          <w:caps w:val="0"/>
          <w:color w:val="auto"/>
          <w:spacing w:val="0"/>
          <w:sz w:val="24"/>
          <w:szCs w:val="24"/>
          <w:highlight w:val="none"/>
          <w:lang w:val="en-US" w:eastAsia="zh-CN"/>
        </w:rPr>
        <w:t>1925000</w:t>
      </w:r>
    </w:p>
    <w:p w14:paraId="2BC28911">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简要规格描述或项目基本概况介绍、用途：服务人员</w:t>
      </w:r>
      <w:r>
        <w:rPr>
          <w:rFonts w:hint="eastAsia" w:ascii="仿宋" w:hAnsi="仿宋" w:eastAsia="仿宋" w:cs="仿宋"/>
          <w:b w:val="0"/>
          <w:bCs w:val="0"/>
          <w:i w:val="0"/>
          <w:iCs w:val="0"/>
          <w:caps w:val="0"/>
          <w:color w:val="auto"/>
          <w:spacing w:val="0"/>
          <w:sz w:val="24"/>
          <w:szCs w:val="24"/>
          <w:highlight w:val="none"/>
          <w:lang w:val="en-US" w:eastAsia="zh-CN"/>
        </w:rPr>
        <w:t>42人</w:t>
      </w:r>
      <w:r>
        <w:rPr>
          <w:rFonts w:hint="eastAsia" w:ascii="仿宋" w:hAnsi="仿宋" w:eastAsia="仿宋" w:cs="仿宋"/>
          <w:b w:val="0"/>
          <w:bCs w:val="0"/>
          <w:i w:val="0"/>
          <w:iCs w:val="0"/>
          <w:caps w:val="0"/>
          <w:color w:val="auto"/>
          <w:spacing w:val="0"/>
          <w:sz w:val="24"/>
          <w:szCs w:val="24"/>
          <w:highlight w:val="none"/>
          <w:lang w:eastAsia="zh-CN"/>
        </w:rPr>
        <w:t>（具体详见采购需求）</w:t>
      </w:r>
    </w:p>
    <w:p w14:paraId="4E55FB7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w:t>
      </w:r>
    </w:p>
    <w:p w14:paraId="0CDC195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履约期限：</w:t>
      </w:r>
      <w:r>
        <w:rPr>
          <w:rFonts w:hint="eastAsia" w:ascii="仿宋" w:hAnsi="仿宋" w:eastAsia="仿宋" w:cs="仿宋"/>
          <w:b w:val="0"/>
          <w:bCs w:val="0"/>
          <w:i w:val="0"/>
          <w:iCs w:val="0"/>
          <w:caps w:val="0"/>
          <w:color w:val="auto"/>
          <w:spacing w:val="0"/>
          <w:sz w:val="24"/>
          <w:szCs w:val="24"/>
          <w:highlight w:val="none"/>
          <w:lang w:val="en-US" w:eastAsia="zh-CN"/>
        </w:rPr>
        <w:t>1年。</w:t>
      </w:r>
    </w:p>
    <w:p w14:paraId="0D60251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本项目不接受联合体投标。</w:t>
      </w:r>
    </w:p>
    <w:p w14:paraId="7D6CB54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二、申请人的资格要求：</w:t>
      </w:r>
    </w:p>
    <w:p w14:paraId="5BB5E5D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1.满足《中华人民共和国政府采购法》第二十二条规定；</w:t>
      </w:r>
    </w:p>
    <w:p w14:paraId="10DE97C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2.落实政府采购政策需满足的资格要求：</w:t>
      </w:r>
      <w:r>
        <w:rPr>
          <w:rFonts w:hint="eastAsia" w:ascii="仿宋" w:hAnsi="仿宋" w:eastAsia="仿宋" w:cs="仿宋"/>
          <w:b w:val="0"/>
          <w:bCs w:val="0"/>
          <w:i w:val="0"/>
          <w:iCs w:val="0"/>
          <w:caps w:val="0"/>
          <w:color w:val="auto"/>
          <w:spacing w:val="0"/>
          <w:sz w:val="24"/>
          <w:szCs w:val="24"/>
          <w:highlight w:val="none"/>
          <w:lang w:eastAsia="zh-CN"/>
        </w:rPr>
        <w:t>供应商为中小企业。</w:t>
      </w:r>
      <w:r>
        <w:rPr>
          <w:rFonts w:hint="eastAsia" w:ascii="仿宋" w:hAnsi="仿宋" w:eastAsia="仿宋" w:cs="仿宋"/>
          <w:b w:val="0"/>
          <w:bCs w:val="0"/>
          <w:i w:val="0"/>
          <w:iCs w:val="0"/>
          <w:caps w:val="0"/>
          <w:color w:val="auto"/>
          <w:spacing w:val="0"/>
          <w:sz w:val="24"/>
          <w:szCs w:val="24"/>
          <w:highlight w:val="none"/>
        </w:rPr>
        <w:t> </w:t>
      </w:r>
    </w:p>
    <w:p w14:paraId="6B94742E">
      <w:pPr>
        <w:keepNext w:val="0"/>
        <w:keepLines w:val="0"/>
        <w:pageBreakBefore w:val="0"/>
        <w:kinsoku/>
        <w:wordWrap/>
        <w:overflowPunct/>
        <w:topLinePunct w:val="0"/>
        <w:autoSpaceDE/>
        <w:autoSpaceDN/>
        <w:bidi w:val="0"/>
        <w:spacing w:line="400" w:lineRule="exact"/>
        <w:ind w:firstLine="480" w:firstLineChars="200"/>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3.本项目的特定资格要求：</w:t>
      </w:r>
    </w:p>
    <w:p w14:paraId="0AA748C4">
      <w:pPr>
        <w:keepNext w:val="0"/>
        <w:keepLines w:val="0"/>
        <w:pageBreakBefore w:val="0"/>
        <w:kinsoku/>
        <w:wordWrap/>
        <w:overflowPunct/>
        <w:topLinePunct w:val="0"/>
        <w:autoSpaceDE/>
        <w:autoSpaceDN/>
        <w:bidi w:val="0"/>
        <w:spacing w:line="400"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1)具备三证合一营业执照副本；</w:t>
      </w:r>
    </w:p>
    <w:p w14:paraId="231C0D4E">
      <w:pPr>
        <w:keepNext w:val="0"/>
        <w:keepLines w:val="0"/>
        <w:pageBreakBefore w:val="0"/>
        <w:kinsoku/>
        <w:wordWrap/>
        <w:overflowPunct/>
        <w:topLinePunct w:val="0"/>
        <w:autoSpaceDE/>
        <w:autoSpaceDN/>
        <w:bidi w:val="0"/>
        <w:spacing w:line="400"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2)法定代表人投标须提供法定代表人资格证明书，委托代理人投标须提供法定代表人授权委托书；</w:t>
      </w:r>
    </w:p>
    <w:p w14:paraId="3D0E1FAF">
      <w:pPr>
        <w:keepNext w:val="0"/>
        <w:keepLines w:val="0"/>
        <w:pageBreakBefore w:val="0"/>
        <w:kinsoku/>
        <w:wordWrap/>
        <w:overflowPunct/>
        <w:topLinePunct w:val="0"/>
        <w:autoSpaceDE/>
        <w:autoSpaceDN/>
        <w:bidi w:val="0"/>
        <w:spacing w:line="400"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3)投标企业须提供投标人（被授权在职人员）近6个月内任意一个月有效的社保证明；</w:t>
      </w:r>
    </w:p>
    <w:p w14:paraId="32094473">
      <w:pPr>
        <w:pStyle w:val="33"/>
        <w:keepNext w:val="0"/>
        <w:keepLines w:val="0"/>
        <w:pageBreakBefore w:val="0"/>
        <w:kinsoku/>
        <w:wordWrap/>
        <w:overflowPunct/>
        <w:topLinePunct w:val="0"/>
        <w:autoSpaceDE/>
        <w:autoSpaceDN/>
        <w:bidi w:val="0"/>
        <w:spacing w:line="40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参加政府采购活动前三年内，在经营活动中没有重大违法记录；参加政府采购活动前三年内，在经营活动中没有重大违法记录；未被“信用中国”（www.creditchina.gov.cn）、中国政府采购网（www.ccgp.gov.cn）列入失信被执行人、税收违法黑名单、政府采购严重违法失信行为记录名单。</w:t>
      </w:r>
    </w:p>
    <w:p w14:paraId="276CFC5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三、获取招标文件</w:t>
      </w:r>
    </w:p>
    <w:p w14:paraId="7E3A2D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lang w:eastAsia="zh-CN"/>
        </w:rPr>
        <w:t>日至</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19</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lang w:eastAsia="zh-CN"/>
        </w:rPr>
        <w:t>，每天上午10:00至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，下午16:</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（北京时间，节假日除外）</w:t>
      </w:r>
    </w:p>
    <w:p w14:paraId="5820E1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地点：政采云平台线上</w:t>
      </w:r>
    </w:p>
    <w:p w14:paraId="42BA7B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方式：供应商登录政采云平台https://www.zcygov.cn/在线申请获取采购文件（进入“项目采购”应用，在获取采购文件菜单中选择项目，申请获取采购文件）</w:t>
      </w:r>
    </w:p>
    <w:p w14:paraId="1F98E2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w:t>
      </w:r>
    </w:p>
    <w:p w14:paraId="0640DB0D">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四、提交投标文件截止时间、开标时间和地点</w:t>
      </w:r>
    </w:p>
    <w:p w14:paraId="0AB08E9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截止时间：</w:t>
      </w:r>
      <w:r>
        <w:rPr>
          <w:rFonts w:hint="eastAsia" w:ascii="仿宋" w:hAnsi="仿宋" w:eastAsia="仿宋" w:cs="仿宋"/>
          <w:color w:val="auto"/>
          <w:kern w:val="2"/>
          <w:sz w:val="24"/>
          <w:szCs w:val="24"/>
          <w:highlight w:val="none"/>
          <w:u w:val="single"/>
          <w:lang w:eastAsia="zh-CN" w:bidi="ar-SA"/>
        </w:rPr>
        <w:t>202</w:t>
      </w:r>
      <w:r>
        <w:rPr>
          <w:rFonts w:hint="eastAsia" w:ascii="仿宋" w:hAnsi="仿宋" w:eastAsia="仿宋" w:cs="仿宋"/>
          <w:color w:val="auto"/>
          <w:kern w:val="2"/>
          <w:sz w:val="24"/>
          <w:szCs w:val="24"/>
          <w:highlight w:val="none"/>
          <w:u w:val="single"/>
          <w:lang w:val="en-US" w:eastAsia="zh-CN" w:bidi="ar-SA"/>
        </w:rPr>
        <w:t>5</w:t>
      </w:r>
      <w:r>
        <w:rPr>
          <w:rFonts w:hint="eastAsia" w:ascii="仿宋" w:hAnsi="仿宋" w:eastAsia="仿宋" w:cs="仿宋"/>
          <w:color w:val="auto"/>
          <w:kern w:val="2"/>
          <w:sz w:val="24"/>
          <w:szCs w:val="24"/>
          <w:highlight w:val="none"/>
          <w:u w:val="single"/>
          <w:lang w:eastAsia="zh-CN" w:bidi="ar-SA"/>
        </w:rPr>
        <w:t>年</w:t>
      </w:r>
      <w:r>
        <w:rPr>
          <w:rFonts w:hint="eastAsia" w:ascii="仿宋" w:hAnsi="仿宋" w:eastAsia="仿宋" w:cs="仿宋"/>
          <w:color w:val="auto"/>
          <w:kern w:val="2"/>
          <w:sz w:val="24"/>
          <w:szCs w:val="24"/>
          <w:highlight w:val="none"/>
          <w:u w:val="single"/>
          <w:lang w:val="en-US" w:eastAsia="zh-CN" w:bidi="ar-SA"/>
        </w:rPr>
        <w:t>3</w:t>
      </w:r>
      <w:r>
        <w:rPr>
          <w:rFonts w:hint="eastAsia" w:ascii="仿宋" w:hAnsi="仿宋" w:eastAsia="仿宋" w:cs="仿宋"/>
          <w:color w:val="auto"/>
          <w:kern w:val="2"/>
          <w:sz w:val="24"/>
          <w:szCs w:val="24"/>
          <w:highlight w:val="none"/>
          <w:u w:val="single"/>
          <w:lang w:eastAsia="zh-CN" w:bidi="ar-SA"/>
        </w:rPr>
        <w:t>月</w:t>
      </w:r>
      <w:r>
        <w:rPr>
          <w:rFonts w:hint="eastAsia" w:ascii="仿宋" w:hAnsi="仿宋" w:eastAsia="仿宋" w:cs="仿宋"/>
          <w:color w:val="auto"/>
          <w:kern w:val="2"/>
          <w:sz w:val="24"/>
          <w:szCs w:val="24"/>
          <w:highlight w:val="none"/>
          <w:u w:val="single"/>
          <w:lang w:val="en-US" w:eastAsia="zh-CN" w:bidi="ar-SA"/>
        </w:rPr>
        <w:t>4</w:t>
      </w:r>
      <w:r>
        <w:rPr>
          <w:rFonts w:hint="eastAsia" w:ascii="仿宋" w:hAnsi="仿宋" w:eastAsia="仿宋" w:cs="仿宋"/>
          <w:color w:val="auto"/>
          <w:kern w:val="2"/>
          <w:sz w:val="24"/>
          <w:szCs w:val="24"/>
          <w:highlight w:val="none"/>
          <w:u w:val="single"/>
          <w:lang w:eastAsia="zh-CN" w:bidi="ar-SA"/>
        </w:rPr>
        <w:t xml:space="preserve">日 </w:t>
      </w:r>
      <w:r>
        <w:rPr>
          <w:rFonts w:hint="eastAsia" w:ascii="仿宋" w:hAnsi="仿宋" w:eastAsia="仿宋" w:cs="仿宋"/>
          <w:color w:val="auto"/>
          <w:kern w:val="2"/>
          <w:sz w:val="24"/>
          <w:szCs w:val="24"/>
          <w:highlight w:val="none"/>
          <w:u w:val="single"/>
          <w:lang w:val="en-US" w:eastAsia="zh-CN" w:bidi="ar-SA"/>
        </w:rPr>
        <w:t>10</w:t>
      </w:r>
      <w:r>
        <w:rPr>
          <w:rFonts w:hint="eastAsia" w:ascii="仿宋" w:hAnsi="仿宋" w:eastAsia="仿宋" w:cs="仿宋"/>
          <w:color w:val="auto"/>
          <w:kern w:val="2"/>
          <w:sz w:val="24"/>
          <w:szCs w:val="24"/>
          <w:highlight w:val="none"/>
          <w:u w:val="single"/>
          <w:lang w:eastAsia="zh-CN" w:bidi="ar-SA"/>
        </w:rPr>
        <w:t>：</w:t>
      </w:r>
      <w:r>
        <w:rPr>
          <w:rFonts w:hint="eastAsia" w:ascii="仿宋" w:hAnsi="仿宋" w:eastAsia="仿宋" w:cs="仿宋"/>
          <w:color w:val="auto"/>
          <w:kern w:val="2"/>
          <w:sz w:val="24"/>
          <w:szCs w:val="24"/>
          <w:highlight w:val="none"/>
          <w:u w:val="single"/>
          <w:lang w:val="en-US" w:eastAsia="zh-CN" w:bidi="ar-SA"/>
        </w:rPr>
        <w:t>30</w:t>
      </w:r>
      <w:r>
        <w:rPr>
          <w:rFonts w:hint="eastAsia" w:ascii="仿宋" w:hAnsi="仿宋" w:eastAsia="仿宋" w:cs="仿宋"/>
          <w:color w:val="auto"/>
          <w:kern w:val="2"/>
          <w:sz w:val="24"/>
          <w:szCs w:val="24"/>
          <w:highlight w:val="none"/>
          <w:u w:val="single"/>
          <w:lang w:eastAsia="zh-CN" w:bidi="ar-SA"/>
        </w:rPr>
        <w:t xml:space="preserve"> </w:t>
      </w:r>
      <w:r>
        <w:rPr>
          <w:rFonts w:hint="eastAsia" w:ascii="仿宋" w:hAnsi="仿宋" w:eastAsia="仿宋" w:cs="仿宋"/>
          <w:color w:val="auto"/>
          <w:kern w:val="2"/>
          <w:sz w:val="24"/>
          <w:szCs w:val="24"/>
          <w:highlight w:val="none"/>
          <w:lang w:eastAsia="zh-CN" w:bidi="ar-SA"/>
        </w:rPr>
        <w:t>（北京时间）</w:t>
      </w:r>
    </w:p>
    <w:p w14:paraId="3EC461D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投标地点：政府采购云平台（www.zcygov.cn）供应商应于递交投标文件截止时间之前将电子投标文件上传到“政采云”平台。</w:t>
      </w:r>
    </w:p>
    <w:p w14:paraId="7DDE074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开标时间：</w:t>
      </w:r>
      <w:r>
        <w:rPr>
          <w:rFonts w:hint="eastAsia" w:ascii="仿宋" w:hAnsi="仿宋" w:eastAsia="仿宋" w:cs="仿宋"/>
          <w:color w:val="auto"/>
          <w:kern w:val="2"/>
          <w:sz w:val="24"/>
          <w:szCs w:val="24"/>
          <w:highlight w:val="none"/>
          <w:u w:val="single"/>
          <w:lang w:eastAsia="zh-CN" w:bidi="ar-SA"/>
        </w:rPr>
        <w:t>202</w:t>
      </w:r>
      <w:r>
        <w:rPr>
          <w:rFonts w:hint="eastAsia" w:ascii="仿宋" w:hAnsi="仿宋" w:eastAsia="仿宋" w:cs="仿宋"/>
          <w:color w:val="auto"/>
          <w:kern w:val="2"/>
          <w:sz w:val="24"/>
          <w:szCs w:val="24"/>
          <w:highlight w:val="none"/>
          <w:u w:val="single"/>
          <w:lang w:val="en-US" w:eastAsia="zh-CN" w:bidi="ar-SA"/>
        </w:rPr>
        <w:t>5</w:t>
      </w:r>
      <w:r>
        <w:rPr>
          <w:rFonts w:hint="eastAsia" w:ascii="仿宋" w:hAnsi="仿宋" w:eastAsia="仿宋" w:cs="仿宋"/>
          <w:color w:val="auto"/>
          <w:kern w:val="2"/>
          <w:sz w:val="24"/>
          <w:szCs w:val="24"/>
          <w:highlight w:val="none"/>
          <w:u w:val="single"/>
          <w:lang w:eastAsia="zh-CN" w:bidi="ar-SA"/>
        </w:rPr>
        <w:t>年</w:t>
      </w:r>
      <w:r>
        <w:rPr>
          <w:rFonts w:hint="eastAsia" w:ascii="仿宋" w:hAnsi="仿宋" w:eastAsia="仿宋" w:cs="仿宋"/>
          <w:color w:val="auto"/>
          <w:kern w:val="2"/>
          <w:sz w:val="24"/>
          <w:szCs w:val="24"/>
          <w:highlight w:val="none"/>
          <w:u w:val="single"/>
          <w:lang w:val="en-US" w:eastAsia="zh-CN" w:bidi="ar-SA"/>
        </w:rPr>
        <w:t>3</w:t>
      </w:r>
      <w:r>
        <w:rPr>
          <w:rFonts w:hint="eastAsia" w:ascii="仿宋" w:hAnsi="仿宋" w:eastAsia="仿宋" w:cs="仿宋"/>
          <w:color w:val="auto"/>
          <w:kern w:val="2"/>
          <w:sz w:val="24"/>
          <w:szCs w:val="24"/>
          <w:highlight w:val="none"/>
          <w:u w:val="single"/>
          <w:lang w:eastAsia="zh-CN" w:bidi="ar-SA"/>
        </w:rPr>
        <w:t>月</w:t>
      </w:r>
      <w:r>
        <w:rPr>
          <w:rFonts w:hint="eastAsia" w:ascii="仿宋" w:hAnsi="仿宋" w:eastAsia="仿宋" w:cs="仿宋"/>
          <w:color w:val="auto"/>
          <w:kern w:val="2"/>
          <w:sz w:val="24"/>
          <w:szCs w:val="24"/>
          <w:highlight w:val="none"/>
          <w:u w:val="single"/>
          <w:lang w:val="en-US" w:eastAsia="zh-CN" w:bidi="ar-SA"/>
        </w:rPr>
        <w:t>4</w:t>
      </w:r>
      <w:r>
        <w:rPr>
          <w:rFonts w:hint="eastAsia" w:ascii="仿宋" w:hAnsi="仿宋" w:eastAsia="仿宋" w:cs="仿宋"/>
          <w:color w:val="auto"/>
          <w:kern w:val="2"/>
          <w:sz w:val="24"/>
          <w:szCs w:val="24"/>
          <w:highlight w:val="none"/>
          <w:u w:val="single"/>
          <w:lang w:eastAsia="zh-CN" w:bidi="ar-SA"/>
        </w:rPr>
        <w:t xml:space="preserve">日 </w:t>
      </w:r>
      <w:r>
        <w:rPr>
          <w:rFonts w:hint="eastAsia" w:ascii="仿宋" w:hAnsi="仿宋" w:eastAsia="仿宋" w:cs="仿宋"/>
          <w:color w:val="auto"/>
          <w:kern w:val="2"/>
          <w:sz w:val="24"/>
          <w:szCs w:val="24"/>
          <w:highlight w:val="none"/>
          <w:u w:val="single"/>
          <w:lang w:val="en-US" w:eastAsia="zh-CN" w:bidi="ar-SA"/>
        </w:rPr>
        <w:t>10</w:t>
      </w:r>
      <w:r>
        <w:rPr>
          <w:rFonts w:hint="eastAsia" w:ascii="仿宋" w:hAnsi="仿宋" w:eastAsia="仿宋" w:cs="仿宋"/>
          <w:color w:val="auto"/>
          <w:kern w:val="2"/>
          <w:sz w:val="24"/>
          <w:szCs w:val="24"/>
          <w:highlight w:val="none"/>
          <w:u w:val="single"/>
          <w:lang w:eastAsia="zh-CN" w:bidi="ar-SA"/>
        </w:rPr>
        <w:t>：</w:t>
      </w:r>
      <w:r>
        <w:rPr>
          <w:rFonts w:hint="eastAsia" w:ascii="仿宋" w:hAnsi="仿宋" w:eastAsia="仿宋" w:cs="仿宋"/>
          <w:color w:val="auto"/>
          <w:kern w:val="2"/>
          <w:sz w:val="24"/>
          <w:szCs w:val="24"/>
          <w:highlight w:val="none"/>
          <w:u w:val="single"/>
          <w:lang w:val="en-US" w:eastAsia="zh-CN" w:bidi="ar-SA"/>
        </w:rPr>
        <w:t>30</w:t>
      </w:r>
      <w:r>
        <w:rPr>
          <w:rFonts w:hint="eastAsia" w:ascii="仿宋" w:hAnsi="仿宋" w:eastAsia="仿宋" w:cs="仿宋"/>
          <w:color w:val="auto"/>
          <w:kern w:val="2"/>
          <w:sz w:val="24"/>
          <w:szCs w:val="24"/>
          <w:highlight w:val="none"/>
          <w:lang w:eastAsia="zh-CN" w:bidi="ar-SA"/>
        </w:rPr>
        <w:t>（北京时间）</w:t>
      </w:r>
    </w:p>
    <w:p w14:paraId="24290F3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开标地点：投标人登录政采云平台https://www.zcygov.cn/，进入“项目采购-开标评标-右边选择对应项目点击“进入项目”进入开标大厅。</w:t>
      </w:r>
    </w:p>
    <w:p w14:paraId="2FB53D46">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仿宋"/>
          <w:b/>
          <w:bCs/>
          <w:color w:val="auto"/>
          <w:kern w:val="2"/>
          <w:sz w:val="24"/>
          <w:szCs w:val="24"/>
          <w:highlight w:val="none"/>
          <w:lang w:eastAsia="zh-CN" w:bidi="ar-SA"/>
        </w:rPr>
      </w:pPr>
      <w:r>
        <w:rPr>
          <w:rFonts w:hint="eastAsia" w:ascii="仿宋" w:hAnsi="仿宋" w:eastAsia="仿宋" w:cs="仿宋"/>
          <w:b/>
          <w:bCs/>
          <w:color w:val="auto"/>
          <w:kern w:val="2"/>
          <w:sz w:val="24"/>
          <w:szCs w:val="24"/>
          <w:highlight w:val="none"/>
          <w:lang w:eastAsia="zh-CN" w:bidi="ar-SA"/>
        </w:rPr>
        <w:t>五、公告期限</w:t>
      </w:r>
    </w:p>
    <w:p w14:paraId="710B35F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自本公告发布之日起5个工作日</w:t>
      </w:r>
    </w:p>
    <w:p w14:paraId="3824C8A2">
      <w:pPr>
        <w:keepNext w:val="0"/>
        <w:keepLines w:val="0"/>
        <w:pageBreakBefore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2"/>
          <w:sz w:val="24"/>
          <w:szCs w:val="24"/>
          <w:highlight w:val="none"/>
          <w:lang w:eastAsia="zh-CN" w:bidi="ar-SA"/>
        </w:rPr>
      </w:pPr>
      <w:r>
        <w:rPr>
          <w:rFonts w:hint="eastAsia" w:ascii="仿宋" w:hAnsi="仿宋" w:eastAsia="仿宋" w:cs="仿宋"/>
          <w:b/>
          <w:bCs/>
          <w:color w:val="auto"/>
          <w:kern w:val="2"/>
          <w:sz w:val="24"/>
          <w:szCs w:val="24"/>
          <w:highlight w:val="none"/>
          <w:lang w:eastAsia="zh-CN" w:bidi="ar-SA"/>
        </w:rPr>
        <w:t>其他补充事宜</w:t>
      </w:r>
    </w:p>
    <w:p w14:paraId="0A92BD31">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w:t>
      </w:r>
    </w:p>
    <w:p w14:paraId="0EC55682">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七、对本次采购提出询问，请按以下方式联系</w:t>
      </w:r>
    </w:p>
    <w:p w14:paraId="29BA1F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296681A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val="en-US" w:eastAsia="zh-CN"/>
        </w:rPr>
        <w:t>克孜勒苏柯尔克孜自治州第二中学</w:t>
      </w:r>
    </w:p>
    <w:p w14:paraId="48FA171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caps w:val="0"/>
          <w:color w:val="000000"/>
          <w:spacing w:val="0"/>
          <w:sz w:val="24"/>
          <w:szCs w:val="24"/>
          <w:lang w:eastAsia="zh-CN"/>
        </w:rPr>
        <w:t>阿图什市</w:t>
      </w:r>
    </w:p>
    <w:p w14:paraId="642A157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eastAsia="zh-CN"/>
        </w:rPr>
        <w:t>13579576900</w:t>
      </w:r>
    </w:p>
    <w:p w14:paraId="03D9686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123B5D6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431E484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址：阿图什市光明北路12号博格拉A座四楼　  　</w:t>
      </w:r>
    </w:p>
    <w:p w14:paraId="762248B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  18609088999</w:t>
      </w:r>
    </w:p>
    <w:p w14:paraId="329E382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77A7395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6142D53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37E0B7A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20484F3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1449ABD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4592DB3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1271225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5A43970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7536202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6DB4D93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p>
    <w:p w14:paraId="3862A43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iCs w:val="0"/>
          <w:caps w:val="0"/>
          <w:color w:val="auto"/>
          <w:spacing w:val="0"/>
          <w:sz w:val="24"/>
          <w:szCs w:val="24"/>
          <w:highlight w:val="none"/>
          <w:lang w:val="en-US" w:eastAsia="zh-CN"/>
        </w:rPr>
      </w:pPr>
    </w:p>
    <w:p w14:paraId="693BA2C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iCs w:val="0"/>
          <w:caps w:val="0"/>
          <w:color w:val="auto"/>
          <w:spacing w:val="0"/>
          <w:sz w:val="24"/>
          <w:szCs w:val="24"/>
          <w:highlight w:val="none"/>
          <w:lang w:val="en-US" w:eastAsia="zh-CN"/>
        </w:rPr>
      </w:pPr>
    </w:p>
    <w:p w14:paraId="5C42F84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iCs w:val="0"/>
          <w:caps w:val="0"/>
          <w:color w:val="auto"/>
          <w:spacing w:val="0"/>
          <w:sz w:val="24"/>
          <w:szCs w:val="24"/>
          <w:highlight w:val="none"/>
          <w:lang w:val="en-US" w:eastAsia="zh-CN"/>
        </w:rPr>
      </w:pPr>
    </w:p>
    <w:p w14:paraId="6B885805">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iCs w:val="0"/>
          <w:caps w:val="0"/>
          <w:color w:val="auto"/>
          <w:spacing w:val="0"/>
          <w:sz w:val="24"/>
          <w:szCs w:val="24"/>
          <w:highlight w:val="none"/>
          <w:lang w:val="en-US" w:eastAsia="zh-CN"/>
        </w:rPr>
      </w:pPr>
    </w:p>
    <w:p w14:paraId="1CFB5A7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iCs w:val="0"/>
          <w:caps w:val="0"/>
          <w:color w:val="auto"/>
          <w:spacing w:val="0"/>
          <w:sz w:val="24"/>
          <w:szCs w:val="24"/>
          <w:highlight w:val="none"/>
          <w:lang w:val="en-US" w:eastAsia="zh-CN"/>
        </w:rPr>
      </w:pPr>
    </w:p>
    <w:p w14:paraId="66148CE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iCs w:val="0"/>
          <w:caps w:val="0"/>
          <w:color w:val="auto"/>
          <w:spacing w:val="0"/>
          <w:sz w:val="24"/>
          <w:szCs w:val="24"/>
          <w:highlight w:val="none"/>
          <w:lang w:val="en-US" w:eastAsia="zh-CN"/>
        </w:rPr>
      </w:pPr>
    </w:p>
    <w:p w14:paraId="60EA9D3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iCs w:val="0"/>
          <w:caps w:val="0"/>
          <w:color w:val="auto"/>
          <w:spacing w:val="0"/>
          <w:sz w:val="24"/>
          <w:szCs w:val="24"/>
          <w:highlight w:val="none"/>
          <w:lang w:val="en-US" w:eastAsia="zh-CN"/>
        </w:rPr>
      </w:pPr>
    </w:p>
    <w:p w14:paraId="58CE2CE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iCs w:val="0"/>
          <w:caps w:val="0"/>
          <w:color w:val="auto"/>
          <w:spacing w:val="0"/>
          <w:sz w:val="24"/>
          <w:szCs w:val="24"/>
          <w:highlight w:val="none"/>
          <w:lang w:val="en-US" w:eastAsia="zh-CN"/>
        </w:rPr>
      </w:pPr>
    </w:p>
    <w:p w14:paraId="00FF2A3D">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36"/>
          <w:szCs w:val="36"/>
          <w:highlight w:val="none"/>
          <w:lang w:eastAsia="zh-CN"/>
        </w:rPr>
        <w:t>第二</w:t>
      </w:r>
      <w:r>
        <w:rPr>
          <w:rFonts w:hint="eastAsia" w:ascii="仿宋" w:hAnsi="仿宋" w:eastAsia="仿宋" w:cs="仿宋"/>
          <w:b/>
          <w:bCs/>
          <w:color w:val="auto"/>
          <w:sz w:val="36"/>
          <w:szCs w:val="36"/>
          <w:highlight w:val="none"/>
          <w:lang w:val="en-US" w:eastAsia="zh-CN"/>
        </w:rPr>
        <w:t xml:space="preserve">章 </w:t>
      </w:r>
      <w:r>
        <w:rPr>
          <w:rFonts w:hint="eastAsia" w:ascii="仿宋" w:hAnsi="仿宋" w:eastAsia="仿宋" w:cs="仿宋"/>
          <w:b/>
          <w:bCs/>
          <w:color w:val="auto"/>
          <w:sz w:val="36"/>
          <w:szCs w:val="36"/>
          <w:highlight w:val="none"/>
        </w:rPr>
        <w:t>供应商须知</w:t>
      </w:r>
    </w:p>
    <w:p w14:paraId="25235575">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须知前附表</w:t>
      </w:r>
    </w:p>
    <w:tbl>
      <w:tblPr>
        <w:tblStyle w:val="25"/>
        <w:tblW w:w="9998" w:type="dxa"/>
        <w:jc w:val="center"/>
        <w:tblLayout w:type="fixed"/>
        <w:tblCellMar>
          <w:top w:w="0" w:type="dxa"/>
          <w:left w:w="108" w:type="dxa"/>
          <w:bottom w:w="0" w:type="dxa"/>
          <w:right w:w="108" w:type="dxa"/>
        </w:tblCellMar>
      </w:tblPr>
      <w:tblGrid>
        <w:gridCol w:w="558"/>
        <w:gridCol w:w="1691"/>
        <w:gridCol w:w="7749"/>
      </w:tblGrid>
      <w:tr w14:paraId="03B377F9">
        <w:tblPrEx>
          <w:tblCellMar>
            <w:top w:w="0" w:type="dxa"/>
            <w:left w:w="108" w:type="dxa"/>
            <w:bottom w:w="0" w:type="dxa"/>
            <w:right w:w="108" w:type="dxa"/>
          </w:tblCellMar>
        </w:tblPrEx>
        <w:trPr>
          <w:trHeight w:val="56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C3208E2">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序 号</w:t>
            </w:r>
          </w:p>
        </w:tc>
        <w:tc>
          <w:tcPr>
            <w:tcW w:w="1691" w:type="dxa"/>
            <w:tcBorders>
              <w:top w:val="single" w:color="auto" w:sz="4" w:space="0"/>
              <w:left w:val="single" w:color="auto" w:sz="4" w:space="0"/>
              <w:bottom w:val="single" w:color="auto" w:sz="4" w:space="0"/>
              <w:right w:val="single" w:color="auto" w:sz="4" w:space="0"/>
            </w:tcBorders>
            <w:vAlign w:val="center"/>
          </w:tcPr>
          <w:p w14:paraId="274907BA">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名  称</w:t>
            </w:r>
          </w:p>
        </w:tc>
        <w:tc>
          <w:tcPr>
            <w:tcW w:w="7749" w:type="dxa"/>
            <w:tcBorders>
              <w:top w:val="single" w:color="auto" w:sz="4" w:space="0"/>
              <w:left w:val="single" w:color="auto" w:sz="4" w:space="0"/>
              <w:bottom w:val="single" w:color="auto" w:sz="4" w:space="0"/>
              <w:right w:val="single" w:color="auto" w:sz="4" w:space="0"/>
            </w:tcBorders>
            <w:vAlign w:val="center"/>
          </w:tcPr>
          <w:p w14:paraId="6CBF3FA4">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编  列  内  容</w:t>
            </w:r>
          </w:p>
        </w:tc>
      </w:tr>
      <w:tr w14:paraId="26232291">
        <w:tblPrEx>
          <w:tblCellMar>
            <w:top w:w="0" w:type="dxa"/>
            <w:left w:w="108" w:type="dxa"/>
            <w:bottom w:w="0" w:type="dxa"/>
            <w:right w:w="108" w:type="dxa"/>
          </w:tblCellMar>
        </w:tblPrEx>
        <w:trPr>
          <w:trHeight w:val="209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A363A50">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4E9B15CA">
            <w:pPr>
              <w:pStyle w:val="33"/>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项目名称：</w:t>
            </w:r>
          </w:p>
          <w:p w14:paraId="1B0A7F06">
            <w:pPr>
              <w:pStyle w:val="33"/>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项目编号：</w:t>
            </w:r>
          </w:p>
          <w:p w14:paraId="07BF0BC8">
            <w:pPr>
              <w:pStyle w:val="33"/>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采购内容：</w:t>
            </w:r>
          </w:p>
          <w:p w14:paraId="5F549BF3">
            <w:pPr>
              <w:pStyle w:val="33"/>
              <w:ind w:firstLine="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履约期限：</w:t>
            </w:r>
          </w:p>
        </w:tc>
        <w:tc>
          <w:tcPr>
            <w:tcW w:w="7749" w:type="dxa"/>
            <w:tcBorders>
              <w:top w:val="single" w:color="auto" w:sz="4" w:space="0"/>
              <w:left w:val="single" w:color="auto" w:sz="4" w:space="0"/>
              <w:bottom w:val="single" w:color="auto" w:sz="4" w:space="0"/>
              <w:right w:val="single" w:color="auto" w:sz="4" w:space="0"/>
            </w:tcBorders>
            <w:vAlign w:val="center"/>
          </w:tcPr>
          <w:p w14:paraId="0C8F2607">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项目名称：克州二中2025年学生食堂后厨工作人员服务采购项目</w:t>
            </w:r>
          </w:p>
          <w:p w14:paraId="563CA7D2">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项目编号：KZZB-20</w:t>
            </w:r>
            <w:r>
              <w:rPr>
                <w:rFonts w:hint="eastAsia" w:ascii="仿宋" w:hAnsi="仿宋" w:eastAsia="仿宋" w:cs="仿宋"/>
                <w:color w:val="auto"/>
                <w:highlight w:val="none"/>
                <w:lang w:val="en-US" w:eastAsia="zh-CN"/>
              </w:rPr>
              <w:t>25017</w:t>
            </w:r>
          </w:p>
          <w:p w14:paraId="31CD93E6">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采购内容：</w:t>
            </w:r>
            <w:r>
              <w:rPr>
                <w:rFonts w:hint="eastAsia" w:ascii="仿宋" w:hAnsi="仿宋" w:eastAsia="仿宋" w:cs="仿宋"/>
                <w:color w:val="auto"/>
                <w:highlight w:val="none"/>
                <w:lang w:val="en-US" w:eastAsia="zh-CN"/>
              </w:rPr>
              <w:t>服务人员42人（厨师长1人、主厨4人、副厨4人、面点师4人、帮厨15人、杂工14人）</w:t>
            </w:r>
            <w:r>
              <w:rPr>
                <w:rFonts w:hint="eastAsia" w:ascii="仿宋" w:hAnsi="仿宋" w:eastAsia="仿宋" w:cs="仿宋"/>
                <w:color w:val="auto"/>
                <w:highlight w:val="none"/>
                <w:lang w:eastAsia="zh-CN"/>
              </w:rPr>
              <w:t>。</w:t>
            </w:r>
          </w:p>
          <w:p w14:paraId="0BFEECB9">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履约期限：</w:t>
            </w:r>
            <w:r>
              <w:rPr>
                <w:rFonts w:hint="eastAsia" w:ascii="仿宋" w:hAnsi="仿宋" w:eastAsia="仿宋" w:cs="仿宋"/>
                <w:color w:val="auto"/>
                <w:highlight w:val="none"/>
                <w:lang w:val="en-US" w:eastAsia="zh-CN"/>
              </w:rPr>
              <w:t>1年</w:t>
            </w:r>
          </w:p>
        </w:tc>
      </w:tr>
      <w:tr w14:paraId="7E6F1520">
        <w:tblPrEx>
          <w:tblCellMar>
            <w:top w:w="0" w:type="dxa"/>
            <w:left w:w="108" w:type="dxa"/>
            <w:bottom w:w="0" w:type="dxa"/>
            <w:right w:w="108" w:type="dxa"/>
          </w:tblCellMar>
        </w:tblPrEx>
        <w:trPr>
          <w:trHeight w:val="85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E4DC3A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22DAF9F6">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采购人信息</w:t>
            </w:r>
          </w:p>
        </w:tc>
        <w:tc>
          <w:tcPr>
            <w:tcW w:w="7749" w:type="dxa"/>
            <w:tcBorders>
              <w:top w:val="single" w:color="auto" w:sz="4" w:space="0"/>
              <w:left w:val="single" w:color="auto" w:sz="4" w:space="0"/>
              <w:bottom w:val="single" w:color="auto" w:sz="4" w:space="0"/>
              <w:right w:val="single" w:color="auto" w:sz="4" w:space="0"/>
            </w:tcBorders>
            <w:vAlign w:val="center"/>
          </w:tcPr>
          <w:p w14:paraId="535150D5">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称：克孜勒苏柯尔克孜自治州第二中学</w:t>
            </w:r>
          </w:p>
          <w:p w14:paraId="2E17493F">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联系人：张先生     电  话：</w:t>
            </w:r>
            <w:r>
              <w:rPr>
                <w:rFonts w:hint="eastAsia" w:ascii="仿宋" w:hAnsi="仿宋" w:eastAsia="仿宋" w:cs="仿宋"/>
                <w:color w:val="auto"/>
                <w:highlight w:val="none"/>
                <w:lang w:val="en-US" w:eastAsia="zh-CN"/>
              </w:rPr>
              <w:t>13579576900</w:t>
            </w:r>
          </w:p>
        </w:tc>
      </w:tr>
      <w:tr w14:paraId="763B2BCD">
        <w:tblPrEx>
          <w:tblCellMar>
            <w:top w:w="0" w:type="dxa"/>
            <w:left w:w="108" w:type="dxa"/>
            <w:bottom w:w="0" w:type="dxa"/>
            <w:right w:w="108" w:type="dxa"/>
          </w:tblCellMar>
        </w:tblPrEx>
        <w:trPr>
          <w:trHeight w:val="128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96B7615">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14:paraId="7975B1D1">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采购代理机构</w:t>
            </w:r>
          </w:p>
        </w:tc>
        <w:tc>
          <w:tcPr>
            <w:tcW w:w="7749" w:type="dxa"/>
            <w:tcBorders>
              <w:top w:val="single" w:color="auto" w:sz="4" w:space="0"/>
              <w:left w:val="single" w:color="auto" w:sz="4" w:space="0"/>
              <w:bottom w:val="single" w:color="auto" w:sz="4" w:space="0"/>
              <w:right w:val="single" w:color="auto" w:sz="4" w:space="0"/>
            </w:tcBorders>
            <w:vAlign w:val="center"/>
          </w:tcPr>
          <w:p w14:paraId="2C9817D9">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称：鼎建项目管理有限公司</w:t>
            </w:r>
          </w:p>
          <w:p w14:paraId="7891B41F">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址：阿图什市光明北路12号博格拉A座四楼</w:t>
            </w:r>
          </w:p>
          <w:p w14:paraId="618583AB">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联系人：朱先生     电  话：</w:t>
            </w:r>
            <w:r>
              <w:rPr>
                <w:rFonts w:hint="eastAsia" w:ascii="仿宋" w:hAnsi="仿宋" w:eastAsia="仿宋" w:cs="仿宋"/>
                <w:color w:val="auto"/>
                <w:highlight w:val="none"/>
                <w:lang w:val="en-US" w:eastAsia="zh-CN"/>
              </w:rPr>
              <w:t>18609088999</w:t>
            </w:r>
          </w:p>
        </w:tc>
      </w:tr>
      <w:tr w14:paraId="24B531D6">
        <w:tblPrEx>
          <w:tblCellMar>
            <w:top w:w="0" w:type="dxa"/>
            <w:left w:w="108" w:type="dxa"/>
            <w:bottom w:w="0" w:type="dxa"/>
            <w:right w:w="108" w:type="dxa"/>
          </w:tblCellMar>
        </w:tblPrEx>
        <w:trPr>
          <w:trHeight w:val="46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6F092E7">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66BB7EB3">
            <w:pPr>
              <w:spacing w:line="40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服务地点</w:t>
            </w:r>
          </w:p>
        </w:tc>
        <w:tc>
          <w:tcPr>
            <w:tcW w:w="7749" w:type="dxa"/>
            <w:tcBorders>
              <w:top w:val="single" w:color="auto" w:sz="4" w:space="0"/>
              <w:left w:val="single" w:color="auto" w:sz="4" w:space="0"/>
              <w:bottom w:val="single" w:color="auto" w:sz="4" w:space="0"/>
              <w:right w:val="single" w:color="auto" w:sz="4" w:space="0"/>
            </w:tcBorders>
            <w:vAlign w:val="center"/>
          </w:tcPr>
          <w:p w14:paraId="70E4929B">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采购单位指定地点</w:t>
            </w:r>
          </w:p>
        </w:tc>
      </w:tr>
      <w:tr w14:paraId="3D3C0A10">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73A6090">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14:paraId="3B74C26B">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资格要求</w:t>
            </w:r>
          </w:p>
        </w:tc>
        <w:tc>
          <w:tcPr>
            <w:tcW w:w="7749" w:type="dxa"/>
            <w:tcBorders>
              <w:top w:val="single" w:color="auto" w:sz="4" w:space="0"/>
              <w:left w:val="single" w:color="auto" w:sz="4" w:space="0"/>
              <w:bottom w:val="single" w:color="auto" w:sz="4" w:space="0"/>
              <w:right w:val="single" w:color="auto" w:sz="4" w:space="0"/>
            </w:tcBorders>
            <w:vAlign w:val="center"/>
          </w:tcPr>
          <w:p w14:paraId="0BC96E3B">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1.满足《中华人民共和国政府采购法》第二十二条规定；</w:t>
            </w:r>
          </w:p>
          <w:p w14:paraId="153DED41">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2.落实政府采购政策需满足的资格要求：供应商为中小企业。 </w:t>
            </w:r>
          </w:p>
          <w:p w14:paraId="53868AF8">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3.本项目的特定资格要求：</w:t>
            </w:r>
          </w:p>
          <w:p w14:paraId="25E9FA8D">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1)具备三证合一营业执照副本；</w:t>
            </w:r>
          </w:p>
          <w:p w14:paraId="78E5ED1D">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2)法定代表人投标须提供法定代表人资格证明书，委托代理人投标须提供法定代表人授权委托书；</w:t>
            </w:r>
          </w:p>
          <w:p w14:paraId="03EB776C">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3)投标企业须提供投标人（被授权在职人员）近6个月内任意一个月有效的社保证明；</w:t>
            </w:r>
          </w:p>
          <w:p w14:paraId="230D27E5">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参加政府采购活动前三年内，在经营活动中没有重大违法记录；参加政府采购活动前三年内，在经营活动中没有重大违法记录；未被“信用中国”（www.creditchina.gov.cn）、中国政府采购网（www.ccgp.gov.cn）列入失信被执行人、税收违法黑名单、政府采购严重违法失信行为记录名单。</w:t>
            </w:r>
          </w:p>
          <w:p w14:paraId="31023362">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4.本项目不接受联合体投标；</w:t>
            </w:r>
          </w:p>
        </w:tc>
      </w:tr>
      <w:tr w14:paraId="17017157">
        <w:tblPrEx>
          <w:tblCellMar>
            <w:top w:w="0" w:type="dxa"/>
            <w:left w:w="108" w:type="dxa"/>
            <w:bottom w:w="0" w:type="dxa"/>
            <w:right w:w="108" w:type="dxa"/>
          </w:tblCellMar>
        </w:tblPrEx>
        <w:trPr>
          <w:trHeight w:val="34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B2AF287">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14:paraId="23978FE8">
            <w:pPr>
              <w:spacing w:line="40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付款方式</w:t>
            </w:r>
          </w:p>
        </w:tc>
        <w:tc>
          <w:tcPr>
            <w:tcW w:w="7749" w:type="dxa"/>
            <w:tcBorders>
              <w:top w:val="single" w:color="auto" w:sz="4" w:space="0"/>
              <w:left w:val="single" w:color="auto" w:sz="4" w:space="0"/>
              <w:bottom w:val="single" w:color="auto" w:sz="4" w:space="0"/>
              <w:right w:val="single" w:color="auto" w:sz="4" w:space="0"/>
            </w:tcBorders>
            <w:vAlign w:val="center"/>
          </w:tcPr>
          <w:p w14:paraId="191C7D8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按月结算（次月10日前结算上月款项）；具体甲乙双方签订合同约定。</w:t>
            </w:r>
          </w:p>
        </w:tc>
      </w:tr>
      <w:tr w14:paraId="47969EBD">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731B568">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14:paraId="214C655F">
            <w:pPr>
              <w:spacing w:line="40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749" w:type="dxa"/>
            <w:tcBorders>
              <w:top w:val="single" w:color="auto" w:sz="4" w:space="0"/>
              <w:left w:val="single" w:color="auto" w:sz="4" w:space="0"/>
              <w:bottom w:val="single" w:color="auto" w:sz="4" w:space="0"/>
              <w:right w:val="single" w:color="auto" w:sz="4" w:space="0"/>
            </w:tcBorders>
            <w:vAlign w:val="center"/>
          </w:tcPr>
          <w:p w14:paraId="45F100F8">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自筹资金</w:t>
            </w:r>
          </w:p>
        </w:tc>
      </w:tr>
      <w:tr w14:paraId="66AFCF80">
        <w:tblPrEx>
          <w:tblCellMar>
            <w:top w:w="0" w:type="dxa"/>
            <w:left w:w="108" w:type="dxa"/>
            <w:bottom w:w="0" w:type="dxa"/>
            <w:right w:w="108" w:type="dxa"/>
          </w:tblCellMar>
        </w:tblPrEx>
        <w:trPr>
          <w:trHeight w:val="52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22E9D34">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1691" w:type="dxa"/>
            <w:tcBorders>
              <w:top w:val="single" w:color="auto" w:sz="4" w:space="0"/>
              <w:left w:val="single" w:color="auto" w:sz="4" w:space="0"/>
              <w:bottom w:val="single" w:color="auto" w:sz="4" w:space="0"/>
              <w:right w:val="single" w:color="auto" w:sz="4" w:space="0"/>
            </w:tcBorders>
            <w:vAlign w:val="center"/>
          </w:tcPr>
          <w:p w14:paraId="1C67BC59">
            <w:pPr>
              <w:spacing w:line="40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招标方式</w:t>
            </w:r>
          </w:p>
        </w:tc>
        <w:tc>
          <w:tcPr>
            <w:tcW w:w="7749" w:type="dxa"/>
            <w:tcBorders>
              <w:top w:val="single" w:color="auto" w:sz="4" w:space="0"/>
              <w:left w:val="single" w:color="auto" w:sz="4" w:space="0"/>
              <w:bottom w:val="single" w:color="auto" w:sz="4" w:space="0"/>
              <w:right w:val="single" w:color="auto" w:sz="4" w:space="0"/>
            </w:tcBorders>
            <w:vAlign w:val="center"/>
          </w:tcPr>
          <w:p w14:paraId="563A3F9D">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公开招标(本项目采用网上电子招投标)  </w:t>
            </w:r>
          </w:p>
        </w:tc>
      </w:tr>
      <w:tr w14:paraId="7FE12BDF">
        <w:tblPrEx>
          <w:tblCellMar>
            <w:top w:w="0" w:type="dxa"/>
            <w:left w:w="108" w:type="dxa"/>
            <w:bottom w:w="0" w:type="dxa"/>
            <w:right w:w="108" w:type="dxa"/>
          </w:tblCellMar>
        </w:tblPrEx>
        <w:trPr>
          <w:trHeight w:val="393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94FE097">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14:paraId="1F573BE3">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供应商信用查询</w:t>
            </w:r>
          </w:p>
        </w:tc>
        <w:tc>
          <w:tcPr>
            <w:tcW w:w="7749" w:type="dxa"/>
            <w:tcBorders>
              <w:top w:val="single" w:color="auto" w:sz="4" w:space="0"/>
              <w:left w:val="single" w:color="auto" w:sz="4" w:space="0"/>
              <w:bottom w:val="single" w:color="auto" w:sz="4" w:space="0"/>
              <w:right w:val="single" w:color="auto" w:sz="4" w:space="0"/>
            </w:tcBorders>
            <w:vAlign w:val="center"/>
          </w:tcPr>
          <w:p w14:paraId="7CBEA655">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1、查询渠道：信用中国（网址：http://www.creditchina.gov.cn）、中国政府采购网(网址：http://www.ccgp.gov.cn）。</w:t>
            </w:r>
          </w:p>
          <w:p w14:paraId="793BDDFF">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2、截止时点：开标后评标前。</w:t>
            </w:r>
          </w:p>
          <w:p w14:paraId="1988596D">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3、信用信息查询记录和证据留存的具体方式：由采购组织机构在规定查询时间内打印信用信息查询记录并归入项目档案。</w:t>
            </w:r>
          </w:p>
          <w:p w14:paraId="7803CC7E">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121CB90B">
        <w:tblPrEx>
          <w:tblCellMar>
            <w:top w:w="0" w:type="dxa"/>
            <w:left w:w="108" w:type="dxa"/>
            <w:bottom w:w="0" w:type="dxa"/>
            <w:right w:w="108" w:type="dxa"/>
          </w:tblCellMar>
        </w:tblPrEx>
        <w:trPr>
          <w:trHeight w:val="104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BD2E2FB">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1691" w:type="dxa"/>
            <w:tcBorders>
              <w:top w:val="single" w:color="auto" w:sz="4" w:space="0"/>
              <w:left w:val="single" w:color="auto" w:sz="4" w:space="0"/>
              <w:bottom w:val="single" w:color="auto" w:sz="4" w:space="0"/>
              <w:right w:val="single" w:color="auto" w:sz="4" w:space="0"/>
            </w:tcBorders>
            <w:vAlign w:val="center"/>
          </w:tcPr>
          <w:p w14:paraId="018172B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是否接受联合体投标</w:t>
            </w:r>
          </w:p>
        </w:tc>
        <w:tc>
          <w:tcPr>
            <w:tcW w:w="7749" w:type="dxa"/>
            <w:tcBorders>
              <w:top w:val="single" w:color="auto" w:sz="4" w:space="0"/>
              <w:left w:val="single" w:color="auto" w:sz="4" w:space="0"/>
              <w:bottom w:val="single" w:color="auto" w:sz="4" w:space="0"/>
              <w:right w:val="single" w:color="auto" w:sz="4" w:space="0"/>
            </w:tcBorders>
            <w:vAlign w:val="center"/>
          </w:tcPr>
          <w:p w14:paraId="2D726F47">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■不接受</w:t>
            </w:r>
          </w:p>
          <w:p w14:paraId="09D9AC9F">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□接  受</w:t>
            </w:r>
          </w:p>
        </w:tc>
      </w:tr>
      <w:tr w14:paraId="202D415F">
        <w:tblPrEx>
          <w:tblCellMar>
            <w:top w:w="0" w:type="dxa"/>
            <w:left w:w="108" w:type="dxa"/>
            <w:bottom w:w="0" w:type="dxa"/>
            <w:right w:w="108" w:type="dxa"/>
          </w:tblCellMar>
        </w:tblPrEx>
        <w:trPr>
          <w:trHeight w:val="88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618FCE3">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691" w:type="dxa"/>
            <w:tcBorders>
              <w:top w:val="single" w:color="auto" w:sz="4" w:space="0"/>
              <w:left w:val="single" w:color="auto" w:sz="4" w:space="0"/>
              <w:bottom w:val="single" w:color="auto" w:sz="4" w:space="0"/>
              <w:right w:val="single" w:color="auto" w:sz="4" w:space="0"/>
            </w:tcBorders>
            <w:vAlign w:val="center"/>
          </w:tcPr>
          <w:p w14:paraId="0A02BD9B">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 （开标时间）</w:t>
            </w:r>
          </w:p>
        </w:tc>
        <w:tc>
          <w:tcPr>
            <w:tcW w:w="7749" w:type="dxa"/>
            <w:tcBorders>
              <w:top w:val="single" w:color="auto" w:sz="4" w:space="0"/>
              <w:left w:val="single" w:color="auto" w:sz="4" w:space="0"/>
              <w:bottom w:val="single" w:color="auto" w:sz="4" w:space="0"/>
              <w:right w:val="single" w:color="auto" w:sz="4" w:space="0"/>
            </w:tcBorders>
            <w:vAlign w:val="center"/>
          </w:tcPr>
          <w:p w14:paraId="5181461E">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截止时间：202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日上午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tc>
      </w:tr>
      <w:tr w14:paraId="46B0F79E">
        <w:tblPrEx>
          <w:tblCellMar>
            <w:top w:w="0" w:type="dxa"/>
            <w:left w:w="108" w:type="dxa"/>
            <w:bottom w:w="0" w:type="dxa"/>
            <w:right w:w="108" w:type="dxa"/>
          </w:tblCellMar>
        </w:tblPrEx>
        <w:trPr>
          <w:trHeight w:val="47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E4DF781">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691" w:type="dxa"/>
            <w:tcBorders>
              <w:top w:val="single" w:color="auto" w:sz="4" w:space="0"/>
              <w:left w:val="single" w:color="auto" w:sz="4" w:space="0"/>
              <w:bottom w:val="single" w:color="auto" w:sz="4" w:space="0"/>
              <w:right w:val="single" w:color="auto" w:sz="4" w:space="0"/>
            </w:tcBorders>
            <w:vAlign w:val="center"/>
          </w:tcPr>
          <w:p w14:paraId="310ED695">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w:t>
            </w:r>
          </w:p>
        </w:tc>
        <w:tc>
          <w:tcPr>
            <w:tcW w:w="7749" w:type="dxa"/>
            <w:tcBorders>
              <w:top w:val="single" w:color="auto" w:sz="4" w:space="0"/>
              <w:left w:val="single" w:color="auto" w:sz="4" w:space="0"/>
              <w:bottom w:val="single" w:color="auto" w:sz="4" w:space="0"/>
              <w:right w:val="single" w:color="auto" w:sz="4" w:space="0"/>
            </w:tcBorders>
            <w:vAlign w:val="center"/>
          </w:tcPr>
          <w:p w14:paraId="55A15E83">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60 天</w:t>
            </w:r>
          </w:p>
        </w:tc>
      </w:tr>
      <w:tr w14:paraId="060B0263">
        <w:tblPrEx>
          <w:tblCellMar>
            <w:top w:w="0" w:type="dxa"/>
            <w:left w:w="108" w:type="dxa"/>
            <w:bottom w:w="0" w:type="dxa"/>
            <w:right w:w="108" w:type="dxa"/>
          </w:tblCellMar>
        </w:tblPrEx>
        <w:trPr>
          <w:trHeight w:val="63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164465C">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w:t>
            </w:r>
          </w:p>
        </w:tc>
        <w:tc>
          <w:tcPr>
            <w:tcW w:w="1691" w:type="dxa"/>
            <w:tcBorders>
              <w:top w:val="single" w:color="auto" w:sz="4" w:space="0"/>
              <w:left w:val="single" w:color="auto" w:sz="4" w:space="0"/>
              <w:bottom w:val="single" w:color="auto" w:sz="4" w:space="0"/>
              <w:right w:val="single" w:color="auto" w:sz="4" w:space="0"/>
            </w:tcBorders>
            <w:vAlign w:val="center"/>
          </w:tcPr>
          <w:p w14:paraId="07C93A15">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w:t>
            </w:r>
          </w:p>
        </w:tc>
        <w:tc>
          <w:tcPr>
            <w:tcW w:w="7749" w:type="dxa"/>
            <w:tcBorders>
              <w:top w:val="single" w:color="auto" w:sz="4" w:space="0"/>
              <w:left w:val="single" w:color="auto" w:sz="4" w:space="0"/>
              <w:bottom w:val="single" w:color="auto" w:sz="4" w:space="0"/>
              <w:right w:val="single" w:color="auto" w:sz="4" w:space="0"/>
            </w:tcBorders>
            <w:vAlign w:val="center"/>
          </w:tcPr>
          <w:p w14:paraId="38E571E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一、投标保证金交纳要求：</w:t>
            </w:r>
          </w:p>
          <w:p w14:paraId="1BF0D30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投标保证金应当以支票、汇票、本票、网上银行支付或者金融机构、担保机构出具的保函等非现金形式缴纳。</w:t>
            </w:r>
          </w:p>
          <w:p w14:paraId="1E9243CC">
            <w:pPr>
              <w:spacing w:line="4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投标保证金金额：35000.00元   大写： 叁万伍仟元整</w:t>
            </w:r>
          </w:p>
          <w:p w14:paraId="4FFFB6C4">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14:paraId="0C24AB0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2、其他特殊情况处理：有效投标保证金成功交纳后，截止开标时间，供应商无正当理由不参加该项目投标且不递交弃标函，投标保证金不予退还。</w:t>
            </w:r>
          </w:p>
          <w:p w14:paraId="0D145E7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户名：克孜勒苏柯尔克孜自治州政务服务和公共资源交易中心</w:t>
            </w:r>
          </w:p>
          <w:p w14:paraId="07C23EE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账号：30456301040005069</w:t>
            </w:r>
          </w:p>
          <w:p w14:paraId="4BF1D9E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行名：中国农业银行阿图什市天山分理处</w:t>
            </w:r>
          </w:p>
          <w:p w14:paraId="39B0E7C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行号：103893045636</w:t>
            </w:r>
          </w:p>
          <w:p w14:paraId="00CB10F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联系人：帕女士</w:t>
            </w:r>
          </w:p>
          <w:p w14:paraId="5A59EB8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电话：0908-4220265    15809081090</w:t>
            </w:r>
          </w:p>
          <w:p w14:paraId="7A56544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（备注：必须写清楚xx公司xx项目保证金）</w:t>
            </w:r>
          </w:p>
          <w:p w14:paraId="4F1E80E8">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二、申请退还投标保证金资料（招投标结束中标结果公示后）：</w:t>
            </w:r>
          </w:p>
          <w:p w14:paraId="09D11C3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1、投标企业：待开标完成后，未中标企业3个工作日内政资中心将收取的项目投标保证金按投标企业基本户退回。</w:t>
            </w:r>
          </w:p>
          <w:p w14:paraId="64F05094">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2、中标企业：需提供已签订合同复印件一份，复印件每页需加盖企业鲜章（并携带合同原件，由中心工作人员核对后退还）。</w:t>
            </w:r>
          </w:p>
          <w:p w14:paraId="681AB79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三、其他特殊情况处理：</w:t>
            </w:r>
          </w:p>
          <w:p w14:paraId="54BCDF6C">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1、按照招标文件要求规定：投标企业无正当理由不参加该项目投标且在规定开标时间前不递交弃标函，投标保证金不予退还。                          </w:t>
            </w:r>
            <w:r>
              <w:rPr>
                <w:rFonts w:hint="eastAsia" w:ascii="仿宋" w:hAnsi="仿宋" w:eastAsia="仿宋" w:cs="仿宋"/>
                <w:color w:val="auto"/>
                <w:highlight w:val="none"/>
                <w:lang w:eastAsia="zh-CN"/>
              </w:rPr>
              <w:t xml:space="preserve"> </w:t>
            </w:r>
          </w:p>
        </w:tc>
      </w:tr>
      <w:tr w14:paraId="577AC6FB">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2E86A35">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w:t>
            </w:r>
          </w:p>
        </w:tc>
        <w:tc>
          <w:tcPr>
            <w:tcW w:w="1691" w:type="dxa"/>
            <w:tcBorders>
              <w:top w:val="single" w:color="auto" w:sz="4" w:space="0"/>
              <w:left w:val="single" w:color="auto" w:sz="4" w:space="0"/>
              <w:bottom w:val="single" w:color="auto" w:sz="4" w:space="0"/>
              <w:right w:val="single" w:color="auto" w:sz="4" w:space="0"/>
            </w:tcBorders>
            <w:vAlign w:val="center"/>
          </w:tcPr>
          <w:p w14:paraId="7E21A79C">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是否允许递交备选投标方案</w:t>
            </w:r>
          </w:p>
        </w:tc>
        <w:tc>
          <w:tcPr>
            <w:tcW w:w="7749" w:type="dxa"/>
            <w:tcBorders>
              <w:top w:val="single" w:color="auto" w:sz="4" w:space="0"/>
              <w:left w:val="single" w:color="auto" w:sz="4" w:space="0"/>
              <w:bottom w:val="single" w:color="auto" w:sz="4" w:space="0"/>
              <w:right w:val="single" w:color="auto" w:sz="4" w:space="0"/>
            </w:tcBorders>
            <w:vAlign w:val="center"/>
          </w:tcPr>
          <w:p w14:paraId="4D5ED4E8">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■不允许</w:t>
            </w:r>
          </w:p>
          <w:p w14:paraId="41973320">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sym w:font="Wingdings 2" w:char="00A3"/>
            </w:r>
            <w:r>
              <w:rPr>
                <w:rFonts w:hint="eastAsia" w:ascii="仿宋" w:hAnsi="仿宋" w:eastAsia="仿宋" w:cs="仿宋"/>
                <w:color w:val="auto"/>
                <w:highlight w:val="none"/>
                <w:lang w:eastAsia="zh-CN"/>
              </w:rPr>
              <w:t>允  许</w:t>
            </w:r>
          </w:p>
        </w:tc>
      </w:tr>
      <w:tr w14:paraId="19E96448">
        <w:tblPrEx>
          <w:tblCellMar>
            <w:top w:w="0" w:type="dxa"/>
            <w:left w:w="108" w:type="dxa"/>
            <w:bottom w:w="0" w:type="dxa"/>
            <w:right w:w="108" w:type="dxa"/>
          </w:tblCellMar>
        </w:tblPrEx>
        <w:trPr>
          <w:trHeight w:val="28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90600C7">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w:t>
            </w:r>
          </w:p>
        </w:tc>
        <w:tc>
          <w:tcPr>
            <w:tcW w:w="1691" w:type="dxa"/>
            <w:tcBorders>
              <w:top w:val="single" w:color="auto" w:sz="4" w:space="0"/>
              <w:left w:val="single" w:color="auto" w:sz="4" w:space="0"/>
              <w:bottom w:val="single" w:color="auto" w:sz="4" w:space="0"/>
              <w:right w:val="single" w:color="auto" w:sz="4" w:space="0"/>
            </w:tcBorders>
            <w:vAlign w:val="center"/>
          </w:tcPr>
          <w:p w14:paraId="4B079029">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招标文件领取</w:t>
            </w:r>
          </w:p>
        </w:tc>
        <w:tc>
          <w:tcPr>
            <w:tcW w:w="7749" w:type="dxa"/>
            <w:tcBorders>
              <w:top w:val="single" w:color="auto" w:sz="4" w:space="0"/>
              <w:left w:val="single" w:color="auto" w:sz="4" w:space="0"/>
              <w:bottom w:val="single" w:color="auto" w:sz="4" w:space="0"/>
              <w:right w:val="single" w:color="auto" w:sz="4" w:space="0"/>
            </w:tcBorders>
            <w:vAlign w:val="center"/>
          </w:tcPr>
          <w:p w14:paraId="0B2E387A">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日至202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eastAsia="zh-CN"/>
              </w:rPr>
              <w:t>日，每天上午10:00至</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，下午16:</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至</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（北京时间，节假日除外）</w:t>
            </w:r>
          </w:p>
          <w:p w14:paraId="2375E696">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地点：政采云平台线上</w:t>
            </w:r>
          </w:p>
          <w:p w14:paraId="1EB64E54">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方式：供应商登录政采云平台https://www.zcygov.cn/在线申请获取采购文件（进入“项目采购”应用，在获取采购文件菜单中选择项目，申请获取采购文件）</w:t>
            </w:r>
          </w:p>
        </w:tc>
      </w:tr>
      <w:tr w14:paraId="480ABBDD">
        <w:tblPrEx>
          <w:tblCellMar>
            <w:top w:w="0" w:type="dxa"/>
            <w:left w:w="108" w:type="dxa"/>
            <w:bottom w:w="0" w:type="dxa"/>
            <w:right w:w="108" w:type="dxa"/>
          </w:tblCellMar>
        </w:tblPrEx>
        <w:trPr>
          <w:trHeight w:val="84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55289880">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w:t>
            </w:r>
          </w:p>
        </w:tc>
        <w:tc>
          <w:tcPr>
            <w:tcW w:w="1691" w:type="dxa"/>
            <w:tcBorders>
              <w:top w:val="single" w:color="auto" w:sz="4" w:space="0"/>
              <w:left w:val="single" w:color="auto" w:sz="4" w:space="0"/>
              <w:bottom w:val="single" w:color="auto" w:sz="4" w:space="0"/>
              <w:right w:val="single" w:color="auto" w:sz="4" w:space="0"/>
            </w:tcBorders>
            <w:vAlign w:val="center"/>
          </w:tcPr>
          <w:p w14:paraId="6F094F2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投标文件形式</w:t>
            </w:r>
          </w:p>
        </w:tc>
        <w:tc>
          <w:tcPr>
            <w:tcW w:w="7749" w:type="dxa"/>
            <w:tcBorders>
              <w:top w:val="single" w:color="auto" w:sz="4" w:space="0"/>
              <w:left w:val="single" w:color="auto" w:sz="4" w:space="0"/>
              <w:bottom w:val="single" w:color="auto" w:sz="4" w:space="0"/>
              <w:right w:val="single" w:color="auto" w:sz="4" w:space="0"/>
            </w:tcBorders>
            <w:vAlign w:val="center"/>
          </w:tcPr>
          <w:p w14:paraId="49D3BAEE">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电子投标文件包括“电子加密投标文件”和“备份投标文件”，在投标文件编制完成后同时生成。</w:t>
            </w:r>
          </w:p>
          <w:p w14:paraId="58319894">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1、“电子加密投标文件”是指通过“政采云电子交易客户端”完成投标文件编制后生成并加密的数据电文形式的投标文件。</w:t>
            </w:r>
          </w:p>
          <w:p w14:paraId="024F23BB">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CF32C4E">
        <w:tblPrEx>
          <w:tblCellMar>
            <w:top w:w="0" w:type="dxa"/>
            <w:left w:w="108" w:type="dxa"/>
            <w:bottom w:w="0" w:type="dxa"/>
            <w:right w:w="108" w:type="dxa"/>
          </w:tblCellMar>
        </w:tblPrEx>
        <w:trPr>
          <w:trHeight w:val="42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128F42D">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w:t>
            </w:r>
          </w:p>
        </w:tc>
        <w:tc>
          <w:tcPr>
            <w:tcW w:w="1691" w:type="dxa"/>
            <w:tcBorders>
              <w:top w:val="single" w:color="auto" w:sz="4" w:space="0"/>
              <w:left w:val="single" w:color="auto" w:sz="4" w:space="0"/>
              <w:bottom w:val="single" w:color="auto" w:sz="4" w:space="0"/>
              <w:right w:val="single" w:color="auto" w:sz="4" w:space="0"/>
            </w:tcBorders>
            <w:vAlign w:val="center"/>
          </w:tcPr>
          <w:p w14:paraId="6EF023E1">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投标文件要求</w:t>
            </w:r>
          </w:p>
        </w:tc>
        <w:tc>
          <w:tcPr>
            <w:tcW w:w="7749" w:type="dxa"/>
            <w:tcBorders>
              <w:top w:val="single" w:color="auto" w:sz="4" w:space="0"/>
              <w:left w:val="single" w:color="auto" w:sz="4" w:space="0"/>
              <w:bottom w:val="single" w:color="auto" w:sz="4" w:space="0"/>
              <w:right w:val="single" w:color="auto" w:sz="4" w:space="0"/>
            </w:tcBorders>
            <w:vAlign w:val="center"/>
          </w:tcPr>
          <w:p w14:paraId="3E956FBC">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1、一份电子加密标书（“.jmbs”格式），一份备份标书文件（“.bfbs”格式）。</w:t>
            </w:r>
          </w:p>
          <w:p w14:paraId="32AC5A6D">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2、每份电子投标文件应包括资格证明文件和商务及技术文件两部分。</w:t>
            </w:r>
          </w:p>
        </w:tc>
      </w:tr>
      <w:tr w14:paraId="667E111A">
        <w:tblPrEx>
          <w:tblCellMar>
            <w:top w:w="0" w:type="dxa"/>
            <w:left w:w="108" w:type="dxa"/>
            <w:bottom w:w="0" w:type="dxa"/>
            <w:right w:w="108" w:type="dxa"/>
          </w:tblCellMar>
        </w:tblPrEx>
        <w:trPr>
          <w:trHeight w:val="90" w:hRule="atLeast"/>
          <w:jc w:val="center"/>
        </w:trPr>
        <w:tc>
          <w:tcPr>
            <w:tcW w:w="558" w:type="dxa"/>
            <w:vMerge w:val="restart"/>
            <w:tcBorders>
              <w:top w:val="single" w:color="auto" w:sz="4" w:space="0"/>
              <w:left w:val="single" w:color="auto" w:sz="4" w:space="0"/>
              <w:right w:val="single" w:color="auto" w:sz="4" w:space="0"/>
            </w:tcBorders>
            <w:vAlign w:val="center"/>
          </w:tcPr>
          <w:p w14:paraId="5BCEA7AE">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18</w:t>
            </w:r>
          </w:p>
        </w:tc>
        <w:tc>
          <w:tcPr>
            <w:tcW w:w="1691" w:type="dxa"/>
            <w:vMerge w:val="restart"/>
            <w:tcBorders>
              <w:top w:val="single" w:color="auto" w:sz="4" w:space="0"/>
              <w:left w:val="single" w:color="auto" w:sz="4" w:space="0"/>
              <w:right w:val="single" w:color="auto" w:sz="4" w:space="0"/>
            </w:tcBorders>
            <w:vAlign w:val="center"/>
          </w:tcPr>
          <w:p w14:paraId="6682F358">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投标文件的上传和递交</w:t>
            </w:r>
          </w:p>
        </w:tc>
        <w:tc>
          <w:tcPr>
            <w:tcW w:w="7749" w:type="dxa"/>
            <w:tcBorders>
              <w:top w:val="single" w:color="auto" w:sz="4" w:space="0"/>
              <w:left w:val="single" w:color="auto" w:sz="4" w:space="0"/>
              <w:bottom w:val="single" w:color="auto" w:sz="4" w:space="0"/>
              <w:right w:val="single" w:color="auto" w:sz="4" w:space="0"/>
            </w:tcBorders>
            <w:vAlign w:val="center"/>
          </w:tcPr>
          <w:p w14:paraId="7C1D63EA">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51A548BD">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a.供应商未能在投标截止时间前成功上传电子加密投标文件的投标无效。</w:t>
            </w:r>
          </w:p>
          <w:p w14:paraId="39CF9574">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b.供应商成功上传电子加密投标文件后，可自行打印投标文件接收回执。</w:t>
            </w:r>
          </w:p>
        </w:tc>
      </w:tr>
      <w:tr w14:paraId="4D8D0404">
        <w:tblPrEx>
          <w:tblCellMar>
            <w:top w:w="0" w:type="dxa"/>
            <w:left w:w="108" w:type="dxa"/>
            <w:bottom w:w="0" w:type="dxa"/>
            <w:right w:w="108" w:type="dxa"/>
          </w:tblCellMar>
        </w:tblPrEx>
        <w:trPr>
          <w:trHeight w:val="731" w:hRule="atLeast"/>
          <w:jc w:val="center"/>
        </w:trPr>
        <w:tc>
          <w:tcPr>
            <w:tcW w:w="558" w:type="dxa"/>
            <w:vMerge w:val="continue"/>
            <w:tcBorders>
              <w:left w:val="single" w:color="auto" w:sz="4" w:space="0"/>
              <w:bottom w:val="single" w:color="auto" w:sz="4" w:space="0"/>
              <w:right w:val="single" w:color="auto" w:sz="4" w:space="0"/>
            </w:tcBorders>
            <w:vAlign w:val="center"/>
          </w:tcPr>
          <w:p w14:paraId="03A427C6">
            <w:pPr>
              <w:spacing w:line="360" w:lineRule="auto"/>
              <w:jc w:val="center"/>
              <w:rPr>
                <w:rFonts w:ascii="仿宋" w:hAnsi="仿宋" w:eastAsia="仿宋" w:cs="仿宋"/>
                <w:color w:val="auto"/>
                <w:highlight w:val="none"/>
                <w:lang w:eastAsia="zh-CN"/>
              </w:rPr>
            </w:pPr>
          </w:p>
        </w:tc>
        <w:tc>
          <w:tcPr>
            <w:tcW w:w="1691" w:type="dxa"/>
            <w:vMerge w:val="continue"/>
            <w:tcBorders>
              <w:left w:val="single" w:color="auto" w:sz="4" w:space="0"/>
              <w:bottom w:val="single" w:color="auto" w:sz="4" w:space="0"/>
              <w:right w:val="single" w:color="auto" w:sz="4" w:space="0"/>
            </w:tcBorders>
            <w:vAlign w:val="center"/>
          </w:tcPr>
          <w:p w14:paraId="554284F0">
            <w:pPr>
              <w:spacing w:line="360" w:lineRule="auto"/>
              <w:rPr>
                <w:rFonts w:ascii="仿宋" w:hAnsi="仿宋" w:eastAsia="仿宋" w:cs="仿宋"/>
                <w:color w:val="auto"/>
                <w:highlight w:val="none"/>
                <w:lang w:eastAsia="zh-CN"/>
              </w:rPr>
            </w:pPr>
          </w:p>
        </w:tc>
        <w:tc>
          <w:tcPr>
            <w:tcW w:w="7749" w:type="dxa"/>
            <w:tcBorders>
              <w:top w:val="single" w:color="auto" w:sz="4" w:space="0"/>
              <w:left w:val="single" w:color="auto" w:sz="4" w:space="0"/>
              <w:bottom w:val="single" w:color="auto" w:sz="4" w:space="0"/>
              <w:right w:val="single" w:color="auto" w:sz="4" w:space="0"/>
            </w:tcBorders>
            <w:vAlign w:val="center"/>
          </w:tcPr>
          <w:p w14:paraId="4C5F2443">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highlight w:val="none"/>
                <w:lang w:val="en-US" w:eastAsia="zh-CN"/>
              </w:rPr>
              <w:t>3265613387</w:t>
            </w:r>
            <w:r>
              <w:rPr>
                <w:rFonts w:hint="eastAsia" w:ascii="仿宋" w:hAnsi="仿宋" w:eastAsia="仿宋" w:cs="仿宋"/>
                <w:color w:val="auto"/>
                <w:highlight w:val="none"/>
                <w:lang w:eastAsia="zh-CN"/>
              </w:rPr>
              <w:t>@qq.com，接收人：朱先生，电话：</w:t>
            </w:r>
            <w:r>
              <w:rPr>
                <w:rFonts w:hint="eastAsia" w:ascii="仿宋" w:hAnsi="仿宋" w:eastAsia="仿宋" w:cs="仿宋"/>
                <w:color w:val="auto"/>
                <w:highlight w:val="none"/>
                <w:lang w:val="en-US" w:eastAsia="zh-CN"/>
              </w:rPr>
              <w:t>18609088999</w:t>
            </w:r>
            <w:r>
              <w:rPr>
                <w:rFonts w:hint="eastAsia" w:ascii="仿宋" w:hAnsi="仿宋" w:eastAsia="仿宋" w:cs="仿宋"/>
                <w:color w:val="auto"/>
                <w:highlight w:val="none"/>
                <w:lang w:eastAsia="zh-CN"/>
              </w:rPr>
              <w:t>），“备份投标文件”由供应商自愿提供，招标文件 不作强制性要求；如不提供或未按要求提供的，当电子投标文件无法解密时，将导致无备份投标文件而失去投标资格。</w:t>
            </w:r>
          </w:p>
          <w:p w14:paraId="0A20077A">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3B14AF4E">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69605D2E">
        <w:tblPrEx>
          <w:tblCellMar>
            <w:top w:w="0" w:type="dxa"/>
            <w:left w:w="108" w:type="dxa"/>
            <w:bottom w:w="0" w:type="dxa"/>
            <w:right w:w="108" w:type="dxa"/>
          </w:tblCellMar>
        </w:tblPrEx>
        <w:trPr>
          <w:trHeight w:val="82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9FC99F7">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p>
        </w:tc>
        <w:tc>
          <w:tcPr>
            <w:tcW w:w="1691" w:type="dxa"/>
            <w:tcBorders>
              <w:top w:val="single" w:color="auto" w:sz="4" w:space="0"/>
              <w:left w:val="single" w:color="auto" w:sz="4" w:space="0"/>
              <w:bottom w:val="single" w:color="auto" w:sz="4" w:space="0"/>
              <w:right w:val="single" w:color="auto" w:sz="4" w:space="0"/>
            </w:tcBorders>
            <w:vAlign w:val="center"/>
          </w:tcPr>
          <w:p w14:paraId="50C55F9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评标委员会的组建</w:t>
            </w:r>
          </w:p>
        </w:tc>
        <w:tc>
          <w:tcPr>
            <w:tcW w:w="7749" w:type="dxa"/>
            <w:tcBorders>
              <w:top w:val="single" w:color="auto" w:sz="4" w:space="0"/>
              <w:left w:val="single" w:color="auto" w:sz="4" w:space="0"/>
              <w:bottom w:val="single" w:color="auto" w:sz="4" w:space="0"/>
              <w:right w:val="single" w:color="auto" w:sz="4" w:space="0"/>
            </w:tcBorders>
            <w:vAlign w:val="center"/>
          </w:tcPr>
          <w:p w14:paraId="507B260E">
            <w:pPr>
              <w:spacing w:line="400" w:lineRule="exact"/>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评标委员会由招标人依法组建；采购人代表1人，评审专家4人，共5人。评标专家确定方式：评标委员会由招标人在开标前从政采云专家库中随机抽取</w:t>
            </w:r>
          </w:p>
        </w:tc>
      </w:tr>
      <w:tr w14:paraId="690B8D75">
        <w:tblPrEx>
          <w:tblCellMar>
            <w:top w:w="0" w:type="dxa"/>
            <w:left w:w="108" w:type="dxa"/>
            <w:bottom w:w="0" w:type="dxa"/>
            <w:right w:w="108" w:type="dxa"/>
          </w:tblCellMar>
        </w:tblPrEx>
        <w:trPr>
          <w:trHeight w:val="106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9A5CBEF">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w:t>
            </w:r>
          </w:p>
        </w:tc>
        <w:tc>
          <w:tcPr>
            <w:tcW w:w="1691" w:type="dxa"/>
            <w:tcBorders>
              <w:top w:val="single" w:color="auto" w:sz="4" w:space="0"/>
              <w:left w:val="single" w:color="auto" w:sz="4" w:space="0"/>
              <w:bottom w:val="single" w:color="auto" w:sz="4" w:space="0"/>
              <w:right w:val="single" w:color="auto" w:sz="4" w:space="0"/>
            </w:tcBorders>
            <w:vAlign w:val="center"/>
          </w:tcPr>
          <w:p w14:paraId="2DD4FA6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是否授权评标委员会确定中标候选人</w:t>
            </w:r>
          </w:p>
        </w:tc>
        <w:tc>
          <w:tcPr>
            <w:tcW w:w="7749" w:type="dxa"/>
            <w:tcBorders>
              <w:top w:val="single" w:color="auto" w:sz="4" w:space="0"/>
              <w:left w:val="single" w:color="auto" w:sz="4" w:space="0"/>
              <w:bottom w:val="single" w:color="auto" w:sz="4" w:space="0"/>
              <w:right w:val="single" w:color="auto" w:sz="4" w:space="0"/>
            </w:tcBorders>
            <w:vAlign w:val="center"/>
          </w:tcPr>
          <w:p w14:paraId="09D70A26">
            <w:pPr>
              <w:spacing w:line="400" w:lineRule="exact"/>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eastAsia="zh-CN"/>
              </w:rPr>
              <w:t>是</w:t>
            </w:r>
          </w:p>
        </w:tc>
      </w:tr>
      <w:tr w14:paraId="1082F850">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6992C67">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w:t>
            </w:r>
          </w:p>
        </w:tc>
        <w:tc>
          <w:tcPr>
            <w:tcW w:w="1691" w:type="dxa"/>
            <w:tcBorders>
              <w:top w:val="single" w:color="auto" w:sz="4" w:space="0"/>
              <w:left w:val="single" w:color="auto" w:sz="4" w:space="0"/>
              <w:bottom w:val="single" w:color="auto" w:sz="4" w:space="0"/>
              <w:right w:val="single" w:color="auto" w:sz="4" w:space="0"/>
            </w:tcBorders>
            <w:vAlign w:val="center"/>
          </w:tcPr>
          <w:p w14:paraId="7BB718B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递交投标文件地点</w:t>
            </w:r>
          </w:p>
        </w:tc>
        <w:tc>
          <w:tcPr>
            <w:tcW w:w="7749" w:type="dxa"/>
            <w:tcBorders>
              <w:top w:val="single" w:color="auto" w:sz="4" w:space="0"/>
              <w:left w:val="single" w:color="auto" w:sz="4" w:space="0"/>
              <w:bottom w:val="single" w:color="auto" w:sz="4" w:space="0"/>
              <w:right w:val="single" w:color="auto" w:sz="4" w:space="0"/>
            </w:tcBorders>
            <w:vAlign w:val="center"/>
          </w:tcPr>
          <w:p w14:paraId="758A2E3C">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日上午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14:paraId="13CEB523">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投标地点：新疆政府采购云平台（www.zcygov.cn）</w:t>
            </w:r>
          </w:p>
        </w:tc>
      </w:tr>
      <w:tr w14:paraId="484D94A6">
        <w:tblPrEx>
          <w:tblCellMar>
            <w:top w:w="0" w:type="dxa"/>
            <w:left w:w="108" w:type="dxa"/>
            <w:bottom w:w="0" w:type="dxa"/>
            <w:right w:w="108" w:type="dxa"/>
          </w:tblCellMar>
        </w:tblPrEx>
        <w:trPr>
          <w:trHeight w:val="753" w:hRule="atLeast"/>
          <w:jc w:val="center"/>
        </w:trPr>
        <w:tc>
          <w:tcPr>
            <w:tcW w:w="558" w:type="dxa"/>
            <w:tcBorders>
              <w:top w:val="single" w:color="auto" w:sz="4" w:space="0"/>
              <w:left w:val="single" w:color="auto" w:sz="4" w:space="0"/>
              <w:right w:val="single" w:color="auto" w:sz="4" w:space="0"/>
            </w:tcBorders>
            <w:vAlign w:val="center"/>
          </w:tcPr>
          <w:p w14:paraId="4EDBFF9D">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w:t>
            </w:r>
          </w:p>
        </w:tc>
        <w:tc>
          <w:tcPr>
            <w:tcW w:w="1691" w:type="dxa"/>
            <w:tcBorders>
              <w:top w:val="single" w:color="auto" w:sz="4" w:space="0"/>
              <w:left w:val="single" w:color="auto" w:sz="4" w:space="0"/>
              <w:right w:val="single" w:color="auto" w:sz="4" w:space="0"/>
            </w:tcBorders>
            <w:vAlign w:val="center"/>
          </w:tcPr>
          <w:p w14:paraId="10492C10">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开标时间和地点</w:t>
            </w:r>
          </w:p>
        </w:tc>
        <w:tc>
          <w:tcPr>
            <w:tcW w:w="7749" w:type="dxa"/>
            <w:tcBorders>
              <w:top w:val="single" w:color="auto" w:sz="4" w:space="0"/>
              <w:left w:val="single" w:color="auto" w:sz="4" w:space="0"/>
              <w:right w:val="single" w:color="auto" w:sz="4" w:space="0"/>
            </w:tcBorders>
            <w:vAlign w:val="center"/>
          </w:tcPr>
          <w:p w14:paraId="3158BEC6">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开标时间：202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日上午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14:paraId="72BDE31B">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开标地点：新疆政府采购云平台（www.zcygov.cn）         </w:t>
            </w:r>
          </w:p>
        </w:tc>
      </w:tr>
      <w:tr w14:paraId="4AEA131D">
        <w:tblPrEx>
          <w:tblCellMar>
            <w:top w:w="0" w:type="dxa"/>
            <w:left w:w="108" w:type="dxa"/>
            <w:bottom w:w="0" w:type="dxa"/>
            <w:right w:w="108" w:type="dxa"/>
          </w:tblCellMar>
        </w:tblPrEx>
        <w:trPr>
          <w:trHeight w:val="710" w:hRule="atLeast"/>
          <w:jc w:val="center"/>
        </w:trPr>
        <w:tc>
          <w:tcPr>
            <w:tcW w:w="558" w:type="dxa"/>
            <w:vMerge w:val="restart"/>
            <w:tcBorders>
              <w:top w:val="single" w:color="auto" w:sz="4" w:space="0"/>
              <w:left w:val="single" w:color="auto" w:sz="4" w:space="0"/>
              <w:right w:val="single" w:color="auto" w:sz="4" w:space="0"/>
            </w:tcBorders>
            <w:vAlign w:val="center"/>
          </w:tcPr>
          <w:p w14:paraId="7B913810">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1691" w:type="dxa"/>
            <w:vMerge w:val="restart"/>
            <w:tcBorders>
              <w:top w:val="single" w:color="auto" w:sz="4" w:space="0"/>
              <w:left w:val="single" w:color="auto" w:sz="4" w:space="0"/>
              <w:right w:val="single" w:color="auto" w:sz="4" w:space="0"/>
            </w:tcBorders>
            <w:vAlign w:val="center"/>
          </w:tcPr>
          <w:p w14:paraId="65DEDE62">
            <w:pPr>
              <w:spacing w:line="360" w:lineRule="auto"/>
              <w:jc w:val="center"/>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t>重要说明</w:t>
            </w:r>
          </w:p>
        </w:tc>
        <w:tc>
          <w:tcPr>
            <w:tcW w:w="7749" w:type="dxa"/>
            <w:tcBorders>
              <w:top w:val="single" w:color="auto" w:sz="4" w:space="0"/>
              <w:left w:val="single" w:color="auto" w:sz="4" w:space="0"/>
              <w:right w:val="single" w:color="auto" w:sz="4" w:space="0"/>
            </w:tcBorders>
            <w:vAlign w:val="center"/>
          </w:tcPr>
          <w:p w14:paraId="642C307F">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1.本项目采用全流程不见面电子开评标，投标供应商需要使用CA加密设备，供应商可通过新疆数字证书认证中心官网（https://www.xjca.com.cn/）或下载“新疆政务通”APP自行进行申领。</w:t>
            </w:r>
          </w:p>
          <w:p w14:paraId="03F1C1EE">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2.本项目实行网上投标，采用加密电子投标文件(供应商须使用CA加密设备通过政采云电子投标客户端制作投标文件)。若供应商参与投标，自行承担投标一切费用。</w:t>
            </w:r>
          </w:p>
          <w:p w14:paraId="28AC4EE2">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3DFD8B2A">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5C74469">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5.供应商在开标时须使用制作加密电子投标文件所使用的CA锁及电脑，电脑须提前配置好浏览器（建议使用谷歌浏览器），以便开标时解锁。</w:t>
            </w:r>
          </w:p>
          <w:p w14:paraId="586CBE87">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highlight w:val="none"/>
                <w:lang w:eastAsia="zh-CN"/>
              </w:rPr>
              <w:fldChar w:fldCharType="begin"/>
            </w:r>
            <w:r>
              <w:rPr>
                <w:rFonts w:hint="eastAsia" w:ascii="仿宋" w:hAnsi="仿宋" w:eastAsia="仿宋" w:cs="仿宋"/>
                <w:color w:val="auto"/>
                <w:highlight w:val="none"/>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highlight w:val="none"/>
                <w:lang w:eastAsia="zh-CN"/>
              </w:rPr>
              <w:fldChar w:fldCharType="separate"/>
            </w:r>
            <w:r>
              <w:rPr>
                <w:rFonts w:hint="eastAsia" w:ascii="仿宋" w:hAnsi="仿宋" w:eastAsia="仿宋" w:cs="仿宋"/>
                <w:color w:val="auto"/>
                <w:highlight w:val="none"/>
                <w:lang w:eastAsia="zh-CN"/>
              </w:rPr>
              <w:t>https://service.zcygov.cn/#/help，“项目采购”—“操作流程-电子招投标”—“政府采购项目电子交易管理操作指南-供应商”版面获取操作指南。</w:t>
            </w:r>
            <w:r>
              <w:rPr>
                <w:rFonts w:hint="eastAsia" w:ascii="仿宋" w:hAnsi="仿宋" w:eastAsia="仿宋" w:cs="仿宋"/>
                <w:color w:val="auto"/>
                <w:highlight w:val="none"/>
                <w:lang w:eastAsia="zh-CN"/>
              </w:rPr>
              <w:fldChar w:fldCharType="end"/>
            </w:r>
          </w:p>
          <w:p w14:paraId="77D061D1">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7.为了保证开评标顺利进行，政采云线上开标功能完全实现，供应商开标所使用的电脑设备须具有视频及语音功能。</w:t>
            </w:r>
          </w:p>
        </w:tc>
      </w:tr>
      <w:tr w14:paraId="73D61A55">
        <w:tblPrEx>
          <w:tblCellMar>
            <w:top w:w="0" w:type="dxa"/>
            <w:left w:w="108" w:type="dxa"/>
            <w:bottom w:w="0" w:type="dxa"/>
            <w:right w:w="108" w:type="dxa"/>
          </w:tblCellMar>
        </w:tblPrEx>
        <w:trPr>
          <w:trHeight w:val="710" w:hRule="atLeast"/>
          <w:jc w:val="center"/>
        </w:trPr>
        <w:tc>
          <w:tcPr>
            <w:tcW w:w="558" w:type="dxa"/>
            <w:vMerge w:val="continue"/>
            <w:tcBorders>
              <w:left w:val="single" w:color="auto" w:sz="4" w:space="0"/>
              <w:bottom w:val="single" w:color="auto" w:sz="4" w:space="0"/>
              <w:right w:val="single" w:color="auto" w:sz="4" w:space="0"/>
            </w:tcBorders>
            <w:vAlign w:val="center"/>
          </w:tcPr>
          <w:p w14:paraId="76FEF569">
            <w:pPr>
              <w:spacing w:line="360" w:lineRule="auto"/>
              <w:rPr>
                <w:rFonts w:ascii="仿宋" w:hAnsi="仿宋" w:eastAsia="仿宋" w:cs="仿宋"/>
                <w:color w:val="auto"/>
                <w:sz w:val="21"/>
                <w:szCs w:val="21"/>
                <w:highlight w:val="none"/>
                <w:lang w:eastAsia="zh-CN"/>
              </w:rPr>
            </w:pPr>
          </w:p>
        </w:tc>
        <w:tc>
          <w:tcPr>
            <w:tcW w:w="1691" w:type="dxa"/>
            <w:vMerge w:val="continue"/>
            <w:tcBorders>
              <w:left w:val="single" w:color="auto" w:sz="4" w:space="0"/>
              <w:bottom w:val="single" w:color="auto" w:sz="4" w:space="0"/>
              <w:right w:val="single" w:color="auto" w:sz="4" w:space="0"/>
            </w:tcBorders>
            <w:vAlign w:val="center"/>
          </w:tcPr>
          <w:p w14:paraId="6C2788E8">
            <w:pPr>
              <w:spacing w:line="360" w:lineRule="auto"/>
              <w:rPr>
                <w:rFonts w:ascii="仿宋" w:hAnsi="仿宋" w:eastAsia="仿宋" w:cs="仿宋"/>
                <w:color w:val="auto"/>
                <w:sz w:val="21"/>
                <w:szCs w:val="21"/>
                <w:highlight w:val="none"/>
                <w:lang w:eastAsia="zh-CN"/>
              </w:rPr>
            </w:pPr>
          </w:p>
        </w:tc>
        <w:tc>
          <w:tcPr>
            <w:tcW w:w="7749" w:type="dxa"/>
            <w:tcBorders>
              <w:top w:val="single" w:color="auto" w:sz="4" w:space="0"/>
              <w:left w:val="single" w:color="auto" w:sz="4" w:space="0"/>
              <w:bottom w:val="single" w:color="auto" w:sz="4" w:space="0"/>
              <w:right w:val="single" w:color="auto" w:sz="4" w:space="0"/>
            </w:tcBorders>
            <w:vAlign w:val="center"/>
          </w:tcPr>
          <w:p w14:paraId="1856C9F1">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1、电子招投标情况说明：</w:t>
            </w:r>
          </w:p>
          <w:p w14:paraId="5601B3E4">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（1）电子招投标：本项目以数据电文形式，依托“政府采购云平台（www.zcygov.cn）”进行招投标活动。</w:t>
            </w:r>
          </w:p>
          <w:p w14:paraId="10FACBA3">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B3D4533">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（3）招标文件 的获取：使用账号登录或者短信验证码或者使用CA登录政采云平台；进入“项目采购”应用，在获取招标文件 菜单中选择项目，获取招标文件 。</w:t>
            </w:r>
          </w:p>
          <w:p w14:paraId="21311D38">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（4）投标文件的制作：在“政采云电子交易客户端”中完成“填写基本信息”、“导入投标文件”、“标书关联”、“标书检查”、“电子签名”、“生成电子标书”等操作。</w:t>
            </w:r>
          </w:p>
          <w:p w14:paraId="546594AF">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（5）投标文件的传输递交：供应商在投标截止时间前将加密的投标文件上传至政府采购云平台，还可以在投标截止时间前以电子邮件方式提供备份投标文件1份（接收人邮箱：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highlight w:val="none"/>
                <w:lang w:val="en-US" w:eastAsia="zh-CN"/>
              </w:rPr>
              <w:t>3265613387</w:t>
            </w:r>
            <w:r>
              <w:rPr>
                <w:rFonts w:hint="eastAsia" w:ascii="仿宋" w:hAnsi="仿宋" w:eastAsia="仿宋" w:cs="仿宋"/>
                <w:color w:val="auto"/>
                <w:highlight w:val="none"/>
                <w:lang w:eastAsia="zh-CN"/>
              </w:rPr>
              <w:t>@qq.com，接收人：朱先生，电话：</w:t>
            </w:r>
            <w:r>
              <w:rPr>
                <w:rFonts w:hint="eastAsia" w:ascii="仿宋" w:hAnsi="仿宋" w:eastAsia="仿宋" w:cs="仿宋"/>
                <w:color w:val="auto"/>
                <w:highlight w:val="none"/>
                <w:lang w:val="en-US" w:eastAsia="zh-CN"/>
              </w:rPr>
              <w:t>18609088999</w:t>
            </w:r>
            <w:r>
              <w:rPr>
                <w:rFonts w:hint="eastAsia" w:ascii="仿宋" w:hAnsi="仿宋" w:eastAsia="仿宋" w:cs="仿宋"/>
                <w:color w:val="auto"/>
                <w:highlight w:val="none"/>
                <w:lang w:eastAsia="zh-CN"/>
              </w:rPr>
              <w:t>），备份投标文件可以打包压缩并加密，压缩包命名为“XX单位备份投标文件”，加密密码由供应商自行保管（“备份投标文件”由供应商自愿提供，招标文件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14:paraId="5216707E">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4052060A">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（7）具体操作指南：详见政采云平台“服务中心-帮助文档-项目采购-操作流程-电子招投标-政府采购项目电子交易管理操作指南-供应商”。</w:t>
            </w:r>
          </w:p>
          <w:p w14:paraId="2F8D8E06">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（8）供应商在进行上述操作时，如遇技术问题可登录政采云（https://</w:t>
            </w:r>
            <w:r>
              <w:rPr>
                <w:rFonts w:hint="eastAsia" w:ascii="仿宋" w:hAnsi="仿宋" w:eastAsia="仿宋" w:cs="仿宋"/>
                <w:color w:val="auto"/>
                <w:highlight w:val="none"/>
                <w:lang w:eastAsia="zh-CN"/>
              </w:rPr>
              <w:fldChar w:fldCharType="begin"/>
            </w:r>
            <w:r>
              <w:rPr>
                <w:rFonts w:hint="eastAsia" w:ascii="仿宋" w:hAnsi="仿宋" w:eastAsia="仿宋" w:cs="仿宋"/>
                <w:color w:val="auto"/>
                <w:highlight w:val="none"/>
                <w:lang w:eastAsia="zh-CN"/>
              </w:rPr>
              <w:instrText xml:space="preserve"> HYPERLINK "http://www.zcygov.cn/" \h </w:instrText>
            </w:r>
            <w:r>
              <w:rPr>
                <w:rFonts w:hint="eastAsia" w:ascii="仿宋" w:hAnsi="仿宋" w:eastAsia="仿宋" w:cs="仿宋"/>
                <w:color w:val="auto"/>
                <w:highlight w:val="none"/>
                <w:lang w:eastAsia="zh-CN"/>
              </w:rPr>
              <w:fldChar w:fldCharType="separate"/>
            </w:r>
            <w:r>
              <w:rPr>
                <w:rFonts w:hint="eastAsia" w:ascii="仿宋" w:hAnsi="仿宋" w:eastAsia="仿宋" w:cs="仿宋"/>
                <w:color w:val="auto"/>
                <w:highlight w:val="none"/>
                <w:lang w:eastAsia="zh-CN"/>
              </w:rPr>
              <w:t>www.zcygov.cn/</w:t>
            </w:r>
            <w:r>
              <w:rPr>
                <w:rFonts w:hint="eastAsia" w:ascii="仿宋" w:hAnsi="仿宋" w:eastAsia="仿宋" w:cs="仿宋"/>
                <w:color w:val="auto"/>
                <w:highlight w:val="none"/>
                <w:lang w:eastAsia="zh-CN"/>
              </w:rPr>
              <w:fldChar w:fldCharType="end"/>
            </w:r>
            <w:r>
              <w:rPr>
                <w:rFonts w:hint="eastAsia" w:ascii="仿宋" w:hAnsi="仿宋" w:eastAsia="仿宋" w:cs="仿宋"/>
                <w:color w:val="auto"/>
                <w:highlight w:val="none"/>
                <w:lang w:eastAsia="zh-CN"/>
              </w:rPr>
              <w:t>），点击右侧咨询小采，获取采小蜜智能服务管家帮助，或拨打政采云服务热线 95763 获取热线服务帮助。</w:t>
            </w:r>
          </w:p>
          <w:p w14:paraId="055800EB">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温馨提醒：供应商应提前上传，以便在上传时遇到技术问题，有充足的时间请教平台的技术人员。</w:t>
            </w:r>
          </w:p>
          <w:p w14:paraId="16006A53">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14:paraId="2D15AC57">
        <w:tblPrEx>
          <w:tblCellMar>
            <w:top w:w="0" w:type="dxa"/>
            <w:left w:w="108" w:type="dxa"/>
            <w:bottom w:w="0" w:type="dxa"/>
            <w:right w:w="108" w:type="dxa"/>
          </w:tblCellMar>
        </w:tblPrEx>
        <w:trPr>
          <w:trHeight w:val="91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743DF20">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24</w:t>
            </w:r>
          </w:p>
        </w:tc>
        <w:tc>
          <w:tcPr>
            <w:tcW w:w="1691" w:type="dxa"/>
            <w:tcBorders>
              <w:top w:val="single" w:color="auto" w:sz="4" w:space="0"/>
              <w:left w:val="single" w:color="auto" w:sz="4" w:space="0"/>
              <w:bottom w:val="single" w:color="auto" w:sz="4" w:space="0"/>
              <w:right w:val="single" w:color="auto" w:sz="4" w:space="0"/>
            </w:tcBorders>
            <w:vAlign w:val="center"/>
          </w:tcPr>
          <w:p w14:paraId="3AE58AD9">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中标候选人公示媒介</w:t>
            </w:r>
          </w:p>
        </w:tc>
        <w:tc>
          <w:tcPr>
            <w:tcW w:w="7749" w:type="dxa"/>
            <w:tcBorders>
              <w:top w:val="single" w:color="auto" w:sz="4" w:space="0"/>
              <w:left w:val="single" w:color="auto" w:sz="4" w:space="0"/>
              <w:bottom w:val="single" w:color="auto" w:sz="4" w:space="0"/>
              <w:right w:val="single" w:color="auto" w:sz="4" w:space="0"/>
            </w:tcBorders>
            <w:vAlign w:val="center"/>
          </w:tcPr>
          <w:p w14:paraId="44D359FA">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克州公共资源交易中心网、新疆政府采购网，公示期为一个工作日。</w:t>
            </w:r>
          </w:p>
        </w:tc>
      </w:tr>
      <w:tr w14:paraId="3AC81BFC">
        <w:tblPrEx>
          <w:tblCellMar>
            <w:top w:w="0" w:type="dxa"/>
            <w:left w:w="108" w:type="dxa"/>
            <w:bottom w:w="0" w:type="dxa"/>
            <w:right w:w="108" w:type="dxa"/>
          </w:tblCellMar>
        </w:tblPrEx>
        <w:trPr>
          <w:trHeight w:val="41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2D259F9">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25</w:t>
            </w:r>
          </w:p>
        </w:tc>
        <w:tc>
          <w:tcPr>
            <w:tcW w:w="9440" w:type="dxa"/>
            <w:gridSpan w:val="2"/>
            <w:tcBorders>
              <w:top w:val="single" w:color="auto" w:sz="4" w:space="0"/>
              <w:left w:val="single" w:color="auto" w:sz="4" w:space="0"/>
              <w:bottom w:val="single" w:color="auto" w:sz="4" w:space="0"/>
              <w:right w:val="single" w:color="auto" w:sz="4" w:space="0"/>
            </w:tcBorders>
            <w:vAlign w:val="center"/>
          </w:tcPr>
          <w:p w14:paraId="6241D321">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招标代理服务费</w:t>
            </w:r>
          </w:p>
        </w:tc>
      </w:tr>
      <w:tr w14:paraId="749CBF07">
        <w:tblPrEx>
          <w:tblCellMar>
            <w:top w:w="0" w:type="dxa"/>
            <w:left w:w="108" w:type="dxa"/>
            <w:bottom w:w="0" w:type="dxa"/>
            <w:right w:w="108" w:type="dxa"/>
          </w:tblCellMar>
        </w:tblPrEx>
        <w:trPr>
          <w:trHeight w:val="65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EFF05D0">
            <w:pPr>
              <w:spacing w:line="360" w:lineRule="auto"/>
              <w:rPr>
                <w:rFonts w:ascii="仿宋" w:hAnsi="仿宋" w:eastAsia="仿宋" w:cs="仿宋"/>
                <w:color w:val="auto"/>
                <w:sz w:val="21"/>
                <w:szCs w:val="21"/>
                <w:highlight w:val="none"/>
                <w:lang w:eastAsia="zh-CN"/>
              </w:rPr>
            </w:pPr>
          </w:p>
        </w:tc>
        <w:tc>
          <w:tcPr>
            <w:tcW w:w="9440" w:type="dxa"/>
            <w:gridSpan w:val="2"/>
            <w:tcBorders>
              <w:top w:val="single" w:color="auto" w:sz="4" w:space="0"/>
              <w:left w:val="single" w:color="auto" w:sz="4" w:space="0"/>
              <w:bottom w:val="single" w:color="auto" w:sz="4" w:space="0"/>
              <w:right w:val="single" w:color="auto" w:sz="4" w:space="0"/>
            </w:tcBorders>
            <w:vAlign w:val="center"/>
          </w:tcPr>
          <w:p w14:paraId="7688F299">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招标代理费根据《中华人民共和国招标投标法》、《中华人民共和国招标投标法实施条例》、《国家发展改革委关于进一步放开建设项目专业服务价格的通知》（发改价格【2015】299号）文件等规定收费基准价格计取。本项目招标代理费：23570元。招标代理费在中标通知书发放之日前由中标人缴纳。</w:t>
            </w:r>
          </w:p>
        </w:tc>
      </w:tr>
      <w:tr w14:paraId="187F5B13">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6A5D0471">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26</w:t>
            </w:r>
          </w:p>
        </w:tc>
        <w:tc>
          <w:tcPr>
            <w:tcW w:w="9440" w:type="dxa"/>
            <w:gridSpan w:val="2"/>
            <w:tcBorders>
              <w:top w:val="single" w:color="auto" w:sz="4" w:space="0"/>
              <w:left w:val="single" w:color="auto" w:sz="4" w:space="0"/>
              <w:bottom w:val="single" w:color="auto" w:sz="4" w:space="0"/>
              <w:right w:val="single" w:color="auto" w:sz="4" w:space="0"/>
            </w:tcBorders>
            <w:vAlign w:val="center"/>
          </w:tcPr>
          <w:p w14:paraId="2FEEBE1D">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评标办法：本项目采用综合评分法</w:t>
            </w:r>
          </w:p>
        </w:tc>
      </w:tr>
      <w:tr w14:paraId="32FA4614">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E17C655">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27</w:t>
            </w:r>
          </w:p>
        </w:tc>
        <w:tc>
          <w:tcPr>
            <w:tcW w:w="9440" w:type="dxa"/>
            <w:gridSpan w:val="2"/>
            <w:tcBorders>
              <w:top w:val="single" w:color="auto" w:sz="4" w:space="0"/>
              <w:left w:val="single" w:color="auto" w:sz="4" w:space="0"/>
              <w:bottom w:val="single" w:color="auto" w:sz="4" w:space="0"/>
              <w:right w:val="single" w:color="auto" w:sz="4" w:space="0"/>
            </w:tcBorders>
            <w:vAlign w:val="center"/>
          </w:tcPr>
          <w:p w14:paraId="6F5C4B04">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不管投标结果如何，供应商均应承担自己投标所需一切费用。</w:t>
            </w:r>
          </w:p>
        </w:tc>
      </w:tr>
      <w:tr w14:paraId="7CCEAA3A">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6848093">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28</w:t>
            </w:r>
          </w:p>
        </w:tc>
        <w:tc>
          <w:tcPr>
            <w:tcW w:w="9440" w:type="dxa"/>
            <w:gridSpan w:val="2"/>
            <w:tcBorders>
              <w:top w:val="single" w:color="auto" w:sz="4" w:space="0"/>
              <w:left w:val="single" w:color="auto" w:sz="4" w:space="0"/>
              <w:bottom w:val="single" w:color="auto" w:sz="4" w:space="0"/>
              <w:right w:val="single" w:color="auto" w:sz="4" w:space="0"/>
            </w:tcBorders>
            <w:vAlign w:val="center"/>
          </w:tcPr>
          <w:p w14:paraId="157B460A">
            <w:pPr>
              <w:spacing w:line="400" w:lineRule="exact"/>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本次招标预算价：</w:t>
            </w:r>
            <w:r>
              <w:rPr>
                <w:rFonts w:hint="eastAsia" w:ascii="仿宋" w:hAnsi="仿宋" w:eastAsia="仿宋" w:cs="仿宋"/>
                <w:b/>
                <w:bCs/>
                <w:color w:val="auto"/>
                <w:highlight w:val="none"/>
                <w:u w:val="single"/>
                <w:lang w:val="en-US" w:eastAsia="zh-CN"/>
              </w:rPr>
              <w:t>1925000元</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lang w:eastAsia="zh-CN"/>
              </w:rPr>
              <w:t>投标总报价超过采购预算价的按废标处理。</w:t>
            </w:r>
          </w:p>
        </w:tc>
      </w:tr>
      <w:tr w14:paraId="37C0A8DF">
        <w:tblPrEx>
          <w:tblCellMar>
            <w:top w:w="0" w:type="dxa"/>
            <w:left w:w="108" w:type="dxa"/>
            <w:bottom w:w="0" w:type="dxa"/>
            <w:right w:w="108" w:type="dxa"/>
          </w:tblCellMar>
        </w:tblPrEx>
        <w:trPr>
          <w:trHeight w:val="2852" w:hRule="atLeast"/>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14:paraId="0748CCAA">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29</w:t>
            </w:r>
          </w:p>
        </w:tc>
        <w:tc>
          <w:tcPr>
            <w:tcW w:w="1691" w:type="dxa"/>
            <w:vMerge w:val="restart"/>
            <w:tcBorders>
              <w:top w:val="single" w:color="auto" w:sz="4" w:space="0"/>
              <w:left w:val="single" w:color="auto" w:sz="4" w:space="0"/>
              <w:bottom w:val="single" w:color="auto" w:sz="4" w:space="0"/>
              <w:right w:val="single" w:color="auto" w:sz="4" w:space="0"/>
            </w:tcBorders>
            <w:vAlign w:val="center"/>
          </w:tcPr>
          <w:p w14:paraId="71F5DF18">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w:t>
            </w:r>
          </w:p>
        </w:tc>
        <w:tc>
          <w:tcPr>
            <w:tcW w:w="7749" w:type="dxa"/>
            <w:tcBorders>
              <w:top w:val="single" w:color="auto" w:sz="4" w:space="0"/>
              <w:left w:val="single" w:color="auto" w:sz="4" w:space="0"/>
              <w:bottom w:val="single" w:color="auto" w:sz="4" w:space="0"/>
              <w:right w:val="single" w:color="auto" w:sz="4" w:space="0"/>
            </w:tcBorders>
            <w:vAlign w:val="center"/>
          </w:tcPr>
          <w:p w14:paraId="7E5BA027">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bCs/>
                <w:color w:val="auto"/>
                <w:highlight w:val="none"/>
                <w:lang w:eastAsia="zh-CN"/>
              </w:rPr>
              <w:t>按招标文件格式提供《中小企业声明函》。</w:t>
            </w:r>
          </w:p>
        </w:tc>
      </w:tr>
      <w:tr w14:paraId="4FFAD2E5">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3D662FE0">
            <w:pPr>
              <w:spacing w:line="360" w:lineRule="auto"/>
              <w:rPr>
                <w:rFonts w:ascii="仿宋" w:hAnsi="仿宋" w:eastAsia="仿宋" w:cs="仿宋"/>
                <w:color w:val="auto"/>
                <w:highlight w:val="none"/>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4E319300">
            <w:pPr>
              <w:spacing w:line="360" w:lineRule="auto"/>
              <w:rPr>
                <w:rFonts w:ascii="仿宋" w:hAnsi="仿宋" w:eastAsia="仿宋" w:cs="仿宋"/>
                <w:color w:val="auto"/>
                <w:highlight w:val="none"/>
                <w:lang w:eastAsia="zh-CN"/>
              </w:rPr>
            </w:pPr>
          </w:p>
        </w:tc>
        <w:tc>
          <w:tcPr>
            <w:tcW w:w="7749" w:type="dxa"/>
            <w:tcBorders>
              <w:top w:val="single" w:color="auto" w:sz="4" w:space="0"/>
              <w:left w:val="single" w:color="auto" w:sz="4" w:space="0"/>
              <w:bottom w:val="single" w:color="auto" w:sz="4" w:space="0"/>
              <w:right w:val="single" w:color="auto" w:sz="4" w:space="0"/>
            </w:tcBorders>
            <w:vAlign w:val="center"/>
          </w:tcPr>
          <w:p w14:paraId="52B64300">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516E32C6">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3C1A05AF">
            <w:pPr>
              <w:spacing w:line="360" w:lineRule="auto"/>
              <w:rPr>
                <w:rFonts w:ascii="仿宋" w:hAnsi="仿宋" w:eastAsia="仿宋" w:cs="仿宋"/>
                <w:color w:val="auto"/>
                <w:highlight w:val="none"/>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2C466051">
            <w:pPr>
              <w:spacing w:line="360" w:lineRule="auto"/>
              <w:rPr>
                <w:rFonts w:ascii="仿宋" w:hAnsi="仿宋" w:eastAsia="仿宋" w:cs="仿宋"/>
                <w:color w:val="auto"/>
                <w:highlight w:val="none"/>
                <w:lang w:eastAsia="zh-CN"/>
              </w:rPr>
            </w:pPr>
          </w:p>
        </w:tc>
        <w:tc>
          <w:tcPr>
            <w:tcW w:w="7749" w:type="dxa"/>
            <w:tcBorders>
              <w:top w:val="single" w:color="auto" w:sz="4" w:space="0"/>
              <w:left w:val="single" w:color="auto" w:sz="4" w:space="0"/>
              <w:bottom w:val="single" w:color="auto" w:sz="4" w:space="0"/>
              <w:right w:val="single" w:color="auto" w:sz="4" w:space="0"/>
            </w:tcBorders>
            <w:vAlign w:val="center"/>
          </w:tcPr>
          <w:p w14:paraId="1DF957E2">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0FF7BFA6">
        <w:tblPrEx>
          <w:tblCellMar>
            <w:top w:w="0" w:type="dxa"/>
            <w:left w:w="108" w:type="dxa"/>
            <w:bottom w:w="0" w:type="dxa"/>
            <w:right w:w="108" w:type="dxa"/>
          </w:tblCellMar>
        </w:tblPrEx>
        <w:trPr>
          <w:trHeight w:val="90" w:hRule="atLeast"/>
          <w:jc w:val="center"/>
        </w:trPr>
        <w:tc>
          <w:tcPr>
            <w:tcW w:w="558" w:type="dxa"/>
            <w:vMerge w:val="restart"/>
            <w:tcBorders>
              <w:top w:val="single" w:color="auto" w:sz="4" w:space="0"/>
              <w:left w:val="single" w:color="auto" w:sz="4" w:space="0"/>
              <w:right w:val="single" w:color="auto" w:sz="4" w:space="0"/>
            </w:tcBorders>
            <w:vAlign w:val="center"/>
          </w:tcPr>
          <w:p w14:paraId="2BD7F807">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691" w:type="dxa"/>
            <w:vMerge w:val="restart"/>
            <w:tcBorders>
              <w:top w:val="single" w:color="auto" w:sz="4" w:space="0"/>
              <w:left w:val="single" w:color="auto" w:sz="4" w:space="0"/>
              <w:right w:val="single" w:color="auto" w:sz="4" w:space="0"/>
            </w:tcBorders>
            <w:vAlign w:val="center"/>
          </w:tcPr>
          <w:p w14:paraId="24A60646">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中小微企业政策文件说明</w:t>
            </w:r>
          </w:p>
        </w:tc>
        <w:tc>
          <w:tcPr>
            <w:tcW w:w="7749" w:type="dxa"/>
            <w:tcBorders>
              <w:top w:val="single" w:color="auto" w:sz="4" w:space="0"/>
              <w:left w:val="single" w:color="auto" w:sz="4" w:space="0"/>
              <w:bottom w:val="single" w:color="auto" w:sz="4" w:space="0"/>
              <w:right w:val="single" w:color="auto" w:sz="4" w:space="0"/>
            </w:tcBorders>
            <w:vAlign w:val="center"/>
          </w:tcPr>
          <w:p w14:paraId="38771A3C">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zh-CN" w:eastAsia="zh-CN"/>
              </w:rPr>
              <w:t>（1）专门面向中小企业，资金为全部预留，必须提供上述《中小企业声明函》，不再执行价格评审优惠扶持政策。</w:t>
            </w:r>
          </w:p>
        </w:tc>
      </w:tr>
      <w:tr w14:paraId="1F24C22F">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right w:val="single" w:color="auto" w:sz="4" w:space="0"/>
            </w:tcBorders>
            <w:vAlign w:val="center"/>
          </w:tcPr>
          <w:p w14:paraId="2E6E3605">
            <w:pPr>
              <w:spacing w:line="360" w:lineRule="auto"/>
              <w:jc w:val="center"/>
              <w:rPr>
                <w:rFonts w:ascii="仿宋" w:hAnsi="仿宋" w:eastAsia="仿宋" w:cs="仿宋"/>
                <w:color w:val="auto"/>
                <w:sz w:val="21"/>
                <w:szCs w:val="21"/>
                <w:highlight w:val="none"/>
                <w:lang w:eastAsia="zh-CN"/>
              </w:rPr>
            </w:pPr>
          </w:p>
        </w:tc>
        <w:tc>
          <w:tcPr>
            <w:tcW w:w="1691" w:type="dxa"/>
            <w:vMerge w:val="continue"/>
            <w:tcBorders>
              <w:left w:val="single" w:color="auto" w:sz="4" w:space="0"/>
              <w:right w:val="single" w:color="auto" w:sz="4" w:space="0"/>
            </w:tcBorders>
            <w:vAlign w:val="center"/>
          </w:tcPr>
          <w:p w14:paraId="7B676A3B">
            <w:pPr>
              <w:spacing w:line="360" w:lineRule="auto"/>
              <w:rPr>
                <w:rFonts w:ascii="仿宋" w:hAnsi="仿宋" w:eastAsia="仿宋" w:cs="仿宋"/>
                <w:color w:val="auto"/>
                <w:sz w:val="21"/>
                <w:szCs w:val="21"/>
                <w:highlight w:val="none"/>
                <w:lang w:eastAsia="zh-CN"/>
              </w:rPr>
            </w:pPr>
          </w:p>
        </w:tc>
        <w:tc>
          <w:tcPr>
            <w:tcW w:w="7749" w:type="dxa"/>
            <w:tcBorders>
              <w:top w:val="single" w:color="auto" w:sz="4" w:space="0"/>
              <w:left w:val="single" w:color="auto" w:sz="4" w:space="0"/>
              <w:bottom w:val="single" w:color="auto" w:sz="4" w:space="0"/>
              <w:right w:val="single" w:color="auto" w:sz="4" w:space="0"/>
            </w:tcBorders>
            <w:vAlign w:val="center"/>
          </w:tcPr>
          <w:p w14:paraId="78A54B3A">
            <w:pPr>
              <w:spacing w:line="400" w:lineRule="exact"/>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（2）本项目服务所属行业：其他未列明行业。</w:t>
            </w:r>
          </w:p>
        </w:tc>
      </w:tr>
      <w:tr w14:paraId="5E19525B">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bottom w:val="single" w:color="auto" w:sz="4" w:space="0"/>
              <w:right w:val="single" w:color="auto" w:sz="4" w:space="0"/>
            </w:tcBorders>
            <w:vAlign w:val="center"/>
          </w:tcPr>
          <w:p w14:paraId="5F597D8C">
            <w:pPr>
              <w:spacing w:line="360" w:lineRule="auto"/>
              <w:jc w:val="center"/>
              <w:rPr>
                <w:rFonts w:ascii="仿宋" w:hAnsi="仿宋" w:eastAsia="仿宋" w:cs="仿宋"/>
                <w:color w:val="auto"/>
                <w:sz w:val="21"/>
                <w:szCs w:val="21"/>
                <w:highlight w:val="none"/>
                <w:lang w:eastAsia="zh-CN"/>
              </w:rPr>
            </w:pPr>
          </w:p>
        </w:tc>
        <w:tc>
          <w:tcPr>
            <w:tcW w:w="1691" w:type="dxa"/>
            <w:vMerge w:val="continue"/>
            <w:tcBorders>
              <w:left w:val="single" w:color="auto" w:sz="4" w:space="0"/>
              <w:bottom w:val="single" w:color="auto" w:sz="4" w:space="0"/>
              <w:right w:val="single" w:color="auto" w:sz="4" w:space="0"/>
            </w:tcBorders>
            <w:vAlign w:val="center"/>
          </w:tcPr>
          <w:p w14:paraId="3D344DC8">
            <w:pPr>
              <w:spacing w:line="360" w:lineRule="auto"/>
              <w:rPr>
                <w:rFonts w:ascii="仿宋" w:hAnsi="仿宋" w:eastAsia="仿宋" w:cs="仿宋"/>
                <w:color w:val="auto"/>
                <w:sz w:val="21"/>
                <w:szCs w:val="21"/>
                <w:highlight w:val="none"/>
                <w:lang w:eastAsia="zh-CN"/>
              </w:rPr>
            </w:pPr>
          </w:p>
        </w:tc>
        <w:tc>
          <w:tcPr>
            <w:tcW w:w="7749" w:type="dxa"/>
            <w:tcBorders>
              <w:top w:val="single" w:color="auto" w:sz="4" w:space="0"/>
              <w:left w:val="single" w:color="auto" w:sz="4" w:space="0"/>
              <w:bottom w:val="single" w:color="auto" w:sz="4" w:space="0"/>
              <w:right w:val="single" w:color="auto" w:sz="4" w:space="0"/>
            </w:tcBorders>
            <w:vAlign w:val="center"/>
          </w:tcPr>
          <w:p w14:paraId="1C79FE2C">
            <w:pPr>
              <w:spacing w:line="400" w:lineRule="exact"/>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着重提醒：投标供应商在提供《中小企业声明函》时，必须将招标文件采购标的物全部列入《中小企业声明函》，</w:t>
            </w:r>
            <w:r>
              <w:rPr>
                <w:rFonts w:hint="eastAsia" w:ascii="仿宋" w:hAnsi="仿宋" w:eastAsia="仿宋" w:cs="仿宋"/>
                <w:b/>
                <w:bCs/>
                <w:color w:val="auto"/>
                <w:highlight w:val="none"/>
                <w:lang w:val="zh-CN" w:eastAsia="zh-CN"/>
              </w:rPr>
              <w:t>未提供《中小企业声明函》的作废标处理。</w:t>
            </w:r>
          </w:p>
        </w:tc>
      </w:tr>
      <w:tr w14:paraId="2557B3C3">
        <w:tblPrEx>
          <w:tblCellMar>
            <w:top w:w="0" w:type="dxa"/>
            <w:left w:w="108" w:type="dxa"/>
            <w:bottom w:w="0" w:type="dxa"/>
            <w:right w:w="108" w:type="dxa"/>
          </w:tblCellMar>
        </w:tblPrEx>
        <w:trPr>
          <w:trHeight w:val="116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9D7FA20">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w:t>
            </w:r>
          </w:p>
        </w:tc>
        <w:tc>
          <w:tcPr>
            <w:tcW w:w="1691" w:type="dxa"/>
            <w:tcBorders>
              <w:top w:val="single" w:color="auto" w:sz="4" w:space="0"/>
              <w:left w:val="single" w:color="auto" w:sz="4" w:space="0"/>
              <w:bottom w:val="single" w:color="auto" w:sz="4" w:space="0"/>
              <w:right w:val="single" w:color="auto" w:sz="4" w:space="0"/>
            </w:tcBorders>
            <w:vAlign w:val="center"/>
          </w:tcPr>
          <w:p w14:paraId="2AE2B913">
            <w:pPr>
              <w:spacing w:line="360" w:lineRule="auto"/>
              <w:jc w:val="center"/>
              <w:rPr>
                <w:rFonts w:ascii="仿宋" w:hAnsi="仿宋" w:eastAsia="仿宋" w:cs="仿宋"/>
                <w:color w:val="auto"/>
                <w:highlight w:val="none"/>
                <w:lang w:val="zh-CN" w:eastAsia="zh-CN"/>
              </w:rPr>
            </w:pPr>
          </w:p>
          <w:p w14:paraId="34FE91A6">
            <w:pPr>
              <w:spacing w:line="360" w:lineRule="auto"/>
              <w:jc w:val="center"/>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履约保证金</w:t>
            </w:r>
          </w:p>
          <w:p w14:paraId="0077EE12">
            <w:pPr>
              <w:spacing w:line="360" w:lineRule="auto"/>
              <w:jc w:val="center"/>
              <w:rPr>
                <w:rFonts w:ascii="仿宋" w:hAnsi="仿宋" w:eastAsia="仿宋" w:cs="仿宋"/>
                <w:color w:val="auto"/>
                <w:highlight w:val="none"/>
                <w:lang w:eastAsia="zh-CN"/>
              </w:rPr>
            </w:pPr>
          </w:p>
        </w:tc>
        <w:tc>
          <w:tcPr>
            <w:tcW w:w="7749" w:type="dxa"/>
            <w:tcBorders>
              <w:top w:val="single" w:color="auto" w:sz="4" w:space="0"/>
              <w:left w:val="single" w:color="auto" w:sz="4" w:space="0"/>
              <w:bottom w:val="single" w:color="auto" w:sz="4" w:space="0"/>
              <w:right w:val="single" w:color="auto" w:sz="4" w:space="0"/>
            </w:tcBorders>
            <w:vAlign w:val="center"/>
          </w:tcPr>
          <w:p w14:paraId="71F5DE55">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zh-CN" w:eastAsia="zh-CN"/>
              </w:rPr>
              <w:t>中标人</w:t>
            </w:r>
            <w:r>
              <w:rPr>
                <w:rFonts w:hint="eastAsia" w:ascii="仿宋" w:hAnsi="仿宋" w:eastAsia="仿宋" w:cs="仿宋"/>
                <w:color w:val="auto"/>
                <w:highlight w:val="none"/>
                <w:lang w:eastAsia="zh-CN"/>
              </w:rPr>
              <w:t>应在领取《中标通知书》后的十个日历日内，办理履约保证金，</w:t>
            </w:r>
            <w:r>
              <w:rPr>
                <w:rFonts w:hint="eastAsia" w:ascii="仿宋" w:hAnsi="仿宋" w:eastAsia="仿宋" w:cs="仿宋"/>
                <w:color w:val="auto"/>
                <w:highlight w:val="none"/>
                <w:lang w:val="zh-CN" w:eastAsia="zh-CN"/>
              </w:rPr>
              <w:t>金额为合同总价的</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eastAsia="zh-CN"/>
              </w:rPr>
              <w:t>否则招标人可取消</w:t>
            </w:r>
            <w:r>
              <w:rPr>
                <w:rFonts w:hint="eastAsia" w:ascii="仿宋" w:hAnsi="仿宋" w:eastAsia="仿宋" w:cs="仿宋"/>
                <w:color w:val="auto"/>
                <w:highlight w:val="none"/>
                <w:lang w:val="zh-CN" w:eastAsia="zh-CN"/>
              </w:rPr>
              <w:t>成交人</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zh-CN" w:eastAsia="zh-CN"/>
              </w:rPr>
              <w:t>成交</w:t>
            </w:r>
            <w:r>
              <w:rPr>
                <w:rFonts w:hint="eastAsia" w:ascii="仿宋" w:hAnsi="仿宋" w:eastAsia="仿宋" w:cs="仿宋"/>
                <w:color w:val="auto"/>
                <w:highlight w:val="none"/>
                <w:lang w:eastAsia="zh-CN"/>
              </w:rPr>
              <w:t>资格，并没收其投标保证金。</w:t>
            </w:r>
          </w:p>
        </w:tc>
      </w:tr>
      <w:tr w14:paraId="6D296E28">
        <w:tblPrEx>
          <w:tblCellMar>
            <w:top w:w="0" w:type="dxa"/>
            <w:left w:w="108" w:type="dxa"/>
            <w:bottom w:w="0" w:type="dxa"/>
            <w:right w:w="108" w:type="dxa"/>
          </w:tblCellMar>
        </w:tblPrEx>
        <w:trPr>
          <w:trHeight w:val="84" w:hRule="atLeast"/>
          <w:jc w:val="center"/>
        </w:trPr>
        <w:tc>
          <w:tcPr>
            <w:tcW w:w="2249" w:type="dxa"/>
            <w:gridSpan w:val="2"/>
            <w:tcBorders>
              <w:top w:val="single" w:color="auto" w:sz="4" w:space="0"/>
              <w:left w:val="single" w:color="auto" w:sz="4" w:space="0"/>
              <w:bottom w:val="single" w:color="auto" w:sz="4" w:space="0"/>
              <w:right w:val="single" w:color="auto" w:sz="4" w:space="0"/>
            </w:tcBorders>
            <w:vAlign w:val="center"/>
          </w:tcPr>
          <w:p w14:paraId="69F9F386">
            <w:pPr>
              <w:spacing w:line="360" w:lineRule="auto"/>
              <w:ind w:firstLine="720" w:firstLineChars="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w:t>
            </w:r>
          </w:p>
        </w:tc>
        <w:tc>
          <w:tcPr>
            <w:tcW w:w="7749" w:type="dxa"/>
            <w:tcBorders>
              <w:top w:val="single" w:color="auto" w:sz="4" w:space="0"/>
              <w:left w:val="single" w:color="auto" w:sz="4" w:space="0"/>
              <w:bottom w:val="single" w:color="auto" w:sz="4" w:space="0"/>
              <w:right w:val="single" w:color="auto" w:sz="4" w:space="0"/>
            </w:tcBorders>
            <w:vAlign w:val="center"/>
          </w:tcPr>
          <w:p w14:paraId="571F511B">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1、着重提醒各供应商注意，并认真查看招标文件中的每一个条款及要求，因误读招标文件而造成的后果，招标人概不负责。</w:t>
            </w:r>
          </w:p>
          <w:p w14:paraId="5B6C95A3">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2、供应商使用相同IP地址的，一经发现，相关部门将进一步核实，查实后按串通投标处理。</w:t>
            </w:r>
          </w:p>
          <w:p w14:paraId="22314577">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3、为保证本项目质量，良好的售后服务，最低报价不作为中标的唯一依据。</w:t>
            </w:r>
          </w:p>
          <w:p w14:paraId="46692A59">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4340ABB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5、如为信息系统采购项目，供应商不得为该整体项目或其中分项目前期工作提供过设计、编制、管理等服务的法人及附属单位。</w:t>
            </w:r>
          </w:p>
          <w:p w14:paraId="4181EB9D">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5982C2B8">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、其它：</w:t>
            </w:r>
          </w:p>
          <w:p w14:paraId="1341C0F6">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（1）投标企业严格遵守国家的法律法规及招标纪律，无违法违纪及商业贿赂行为。</w:t>
            </w:r>
          </w:p>
          <w:p w14:paraId="1202CADD">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（2）不管投标结果如何，供应商均应自行承担投标所需一切费用。</w:t>
            </w:r>
          </w:p>
          <w:p w14:paraId="4CA479F2">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（3）供应商应以书面形式保证中标后由本公司组织实施，不得以任何理由将项目转包给其他机构。</w:t>
            </w:r>
          </w:p>
          <w:p w14:paraId="6D5B6A2F">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）招标文件中如出现前后不一致情况，均以前附表内容为准。</w:t>
            </w:r>
          </w:p>
        </w:tc>
      </w:tr>
    </w:tbl>
    <w:p w14:paraId="204E57BF">
      <w:pPr>
        <w:pageBreakBefore/>
        <w:spacing w:beforeLines="100" w:afterLines="100" w:line="340" w:lineRule="exact"/>
        <w:jc w:val="center"/>
        <w:outlineLvl w:val="1"/>
        <w:rPr>
          <w:rFonts w:ascii="仿宋" w:hAnsi="仿宋" w:eastAsia="仿宋" w:cs="仿宋"/>
          <w:b/>
          <w:color w:val="auto"/>
          <w:sz w:val="28"/>
          <w:szCs w:val="32"/>
          <w:highlight w:val="none"/>
          <w:lang w:eastAsia="zh-CN"/>
        </w:rPr>
      </w:pPr>
      <w:r>
        <w:rPr>
          <w:rFonts w:hint="eastAsia" w:ascii="仿宋" w:hAnsi="仿宋" w:eastAsia="仿宋" w:cs="仿宋"/>
          <w:b/>
          <w:color w:val="auto"/>
          <w:sz w:val="28"/>
          <w:szCs w:val="28"/>
          <w:highlight w:val="none"/>
          <w:lang w:eastAsia="zh-CN"/>
        </w:rPr>
        <w:t>二、供应商须知</w:t>
      </w:r>
    </w:p>
    <w:p w14:paraId="74FBFD2D">
      <w:pPr>
        <w:spacing w:line="340" w:lineRule="exact"/>
        <w:jc w:val="center"/>
        <w:outlineLvl w:val="2"/>
        <w:rPr>
          <w:rFonts w:ascii="仿宋" w:hAnsi="仿宋" w:eastAsia="仿宋" w:cs="仿宋"/>
          <w:color w:val="auto"/>
          <w:sz w:val="28"/>
          <w:szCs w:val="28"/>
          <w:highlight w:val="none"/>
          <w:lang w:eastAsia="zh-CN"/>
        </w:rPr>
      </w:pPr>
      <w:bookmarkStart w:id="0" w:name="_Toc469495724"/>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32"/>
          <w:highlight w:val="none"/>
          <w:lang w:eastAsia="zh-CN"/>
        </w:rPr>
        <w:t>总  则</w:t>
      </w:r>
      <w:bookmarkEnd w:id="0"/>
    </w:p>
    <w:p w14:paraId="5992BC35">
      <w:pPr>
        <w:snapToGrid w:val="0"/>
        <w:spacing w:line="3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1.项目概况</w:t>
      </w:r>
    </w:p>
    <w:p w14:paraId="219FCF78">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1.1本次招标采购项目名称：见供应商须知前附表。</w:t>
      </w:r>
    </w:p>
    <w:p w14:paraId="2B63EB1A">
      <w:pPr>
        <w:snapToGrid w:val="0"/>
        <w:spacing w:line="440" w:lineRule="exact"/>
        <w:ind w:firstLine="2400" w:firstLineChars="10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项目编号：见供应商须知前附表。</w:t>
      </w:r>
    </w:p>
    <w:p w14:paraId="698B460E">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招标人：见供应商须知前附表。</w:t>
      </w:r>
    </w:p>
    <w:p w14:paraId="629320E4">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供货期：见供应商须知前附表。</w:t>
      </w:r>
    </w:p>
    <w:p w14:paraId="6BB45B1E">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供货地点：见供应商须知前附表。</w:t>
      </w:r>
    </w:p>
    <w:p w14:paraId="06CE5F8A">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1.2招标人及联系人: 见供应商须知前附表。</w:t>
      </w:r>
    </w:p>
    <w:p w14:paraId="0BFE214B">
      <w:pPr>
        <w:snapToGrid w:val="0"/>
        <w:spacing w:line="440" w:lineRule="exact"/>
        <w:ind w:firstLine="600" w:firstLineChars="25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代理机构及联系人: 见供应商须知前附表。</w:t>
      </w:r>
    </w:p>
    <w:p w14:paraId="53E19355">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1.3资金来源：见供应商须知前附表。</w:t>
      </w:r>
    </w:p>
    <w:p w14:paraId="55B0566D">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1.4本项目预算：见供应商须知前附表。</w:t>
      </w:r>
    </w:p>
    <w:p w14:paraId="1C9C36A6">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1.5本项目控制价：见供应商须知前附表。</w:t>
      </w:r>
    </w:p>
    <w:p w14:paraId="5C41C88D">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2.招标范围：</w:t>
      </w:r>
    </w:p>
    <w:p w14:paraId="54B1601A">
      <w:pPr>
        <w:snapToGrid w:val="0"/>
        <w:spacing w:line="440" w:lineRule="exact"/>
        <w:ind w:firstLine="480"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2.1 采购内容：见供应商须知前附表。</w:t>
      </w:r>
    </w:p>
    <w:p w14:paraId="4F8A1B07">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 技术要求：详见采购文件第四章采购内容及技术要求。</w:t>
      </w:r>
    </w:p>
    <w:p w14:paraId="536F13DB">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3.标包划分：</w:t>
      </w:r>
    </w:p>
    <w:p w14:paraId="57B89254">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3.1本项目划分：</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个包。</w:t>
      </w:r>
    </w:p>
    <w:p w14:paraId="12E81A36">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4.招标方式：</w:t>
      </w:r>
    </w:p>
    <w:p w14:paraId="78896547">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4.1本项目招标方式：公开招标。</w:t>
      </w:r>
    </w:p>
    <w:p w14:paraId="207EFDA6">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5.计价方式：</w:t>
      </w:r>
    </w:p>
    <w:p w14:paraId="1D21D9DD">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5.1本次招标项目合同采用</w:t>
      </w:r>
      <w:r>
        <w:rPr>
          <w:rFonts w:hint="eastAsia" w:ascii="仿宋" w:hAnsi="仿宋" w:eastAsia="仿宋" w:cs="仿宋"/>
          <w:color w:val="auto"/>
          <w:szCs w:val="21"/>
          <w:highlight w:val="none"/>
          <w:u w:val="single"/>
          <w:lang w:eastAsia="zh-CN"/>
        </w:rPr>
        <w:t xml:space="preserve">   固定总价 。</w:t>
      </w:r>
    </w:p>
    <w:p w14:paraId="526A52A9">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6.评标办法：</w:t>
      </w:r>
    </w:p>
    <w:p w14:paraId="5F88887F">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6.1本次招标评标采用</w:t>
      </w:r>
      <w:r>
        <w:rPr>
          <w:rFonts w:hint="eastAsia" w:ascii="仿宋" w:hAnsi="仿宋" w:eastAsia="仿宋" w:cs="仿宋"/>
          <w:color w:val="auto"/>
          <w:szCs w:val="21"/>
          <w:highlight w:val="none"/>
          <w:u w:val="single"/>
          <w:lang w:eastAsia="zh-CN"/>
        </w:rPr>
        <w:t xml:space="preserve">  综合评分法 </w:t>
      </w:r>
      <w:r>
        <w:rPr>
          <w:rFonts w:hint="eastAsia" w:ascii="仿宋" w:hAnsi="仿宋" w:eastAsia="仿宋" w:cs="仿宋"/>
          <w:color w:val="auto"/>
          <w:szCs w:val="21"/>
          <w:highlight w:val="none"/>
          <w:lang w:eastAsia="zh-CN"/>
        </w:rPr>
        <w:t>（详见第三章评标办法）</w:t>
      </w:r>
    </w:p>
    <w:p w14:paraId="48B07993">
      <w:pPr>
        <w:snapToGrid w:val="0"/>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7.供应商资格：</w:t>
      </w:r>
    </w:p>
    <w:p w14:paraId="7D3367E4">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7.1参与采购活动的供应商必须是满足《中华人民共和国政府采购法》规定条件的法人、其他组织或者自然人：</w:t>
      </w:r>
    </w:p>
    <w:p w14:paraId="063DD16A">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7.2由于政府采购项目的差异性，供应商在参与具体政府采购项目活动时，应仔细阅读该项目的资质要求,具体见供应商须知前附表。</w:t>
      </w:r>
    </w:p>
    <w:p w14:paraId="7BD11CFA">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highlight w:val="none"/>
          <w:lang w:eastAsia="zh-CN" w:bidi="ar-SA"/>
        </w:rPr>
        <w:t>(已在政采云平台其他省份入驻的供应商无须重复注册），</w:t>
      </w:r>
      <w:r>
        <w:rPr>
          <w:rFonts w:hint="eastAsia" w:ascii="仿宋" w:hAnsi="仿宋" w:eastAsia="仿宋" w:cs="仿宋"/>
          <w:color w:val="auto"/>
          <w:szCs w:val="21"/>
          <w:highlight w:val="none"/>
          <w:lang w:eastAsia="zh-CN"/>
        </w:rPr>
        <w:t>并完成CA数字证书申领。因未注册入库、未办理CA数字证书等原因造成无法投标或投标失败等后果由供应商自行承担。</w:t>
      </w:r>
    </w:p>
    <w:p w14:paraId="2776E1A6">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7.4供应商必须确保自己在信息库中注册的信息真实、准确，并保证投标文件中的有关信息与库中的信息相一致。否则，供应商因此蒙受损失，招标人概不负责。</w:t>
      </w:r>
    </w:p>
    <w:p w14:paraId="71E5697F">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8. 投标费用</w:t>
      </w:r>
    </w:p>
    <w:p w14:paraId="17399F0D">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8.1供应商准备和参加投标活动发生的费用自理。</w:t>
      </w:r>
    </w:p>
    <w:p w14:paraId="77FFA45B">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9.</w:t>
      </w:r>
      <w:bookmarkStart w:id="1" w:name="_Toc144974507"/>
      <w:bookmarkStart w:id="2" w:name="_Toc247592876"/>
      <w:bookmarkStart w:id="3" w:name="_Toc247527563"/>
      <w:bookmarkStart w:id="4" w:name="_Toc152042315"/>
      <w:bookmarkStart w:id="5" w:name="_Toc296602429"/>
      <w:bookmarkStart w:id="6" w:name="_Toc152045539"/>
      <w:bookmarkStart w:id="7" w:name="_Toc247513962"/>
      <w:r>
        <w:rPr>
          <w:rFonts w:hint="eastAsia" w:ascii="仿宋" w:hAnsi="仿宋" w:eastAsia="仿宋" w:cs="仿宋"/>
          <w:b/>
          <w:color w:val="auto"/>
          <w:szCs w:val="21"/>
          <w:highlight w:val="none"/>
          <w:lang w:eastAsia="zh-CN"/>
        </w:rPr>
        <w:t xml:space="preserve"> 踏勘现场</w:t>
      </w:r>
      <w:bookmarkEnd w:id="1"/>
      <w:bookmarkEnd w:id="2"/>
      <w:bookmarkEnd w:id="3"/>
      <w:bookmarkEnd w:id="4"/>
      <w:bookmarkEnd w:id="5"/>
      <w:bookmarkEnd w:id="6"/>
      <w:bookmarkEnd w:id="7"/>
    </w:p>
    <w:p w14:paraId="04F837F8">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highlight w:val="none"/>
          <w:lang w:eastAsia="zh-CN"/>
        </w:rPr>
        <w:t>供应商自行踏勘现场的，可咨询本项目采购人或采购代理机构联系人。</w:t>
      </w:r>
      <w:r>
        <w:rPr>
          <w:rFonts w:hint="eastAsia" w:ascii="仿宋" w:hAnsi="仿宋" w:eastAsia="仿宋" w:cs="仿宋"/>
          <w:b/>
          <w:bCs/>
          <w:color w:val="auto"/>
          <w:highlight w:val="none"/>
          <w:lang w:eastAsia="zh-CN"/>
        </w:rPr>
        <w:t>供应商自行踏勘现场的，可咨询本项目采购人或采购代理机构联系人。</w:t>
      </w:r>
      <w:r>
        <w:rPr>
          <w:rFonts w:hint="eastAsia" w:ascii="仿宋" w:hAnsi="仿宋" w:eastAsia="仿宋" w:cs="仿宋"/>
          <w:b/>
          <w:bCs/>
          <w:color w:val="auto"/>
          <w:szCs w:val="21"/>
          <w:highlight w:val="none"/>
          <w:lang w:eastAsia="zh-CN"/>
        </w:rPr>
        <w:t xml:space="preserve"> </w:t>
      </w:r>
    </w:p>
    <w:p w14:paraId="61F79B31">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供应商踏勘现场发生的费用自理。</w:t>
      </w:r>
    </w:p>
    <w:p w14:paraId="7FF3BF37">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除招标人的原因外，供应商自行负责在踏勘现场中所发生的人员伤亡和财产损失。</w:t>
      </w:r>
    </w:p>
    <w:p w14:paraId="75428431">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招标人在踏勘现场中介绍的场地和相关的周边环境情况，供供应商在编制投标文件时参考，招标人不对供应商据此作出的判断和决策负责。</w:t>
      </w:r>
      <w:bookmarkStart w:id="8" w:name="_Toc296602430"/>
      <w:bookmarkStart w:id="9" w:name="_Toc152045540"/>
      <w:bookmarkStart w:id="10" w:name="_Toc247527564"/>
      <w:bookmarkStart w:id="11" w:name="_Toc247513963"/>
      <w:bookmarkStart w:id="12" w:name="_Toc152042316"/>
      <w:bookmarkStart w:id="13" w:name="_Toc144974508"/>
      <w:bookmarkStart w:id="14" w:name="_Toc247592877"/>
    </w:p>
    <w:p w14:paraId="797257BE">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10. 投标预备会</w:t>
      </w:r>
      <w:bookmarkEnd w:id="8"/>
      <w:bookmarkEnd w:id="9"/>
      <w:bookmarkEnd w:id="10"/>
      <w:bookmarkEnd w:id="11"/>
      <w:bookmarkEnd w:id="12"/>
      <w:bookmarkEnd w:id="13"/>
      <w:bookmarkEnd w:id="14"/>
    </w:p>
    <w:p w14:paraId="46261418">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10.1供应商须知前附表规定召开投标预备会的，招标人按供应商须知前附表规定的时间和地点召开投标预备会，澄清供应商提出的问题。</w:t>
      </w:r>
    </w:p>
    <w:p w14:paraId="70BDFB43">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10.2供应商应在供应商须知前附表规定的时间前，将提出的问题送达招标人，以便招标人澄清。</w:t>
      </w:r>
    </w:p>
    <w:p w14:paraId="115F9435">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10.3招标人在供应商须知前附表规定的时间，将对供应商所提的问题进行澄清。该澄清内容为采购文件的组成部分。</w:t>
      </w:r>
    </w:p>
    <w:p w14:paraId="4BFB62E7">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11. 联合投标</w:t>
      </w:r>
    </w:p>
    <w:p w14:paraId="7C67347F">
      <w:pPr>
        <w:spacing w:line="44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135E2299">
      <w:pPr>
        <w:spacing w:line="400" w:lineRule="exact"/>
        <w:ind w:firstLine="468"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5803E18D">
      <w:pPr>
        <w:spacing w:line="400" w:lineRule="exact"/>
        <w:ind w:firstLine="470" w:firstLineChars="196"/>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11.3 联合体应当确定其中一个单位为投标的全权代表，负责参加投标的一切事务，并承担投标及履约中应承担的全部责任与义务。</w:t>
      </w:r>
    </w:p>
    <w:p w14:paraId="2D7017E3">
      <w:pPr>
        <w:pStyle w:val="11"/>
        <w:spacing w:after="0" w:line="400" w:lineRule="exact"/>
        <w:ind w:left="0" w:leftChars="0" w:firstLine="484" w:firstLineChars="20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11.4 联合体各方应当共同与招标人签订采购合同，就采购合同约定的事项对招标人承担连带责任。</w:t>
      </w:r>
    </w:p>
    <w:p w14:paraId="1FCC01B2">
      <w:pPr>
        <w:spacing w:line="440" w:lineRule="exact"/>
        <w:ind w:firstLine="472" w:firstLineChars="196"/>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12.招标代理费:</w:t>
      </w:r>
      <w:r>
        <w:rPr>
          <w:rFonts w:hint="eastAsia" w:ascii="仿宋" w:hAnsi="仿宋" w:eastAsia="仿宋" w:cs="仿宋"/>
          <w:color w:val="auto"/>
          <w:szCs w:val="21"/>
          <w:highlight w:val="none"/>
          <w:lang w:eastAsia="zh-CN"/>
        </w:rPr>
        <w:t xml:space="preserve"> 见供应商须知前附表。</w:t>
      </w:r>
    </w:p>
    <w:p w14:paraId="17DBC56A">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13.供应商应注意的事项</w:t>
      </w:r>
    </w:p>
    <w:p w14:paraId="264BB0B6">
      <w:pPr>
        <w:spacing w:line="44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color w:val="auto"/>
          <w:szCs w:val="21"/>
          <w:highlight w:val="none"/>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7C8F02B8">
      <w:pPr>
        <w:spacing w:line="44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13.2 供应商对采购内容中规定的技术参数、规格等要求必须完全响应或优于采购文件中的要求。</w:t>
      </w:r>
    </w:p>
    <w:p w14:paraId="7796C601">
      <w:pPr>
        <w:spacing w:line="440" w:lineRule="exact"/>
        <w:ind w:firstLine="470"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13.3所有供应商的投标保证金都应在采购文件规定的投标保证金缴纳截止日期前缴纳。</w:t>
      </w:r>
    </w:p>
    <w:p w14:paraId="0F8D166E">
      <w:pPr>
        <w:spacing w:line="440" w:lineRule="exact"/>
        <w:ind w:firstLine="470"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highlight w:val="none"/>
          <w:lang w:eastAsia="zh-CN"/>
        </w:rPr>
        <w:t>为采购项目提供整体设计、规范编制或者项目管理、监理、检测等服务的供应商，不得再参加该采购项目的其他采购活动。</w:t>
      </w:r>
    </w:p>
    <w:p w14:paraId="0116E3C8">
      <w:pPr>
        <w:snapToGrid w:val="0"/>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13.5本项目只接受</w:t>
      </w:r>
      <w:r>
        <w:rPr>
          <w:rFonts w:hint="eastAsia" w:ascii="仿宋" w:hAnsi="仿宋" w:eastAsia="仿宋" w:cs="仿宋"/>
          <w:color w:val="auto"/>
          <w:szCs w:val="21"/>
          <w:highlight w:val="none"/>
          <w:lang w:eastAsia="zh-CN"/>
        </w:rPr>
        <w:t>成为新疆维吾尔自治区政府采购网正式注册入库并完成CA数字证书申领供应商参与投标。因未注册入库、未办理CA数字证书等原因造成无法投标或投标失败等后果由供应商自行承担。</w:t>
      </w:r>
    </w:p>
    <w:p w14:paraId="7C401241">
      <w:pPr>
        <w:wordWrap w:val="0"/>
        <w:spacing w:line="44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13.6  供应商被视为充分熟悉本招标项目所在地的与履行合同有关的各种情况，包括但不限于：</w:t>
      </w:r>
    </w:p>
    <w:p w14:paraId="1376F88B">
      <w:pPr>
        <w:spacing w:line="400" w:lineRule="exact"/>
        <w:ind w:firstLine="360"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（1）国家对本次投标货物和服务的生产、安装调试、验收、维修等有关法律、法规及行业管理标准；</w:t>
      </w:r>
    </w:p>
    <w:p w14:paraId="5D766EE2">
      <w:pPr>
        <w:spacing w:line="400" w:lineRule="exact"/>
        <w:ind w:firstLine="360"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（2）本地区有关管理部门的相关规定；</w:t>
      </w:r>
    </w:p>
    <w:p w14:paraId="25AA6FD9">
      <w:pPr>
        <w:spacing w:line="400" w:lineRule="exact"/>
        <w:ind w:firstLine="360"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（3）招标人的相关场地情况、基础建设、电力供应情况及相关设计标准。</w:t>
      </w:r>
    </w:p>
    <w:p w14:paraId="0E25FFE6">
      <w:pPr>
        <w:spacing w:line="400" w:lineRule="exact"/>
        <w:ind w:firstLine="360"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本采购文件不再对上述情况进行描述。</w:t>
      </w:r>
      <w:bookmarkStart w:id="15" w:name="_Toc469495725"/>
    </w:p>
    <w:p w14:paraId="31533CB0">
      <w:pPr>
        <w:spacing w:line="400" w:lineRule="exact"/>
        <w:ind w:firstLine="422" w:firstLineChars="150"/>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w:t>
      </w:r>
      <w:bookmarkEnd w:id="15"/>
      <w:r>
        <w:rPr>
          <w:rFonts w:hint="eastAsia" w:ascii="仿宋" w:hAnsi="仿宋" w:eastAsia="仿宋" w:cs="仿宋"/>
          <w:b/>
          <w:color w:val="auto"/>
          <w:sz w:val="28"/>
          <w:szCs w:val="28"/>
          <w:highlight w:val="none"/>
          <w:lang w:eastAsia="zh-CN"/>
        </w:rPr>
        <w:t>招标文件</w:t>
      </w:r>
    </w:p>
    <w:p w14:paraId="1F6F43E8">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15. 采购文件的编制依据</w:t>
      </w:r>
    </w:p>
    <w:p w14:paraId="0742FCB4">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根据《中华人民共和国政府采购法》、《政府采购货物和服务招标投标管理办法》和《中华人民共和国民法典》</w:t>
      </w:r>
      <w:r>
        <w:rPr>
          <w:rFonts w:hint="eastAsia" w:ascii="仿宋" w:hAnsi="仿宋" w:eastAsia="仿宋" w:cs="仿宋"/>
          <w:color w:val="auto"/>
          <w:spacing w:val="-2"/>
          <w:szCs w:val="21"/>
          <w:highlight w:val="none"/>
          <w:lang w:eastAsia="zh-CN"/>
        </w:rPr>
        <w:t>等相关法律法规和规章及部、省、市级规范性文件的规定，编制本采购文件。</w:t>
      </w:r>
    </w:p>
    <w:p w14:paraId="30988EB3">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16. 采购文件的组成</w:t>
      </w:r>
    </w:p>
    <w:p w14:paraId="4D4D4E2D">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16.1 采购文件包括内容：</w:t>
      </w:r>
    </w:p>
    <w:p w14:paraId="00D2B4B7">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第一章  招标公告</w:t>
      </w:r>
    </w:p>
    <w:p w14:paraId="25ADE2E3">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第二章  投标须知</w:t>
      </w:r>
    </w:p>
    <w:p w14:paraId="1B205127">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第三章  评标办法</w:t>
      </w:r>
    </w:p>
    <w:p w14:paraId="2094DCDE">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第四章  采购内容及技术要求</w:t>
      </w:r>
    </w:p>
    <w:p w14:paraId="175EE512">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第五章  合同条款及格式</w:t>
      </w:r>
    </w:p>
    <w:p w14:paraId="1607E033">
      <w:pPr>
        <w:spacing w:line="440" w:lineRule="exact"/>
        <w:ind w:firstLine="1680"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第六章  投标文件格式文本</w:t>
      </w:r>
    </w:p>
    <w:p w14:paraId="2088F4DD">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16.2 除16.1内容外，招标答疑亦为采购文件的组成部分，对招标人和供应商起约束作用。</w:t>
      </w:r>
    </w:p>
    <w:p w14:paraId="15A4AA74">
      <w:pPr>
        <w:pStyle w:val="13"/>
        <w:wordWrap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14:paraId="6C0402AD">
      <w:pPr>
        <w:wordWrap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08E537CC">
      <w:pPr>
        <w:spacing w:line="440" w:lineRule="exact"/>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17. 采购文件的修改、补充、解释</w:t>
      </w:r>
    </w:p>
    <w:p w14:paraId="0D86DF85">
      <w:pPr>
        <w:wordWrap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61193373">
      <w:pPr>
        <w:wordWrap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237127F9">
      <w:pPr>
        <w:wordWrap w:val="0"/>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 xml:space="preserve">17.3 </w:t>
      </w:r>
      <w:r>
        <w:rPr>
          <w:rFonts w:hint="eastAsia" w:ascii="仿宋" w:hAnsi="仿宋" w:eastAsia="仿宋" w:cs="仿宋"/>
          <w:color w:val="auto"/>
          <w:szCs w:val="21"/>
          <w:highlight w:val="none"/>
          <w:lang w:eastAsia="zh-CN"/>
        </w:rPr>
        <w:t>供应商在规定的时间内未对采购文件提出疑问、质疑或要求澄清的，将视其为无异议。</w:t>
      </w:r>
    </w:p>
    <w:p w14:paraId="441B84A6">
      <w:pPr>
        <w:spacing w:line="400" w:lineRule="exact"/>
        <w:ind w:firstLine="240" w:firstLineChars="1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17.4 采购文件的解释</w:t>
      </w:r>
    </w:p>
    <w:p w14:paraId="5214ECCE">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本采购文件由招标人（或其委托的招标代理机构）负责解释。</w:t>
      </w:r>
    </w:p>
    <w:p w14:paraId="67ABFC52">
      <w:pPr>
        <w:spacing w:line="40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 18. 采购文件的发出</w:t>
      </w:r>
    </w:p>
    <w:p w14:paraId="6FBA0CA5">
      <w:pPr>
        <w:spacing w:line="400" w:lineRule="exact"/>
        <w:ind w:firstLine="360"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18.1 采购文件、采购文件的澄清、修改、补充及招标答疑等均应报相关部门备案后，方可发出。</w:t>
      </w:r>
    </w:p>
    <w:p w14:paraId="775BED52">
      <w:pPr>
        <w:spacing w:beforeLines="100" w:afterLines="100" w:line="440" w:lineRule="exact"/>
        <w:jc w:val="center"/>
        <w:outlineLvl w:val="2"/>
        <w:rPr>
          <w:rFonts w:ascii="仿宋" w:hAnsi="仿宋" w:eastAsia="仿宋" w:cs="仿宋"/>
          <w:b/>
          <w:color w:val="auto"/>
          <w:sz w:val="28"/>
          <w:szCs w:val="28"/>
          <w:highlight w:val="none"/>
          <w:lang w:eastAsia="zh-CN"/>
        </w:rPr>
      </w:pPr>
      <w:bookmarkStart w:id="16" w:name="_Toc469495726"/>
      <w:r>
        <w:rPr>
          <w:rFonts w:hint="eastAsia" w:ascii="仿宋" w:hAnsi="仿宋" w:eastAsia="仿宋" w:cs="仿宋"/>
          <w:b/>
          <w:color w:val="auto"/>
          <w:sz w:val="28"/>
          <w:szCs w:val="28"/>
          <w:highlight w:val="none"/>
          <w:lang w:eastAsia="zh-CN"/>
        </w:rPr>
        <w:t>（三）投标文件的编制</w:t>
      </w:r>
      <w:bookmarkEnd w:id="16"/>
    </w:p>
    <w:p w14:paraId="66B42CB7">
      <w:pPr>
        <w:spacing w:line="440" w:lineRule="exact"/>
        <w:ind w:firstLine="349" w:firstLineChars="145"/>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19</w:t>
      </w:r>
      <w:r>
        <w:rPr>
          <w:rFonts w:hint="eastAsia" w:ascii="仿宋" w:hAnsi="仿宋" w:eastAsia="仿宋" w:cs="仿宋"/>
          <w:b/>
          <w:color w:val="auto"/>
          <w:szCs w:val="21"/>
          <w:highlight w:val="none"/>
          <w:lang w:eastAsia="zh-CN"/>
        </w:rPr>
        <w:t>. 投标的语言及度量衡单位</w:t>
      </w:r>
    </w:p>
    <w:p w14:paraId="1E28CD9C">
      <w:pPr>
        <w:spacing w:line="440" w:lineRule="exact"/>
        <w:ind w:firstLine="324" w:firstLineChars="13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4AC01E7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.2除采购文件中另有规定外，投标书所使用的度量衡均须采用法定计量单位。</w:t>
      </w:r>
    </w:p>
    <w:p w14:paraId="32190263">
      <w:pPr>
        <w:spacing w:line="400" w:lineRule="exact"/>
        <w:ind w:firstLine="236" w:firstLineChars="98"/>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20</w:t>
      </w:r>
      <w:r>
        <w:rPr>
          <w:rFonts w:hint="eastAsia" w:ascii="仿宋" w:hAnsi="仿宋" w:eastAsia="仿宋" w:cs="仿宋"/>
          <w:b/>
          <w:color w:val="auto"/>
          <w:szCs w:val="21"/>
          <w:highlight w:val="none"/>
          <w:lang w:eastAsia="zh-CN"/>
        </w:rPr>
        <w:t>. 投标文件的组成</w:t>
      </w:r>
    </w:p>
    <w:p w14:paraId="46121A82">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资格证明文件和商务及技术文件两部分。</w:t>
      </w:r>
    </w:p>
    <w:p w14:paraId="784E794C">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20</w:t>
      </w:r>
      <w:r>
        <w:rPr>
          <w:rFonts w:hint="eastAsia" w:ascii="仿宋" w:hAnsi="仿宋" w:eastAsia="仿宋" w:cs="仿宋"/>
          <w:b/>
          <w:color w:val="auto"/>
          <w:szCs w:val="21"/>
          <w:highlight w:val="none"/>
          <w:lang w:eastAsia="zh-CN"/>
        </w:rPr>
        <w:t>.1资格证明文件（包括但不限于）</w:t>
      </w:r>
    </w:p>
    <w:p w14:paraId="2AEF28A0">
      <w:pPr>
        <w:spacing w:line="440" w:lineRule="exact"/>
        <w:ind w:firstLine="352"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资格证明文件是证明供应商有资格参加投标和中标后有能力履行合同的文件，这些文件应能满足招标的要求，否则作无效投标处理。</w:t>
      </w:r>
    </w:p>
    <w:p w14:paraId="54490339">
      <w:pPr>
        <w:spacing w:line="440" w:lineRule="exact"/>
        <w:ind w:firstLine="352"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1、法人或者非法人组织的营业执照等证明文件复印件（须加盖本单位章）或自然人的身份证明复印件;</w:t>
      </w:r>
    </w:p>
    <w:p w14:paraId="00317B4A">
      <w:pPr>
        <w:spacing w:line="440" w:lineRule="exact"/>
        <w:ind w:firstLine="352"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2、法定代表人资格证明书</w:t>
      </w:r>
    </w:p>
    <w:p w14:paraId="7D0E8772">
      <w:pPr>
        <w:spacing w:line="440" w:lineRule="exact"/>
        <w:ind w:firstLine="352"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3、法定代表人授权书</w:t>
      </w:r>
    </w:p>
    <w:p w14:paraId="6122EFDD">
      <w:pPr>
        <w:spacing w:line="440" w:lineRule="exact"/>
        <w:ind w:firstLine="352" w:firstLineChars="147"/>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63308891">
      <w:pPr>
        <w:spacing w:line="440" w:lineRule="exact"/>
        <w:ind w:firstLine="352"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、投标保证金缴纳凭证或投标担保函；</w:t>
      </w:r>
    </w:p>
    <w:p w14:paraId="5201D497">
      <w:pPr>
        <w:spacing w:line="440" w:lineRule="exact"/>
        <w:ind w:firstLine="352" w:firstLineChars="147"/>
        <w:rPr>
          <w:color w:val="auto"/>
          <w:highlight w:val="none"/>
          <w:lang w:eastAsia="zh-CN"/>
        </w:rPr>
      </w:pPr>
      <w:r>
        <w:rPr>
          <w:rFonts w:hint="eastAsia" w:ascii="仿宋" w:hAnsi="仿宋" w:eastAsia="仿宋" w:cs="仿宋"/>
          <w:color w:val="auto"/>
          <w:szCs w:val="21"/>
          <w:highlight w:val="none"/>
          <w:lang w:eastAsia="zh-CN"/>
        </w:rPr>
        <w:t>6、投标企业须提供投标人（被授权在职人员）近6个月内任意一个月有效的社保证明；</w:t>
      </w:r>
    </w:p>
    <w:p w14:paraId="614238CC">
      <w:pPr>
        <w:spacing w:line="440" w:lineRule="exact"/>
        <w:ind w:firstLine="352"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9C72BDC">
      <w:pPr>
        <w:spacing w:line="440" w:lineRule="exact"/>
        <w:ind w:firstLine="352"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、供应商须知前附表要求的其他资格证明文件。</w:t>
      </w:r>
    </w:p>
    <w:p w14:paraId="7FBD1EB9">
      <w:pPr>
        <w:spacing w:line="440" w:lineRule="exact"/>
        <w:ind w:firstLine="354" w:firstLineChars="147"/>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.2 商务及技术文件（包括但不限于）</w:t>
      </w:r>
    </w:p>
    <w:p w14:paraId="2D8AAF30">
      <w:pPr>
        <w:pStyle w:val="13"/>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14:paraId="1AA06CA4">
      <w:pPr>
        <w:pStyle w:val="13"/>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2、开标一览表</w:t>
      </w:r>
    </w:p>
    <w:p w14:paraId="44D23867">
      <w:pPr>
        <w:pStyle w:val="13"/>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3、服务说明一览表</w:t>
      </w:r>
    </w:p>
    <w:p w14:paraId="0417BED2">
      <w:pPr>
        <w:pStyle w:val="13"/>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4、投标分项报价表</w:t>
      </w:r>
    </w:p>
    <w:p w14:paraId="66588CA3">
      <w:pPr>
        <w:pStyle w:val="13"/>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5、技术条款偏离表</w:t>
      </w:r>
    </w:p>
    <w:p w14:paraId="25874997">
      <w:pPr>
        <w:pStyle w:val="13"/>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14:paraId="73ADACFD">
      <w:pPr>
        <w:pStyle w:val="13"/>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7、供应商基本情况表</w:t>
      </w:r>
    </w:p>
    <w:p w14:paraId="751CED6F">
      <w:pPr>
        <w:pStyle w:val="13"/>
        <w:spacing w:line="400" w:lineRule="exact"/>
        <w:ind w:left="355" w:leftChars="148" w:firstLine="228"/>
        <w:rPr>
          <w:rFonts w:hint="eastAsia" w:ascii="仿宋" w:hAnsi="仿宋" w:eastAsia="仿宋" w:cs="仿宋"/>
          <w:color w:val="auto"/>
          <w:lang w:eastAsia="zh-CN"/>
        </w:rPr>
      </w:pPr>
      <w:r>
        <w:rPr>
          <w:rFonts w:hint="eastAsia" w:ascii="仿宋" w:hAnsi="仿宋" w:eastAsia="仿宋" w:cs="仿宋"/>
          <w:color w:val="auto"/>
          <w:lang w:val="en-US" w:eastAsia="zh-CN"/>
        </w:rPr>
        <w:t>8、近三年内（2022年1月1日至今）同类业绩表</w:t>
      </w:r>
    </w:p>
    <w:p w14:paraId="3E97CA4E">
      <w:pPr>
        <w:pStyle w:val="13"/>
        <w:spacing w:line="400" w:lineRule="exact"/>
        <w:ind w:left="355" w:leftChars="148" w:firstLine="228"/>
        <w:rPr>
          <w:rFonts w:hint="eastAsia" w:ascii="仿宋" w:hAnsi="仿宋" w:eastAsia="仿宋" w:cs="仿宋"/>
          <w:color w:val="auto"/>
          <w:lang w:val="en-US" w:eastAsia="zh-CN"/>
        </w:rPr>
      </w:pPr>
      <w:r>
        <w:rPr>
          <w:rFonts w:hint="eastAsia" w:ascii="仿宋" w:hAnsi="仿宋" w:eastAsia="仿宋" w:cs="仿宋"/>
          <w:color w:val="auto"/>
          <w:lang w:val="en-US" w:eastAsia="zh-CN"/>
        </w:rPr>
        <w:t>9、中标服务费支付承诺书</w:t>
      </w:r>
    </w:p>
    <w:p w14:paraId="2EA0D1B3">
      <w:pPr>
        <w:pStyle w:val="13"/>
        <w:spacing w:line="400" w:lineRule="exact"/>
        <w:ind w:left="355" w:leftChars="148" w:firstLine="228"/>
        <w:rPr>
          <w:rFonts w:ascii="仿宋" w:hAnsi="仿宋" w:eastAsia="仿宋" w:cs="仿宋"/>
          <w:color w:val="auto"/>
          <w:lang w:eastAsia="zh-CN"/>
        </w:rPr>
      </w:pPr>
      <w:r>
        <w:rPr>
          <w:rFonts w:hint="eastAsia" w:ascii="仿宋" w:hAnsi="仿宋" w:eastAsia="仿宋" w:cs="仿宋"/>
          <w:color w:val="auto"/>
          <w:lang w:val="en-US" w:eastAsia="zh-CN"/>
        </w:rPr>
        <w:t>10</w:t>
      </w:r>
      <w:r>
        <w:rPr>
          <w:rFonts w:hint="eastAsia" w:ascii="仿宋" w:hAnsi="仿宋" w:eastAsia="仿宋" w:cs="仿宋"/>
          <w:color w:val="auto"/>
          <w:lang w:eastAsia="zh-CN"/>
        </w:rPr>
        <w:t>、中小企业声明函(服务)</w:t>
      </w:r>
    </w:p>
    <w:p w14:paraId="638A216A">
      <w:pPr>
        <w:pStyle w:val="13"/>
        <w:spacing w:line="400" w:lineRule="exact"/>
        <w:ind w:left="355" w:leftChars="148" w:firstLine="228"/>
        <w:rPr>
          <w:rFonts w:ascii="仿宋" w:hAnsi="仿宋" w:eastAsia="仿宋" w:cs="仿宋"/>
          <w:color w:val="auto"/>
          <w:lang w:eastAsia="zh-CN"/>
        </w:rPr>
      </w:pPr>
      <w:r>
        <w:rPr>
          <w:rFonts w:hint="eastAsia" w:ascii="仿宋" w:hAnsi="仿宋" w:eastAsia="仿宋" w:cs="仿宋"/>
          <w:color w:val="auto"/>
          <w:lang w:val="en-US" w:eastAsia="zh-CN"/>
        </w:rPr>
        <w:t>11</w:t>
      </w:r>
      <w:r>
        <w:rPr>
          <w:rFonts w:hint="eastAsia" w:ascii="仿宋" w:hAnsi="仿宋" w:eastAsia="仿宋" w:cs="仿宋"/>
          <w:color w:val="auto"/>
          <w:lang w:eastAsia="zh-CN"/>
        </w:rPr>
        <w:t>、《残疾人福利性单位声明函》</w:t>
      </w:r>
    </w:p>
    <w:p w14:paraId="39A0BB24">
      <w:pPr>
        <w:pStyle w:val="13"/>
        <w:spacing w:line="400" w:lineRule="exact"/>
        <w:ind w:left="355" w:leftChars="148" w:firstLine="228"/>
        <w:rPr>
          <w:rFonts w:ascii="仿宋" w:hAnsi="仿宋" w:eastAsia="仿宋" w:cs="仿宋"/>
          <w:color w:val="auto"/>
          <w:lang w:eastAsia="zh-CN"/>
        </w:rPr>
      </w:pPr>
      <w:r>
        <w:rPr>
          <w:rFonts w:hint="eastAsia" w:ascii="仿宋" w:hAnsi="仿宋" w:eastAsia="仿宋" w:cs="仿宋"/>
          <w:color w:val="auto"/>
          <w:lang w:val="en-US" w:eastAsia="zh-CN"/>
        </w:rPr>
        <w:t>12</w:t>
      </w:r>
      <w:r>
        <w:rPr>
          <w:rFonts w:hint="eastAsia" w:ascii="仿宋" w:hAnsi="仿宋" w:eastAsia="仿宋" w:cs="仿宋"/>
          <w:color w:val="auto"/>
          <w:lang w:eastAsia="zh-CN"/>
        </w:rPr>
        <w:t>、评分标准和细则中技术、商务部分证明材料（格式自拟）</w:t>
      </w:r>
    </w:p>
    <w:p w14:paraId="622CE7C3">
      <w:pPr>
        <w:pStyle w:val="13"/>
        <w:spacing w:line="400" w:lineRule="exact"/>
        <w:ind w:left="355" w:leftChars="148" w:firstLine="228"/>
        <w:rPr>
          <w:rFonts w:ascii="仿宋" w:hAnsi="仿宋" w:eastAsia="仿宋" w:cs="仿宋"/>
          <w:color w:val="auto"/>
          <w:lang w:eastAsia="zh-CN"/>
        </w:rPr>
      </w:pPr>
      <w:r>
        <w:rPr>
          <w:rFonts w:hint="eastAsia" w:ascii="仿宋" w:hAnsi="仿宋" w:eastAsia="仿宋" w:cs="仿宋"/>
          <w:color w:val="auto"/>
          <w:lang w:val="en-US" w:eastAsia="zh-CN"/>
        </w:rPr>
        <w:t>13</w:t>
      </w:r>
      <w:r>
        <w:rPr>
          <w:rFonts w:hint="eastAsia" w:ascii="仿宋" w:hAnsi="仿宋" w:eastAsia="仿宋" w:cs="仿宋"/>
          <w:color w:val="auto"/>
          <w:lang w:eastAsia="zh-CN"/>
        </w:rPr>
        <w:t>、供应商认为有必要提供的其他证明材料（格式自拟）</w:t>
      </w:r>
    </w:p>
    <w:p w14:paraId="69DC3472">
      <w:pPr>
        <w:spacing w:line="400" w:lineRule="exact"/>
        <w:ind w:firstLine="479"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17B4A625">
      <w:pPr>
        <w:spacing w:line="400" w:lineRule="exact"/>
        <w:ind w:firstLine="477"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.3投标文件的要求</w:t>
      </w:r>
    </w:p>
    <w:p w14:paraId="18FFD5D4">
      <w:pPr>
        <w:spacing w:line="400" w:lineRule="exact"/>
        <w:ind w:firstLine="477"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1F7BCD1F">
      <w:pPr>
        <w:spacing w:line="400" w:lineRule="exact"/>
        <w:ind w:firstLine="477"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（2）投标文件格式应按本采购文件第六章格式要求编制，不得对采购文件格式进行增删更改，否则按无效标处理。</w:t>
      </w:r>
    </w:p>
    <w:p w14:paraId="672BDB54">
      <w:pPr>
        <w:spacing w:line="400" w:lineRule="exact"/>
        <w:ind w:firstLine="477"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（3）对采购文件格式可更改的例外情况：采购文件第六</w:t>
      </w:r>
      <w:r>
        <w:rPr>
          <w:rFonts w:hint="eastAsia" w:ascii="仿宋" w:hAnsi="仿宋" w:eastAsia="仿宋" w:cs="仿宋"/>
          <w:color w:val="auto"/>
          <w:szCs w:val="21"/>
          <w:highlight w:val="none"/>
          <w:lang w:val="en-US" w:eastAsia="zh-CN"/>
        </w:rPr>
        <w:t>章</w:t>
      </w:r>
      <w:r>
        <w:rPr>
          <w:rFonts w:hint="eastAsia" w:ascii="仿宋" w:hAnsi="仿宋" w:eastAsia="仿宋" w:cs="仿宋"/>
          <w:color w:val="auto"/>
          <w:szCs w:val="21"/>
          <w:highlight w:val="none"/>
          <w:lang w:eastAsia="zh-CN"/>
        </w:rPr>
        <w:t xml:space="preserve">附件格式要求中明确规定表格中行数不够用时可按相同格式增加行数，其他一切内容和格式不得更改。 </w:t>
      </w:r>
    </w:p>
    <w:p w14:paraId="54EB668B">
      <w:pPr>
        <w:spacing w:line="400" w:lineRule="exact"/>
        <w:ind w:firstLine="477"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（4）投标文件为电子投标文件，电子投标文件按“政采云供应商项目采购-电子招投标操作指南”及本采购文件要求制作、加密传输。</w:t>
      </w:r>
    </w:p>
    <w:p w14:paraId="113822E2">
      <w:pPr>
        <w:spacing w:line="400" w:lineRule="exact"/>
        <w:ind w:firstLine="477"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（5）投标文件未在投标截止时间前完成传输的，视为投标文件撤回；投标文件未按时解密也未提供备份投标文件的，亦视为投标文件撤回。</w:t>
      </w:r>
    </w:p>
    <w:p w14:paraId="7C783263">
      <w:pPr>
        <w:spacing w:line="440" w:lineRule="exact"/>
        <w:ind w:firstLine="482"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b/>
          <w:color w:val="auto"/>
          <w:szCs w:val="21"/>
          <w:highlight w:val="none"/>
          <w:lang w:eastAsia="zh-CN"/>
        </w:rPr>
        <w:t>投标报价</w:t>
      </w:r>
    </w:p>
    <w:p w14:paraId="28FD55E2">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.1投标报价文件中的单价和总价全部采用人民币表示。</w:t>
      </w:r>
    </w:p>
    <w:p w14:paraId="3552180F">
      <w:pPr>
        <w:spacing w:line="44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.2投标报价表上应清楚地标明供应商拟提供服务的名称、服务期限、服务地点和总价。</w:t>
      </w:r>
    </w:p>
    <w:p w14:paraId="21CC655C">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.3供应商只允许有一个方案、一个报价。</w:t>
      </w:r>
    </w:p>
    <w:p w14:paraId="7D6707F3">
      <w:pPr>
        <w:spacing w:line="440" w:lineRule="exact"/>
        <w:ind w:firstLine="480" w:firstLineChars="200"/>
        <w:rPr>
          <w:rFonts w:ascii="仿宋" w:hAnsi="仿宋" w:eastAsia="仿宋" w:cs="仿宋"/>
          <w:color w:val="auto"/>
          <w:szCs w:val="21"/>
          <w:highlight w:val="yellow"/>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 xml:space="preserve">.4供应商应按“第四章 </w:t>
      </w:r>
      <w:r>
        <w:rPr>
          <w:rFonts w:hint="eastAsia" w:ascii="仿宋" w:hAnsi="仿宋" w:eastAsia="仿宋" w:cs="仿宋"/>
          <w:color w:val="auto"/>
          <w:szCs w:val="21"/>
          <w:highlight w:val="none"/>
          <w:lang w:val="en-US" w:eastAsia="zh-CN"/>
        </w:rPr>
        <w:t>技术参数及服务需求</w:t>
      </w:r>
      <w:r>
        <w:rPr>
          <w:rFonts w:hint="eastAsia" w:ascii="仿宋" w:hAnsi="仿宋" w:eastAsia="仿宋" w:cs="仿宋"/>
          <w:color w:val="auto"/>
          <w:szCs w:val="21"/>
          <w:highlight w:val="none"/>
          <w:lang w:eastAsia="zh-CN"/>
        </w:rPr>
        <w:t>”所列服务进行报总价，不得采用总价下浮的方式进行报价。综合总价包括：设备费、材料费、辅材费、管理费、利润、风险费用、代理费、</w:t>
      </w:r>
      <w:r>
        <w:rPr>
          <w:rFonts w:hint="eastAsia" w:ascii="仿宋" w:hAnsi="仿宋" w:eastAsia="仿宋" w:cs="仿宋"/>
          <w:color w:val="auto"/>
          <w:szCs w:val="21"/>
          <w:highlight w:val="none"/>
          <w:lang w:val="en-US" w:eastAsia="zh-CN"/>
        </w:rPr>
        <w:t>税费、社会保险、</w:t>
      </w:r>
      <w:r>
        <w:rPr>
          <w:rFonts w:hint="eastAsia" w:ascii="仿宋" w:hAnsi="仿宋" w:eastAsia="仿宋" w:cs="仿宋"/>
          <w:color w:val="auto"/>
          <w:szCs w:val="21"/>
          <w:highlight w:val="none"/>
          <w:lang w:eastAsia="zh-CN"/>
        </w:rPr>
        <w:t>培训及后期服务及国家对中标单位征收的各种税费等所有一切费用，综合总价今后将不作任何调整。</w:t>
      </w:r>
    </w:p>
    <w:p w14:paraId="41D74561">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.5投标报价的价格是服务价格，其总价即为履行合同的固定总价。</w:t>
      </w:r>
    </w:p>
    <w:p w14:paraId="1AB68FA7">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.6</w:t>
      </w:r>
      <w:r>
        <w:rPr>
          <w:rFonts w:hint="eastAsia" w:ascii="仿宋" w:hAnsi="仿宋" w:eastAsia="仿宋" w:cs="仿宋"/>
          <w:color w:val="auto"/>
          <w:szCs w:val="21"/>
          <w:lang w:eastAsia="zh-CN"/>
        </w:rPr>
        <w:t>技术要求中规定的服务内容在投标价格中。</w:t>
      </w:r>
      <w:r>
        <w:rPr>
          <w:rFonts w:hint="eastAsia" w:ascii="仿宋" w:hAnsi="仿宋" w:eastAsia="仿宋" w:cs="仿宋"/>
          <w:color w:val="auto"/>
          <w:szCs w:val="21"/>
          <w:highlight w:val="none"/>
          <w:lang w:eastAsia="zh-CN"/>
        </w:rPr>
        <w:t>投标文件报价为含税价，招标人不再为此次招标支付任何费用。</w:t>
      </w:r>
    </w:p>
    <w:p w14:paraId="66CA8D85">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.7投标报价应由法定代表人或被授权人签署。</w:t>
      </w:r>
    </w:p>
    <w:p w14:paraId="64BD54BB">
      <w:pPr>
        <w:spacing w:line="440" w:lineRule="exact"/>
        <w:ind w:firstLine="480"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w:t>
      </w: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lang w:eastAsia="zh-CN"/>
        </w:rPr>
        <w:t>.8</w:t>
      </w:r>
      <w:r>
        <w:rPr>
          <w:rFonts w:hint="eastAsia" w:ascii="仿宋" w:hAnsi="仿宋" w:eastAsia="仿宋" w:cs="仿宋"/>
          <w:b/>
          <w:color w:val="auto"/>
          <w:szCs w:val="21"/>
          <w:highlight w:val="none"/>
          <w:lang w:eastAsia="zh-CN"/>
        </w:rPr>
        <w:t>供应商投标总报价，不得高于本次招标设置的最高限价，</w:t>
      </w:r>
      <w:r>
        <w:rPr>
          <w:rFonts w:hint="eastAsia" w:ascii="仿宋" w:hAnsi="仿宋" w:eastAsia="仿宋" w:cs="仿宋"/>
          <w:b/>
          <w:bCs/>
          <w:color w:val="auto"/>
          <w:szCs w:val="21"/>
          <w:highlight w:val="none"/>
          <w:lang w:eastAsia="zh-CN"/>
        </w:rPr>
        <w:t>否则将作为无效投标处理。</w:t>
      </w:r>
    </w:p>
    <w:p w14:paraId="787AABF6">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.9总投标价中不得包含采购文件要求以外的内容，否则，在评标时不予核扣，但在授予合同时，招标人有权将这部分价格从其中标价格中扣除。</w:t>
      </w:r>
    </w:p>
    <w:p w14:paraId="6B9ACB8D">
      <w:pPr>
        <w:spacing w:line="440" w:lineRule="exact"/>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eastAsia="zh-CN"/>
        </w:rPr>
        <w:t>总投标价中不得缺漏采购文件所要求的内容，否则，评标时将有效投标中该项内容的最高价计入其评标总价，但在授予合同时，缺漏项目的报价视作已含在其他项目的报价中，这些项目将作为免费赠送而包含在合同内。</w:t>
      </w:r>
    </w:p>
    <w:p w14:paraId="6E2F1C8C">
      <w:pPr>
        <w:spacing w:line="440" w:lineRule="exact"/>
        <w:ind w:firstLine="482"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2</w:t>
      </w:r>
      <w:r>
        <w:rPr>
          <w:rFonts w:hint="eastAsia" w:ascii="仿宋" w:hAnsi="仿宋" w:eastAsia="仿宋" w:cs="仿宋"/>
          <w:b/>
          <w:color w:val="auto"/>
          <w:szCs w:val="21"/>
          <w:highlight w:val="none"/>
          <w:lang w:eastAsia="zh-CN"/>
        </w:rPr>
        <w:t>. 投标有效期</w:t>
      </w:r>
    </w:p>
    <w:p w14:paraId="77B7D6BD">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 除供应商须知前附表另有规定外，投标有效期为60天。</w:t>
      </w:r>
    </w:p>
    <w:p w14:paraId="6C320A98">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.2在投标有效期内，供应商撤销或修改其投标文件的，应承担采购文件和法律规定的责任。</w:t>
      </w:r>
    </w:p>
    <w:p w14:paraId="02034430">
      <w:pPr>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668C4033">
      <w:pPr>
        <w:spacing w:line="440" w:lineRule="exact"/>
        <w:ind w:firstLine="463" w:firstLineChars="192"/>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lang w:eastAsia="zh-CN"/>
        </w:rPr>
        <w:t>. 投标保证金</w:t>
      </w:r>
    </w:p>
    <w:p w14:paraId="0C928CED">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.1供应商须知前附表规定递交投标保证金的，供应商在递交投标文件的同时，应按供应商须知前附表规定的金额、担保形式和第六</w:t>
      </w:r>
      <w:r>
        <w:rPr>
          <w:rFonts w:hint="eastAsia" w:ascii="仿宋" w:hAnsi="仿宋" w:eastAsia="仿宋" w:cs="仿宋"/>
          <w:color w:val="auto"/>
          <w:szCs w:val="21"/>
          <w:highlight w:val="none"/>
          <w:lang w:val="en-US" w:eastAsia="zh-CN"/>
        </w:rPr>
        <w:t>章</w:t>
      </w:r>
      <w:r>
        <w:rPr>
          <w:rFonts w:hint="eastAsia" w:ascii="仿宋" w:hAnsi="仿宋" w:eastAsia="仿宋" w:cs="仿宋"/>
          <w:color w:val="auto"/>
          <w:szCs w:val="21"/>
          <w:highlight w:val="none"/>
          <w:lang w:eastAsia="zh-CN"/>
        </w:rPr>
        <w:t>“投标文件格式”规定的投标保证金格式递交投标保证金，并作为其投标文件的组成部分。供应商不按要求提交投标保证金的，评标委员会将否决其投标。</w:t>
      </w:r>
    </w:p>
    <w:p w14:paraId="34FB7EE1">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.2自中标通知书发出之日起5个工作日内退还未中标供应商的投标保证金，自政府采购合同签订之日起5个工作日内退还中标人的投标保证金。</w:t>
      </w:r>
    </w:p>
    <w:p w14:paraId="425151DD">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.3有下列情形之一的，投标保证金将不予退还： </w:t>
      </w:r>
    </w:p>
    <w:p w14:paraId="417E4A37">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（1）供应商在规定的投标有效期内撤回或修改其投标文件；</w:t>
      </w:r>
    </w:p>
    <w:p w14:paraId="67C120BE">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（2）中标通知书发出后三十天内，中标人无正当理由拒签合同协议书或未按采购文件规定提交履约担保。</w:t>
      </w:r>
    </w:p>
    <w:p w14:paraId="7FEDA9A7">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（3）提供虚假材料谋取中标的；</w:t>
      </w:r>
    </w:p>
    <w:p w14:paraId="538EBDCB">
      <w:pPr>
        <w:spacing w:line="4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（4）经查实属于陪标、串通投标的等。</w:t>
      </w:r>
    </w:p>
    <w:p w14:paraId="5309C8CB">
      <w:pPr>
        <w:spacing w:line="400" w:lineRule="exact"/>
        <w:ind w:firstLine="480" w:firstLineChars="200"/>
        <w:rPr>
          <w:rFonts w:ascii="仿宋" w:hAnsi="仿宋" w:eastAsia="仿宋" w:cs="仿宋"/>
          <w:color w:val="auto"/>
          <w:szCs w:val="21"/>
          <w:highlight w:val="none"/>
          <w:lang w:eastAsia="zh-CN"/>
        </w:rPr>
      </w:pPr>
      <w:bookmarkStart w:id="17" w:name="_Toc469495727"/>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5C3F62DC">
      <w:pPr>
        <w:pStyle w:val="3"/>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w:t>
      </w:r>
      <w:bookmarkEnd w:id="17"/>
      <w:r>
        <w:rPr>
          <w:rFonts w:hint="eastAsia" w:ascii="仿宋" w:hAnsi="仿宋" w:eastAsia="仿宋" w:cs="仿宋"/>
          <w:color w:val="auto"/>
          <w:sz w:val="28"/>
          <w:szCs w:val="28"/>
          <w:highlight w:val="none"/>
          <w:lang w:eastAsia="zh-CN"/>
        </w:rPr>
        <w:t>投标文件的制作、上传及递交要求</w:t>
      </w:r>
    </w:p>
    <w:p w14:paraId="3676622F">
      <w:pPr>
        <w:snapToGrid w:val="0"/>
        <w:spacing w:line="360" w:lineRule="auto"/>
        <w:ind w:firstLine="482"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.投标文件的制作要求</w:t>
      </w:r>
    </w:p>
    <w:p w14:paraId="568F3FC3">
      <w:pPr>
        <w:pStyle w:val="7"/>
        <w:snapToGrid w:val="0"/>
        <w:spacing w:line="360" w:lineRule="auto"/>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323F1C16">
      <w:pPr>
        <w:pStyle w:val="7"/>
        <w:snapToGrid w:val="0"/>
        <w:spacing w:line="360" w:lineRule="auto"/>
        <w:ind w:firstLine="480" w:firstLineChars="200"/>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w:t>
      </w:r>
      <w:r>
        <w:rPr>
          <w:rFonts w:hint="eastAsia" w:ascii="仿宋" w:hAnsi="仿宋" w:eastAsia="仿宋" w:cs="仿宋"/>
          <w:bCs/>
          <w:color w:val="auto"/>
          <w:szCs w:val="24"/>
          <w:highlight w:val="none"/>
          <w:lang w:val="en-US" w:eastAsia="zh-CN"/>
        </w:rPr>
        <w:t>章</w:t>
      </w:r>
      <w:r>
        <w:rPr>
          <w:rFonts w:hint="eastAsia" w:ascii="仿宋" w:hAnsi="仿宋" w:eastAsia="仿宋" w:cs="仿宋"/>
          <w:bCs/>
          <w:color w:val="auto"/>
          <w:szCs w:val="24"/>
          <w:highlight w:val="none"/>
          <w:lang w:eastAsia="zh-CN"/>
        </w:rPr>
        <w:t>投标文件格式》未提供格式的，请供应商自行拟定格式，并加盖单位公章，否则视为未提供。</w:t>
      </w:r>
    </w:p>
    <w:p w14:paraId="4902540F">
      <w:pPr>
        <w:pStyle w:val="7"/>
        <w:snapToGrid w:val="0"/>
        <w:spacing w:line="360" w:lineRule="auto"/>
        <w:ind w:firstLine="480"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备份电子投标文件：通过“政采云”平台电子投标工具制作投标文件所产生的备份文件。</w:t>
      </w:r>
    </w:p>
    <w:p w14:paraId="1E478890">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（2）供应商应对所提供的全部资料的真实性、有效性承担法律责任，电子投标文件中所须加盖公章部分均采用CA签章。</w:t>
      </w:r>
    </w:p>
    <w:p w14:paraId="3B905184">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（3）投标文件以及供应商与采购组织机构就有关投标事宜的所有来往函电，均应以中文汉语书写。除签章、盖章、专用名称等特殊情形外，以中文汉语以外的文字表述的投标文件视同未提供。</w:t>
      </w:r>
    </w:p>
    <w:p w14:paraId="6F421069">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（4）投标计量单位，采购文件已有明确规定的，使用采购文件规定的计量单位；采购文件没有规定的，应采用中华人民共和国法定计量单位（货币单位：人民币元）。</w:t>
      </w:r>
    </w:p>
    <w:p w14:paraId="57B44FD3">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（5）若供应商不按采购文件的要求提供资格审查材料，其风险由供应商自行承担。</w:t>
      </w:r>
    </w:p>
    <w:p w14:paraId="5DD91599">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（6）与本次投标无关的内容请不要制作在内，确保投标文件有针对性、简洁明了。</w:t>
      </w:r>
    </w:p>
    <w:p w14:paraId="190EBC6C">
      <w:pPr>
        <w:snapToGrid w:val="0"/>
        <w:spacing w:line="360" w:lineRule="auto"/>
        <w:ind w:firstLine="482"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lang w:eastAsia="zh-CN"/>
        </w:rPr>
        <w:t>.投标文件的上传</w:t>
      </w:r>
    </w:p>
    <w:p w14:paraId="1444CAF3">
      <w:pPr>
        <w:pStyle w:val="7"/>
        <w:snapToGrid w:val="0"/>
        <w:spacing w:line="360" w:lineRule="auto"/>
        <w:rPr>
          <w:rFonts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lang w:eastAsia="zh-CN"/>
        </w:rPr>
        <w:t>（1）</w:t>
      </w:r>
      <w:r>
        <w:rPr>
          <w:rFonts w:hint="eastAsia" w:ascii="仿宋" w:hAnsi="仿宋" w:eastAsia="仿宋" w:cs="仿宋"/>
          <w:b/>
          <w:bCs/>
          <w:color w:val="auto"/>
          <w:szCs w:val="24"/>
          <w:highlight w:val="none"/>
          <w:lang w:eastAsia="zh-CN" w:bidi="zh-CN"/>
        </w:rPr>
        <w:t>电子加密投标文件（“.jmbs”格式）</w:t>
      </w:r>
      <w:r>
        <w:rPr>
          <w:rFonts w:hint="eastAsia" w:ascii="仿宋" w:hAnsi="仿宋" w:eastAsia="仿宋" w:cs="仿宋"/>
          <w:b/>
          <w:bCs/>
          <w:color w:val="auto"/>
          <w:szCs w:val="24"/>
          <w:highlight w:val="none"/>
          <w:lang w:eastAsia="zh-CN"/>
        </w:rPr>
        <w:t>：</w:t>
      </w:r>
    </w:p>
    <w:p w14:paraId="57028D57">
      <w:pPr>
        <w:pStyle w:val="7"/>
        <w:snapToGrid w:val="0"/>
        <w:spacing w:line="360" w:lineRule="auto"/>
        <w:ind w:firstLine="600"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a.</w:t>
      </w:r>
      <w:r>
        <w:rPr>
          <w:rFonts w:hint="eastAsia" w:ascii="仿宋" w:hAnsi="仿宋" w:eastAsia="仿宋" w:cs="仿宋"/>
          <w:bCs/>
          <w:color w:val="auto"/>
          <w:szCs w:val="24"/>
          <w:highlight w:val="none"/>
          <w:lang w:eastAsia="zh-CN"/>
        </w:rPr>
        <w:t xml:space="preserve"> </w:t>
      </w:r>
      <w:r>
        <w:rPr>
          <w:rFonts w:hint="eastAsia" w:ascii="仿宋" w:hAnsi="仿宋" w:eastAsia="仿宋" w:cs="仿宋"/>
          <w:bCs/>
          <w:color w:val="auto"/>
          <w:szCs w:val="24"/>
          <w:highlight w:val="none"/>
          <w:lang w:eastAsia="zh-CN" w:bidi="zh-CN"/>
        </w:rPr>
        <w:t>供应商应在投标截止时间前将电子加密投标文件成功上传递交至新疆政府采购云平台，否则投标无效；</w:t>
      </w:r>
    </w:p>
    <w:p w14:paraId="5082D711">
      <w:pPr>
        <w:pStyle w:val="7"/>
        <w:snapToGrid w:val="0"/>
        <w:spacing w:line="360" w:lineRule="auto"/>
        <w:ind w:firstLine="600" w:firstLineChars="25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bidi="zh-CN"/>
        </w:rPr>
        <w:t>b.供应商成功上传电子加密投标文件后，可自行打印投标文件接收回执。</w:t>
      </w:r>
    </w:p>
    <w:p w14:paraId="43BE15ED">
      <w:pPr>
        <w:pStyle w:val="7"/>
        <w:snapToGrid w:val="0"/>
        <w:spacing w:line="360" w:lineRule="auto"/>
        <w:rPr>
          <w:rFonts w:ascii="仿宋" w:hAnsi="仿宋" w:eastAsia="仿宋" w:cs="仿宋"/>
          <w:b/>
          <w:bCs/>
          <w:color w:val="auto"/>
          <w:szCs w:val="24"/>
          <w:highlight w:val="none"/>
          <w:lang w:eastAsia="zh-CN" w:bidi="zh-CN"/>
        </w:rPr>
      </w:pPr>
      <w:r>
        <w:rPr>
          <w:rFonts w:hint="eastAsia" w:ascii="仿宋" w:hAnsi="仿宋" w:eastAsia="仿宋" w:cs="仿宋"/>
          <w:b/>
          <w:bCs/>
          <w:color w:val="auto"/>
          <w:szCs w:val="24"/>
          <w:highlight w:val="none"/>
          <w:lang w:eastAsia="zh-CN"/>
        </w:rPr>
        <w:t>（2）</w:t>
      </w:r>
      <w:r>
        <w:rPr>
          <w:rFonts w:hint="eastAsia" w:ascii="仿宋" w:hAnsi="仿宋" w:eastAsia="仿宋" w:cs="仿宋"/>
          <w:b/>
          <w:bCs/>
          <w:color w:val="auto"/>
          <w:szCs w:val="24"/>
          <w:highlight w:val="none"/>
          <w:lang w:eastAsia="zh-CN" w:bidi="zh-CN"/>
        </w:rPr>
        <w:t>备份投标文件（“.bfbs”格式）：</w:t>
      </w:r>
    </w:p>
    <w:p w14:paraId="7E4C3288">
      <w:pPr>
        <w:pStyle w:val="7"/>
        <w:snapToGrid w:val="0"/>
        <w:spacing w:line="360" w:lineRule="auto"/>
        <w:ind w:firstLine="600" w:firstLineChars="250"/>
        <w:rPr>
          <w:rFonts w:ascii="仿宋" w:hAnsi="仿宋" w:eastAsia="仿宋" w:cs="仿宋"/>
          <w:color w:val="auto"/>
          <w:szCs w:val="24"/>
          <w:highlight w:val="none"/>
          <w:lang w:eastAsia="zh-CN" w:bidi="zh-CN"/>
        </w:rPr>
      </w:pPr>
      <w:r>
        <w:rPr>
          <w:rFonts w:hint="eastAsia" w:ascii="仿宋" w:hAnsi="仿宋" w:eastAsia="仿宋" w:cs="仿宋"/>
          <w:bCs/>
          <w:color w:val="auto"/>
          <w:szCs w:val="24"/>
          <w:highlight w:val="none"/>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highlight w:val="none"/>
          <w:lang w:eastAsia="zh-CN" w:bidi="zh-CN"/>
        </w:rPr>
        <w:t>“备份投标文件”以投标截止时间前指定接收邮箱最终收到的文件为准，逾期或未按要求提供的视为未提供，建议供应商提前1日办理邮件提供事宜（接收人邮箱：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val="en-US" w:eastAsia="zh-CN" w:bidi="zh-CN"/>
        </w:rPr>
        <w:t>3265613387</w:t>
      </w:r>
      <w:r>
        <w:rPr>
          <w:rFonts w:hint="eastAsia" w:ascii="仿宋" w:hAnsi="仿宋" w:eastAsia="仿宋" w:cs="仿宋"/>
          <w:color w:val="auto"/>
          <w:szCs w:val="24"/>
          <w:highlight w:val="none"/>
          <w:u w:val="single"/>
          <w:lang w:eastAsia="zh-CN" w:bidi="zh-CN"/>
        </w:rPr>
        <w:t>@qq.com</w:t>
      </w:r>
      <w:r>
        <w:rPr>
          <w:rStyle w:val="29"/>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朱先生</w:t>
      </w:r>
      <w:r>
        <w:rPr>
          <w:rStyle w:val="29"/>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eastAsia="zh-CN" w:bidi="zh-CN"/>
        </w:rPr>
        <w:t>8609088999</w:t>
      </w:r>
      <w:r>
        <w:rPr>
          <w:rFonts w:hint="eastAsia" w:ascii="仿宋" w:hAnsi="仿宋" w:eastAsia="仿宋" w:cs="仿宋"/>
          <w:color w:val="auto"/>
          <w:szCs w:val="24"/>
          <w:highlight w:val="none"/>
          <w:lang w:eastAsia="zh-CN" w:bidi="zh-CN"/>
        </w:rPr>
        <w:t>）；</w:t>
      </w:r>
    </w:p>
    <w:p w14:paraId="17E1F0BA">
      <w:pPr>
        <w:pStyle w:val="7"/>
        <w:snapToGrid w:val="0"/>
        <w:spacing w:line="360" w:lineRule="auto"/>
        <w:ind w:firstLine="600"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6C81DC26">
      <w:pPr>
        <w:snapToGrid w:val="0"/>
        <w:spacing w:line="360" w:lineRule="auto"/>
        <w:ind w:firstLine="482"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w:t>
      </w:r>
      <w:r>
        <w:rPr>
          <w:rFonts w:hint="eastAsia" w:ascii="仿宋" w:hAnsi="仿宋" w:eastAsia="仿宋" w:cs="仿宋"/>
          <w:b/>
          <w:color w:val="auto"/>
          <w:highlight w:val="none"/>
          <w:lang w:eastAsia="zh-CN"/>
        </w:rPr>
        <w:t>投标文件的递交要求</w:t>
      </w:r>
    </w:p>
    <w:p w14:paraId="0F0D6CE6">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（1）供应商须按照采购文件和政采云平台的要求编制并加密投标文件。在投标文件递交截止时间以前完成投标文件的传输递交，截止时间后递交的投标文件，将被拒收。</w:t>
      </w:r>
    </w:p>
    <w:p w14:paraId="2DF42240">
      <w:pPr>
        <w:tabs>
          <w:tab w:val="left" w:pos="1418"/>
        </w:tabs>
        <w:autoSpaceDE w:val="0"/>
        <w:autoSpaceDN w:val="0"/>
        <w:adjustRightInd w:val="0"/>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（2）备份电子投标文件必须在投标截止时间前送达指定的投标地点。备份电子投标文件在截止时间后提交，采购组织机构将拒绝接收。</w:t>
      </w:r>
    </w:p>
    <w:p w14:paraId="2A862194">
      <w:pPr>
        <w:tabs>
          <w:tab w:val="left" w:pos="1418"/>
        </w:tabs>
        <w:autoSpaceDE w:val="0"/>
        <w:autoSpaceDN w:val="0"/>
        <w:adjustRightInd w:val="0"/>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（3）如有特殊情况，采购组织机构延长截止时间和开标时间，采购组织机构和供应商的权利和义务将受到新的截止时间和开标时间的约束。</w:t>
      </w:r>
    </w:p>
    <w:p w14:paraId="021985AB">
      <w:pPr>
        <w:snapToGrid w:val="0"/>
        <w:spacing w:line="360" w:lineRule="auto"/>
        <w:ind w:firstLine="482"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lang w:eastAsia="zh-CN"/>
        </w:rPr>
        <w:t>．投标文件的补充、修改与撤回</w:t>
      </w:r>
    </w:p>
    <w:p w14:paraId="509CBF55">
      <w:pPr>
        <w:tabs>
          <w:tab w:val="left" w:pos="960"/>
          <w:tab w:val="left" w:pos="1418"/>
        </w:tabs>
        <w:autoSpaceDE w:val="0"/>
        <w:autoSpaceDN w:val="0"/>
        <w:adjustRightInd w:val="0"/>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14:paraId="755D8F1B">
      <w:pPr>
        <w:tabs>
          <w:tab w:val="left" w:pos="960"/>
          <w:tab w:val="left" w:pos="1418"/>
        </w:tabs>
        <w:autoSpaceDE w:val="0"/>
        <w:autoSpaceDN w:val="0"/>
        <w:adjustRightInd w:val="0"/>
        <w:snapToGrid w:val="0"/>
        <w:spacing w:line="360" w:lineRule="auto"/>
        <w:ind w:firstLine="562" w:firstLineChars="200"/>
        <w:jc w:val="center"/>
        <w:rPr>
          <w:rFonts w:hint="eastAsia" w:ascii="仿宋" w:hAnsi="仿宋" w:eastAsia="仿宋" w:cs="仿宋"/>
          <w:b/>
          <w:bCs/>
          <w:color w:val="auto"/>
          <w:sz w:val="28"/>
          <w:szCs w:val="28"/>
          <w:highlight w:val="none"/>
          <w:lang w:eastAsia="zh-CN"/>
        </w:rPr>
      </w:pPr>
    </w:p>
    <w:p w14:paraId="4F21F6AC">
      <w:pPr>
        <w:tabs>
          <w:tab w:val="left" w:pos="960"/>
          <w:tab w:val="left" w:pos="1418"/>
        </w:tabs>
        <w:autoSpaceDE w:val="0"/>
        <w:autoSpaceDN w:val="0"/>
        <w:adjustRightInd w:val="0"/>
        <w:snapToGrid w:val="0"/>
        <w:spacing w:line="360" w:lineRule="auto"/>
        <w:ind w:firstLine="562" w:firstLineChars="200"/>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（五）开标、评标和定标</w:t>
      </w:r>
      <w:bookmarkEnd w:id="18"/>
    </w:p>
    <w:p w14:paraId="63FB03CE">
      <w:pPr>
        <w:snapToGrid w:val="0"/>
        <w:spacing w:line="360" w:lineRule="auto"/>
        <w:ind w:firstLine="482"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 开标</w:t>
      </w:r>
    </w:p>
    <w:p w14:paraId="4832C770">
      <w:pPr>
        <w:snapToGrid w:val="0"/>
        <w:spacing w:line="360" w:lineRule="auto"/>
        <w:ind w:firstLine="482" w:firstLineChars="200"/>
        <w:rPr>
          <w:rFonts w:ascii="仿宋" w:hAnsi="仿宋" w:eastAsia="仿宋" w:cs="仿宋"/>
          <w:b/>
          <w:bCs/>
          <w:color w:val="auto"/>
          <w:highlight w:val="none"/>
          <w:lang w:eastAsia="zh-CN"/>
        </w:rPr>
      </w:pPr>
      <w:bookmarkStart w:id="19" w:name="_Toc73975822"/>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.1开标邀请</w:t>
      </w:r>
      <w:bookmarkEnd w:id="19"/>
    </w:p>
    <w:p w14:paraId="32DE9098">
      <w:pPr>
        <w:pStyle w:val="13"/>
        <w:snapToGrid w:val="0"/>
        <w:spacing w:line="360" w:lineRule="auto"/>
        <w:ind w:firstLine="480"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（1）开标准备：本项目开标的准备工作由采购组织机构负责落实，开标过程由采购组织机构负责记录；</w:t>
      </w:r>
    </w:p>
    <w:p w14:paraId="50CEA328">
      <w:pPr>
        <w:pStyle w:val="13"/>
        <w:snapToGrid w:val="0"/>
        <w:spacing w:line="360" w:lineRule="auto"/>
        <w:ind w:firstLine="480"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（2）开标主持:本项目开标由采购人或者采购代理机构主持；</w:t>
      </w:r>
    </w:p>
    <w:p w14:paraId="7BA31BD1">
      <w:pPr>
        <w:pStyle w:val="13"/>
        <w:snapToGrid w:val="0"/>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（3）</w:t>
      </w:r>
      <w:r>
        <w:rPr>
          <w:rFonts w:hint="eastAsia" w:ascii="仿宋" w:hAnsi="仿宋" w:eastAsia="仿宋" w:cs="仿宋"/>
          <w:color w:val="auto"/>
          <w:szCs w:val="24"/>
          <w:highlight w:val="none"/>
        </w:rPr>
        <w:t>开标邀请：本项目采用电子交易，采购组织机构将按照采购文件规定的时间通过“</w:t>
      </w:r>
      <w:r>
        <w:rPr>
          <w:rFonts w:hint="eastAsia" w:ascii="仿宋" w:hAnsi="仿宋" w:eastAsia="仿宋" w:cs="仿宋"/>
          <w:color w:val="auto"/>
          <w:szCs w:val="24"/>
          <w:highlight w:val="none"/>
          <w:lang w:eastAsia="zh-CN"/>
        </w:rPr>
        <w:t>新疆</w:t>
      </w:r>
      <w:r>
        <w:rPr>
          <w:rFonts w:hint="eastAsia" w:ascii="仿宋" w:hAnsi="仿宋" w:eastAsia="仿宋" w:cs="仿宋"/>
          <w:color w:val="auto"/>
          <w:szCs w:val="24"/>
          <w:highlight w:val="none"/>
        </w:rPr>
        <w:t>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29"/>
          <w:rFonts w:hint="eastAsia" w:ascii="仿宋" w:hAnsi="仿宋" w:eastAsia="仿宋" w:cs="仿宋"/>
          <w:color w:val="auto"/>
          <w:szCs w:val="24"/>
          <w:highlight w:val="none"/>
          <w:u w:val="none"/>
        </w:rPr>
        <w:t>www.zcygov.cn</w:t>
      </w:r>
      <w:r>
        <w:rPr>
          <w:rStyle w:val="29"/>
          <w:rFonts w:hint="eastAsia" w:ascii="仿宋" w:hAnsi="仿宋" w:eastAsia="仿宋" w:cs="仿宋"/>
          <w:color w:val="auto"/>
          <w:szCs w:val="24"/>
          <w:highlight w:val="none"/>
          <w:u w:val="none"/>
        </w:rPr>
        <w:fldChar w:fldCharType="end"/>
      </w:r>
      <w:r>
        <w:rPr>
          <w:rFonts w:hint="eastAsia" w:ascii="仿宋" w:hAnsi="仿宋" w:eastAsia="仿宋" w:cs="仿宋"/>
          <w:color w:val="auto"/>
          <w:szCs w:val="24"/>
          <w:highlight w:val="none"/>
        </w:rPr>
        <w:t>”组织开标、开启投标响应文件，所有供应商均应当准时在线参加。</w:t>
      </w:r>
    </w:p>
    <w:p w14:paraId="72489157">
      <w:pPr>
        <w:pStyle w:val="13"/>
        <w:snapToGrid w:val="0"/>
        <w:spacing w:line="360" w:lineRule="auto"/>
        <w:ind w:firstLine="480"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67B6353E">
      <w:pPr>
        <w:snapToGrid w:val="0"/>
        <w:spacing w:line="360" w:lineRule="auto"/>
        <w:ind w:firstLine="482" w:firstLineChars="200"/>
        <w:outlineLvl w:val="2"/>
        <w:rPr>
          <w:rFonts w:ascii="仿宋" w:hAnsi="仿宋" w:eastAsia="仿宋" w:cs="仿宋"/>
          <w:b/>
          <w:color w:val="auto"/>
          <w:highlight w:val="none"/>
          <w:lang w:eastAsia="zh-CN"/>
        </w:rPr>
      </w:pPr>
      <w:bookmarkStart w:id="20" w:name="_Toc73975823"/>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lang w:eastAsia="zh-CN"/>
        </w:rPr>
        <w:t>.2</w:t>
      </w:r>
      <w:r>
        <w:rPr>
          <w:rFonts w:hint="eastAsia" w:ascii="仿宋" w:hAnsi="仿宋" w:eastAsia="仿宋" w:cs="仿宋"/>
          <w:b/>
          <w:bCs/>
          <w:color w:val="auto"/>
          <w:highlight w:val="none"/>
          <w:lang w:eastAsia="zh-CN"/>
        </w:rPr>
        <w:t>开标程序（先资格、商务技术后报价）</w:t>
      </w:r>
      <w:bookmarkEnd w:id="20"/>
    </w:p>
    <w:p w14:paraId="42E7A1DE">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（1）开标时间到后，主持人宣布开标会议开始。</w:t>
      </w:r>
    </w:p>
    <w:p w14:paraId="767B6EA2">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（2）投标文件解密（</w:t>
      </w:r>
      <w:r>
        <w:rPr>
          <w:rFonts w:hint="eastAsia" w:ascii="仿宋" w:hAnsi="仿宋" w:eastAsia="仿宋" w:cs="仿宋"/>
          <w:b/>
          <w:color w:val="auto"/>
          <w:highlight w:val="none"/>
          <w:lang w:eastAsia="zh-CN"/>
        </w:rPr>
        <w:t>解密规定见《供应商须知前附表》</w:t>
      </w:r>
      <w:r>
        <w:rPr>
          <w:rFonts w:hint="eastAsia" w:ascii="仿宋" w:hAnsi="仿宋" w:eastAsia="仿宋" w:cs="仿宋"/>
          <w:color w:val="auto"/>
          <w:highlight w:val="none"/>
          <w:lang w:eastAsia="zh-CN"/>
        </w:rPr>
        <w:t>）。</w:t>
      </w:r>
    </w:p>
    <w:p w14:paraId="08D2883D">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（3）投标文件解密异常情况处理（</w:t>
      </w:r>
      <w:r>
        <w:rPr>
          <w:rFonts w:hint="eastAsia" w:ascii="仿宋" w:hAnsi="仿宋" w:eastAsia="仿宋" w:cs="仿宋"/>
          <w:b/>
          <w:color w:val="auto"/>
          <w:highlight w:val="none"/>
          <w:lang w:eastAsia="zh-CN"/>
        </w:rPr>
        <w:t>处理办法见《供应商须知前附表》</w:t>
      </w:r>
      <w:r>
        <w:rPr>
          <w:rFonts w:hint="eastAsia" w:ascii="仿宋" w:hAnsi="仿宋" w:eastAsia="仿宋" w:cs="仿宋"/>
          <w:color w:val="auto"/>
          <w:highlight w:val="none"/>
          <w:lang w:eastAsia="zh-CN"/>
        </w:rPr>
        <w:t>）。</w:t>
      </w:r>
    </w:p>
    <w:p w14:paraId="1FDA7763">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（4）公布投标文件解密情况（投标文件成功解密的供应商名单等信息），组织签署</w:t>
      </w:r>
      <w:r>
        <w:rPr>
          <w:rFonts w:hint="eastAsia" w:ascii="仿宋" w:hAnsi="仿宋" w:eastAsia="仿宋" w:cs="仿宋"/>
          <w:b/>
          <w:bCs/>
          <w:color w:val="auto"/>
          <w:highlight w:val="none"/>
          <w:lang w:eastAsia="zh-CN"/>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highlight w:val="none"/>
          <w:lang w:val="en-US" w:eastAsia="zh-CN"/>
        </w:rPr>
        <w:t>3265613387</w:t>
      </w:r>
      <w:r>
        <w:rPr>
          <w:rFonts w:hint="eastAsia" w:ascii="仿宋" w:hAnsi="仿宋" w:eastAsia="仿宋" w:cs="仿宋"/>
          <w:b/>
          <w:bCs/>
          <w:color w:val="auto"/>
          <w:highlight w:val="none"/>
          <w:lang w:eastAsia="zh-CN"/>
        </w:rPr>
        <w:t>@qq.com ，逾期发送或未发送的视为无异议</w:t>
      </w:r>
      <w:r>
        <w:rPr>
          <w:rFonts w:hint="eastAsia" w:ascii="仿宋" w:hAnsi="仿宋" w:eastAsia="仿宋" w:cs="仿宋"/>
          <w:color w:val="auto"/>
          <w:highlight w:val="none"/>
          <w:lang w:eastAsia="zh-CN"/>
        </w:rPr>
        <w:t>。</w:t>
      </w:r>
    </w:p>
    <w:p w14:paraId="30E847C8">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00E0AD44">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（6）商务技术评审结束后，主持人公布商务技术评审无效投标供应商名单和商务技术评审有效投标供应商名单及其商务技术得分情况。商务技术评审无效的供应商，其报价不再进入评审。</w:t>
      </w:r>
    </w:p>
    <w:p w14:paraId="62F778A6">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0459E630">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2D076DB0">
      <w:pPr>
        <w:snapToGrid w:val="0"/>
        <w:spacing w:line="360" w:lineRule="auto"/>
        <w:ind w:left="48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特别情况说明：</w:t>
      </w:r>
    </w:p>
    <w:p w14:paraId="361051B2">
      <w:pPr>
        <w:snapToGrid w:val="0"/>
        <w:spacing w:line="360" w:lineRule="auto"/>
        <w:ind w:firstLine="426"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（1）本项目采用电子交易，如遇“新疆政府采购云平台”电子化开标或评审程序调整的，按调整后程序执行。</w:t>
      </w:r>
    </w:p>
    <w:p w14:paraId="6767E6B1">
      <w:pPr>
        <w:snapToGrid w:val="0"/>
        <w:spacing w:line="360" w:lineRule="auto"/>
        <w:ind w:firstLine="426"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highlight w:val="none"/>
          <w:u w:val="single"/>
          <w:lang w:eastAsia="zh-CN"/>
        </w:rPr>
        <w:t>请供应商保证办理投标事宜人员电话畅通、网络在线，签章或盖章确认的时间为20分钟。如未及时签章或盖章确认的，视为无异议</w:t>
      </w:r>
      <w:r>
        <w:rPr>
          <w:rFonts w:hint="eastAsia" w:ascii="仿宋" w:hAnsi="仿宋" w:eastAsia="仿宋" w:cs="仿宋"/>
          <w:b/>
          <w:color w:val="auto"/>
          <w:highlight w:val="none"/>
          <w:lang w:eastAsia="zh-CN"/>
        </w:rPr>
        <w:t>。</w:t>
      </w:r>
    </w:p>
    <w:p w14:paraId="56A6E424">
      <w:pPr>
        <w:snapToGrid w:val="0"/>
        <w:spacing w:line="360" w:lineRule="auto"/>
        <w:ind w:firstLine="482" w:firstLineChars="20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lang w:eastAsia="zh-CN"/>
        </w:rPr>
        <w:t>3 投标供应商资格审查：</w:t>
      </w:r>
    </w:p>
    <w:p w14:paraId="36FA3799">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bCs/>
          <w:color w:val="auto"/>
          <w:highlight w:val="none"/>
          <w:lang w:eastAsia="zh-CN"/>
        </w:rPr>
        <w:t>开标（标书信息开启）后，采购人或采购代理机构或</w:t>
      </w:r>
      <w:r>
        <w:rPr>
          <w:rFonts w:hint="eastAsia" w:ascii="仿宋" w:hAnsi="仿宋" w:eastAsia="仿宋" w:cs="仿宋"/>
          <w:color w:val="auto"/>
          <w:highlight w:val="none"/>
          <w:lang w:eastAsia="zh-CN"/>
        </w:rPr>
        <w:t>评审小组</w:t>
      </w:r>
      <w:r>
        <w:rPr>
          <w:rFonts w:hint="eastAsia" w:ascii="仿宋" w:hAnsi="仿宋" w:eastAsia="仿宋" w:cs="仿宋"/>
          <w:bCs/>
          <w:color w:val="auto"/>
          <w:highlight w:val="none"/>
          <w:lang w:eastAsia="zh-CN"/>
        </w:rPr>
        <w:t>首先依法对投标供应商的资格文件进行审查，审查各投标供应商的资格符合情况。</w:t>
      </w:r>
      <w:r>
        <w:rPr>
          <w:rFonts w:hint="eastAsia" w:ascii="仿宋" w:hAnsi="仿宋" w:eastAsia="仿宋" w:cs="仿宋"/>
          <w:color w:val="auto"/>
          <w:highlight w:val="none"/>
          <w:lang w:eastAsia="zh-CN"/>
        </w:rPr>
        <w:t>采购人或采购代理机构</w:t>
      </w:r>
      <w:r>
        <w:rPr>
          <w:rFonts w:hint="eastAsia" w:ascii="仿宋" w:hAnsi="仿宋" w:eastAsia="仿宋" w:cs="仿宋"/>
          <w:bCs/>
          <w:color w:val="auto"/>
          <w:highlight w:val="none"/>
          <w:lang w:eastAsia="zh-CN"/>
        </w:rPr>
        <w:t>或</w:t>
      </w:r>
      <w:r>
        <w:rPr>
          <w:rFonts w:hint="eastAsia" w:ascii="仿宋" w:hAnsi="仿宋" w:eastAsia="仿宋" w:cs="仿宋"/>
          <w:color w:val="auto"/>
          <w:highlight w:val="none"/>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76CFE8C8">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0F57C841">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（3）供应商信用记录查询与使用：见《供应商须知前附表》。</w:t>
      </w:r>
    </w:p>
    <w:p w14:paraId="1A91A744">
      <w:pPr>
        <w:widowControl/>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29</w:t>
      </w:r>
      <w:r>
        <w:rPr>
          <w:rFonts w:hint="eastAsia" w:ascii="仿宋" w:hAnsi="仿宋" w:eastAsia="仿宋" w:cs="仿宋"/>
          <w:b/>
          <w:bCs/>
          <w:color w:val="auto"/>
          <w:szCs w:val="21"/>
          <w:highlight w:val="none"/>
          <w:lang w:eastAsia="zh-CN"/>
        </w:rPr>
        <w:t>.评审工作的组织</w:t>
      </w:r>
    </w:p>
    <w:p w14:paraId="118A4678">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采购人或采购代理机构负责组织本项目的评审工作，并依据《政府采购货物和服务招标投标管理办法（财政部第87号令）》第四十五条的相关规定履行职责。</w:t>
      </w:r>
    </w:p>
    <w:p w14:paraId="78F60A09">
      <w:pPr>
        <w:widowControl/>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30</w:t>
      </w:r>
      <w:r>
        <w:rPr>
          <w:rFonts w:hint="eastAsia" w:ascii="仿宋" w:hAnsi="仿宋" w:eastAsia="仿宋" w:cs="仿宋"/>
          <w:b/>
          <w:bCs/>
          <w:color w:val="auto"/>
          <w:szCs w:val="21"/>
          <w:highlight w:val="none"/>
          <w:lang w:eastAsia="zh-CN"/>
        </w:rPr>
        <w:t>. 评标委员会的组建</w:t>
      </w:r>
    </w:p>
    <w:p w14:paraId="2D18F09E">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.1评标委员会由采购人或采购代理机构依法组建，成员由采购人代表1人和评审专家4人，成员人数为5人，其中评审专家不少于成员总数的三分之二。</w:t>
      </w:r>
    </w:p>
    <w:p w14:paraId="01E72E5F">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.2评审专家从新疆政府采购云平台专家库中通过随机方式抽取产生。评标委员会成员名单在采购结果公告前保密。</w:t>
      </w:r>
    </w:p>
    <w:p w14:paraId="649196D4">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.评标委员会的职责</w:t>
      </w:r>
    </w:p>
    <w:p w14:paraId="097A1074">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.1审查、评价投标文件是否符合采购文件的商务、技术等实质性要求。</w:t>
      </w:r>
    </w:p>
    <w:p w14:paraId="2BC825D0">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.2要求供应商对投标文件有关事项作出澄清或者说明。</w:t>
      </w:r>
    </w:p>
    <w:p w14:paraId="7C7903A4">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eastAsia="zh-CN"/>
        </w:rPr>
        <w:t>.3对投标文件进行比较和评价。</w:t>
      </w:r>
    </w:p>
    <w:p w14:paraId="2A118B0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eastAsia="zh-CN"/>
        </w:rPr>
        <w:t>.4确定中标候选人名单，以及根据采购人委托直接确定中标人。</w:t>
      </w:r>
    </w:p>
    <w:p w14:paraId="6773A169">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eastAsia="zh-CN"/>
        </w:rPr>
        <w:t>.5向采购人、采购代理机构或者有关部门报告评审中发现的违法行为。</w:t>
      </w:r>
    </w:p>
    <w:p w14:paraId="443CB2AF">
      <w:pPr>
        <w:widowControl/>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w:t>
      </w:r>
      <w:r>
        <w:rPr>
          <w:rFonts w:hint="eastAsia" w:ascii="仿宋" w:hAnsi="仿宋" w:eastAsia="仿宋" w:cs="仿宋"/>
          <w:b/>
          <w:bCs/>
          <w:color w:val="auto"/>
          <w:szCs w:val="21"/>
          <w:highlight w:val="none"/>
          <w:lang w:val="en-US" w:eastAsia="zh-CN"/>
        </w:rPr>
        <w:t>2</w:t>
      </w:r>
      <w:r>
        <w:rPr>
          <w:rFonts w:hint="eastAsia" w:ascii="仿宋" w:hAnsi="仿宋" w:eastAsia="仿宋" w:cs="仿宋"/>
          <w:b/>
          <w:bCs/>
          <w:color w:val="auto"/>
          <w:szCs w:val="21"/>
          <w:highlight w:val="none"/>
          <w:lang w:eastAsia="zh-CN"/>
        </w:rPr>
        <w:t>. 评标原则</w:t>
      </w:r>
    </w:p>
    <w:p w14:paraId="29C1DFCA">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.1评标委员会将遵循公平、公正、科学的原则，对供应商提交的投标文件进行综合评审，评标委员会按照采购文件规定的评标细则进行评分。</w:t>
      </w:r>
    </w:p>
    <w:p w14:paraId="066CB047">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xml:space="preserve">.2客观公正对待所有供应商，对所有投标评价均采用相同的程序和标准。 </w:t>
      </w:r>
    </w:p>
    <w:p w14:paraId="759806DD">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xml:space="preserve">.3评标委员会成员对需要共同认定的事项存在争议的，按照少数服从多数的原则作出结论。持不同意见的评标委员会成员应当在评审报告上签署不同意见及理由，否则视为同意评审报告。      </w:t>
      </w:r>
    </w:p>
    <w:p w14:paraId="5A6B19B2">
      <w:pPr>
        <w:widowControl/>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lang w:eastAsia="zh-CN"/>
        </w:rPr>
        <w:t>. 评委纪律</w:t>
      </w:r>
    </w:p>
    <w:p w14:paraId="5668942E">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268DE881">
      <w:pPr>
        <w:widowControl/>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34</w:t>
      </w:r>
      <w:r>
        <w:rPr>
          <w:rFonts w:hint="eastAsia" w:ascii="仿宋" w:hAnsi="仿宋" w:eastAsia="仿宋" w:cs="仿宋"/>
          <w:b/>
          <w:bCs/>
          <w:color w:val="auto"/>
          <w:szCs w:val="21"/>
          <w:highlight w:val="none"/>
          <w:lang w:eastAsia="zh-CN"/>
        </w:rPr>
        <w:t>.评标程序</w:t>
      </w:r>
    </w:p>
    <w:p w14:paraId="6E3F6AAD">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.1 在评审专家中推选评标委员会组长，采购人代表不得担任评标委员会组长。</w:t>
      </w:r>
    </w:p>
    <w:p w14:paraId="16AAC8DC">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55CFA311">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.3 评审人员对符合资格的供应商的投标文件的有效性、符合性、完整性和响应程度进行审查，确定是否对采购文件作出实质性响应。</w:t>
      </w:r>
    </w:p>
    <w:p w14:paraId="2F6E05DD">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.4 评审人员按采购文件规定的评审方法和评审标准，依法独立对供应商投标文件进行评估、比较，并给予评价或打分，不受任何单位和个人的干预。</w:t>
      </w:r>
    </w:p>
    <w:p w14:paraId="4B3E0D07">
      <w:pPr>
        <w:widowControl/>
        <w:spacing w:line="44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综合评分法服务项目的价格分值占总分值的比重(即权值)为</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eastAsia="zh-CN"/>
        </w:rPr>
        <w:t>％，采购项目中含不同采购对象的，以占项目资金比例最高的采购对象确定其项目属性。其价格不列为评分因素，有特殊情况需要在上述规定范围外设定价格分权重的。</w:t>
      </w:r>
    </w:p>
    <w:p w14:paraId="175E9B50">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综合评分法中的价格分统一采用低价优先法计算，即满足招标文件要求且报价最低的供应商的价格为评标基准价，其价格分为满分。其他供应商的价格分统一按照下列公式计算：</w:t>
      </w:r>
    </w:p>
    <w:p w14:paraId="1BB49C45">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投标报价得分=（基准价/投标报价）×价格权值×100</w:t>
      </w:r>
    </w:p>
    <w:p w14:paraId="1C0E5130">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项目评审过程中，不得去掉最后报价中的最高报价和最低报价。</w:t>
      </w:r>
    </w:p>
    <w:p w14:paraId="5284F1ED">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4B177C85">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%以上的）情形的，应由相关人员当场改正或作出书面说明；拒不改正又不作书面说明的，由现场监督员如实记载后存入项目档案资料。</w:t>
      </w:r>
    </w:p>
    <w:p w14:paraId="7C13EA4C">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.7 评标委员会根据评审汇总情况和采购文件规定确定中标候选供应商排序名单。</w:t>
      </w:r>
    </w:p>
    <w:p w14:paraId="47CC0984">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 xml:space="preserve">.8 起草评审报告，所有评审人员须在评审报告上签章确认，对自己的评审意见承担法律责任。 </w:t>
      </w:r>
    </w:p>
    <w:p w14:paraId="7807CD89">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.9 采购组织机构对评标委员会评审专家进行评价。</w:t>
      </w:r>
    </w:p>
    <w:p w14:paraId="2AE2488B">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.10 修改评审结果</w:t>
      </w:r>
    </w:p>
    <w:p w14:paraId="670DC35B">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评标结果汇总完成后，除下列情形外，任何人不得修改评标结果：</w:t>
      </w:r>
    </w:p>
    <w:p w14:paraId="7C837C07">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（1）分值汇总计算错误的；</w:t>
      </w:r>
    </w:p>
    <w:p w14:paraId="0259B71B">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（2）分项评分超出评分标准范围的；</w:t>
      </w:r>
    </w:p>
    <w:p w14:paraId="1434753E">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（3）评标委员会成员对客观评审因素评分不一致的；</w:t>
      </w:r>
    </w:p>
    <w:p w14:paraId="378F9110">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（4）经评标委员会认定评分畸高、畸低的。</w:t>
      </w:r>
    </w:p>
    <w:p w14:paraId="42B034B9">
      <w:pPr>
        <w:widowControl/>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403D728">
      <w:pPr>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w:t>
      </w:r>
      <w:r>
        <w:rPr>
          <w:rFonts w:hint="eastAsia" w:ascii="仿宋" w:hAnsi="仿宋" w:eastAsia="仿宋" w:cs="仿宋"/>
          <w:b/>
          <w:bCs/>
          <w:color w:val="auto"/>
          <w:szCs w:val="21"/>
          <w:highlight w:val="none"/>
          <w:lang w:val="en-US" w:eastAsia="zh-CN"/>
        </w:rPr>
        <w:t>5</w:t>
      </w:r>
      <w:r>
        <w:rPr>
          <w:rFonts w:hint="eastAsia" w:ascii="仿宋" w:hAnsi="仿宋" w:eastAsia="仿宋" w:cs="仿宋"/>
          <w:b/>
          <w:bCs/>
          <w:color w:val="auto"/>
          <w:szCs w:val="21"/>
          <w:highlight w:val="none"/>
          <w:lang w:eastAsia="zh-CN"/>
        </w:rPr>
        <w:t>．澄清、说明或补正的形式</w:t>
      </w:r>
    </w:p>
    <w:p w14:paraId="2C60BA2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eastAsia="zh-CN"/>
        </w:rPr>
        <w:t>投标供应商澄清、说明或补正时间为20分钟</w:t>
      </w:r>
      <w:r>
        <w:rPr>
          <w:rFonts w:hint="eastAsia" w:ascii="仿宋" w:hAnsi="仿宋" w:eastAsia="仿宋" w:cs="仿宋"/>
          <w:color w:val="auto"/>
          <w:szCs w:val="21"/>
          <w:highlight w:val="none"/>
          <w:lang w:eastAsia="zh-CN"/>
        </w:rPr>
        <w:t>。</w:t>
      </w:r>
    </w:p>
    <w:p w14:paraId="714581E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009AC63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017904D">
      <w:pPr>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w:t>
      </w: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lang w:eastAsia="zh-CN"/>
        </w:rPr>
        <w:t>．错误修正的原则</w:t>
      </w:r>
    </w:p>
    <w:p w14:paraId="5D6DFE9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5FE1C1A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03E81B4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.1 投标函中表述的内容与报价表中不一致的，以报价表为准；报价表中的内容与报价明细表不一致的，以报价表为准；</w:t>
      </w:r>
    </w:p>
    <w:p w14:paraId="61C0E2EA">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.2 投标文件中的大写金额和小写金额不一致的，以大写金额为准；</w:t>
      </w:r>
    </w:p>
    <w:p w14:paraId="782BA90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.3 单价金额小数点或者百分比有明显错位的，以开标一览表的总价为准，并修改单价；</w:t>
      </w:r>
    </w:p>
    <w:p w14:paraId="44A1C7A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.4 总价金额与按单价汇总金额不一致的，以单价金额计算结果为准；</w:t>
      </w:r>
    </w:p>
    <w:p w14:paraId="567C503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.5 若用文字表示的数值与用数字表示的数值不一致，以文字表示的数值为准；</w:t>
      </w:r>
    </w:p>
    <w:p w14:paraId="286BD0F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.6 如有多报（指数量超出采购文件需求）、重报（指同一货物重复报价），其投标总价在评标过程中不予调整，如其中标，其合同价按其投标单价予以调整；</w:t>
      </w:r>
    </w:p>
    <w:p w14:paraId="05222F9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.7 对不同文字文本投标文件的解释发生异议的，以中文文本为准；</w:t>
      </w:r>
    </w:p>
    <w:p w14:paraId="63F87858">
      <w:pPr>
        <w:spacing w:line="440" w:lineRule="exact"/>
        <w:ind w:firstLine="240"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eastAsia="zh-CN"/>
        </w:rPr>
        <w:t>修正应当采用电子询标的形式，并加盖公章（电子印章）。</w:t>
      </w:r>
    </w:p>
    <w:p w14:paraId="2307EEFA">
      <w:pPr>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37</w:t>
      </w:r>
      <w:r>
        <w:rPr>
          <w:rFonts w:hint="eastAsia" w:ascii="仿宋" w:hAnsi="仿宋" w:eastAsia="仿宋" w:cs="仿宋"/>
          <w:b/>
          <w:bCs/>
          <w:color w:val="auto"/>
          <w:szCs w:val="21"/>
          <w:highlight w:val="none"/>
          <w:lang w:eastAsia="zh-CN"/>
        </w:rPr>
        <w:t>．无效投标文件</w:t>
      </w:r>
    </w:p>
    <w:p w14:paraId="3D6B2B1A">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有下列情形之一的，投标文件按无效标处理：</w:t>
      </w:r>
    </w:p>
    <w:p w14:paraId="13FA39F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 报名的供应商与参加投标的供应商发生实质性变更的且未提供有效证明的；</w:t>
      </w:r>
    </w:p>
    <w:p w14:paraId="16FCC4B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.2 供应商提交两份或两份以上内容不同的投标文件，未声明哪一份有效的；</w:t>
      </w:r>
    </w:p>
    <w:p w14:paraId="08995AF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.3 投标文件非供应商法定代表人签署的，未提供或提供无效的法定代表人授权书；</w:t>
      </w:r>
    </w:p>
    <w:p w14:paraId="750FF0B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.4 未按招标文件规定装订；</w:t>
      </w:r>
    </w:p>
    <w:p w14:paraId="783957BF">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.5 投标文件内容未按招标文件规定签章或盖章的；</w:t>
      </w:r>
    </w:p>
    <w:p w14:paraId="5B59821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.6 投标文件组成漏项或未按规定的格式编制或投标文件正、副本份数不足或内容不全或内容字迹模糊辨认不清的等而导致评标活动无法正常进行；</w:t>
      </w:r>
    </w:p>
    <w:p w14:paraId="4B7ED46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.7 供应商未按招标文件变更通知更改投标文件的；</w:t>
      </w:r>
    </w:p>
    <w:p w14:paraId="63EB2110">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.8 《开标一览表》和《投标分项报价表》内容不完整且不接受修正意见或字迹不能辨认的或未提供；</w:t>
      </w:r>
    </w:p>
    <w:p w14:paraId="07386F4D">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37</w:t>
      </w:r>
      <w:r>
        <w:rPr>
          <w:rFonts w:hint="eastAsia" w:ascii="仿宋" w:hAnsi="仿宋" w:eastAsia="仿宋" w:cs="仿宋"/>
          <w:color w:val="auto"/>
          <w:szCs w:val="21"/>
          <w:highlight w:val="none"/>
          <w:lang w:eastAsia="zh-CN"/>
        </w:rPr>
        <w:t>.9 标项投标报价超过招标文件规定的预算金额或最高限价</w:t>
      </w:r>
    </w:p>
    <w:p w14:paraId="0812247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.10 因供应商原因编制错误造成经评标委员会修正后的报价达到或超过投标报价的0.5%；</w:t>
      </w:r>
    </w:p>
    <w:p w14:paraId="14BFBBE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.11 供应商的报价明显低于其他通过符合性审查供应商的报价，有可能影响产品质量或者不能诚信履约的，且在规定时间内不能合理说明原因并提供证明材料的；</w:t>
      </w:r>
    </w:p>
    <w:p w14:paraId="176E248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.12 未实质性响应招标文件中条款要求的投标文件；</w:t>
      </w:r>
    </w:p>
    <w:p w14:paraId="250C34EF">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.13 不符合招标范围、技术规格、技术标准的要求无法满足采购人使用要求；</w:t>
      </w:r>
    </w:p>
    <w:p w14:paraId="066CA7C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.14 投标文件附有采购人不能接受的条款；</w:t>
      </w:r>
    </w:p>
    <w:p w14:paraId="46A113D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.15 投标文件中提供了赠品或者与本项目采购无关的其他商品、服务；</w:t>
      </w:r>
    </w:p>
    <w:p w14:paraId="2370C3E4">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.16 投标文件中承诺的投标有效期少于招标文件中载明的投标有效期；</w:t>
      </w:r>
    </w:p>
    <w:p w14:paraId="01EE371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.17供应商串通投标，妨碍其他供应商的竞争行为，损害采购人或者其他供应商的合法权益；</w:t>
      </w:r>
    </w:p>
    <w:p w14:paraId="292AD58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.18违反国家及政府部门相关法律、法规、文件规定或经评标委员会认定的其他属于重大偏离；</w:t>
      </w:r>
    </w:p>
    <w:p w14:paraId="42EE1619">
      <w:pPr>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w:t>
      </w:r>
      <w:r>
        <w:rPr>
          <w:rFonts w:hint="eastAsia" w:ascii="仿宋" w:hAnsi="仿宋" w:eastAsia="仿宋" w:cs="仿宋"/>
          <w:b/>
          <w:bCs/>
          <w:color w:val="auto"/>
          <w:szCs w:val="21"/>
          <w:highlight w:val="none"/>
          <w:lang w:val="en-US" w:eastAsia="zh-CN"/>
        </w:rPr>
        <w:t>8</w:t>
      </w:r>
      <w:r>
        <w:rPr>
          <w:rFonts w:hint="eastAsia" w:ascii="仿宋" w:hAnsi="仿宋" w:eastAsia="仿宋" w:cs="仿宋"/>
          <w:b/>
          <w:bCs/>
          <w:color w:val="auto"/>
          <w:szCs w:val="21"/>
          <w:highlight w:val="none"/>
          <w:lang w:eastAsia="zh-CN"/>
        </w:rPr>
        <w:t>．废标</w:t>
      </w:r>
    </w:p>
    <w:p w14:paraId="0D5CB0D7">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.1 符合招标文件规定废标情形的；</w:t>
      </w:r>
    </w:p>
    <w:p w14:paraId="7920BFA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.2 出现影响采购公正的违法、违规行为的；</w:t>
      </w:r>
    </w:p>
    <w:p w14:paraId="0DD7E98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.3 供应商的报价均超过了采购预算（或最高限价），采购人不能支付的;</w:t>
      </w:r>
    </w:p>
    <w:p w14:paraId="6843E3C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.4 因重大变故，采购任务取消的。</w:t>
      </w:r>
    </w:p>
    <w:p w14:paraId="1ADBC967">
      <w:pPr>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39</w:t>
      </w:r>
      <w:r>
        <w:rPr>
          <w:rFonts w:hint="eastAsia" w:ascii="仿宋" w:hAnsi="仿宋" w:eastAsia="仿宋" w:cs="仿宋"/>
          <w:b/>
          <w:bCs/>
          <w:color w:val="auto"/>
          <w:szCs w:val="21"/>
          <w:highlight w:val="none"/>
          <w:lang w:eastAsia="zh-CN"/>
        </w:rPr>
        <w:t>．突发情况处理</w:t>
      </w:r>
    </w:p>
    <w:p w14:paraId="56876143">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.1 采购过程中出现以下情形，导致电子交易平台无法正常运行，或者无法保证电子交易的公平、公正和安全时，采购组织机构可中止电子交易活动：</w:t>
      </w:r>
    </w:p>
    <w:p w14:paraId="7C582722">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（1）电子交易平台发生故障而无法登录访问的； </w:t>
      </w:r>
    </w:p>
    <w:p w14:paraId="325BF965">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（2）电子交易平台应用或数据库出现错误，不能进行正常操作的；</w:t>
      </w:r>
    </w:p>
    <w:p w14:paraId="5EF690EA">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（3）电子交易平台发现严重安全漏洞，有潜在泄密危险的；</w:t>
      </w:r>
    </w:p>
    <w:p w14:paraId="5830985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（4）病毒发作导致不能进行正常操作的； </w:t>
      </w:r>
    </w:p>
    <w:p w14:paraId="07AAE15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（5）其他无法保证电子交易的公平、公正和安全的情况。</w:t>
      </w:r>
    </w:p>
    <w:p w14:paraId="256DE3DF">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AA9F4B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.2 采购代理机构或评审小组因不可抗力（不可抗力包括但不限于自然灾害、断电、传播疫病等）原因造成电子交易活动无法正常运行的，将采取以下措施：</w:t>
      </w:r>
    </w:p>
    <w:p w14:paraId="7622B6D4">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（1）短时间内能消除不可抗力因素的，采购代理机构或评审小组在消除不可抗力因素后继续组织电子交易活动； </w:t>
      </w:r>
    </w:p>
    <w:p w14:paraId="37F023B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（2）长时间内无法消除不可抗力因素的，采购代理机构或评审小组将中止电子交易活动。中止电子交易活动的，采购人应当重新组织政府采购活动。</w:t>
      </w:r>
    </w:p>
    <w:p w14:paraId="72D77A2F">
      <w:pPr>
        <w:snapToGrid w:val="0"/>
        <w:spacing w:line="360" w:lineRule="exact"/>
        <w:ind w:firstLine="421"/>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 定标</w:t>
      </w:r>
    </w:p>
    <w:p w14:paraId="4E2F3EB0">
      <w:pPr>
        <w:spacing w:line="440" w:lineRule="exact"/>
        <w:ind w:firstLine="240" w:firstLineChars="100"/>
        <w:rPr>
          <w:rFonts w:ascii="仿宋" w:hAnsi="仿宋" w:eastAsia="仿宋" w:cs="仿宋"/>
          <w:color w:val="auto"/>
          <w:szCs w:val="21"/>
          <w:highlight w:val="none"/>
          <w:lang w:eastAsia="zh-CN"/>
        </w:rPr>
      </w:pPr>
      <w:bookmarkStart w:id="21" w:name="_Toc469495729"/>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.1采购结果确认（确定中标供应商）</w:t>
      </w:r>
    </w:p>
    <w:p w14:paraId="1CB5AD8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采购结果确认（确定中标供应商）：本项目由采购人根据评标委员会提交的《评审报告》，通过“政府采购云平台”依法确认采购结果、确定中标供应商。具体流程如下：</w:t>
      </w:r>
    </w:p>
    <w:p w14:paraId="143F43AA">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（1）采购代理机构将在评审结束后2个工作日内将评审报告送采购人。</w:t>
      </w:r>
    </w:p>
    <w:p w14:paraId="2EA6A093">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（2）采购人将在收到评审报告之日起5个工作日内，在评审报告推荐的中标候选供应商名单中按顺序确定中标供应商，并将确认意见以书面形式回复采购代理机构。 </w:t>
      </w:r>
    </w:p>
    <w:p w14:paraId="07D50C7A">
      <w:pPr>
        <w:spacing w:line="440" w:lineRule="exact"/>
        <w:ind w:firstLine="240"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.2采购结果经采购人确认后2个工作日内，采购代理机构将在</w:t>
      </w:r>
      <w:r>
        <w:rPr>
          <w:rFonts w:hint="eastAsia" w:ascii="仿宋" w:hAnsi="仿宋" w:eastAsia="仿宋" w:cs="仿宋"/>
          <w:b/>
          <w:bCs/>
          <w:color w:val="auto"/>
          <w:szCs w:val="21"/>
          <w:highlight w:val="none"/>
          <w:lang w:eastAsia="zh-CN"/>
        </w:rPr>
        <w:t>克州公共资源交易中心网、新疆政府采购网（www.zjzfcg.gov.cn）上公告采购结果，中标公告期限为1个工作日。</w:t>
      </w:r>
    </w:p>
    <w:p w14:paraId="17DB0504">
      <w:pPr>
        <w:spacing w:line="44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4</w:t>
      </w:r>
      <w:r>
        <w:rPr>
          <w:rFonts w:hint="eastAsia" w:ascii="仿宋" w:hAnsi="仿宋" w:eastAsia="仿宋" w:cs="仿宋"/>
          <w:b/>
          <w:bCs/>
          <w:color w:val="auto"/>
          <w:szCs w:val="21"/>
          <w:highlight w:val="none"/>
          <w:lang w:val="en-US" w:eastAsia="zh-CN"/>
        </w:rPr>
        <w:t>1</w:t>
      </w:r>
      <w:r>
        <w:rPr>
          <w:rFonts w:hint="eastAsia" w:ascii="仿宋" w:hAnsi="仿宋" w:eastAsia="仿宋" w:cs="仿宋"/>
          <w:b/>
          <w:bCs/>
          <w:color w:val="auto"/>
          <w:szCs w:val="21"/>
          <w:highlight w:val="none"/>
          <w:lang w:eastAsia="zh-CN"/>
        </w:rPr>
        <w:t>. 中标通知书</w:t>
      </w:r>
    </w:p>
    <w:p w14:paraId="521462D6">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.1在中标通知书发出前，招标人将中标侯选人的情况在克州公共资源交易中心网、新疆政府采购网予以公示，</w:t>
      </w:r>
      <w:r>
        <w:rPr>
          <w:rFonts w:hint="eastAsia" w:ascii="仿宋" w:hAnsi="仿宋" w:eastAsia="仿宋" w:cs="仿宋"/>
          <w:b/>
          <w:bCs/>
          <w:color w:val="auto"/>
          <w:szCs w:val="21"/>
          <w:highlight w:val="none"/>
          <w:lang w:eastAsia="zh-CN"/>
        </w:rPr>
        <w:t>公示期为一个工作日。待公示期结束后，</w:t>
      </w:r>
      <w:r>
        <w:rPr>
          <w:rFonts w:hint="eastAsia" w:ascii="仿宋" w:hAnsi="仿宋" w:eastAsia="仿宋" w:cs="仿宋"/>
          <w:color w:val="auto"/>
          <w:szCs w:val="21"/>
          <w:highlight w:val="none"/>
          <w:lang w:eastAsia="zh-CN"/>
        </w:rPr>
        <w:t>采购组织机构向中标人发出中标通知书。</w:t>
      </w:r>
    </w:p>
    <w:p w14:paraId="7BCD0D3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1D0D4CEF">
      <w:pPr>
        <w:spacing w:beforeLines="50" w:line="440" w:lineRule="exact"/>
        <w:jc w:val="center"/>
        <w:outlineLvl w:val="2"/>
        <w:rPr>
          <w:rFonts w:ascii="仿宋" w:hAnsi="仿宋" w:eastAsia="仿宋" w:cs="仿宋"/>
          <w:b/>
          <w:bCs/>
          <w:color w:val="auto"/>
          <w:highlight w:val="none"/>
          <w:lang w:eastAsia="zh-CN"/>
        </w:rPr>
      </w:pPr>
      <w:r>
        <w:rPr>
          <w:rFonts w:hint="eastAsia" w:ascii="仿宋" w:hAnsi="仿宋" w:eastAsia="仿宋" w:cs="仿宋"/>
          <w:b/>
          <w:bCs/>
          <w:color w:val="auto"/>
          <w:sz w:val="28"/>
          <w:szCs w:val="28"/>
          <w:highlight w:val="none"/>
          <w:lang w:eastAsia="zh-CN"/>
        </w:rPr>
        <w:t>（六）合同的授予</w:t>
      </w:r>
      <w:bookmarkEnd w:id="21"/>
    </w:p>
    <w:p w14:paraId="2B55BA2E">
      <w:pPr>
        <w:spacing w:line="440" w:lineRule="exact"/>
        <w:ind w:firstLine="241" w:firstLineChars="100"/>
        <w:rPr>
          <w:rFonts w:ascii="仿宋" w:hAnsi="仿宋" w:eastAsia="仿宋" w:cs="仿宋"/>
          <w:b/>
          <w:bCs/>
          <w:color w:val="auto"/>
          <w:szCs w:val="21"/>
          <w:highlight w:val="none"/>
          <w:lang w:eastAsia="zh-CN"/>
        </w:rPr>
      </w:pPr>
      <w:bookmarkStart w:id="22" w:name="_Toc73975842"/>
      <w:bookmarkStart w:id="23" w:name="_Toc469495730"/>
      <w:r>
        <w:rPr>
          <w:rFonts w:hint="eastAsia" w:ascii="仿宋" w:hAnsi="仿宋" w:eastAsia="仿宋" w:cs="仿宋"/>
          <w:b/>
          <w:bCs/>
          <w:color w:val="auto"/>
          <w:szCs w:val="21"/>
          <w:highlight w:val="none"/>
          <w:lang w:eastAsia="zh-CN"/>
        </w:rPr>
        <w:t>4</w:t>
      </w:r>
      <w:r>
        <w:rPr>
          <w:rFonts w:hint="eastAsia" w:ascii="仿宋" w:hAnsi="仿宋" w:eastAsia="仿宋" w:cs="仿宋"/>
          <w:b/>
          <w:bCs/>
          <w:color w:val="auto"/>
          <w:szCs w:val="21"/>
          <w:highlight w:val="none"/>
          <w:lang w:val="en-US" w:eastAsia="zh-CN"/>
        </w:rPr>
        <w:t>2</w:t>
      </w:r>
      <w:r>
        <w:rPr>
          <w:rFonts w:hint="eastAsia" w:ascii="仿宋" w:hAnsi="仿宋" w:eastAsia="仿宋" w:cs="仿宋"/>
          <w:b/>
          <w:bCs/>
          <w:color w:val="auto"/>
          <w:szCs w:val="21"/>
          <w:highlight w:val="none"/>
          <w:lang w:eastAsia="zh-CN"/>
        </w:rPr>
        <w:t>．履约保证金</w:t>
      </w:r>
      <w:bookmarkEnd w:id="22"/>
    </w:p>
    <w:p w14:paraId="6B4318E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 中标供应商在签订合同后10个工作日内向采购人缴纳</w:t>
      </w:r>
      <w:r>
        <w:rPr>
          <w:rFonts w:hint="eastAsia" w:ascii="仿宋" w:hAnsi="仿宋" w:eastAsia="仿宋" w:cs="仿宋"/>
          <w:color w:val="auto"/>
          <w:szCs w:val="21"/>
          <w:highlight w:val="none"/>
          <w:u w:val="single"/>
          <w:lang w:eastAsia="zh-CN"/>
        </w:rPr>
        <w:t>中标价</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lang w:eastAsia="zh-CN"/>
        </w:rPr>
        <w:t>%</w:t>
      </w:r>
      <w:r>
        <w:rPr>
          <w:rFonts w:hint="eastAsia" w:ascii="仿宋" w:hAnsi="仿宋" w:eastAsia="仿宋" w:cs="仿宋"/>
          <w:color w:val="auto"/>
          <w:szCs w:val="21"/>
          <w:highlight w:val="none"/>
          <w:lang w:eastAsia="zh-CN"/>
        </w:rPr>
        <w:t>的履约保证金（鼓励以银行、保险公司出具的履约保函形式提交；若以电汇、银行转账方式提交的，必须转到采购人的指定账户）。</w:t>
      </w:r>
    </w:p>
    <w:p w14:paraId="31DCD733">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 签订合同后，如中标供应商不按合同约定履约的，履约保证金不予退还，履约保证金不足以赔偿损失的，按实际损失赔偿。</w:t>
      </w:r>
    </w:p>
    <w:p w14:paraId="0FA12C08">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 如果中标供应商在建设期内没有涉及采购人的应付而未付金额或违约行为，采购人在项目验收合格后或提前终止合同后全额无息退还履约保证金。</w:t>
      </w:r>
    </w:p>
    <w:p w14:paraId="27C52FA5">
      <w:pPr>
        <w:spacing w:line="440" w:lineRule="exact"/>
        <w:ind w:firstLine="241" w:firstLineChars="100"/>
        <w:rPr>
          <w:rFonts w:ascii="仿宋" w:hAnsi="仿宋" w:eastAsia="仿宋" w:cs="仿宋"/>
          <w:b/>
          <w:bCs/>
          <w:color w:val="auto"/>
          <w:szCs w:val="21"/>
          <w:highlight w:val="none"/>
          <w:lang w:eastAsia="zh-CN"/>
        </w:rPr>
      </w:pPr>
      <w:bookmarkStart w:id="24" w:name="_Toc73975843"/>
      <w:r>
        <w:rPr>
          <w:rFonts w:hint="eastAsia" w:ascii="仿宋" w:hAnsi="仿宋" w:eastAsia="仿宋" w:cs="仿宋"/>
          <w:b/>
          <w:bCs/>
          <w:color w:val="auto"/>
          <w:szCs w:val="21"/>
          <w:highlight w:val="none"/>
          <w:lang w:eastAsia="zh-CN"/>
        </w:rPr>
        <w:t>4</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lang w:eastAsia="zh-CN"/>
        </w:rPr>
        <w:t>．签订合同及公告</w:t>
      </w:r>
      <w:bookmarkEnd w:id="24"/>
    </w:p>
    <w:p w14:paraId="76E76BB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.1采购人在中标通知书发出之日起30日内与中标供应商签订合同。</w:t>
      </w:r>
    </w:p>
    <w:p w14:paraId="5DB26341">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.2中标供应商拖延、拒签合同的,取消中标资格。</w:t>
      </w:r>
    </w:p>
    <w:p w14:paraId="4B2251A7">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.3 采购文件、中标供应商的投标文件及评标过程中有关澄清文件等均作为签订合同的依据。所签订的合同不得对采购文件和中标供应商的投标文件的内容作实质性修改。</w:t>
      </w:r>
    </w:p>
    <w:p w14:paraId="34ADBDF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.4采购人应当自政府采购合同签订之日起2个工作日内，在省级以上财政部门指定的政府采购信息发布媒体及相关网站上公告。</w:t>
      </w:r>
    </w:p>
    <w:p w14:paraId="2939A233">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.5采购人应当自政府采购合同签订之日起7个工作日内，将政府采购合同副本报同级人民政府财政部门备案以及采购代理机构存档。</w:t>
      </w:r>
    </w:p>
    <w:p w14:paraId="4A5199B7">
      <w:pPr>
        <w:adjustRightInd w:val="0"/>
        <w:snapToGrid w:val="0"/>
        <w:spacing w:line="440" w:lineRule="exact"/>
        <w:jc w:val="center"/>
        <w:outlineLvl w:val="2"/>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（七）纪律和监督</w:t>
      </w:r>
      <w:bookmarkEnd w:id="23"/>
    </w:p>
    <w:p w14:paraId="7F84F81A">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44</w:t>
      </w:r>
      <w:r>
        <w:rPr>
          <w:rFonts w:hint="eastAsia" w:ascii="仿宋" w:hAnsi="仿宋" w:eastAsia="仿宋" w:cs="仿宋"/>
          <w:b/>
          <w:color w:val="auto"/>
          <w:szCs w:val="21"/>
          <w:highlight w:val="none"/>
          <w:lang w:eastAsia="zh-CN"/>
        </w:rPr>
        <w:t xml:space="preserve">. 对招标人的纪律要求 </w:t>
      </w:r>
    </w:p>
    <w:p w14:paraId="341EAA0E">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val="en-US" w:eastAsia="zh-CN"/>
        </w:rPr>
        <w:t>44</w:t>
      </w:r>
      <w:r>
        <w:rPr>
          <w:rFonts w:hint="eastAsia" w:ascii="仿宋" w:hAnsi="仿宋" w:eastAsia="仿宋" w:cs="仿宋"/>
          <w:color w:val="auto"/>
          <w:kern w:val="10"/>
          <w:szCs w:val="21"/>
          <w:highlight w:val="none"/>
          <w:lang w:eastAsia="zh-CN"/>
        </w:rPr>
        <w:t xml:space="preserve">.1招标人不得泄漏招标投标活动中应当保密的情况和资料，不得与供应商串通损害国家利益，社会公共利益或者他人合法权益。 </w:t>
      </w:r>
    </w:p>
    <w:p w14:paraId="1E40170E">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lang w:eastAsia="zh-CN"/>
        </w:rPr>
        <w:t xml:space="preserve">. 对供应商的纪律要求 </w:t>
      </w:r>
    </w:p>
    <w:p w14:paraId="5B658713">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5</w:t>
      </w:r>
      <w:r>
        <w:rPr>
          <w:rFonts w:hint="eastAsia" w:ascii="仿宋" w:hAnsi="仿宋" w:eastAsia="仿宋" w:cs="仿宋"/>
          <w:color w:val="auto"/>
          <w:kern w:val="10"/>
          <w:szCs w:val="21"/>
          <w:highlight w:val="none"/>
          <w:lang w:eastAsia="zh-CN"/>
        </w:rPr>
        <w:t>.1供应商不得相互串通投标或者与招标人串通投标，不得向招标人或者评标委员会成员行贿谋取中标，不得以他人名义投标或者以其他方式弄虚作假骗取中标；供应商不得以任何方式干扰、影响评标工作。</w:t>
      </w:r>
    </w:p>
    <w:p w14:paraId="05D29CC5">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6</w:t>
      </w:r>
      <w:r>
        <w:rPr>
          <w:rFonts w:hint="eastAsia" w:ascii="仿宋" w:hAnsi="仿宋" w:eastAsia="仿宋" w:cs="仿宋"/>
          <w:b/>
          <w:color w:val="auto"/>
          <w:szCs w:val="21"/>
          <w:highlight w:val="none"/>
          <w:lang w:eastAsia="zh-CN"/>
        </w:rPr>
        <w:t xml:space="preserve">. 对评标委员会成员的纪律要求 </w:t>
      </w:r>
    </w:p>
    <w:p w14:paraId="0AF77734">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6</w:t>
      </w:r>
      <w:r>
        <w:rPr>
          <w:rFonts w:hint="eastAsia" w:ascii="仿宋" w:hAnsi="仿宋" w:eastAsia="仿宋" w:cs="仿宋"/>
          <w:color w:val="auto"/>
          <w:kern w:val="10"/>
          <w:szCs w:val="21"/>
          <w:highlight w:val="none"/>
          <w:lang w:eastAsia="zh-CN"/>
        </w:rPr>
        <w:t>.1评标委员会成员不得收受他人的财物或者其他好处，不得向他人透漏对投标文件的评审和比较、中标候选人的推荐情况以及评标有关的其他情况。</w:t>
      </w:r>
    </w:p>
    <w:p w14:paraId="02340C47">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6</w:t>
      </w:r>
      <w:r>
        <w:rPr>
          <w:rFonts w:hint="eastAsia" w:ascii="仿宋" w:hAnsi="仿宋" w:eastAsia="仿宋" w:cs="仿宋"/>
          <w:color w:val="auto"/>
          <w:kern w:val="10"/>
          <w:szCs w:val="21"/>
          <w:highlight w:val="none"/>
          <w:lang w:eastAsia="zh-CN"/>
        </w:rPr>
        <w:t xml:space="preserve">.2在评标活动中，评标委员会成员不得擅离职守，影响评标程序正常进行，不得使用第三章“评标办法”没有规定的评审因素和标准进行评标。 </w:t>
      </w:r>
    </w:p>
    <w:p w14:paraId="42337212">
      <w:pPr>
        <w:spacing w:line="44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lang w:eastAsia="zh-CN"/>
        </w:rPr>
        <w:t xml:space="preserve">. 对与评标活动有关的工作人员的纪律要求 </w:t>
      </w:r>
    </w:p>
    <w:p w14:paraId="28D39A8F">
      <w:pPr>
        <w:adjustRightInd w:val="0"/>
        <w:snapToGrid w:val="0"/>
        <w:spacing w:line="440" w:lineRule="exact"/>
        <w:ind w:firstLine="360"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7</w:t>
      </w:r>
      <w:r>
        <w:rPr>
          <w:rFonts w:hint="eastAsia" w:ascii="仿宋" w:hAnsi="仿宋" w:eastAsia="仿宋" w:cs="仿宋"/>
          <w:color w:val="auto"/>
          <w:kern w:val="10"/>
          <w:szCs w:val="21"/>
          <w:highlight w:val="none"/>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1165AF">
      <w:pPr>
        <w:spacing w:beforeLines="50" w:afterLines="50" w:line="320" w:lineRule="exact"/>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（八）质疑与投诉</w:t>
      </w:r>
    </w:p>
    <w:p w14:paraId="43BB8FCC">
      <w:pPr>
        <w:spacing w:line="360" w:lineRule="exact"/>
        <w:ind w:firstLine="241"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48</w:t>
      </w:r>
      <w:r>
        <w:rPr>
          <w:rFonts w:hint="eastAsia" w:ascii="仿宋" w:hAnsi="仿宋" w:eastAsia="仿宋" w:cs="仿宋"/>
          <w:b/>
          <w:bCs/>
          <w:color w:val="auto"/>
          <w:szCs w:val="21"/>
          <w:highlight w:val="none"/>
          <w:lang w:eastAsia="zh-CN"/>
        </w:rPr>
        <w:t>．质疑和投诉</w:t>
      </w:r>
    </w:p>
    <w:p w14:paraId="0275DC8C">
      <w:pPr>
        <w:spacing w:line="36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1D6C8E10">
      <w:pPr>
        <w:spacing w:line="36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3D9C6B03">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593851B9">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7D582053">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48.</w:t>
      </w:r>
      <w:r>
        <w:rPr>
          <w:rFonts w:hint="eastAsia" w:ascii="仿宋" w:hAnsi="仿宋" w:eastAsia="仿宋" w:cs="仿宋"/>
          <w:color w:val="auto"/>
          <w:szCs w:val="21"/>
          <w:highlight w:val="none"/>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E12E7DB">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供应商为自然人的，应当由本人签章；供应商为法人或者其他组织的，应当由法定代表人、主要负责人，或者其授权代表签章或者盖章，并加盖公章。</w:t>
      </w:r>
    </w:p>
    <w:p w14:paraId="5730800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.3供应商质疑、投诉应当有明确的请求和必要的证明材料。供应商投诉的事项不得超出已质疑事项的范围。采购人及采购代理机构按《政府采购质疑和投诉办法》进行处理供应商质疑事项。</w:t>
      </w:r>
    </w:p>
    <w:p w14:paraId="0B7FB048">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.4质疑供应商对采购人、采购代理机构的质疑答复不满意，或者采购人、采购代理机构未在规定期限内作出答复的，供应商可以在答复期满后15个工作日内向同级财政部门提起投诉。</w:t>
      </w:r>
    </w:p>
    <w:p w14:paraId="13BA70CC">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.5供应商有下列情形之一的，采购代理机构将报告克州财政局，将其列入不良行为记录名单：</w:t>
      </w:r>
    </w:p>
    <w:p w14:paraId="2492C361">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1F9BA3C3">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164637DE">
      <w:pPr>
        <w:spacing w:line="440" w:lineRule="exact"/>
        <w:ind w:firstLine="240"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7B792DAD">
      <w:pPr>
        <w:spacing w:line="360" w:lineRule="exact"/>
        <w:jc w:val="center"/>
        <w:rPr>
          <w:rFonts w:ascii="仿宋" w:hAnsi="仿宋" w:eastAsia="仿宋" w:cs="仿宋"/>
          <w:color w:val="auto"/>
          <w:sz w:val="30"/>
          <w:szCs w:val="30"/>
          <w:highlight w:val="none"/>
          <w:lang w:eastAsia="zh-CN"/>
        </w:rPr>
      </w:pPr>
    </w:p>
    <w:p w14:paraId="697BD0D2">
      <w:pPr>
        <w:pStyle w:val="33"/>
        <w:rPr>
          <w:rFonts w:ascii="仿宋" w:hAnsi="仿宋" w:eastAsia="仿宋" w:cs="仿宋"/>
          <w:color w:val="auto"/>
          <w:sz w:val="30"/>
          <w:szCs w:val="30"/>
          <w:highlight w:val="none"/>
          <w:lang w:eastAsia="zh-CN"/>
        </w:rPr>
      </w:pPr>
    </w:p>
    <w:p w14:paraId="15ED6D24">
      <w:pPr>
        <w:pStyle w:val="33"/>
        <w:ind w:left="0" w:leftChars="0" w:firstLine="0" w:firstLineChars="0"/>
        <w:rPr>
          <w:rFonts w:ascii="仿宋" w:hAnsi="仿宋" w:eastAsia="仿宋" w:cs="仿宋"/>
          <w:color w:val="auto"/>
          <w:sz w:val="30"/>
          <w:szCs w:val="30"/>
          <w:highlight w:val="none"/>
          <w:lang w:eastAsia="zh-CN"/>
        </w:rPr>
      </w:pPr>
    </w:p>
    <w:p w14:paraId="2456D9DF">
      <w:pPr>
        <w:pStyle w:val="33"/>
        <w:rPr>
          <w:rFonts w:ascii="仿宋" w:hAnsi="仿宋" w:eastAsia="仿宋" w:cs="仿宋"/>
          <w:color w:val="auto"/>
          <w:sz w:val="30"/>
          <w:szCs w:val="30"/>
          <w:highlight w:val="none"/>
          <w:lang w:eastAsia="zh-CN"/>
        </w:rPr>
      </w:pPr>
    </w:p>
    <w:p w14:paraId="28AC2B2F">
      <w:pPr>
        <w:pStyle w:val="33"/>
        <w:rPr>
          <w:rFonts w:ascii="仿宋" w:hAnsi="仿宋" w:eastAsia="仿宋" w:cs="仿宋"/>
          <w:color w:val="auto"/>
          <w:sz w:val="30"/>
          <w:szCs w:val="30"/>
          <w:highlight w:val="none"/>
          <w:lang w:eastAsia="zh-CN"/>
        </w:rPr>
      </w:pPr>
    </w:p>
    <w:p w14:paraId="4BF512C1">
      <w:pPr>
        <w:rPr>
          <w:rFonts w:hint="eastAsia" w:ascii="仿宋" w:hAnsi="仿宋" w:eastAsia="仿宋" w:cs="仿宋"/>
          <w:b/>
          <w:bCs/>
          <w:color w:val="auto"/>
          <w:highlight w:val="none"/>
          <w:lang w:eastAsia="zh-CN"/>
        </w:rPr>
      </w:pPr>
    </w:p>
    <w:p w14:paraId="105F7A3D">
      <w:pPr>
        <w:rPr>
          <w:rFonts w:hint="eastAsia" w:ascii="仿宋" w:hAnsi="仿宋" w:eastAsia="仿宋" w:cs="仿宋"/>
          <w:b/>
          <w:bCs/>
          <w:color w:val="auto"/>
          <w:highlight w:val="none"/>
          <w:lang w:eastAsia="zh-CN"/>
        </w:rPr>
      </w:pPr>
    </w:p>
    <w:p w14:paraId="63D15C9A">
      <w:pPr>
        <w:rPr>
          <w:rFonts w:hint="eastAsia" w:ascii="仿宋" w:hAnsi="仿宋" w:eastAsia="仿宋" w:cs="仿宋"/>
          <w:b/>
          <w:bCs/>
          <w:color w:val="auto"/>
          <w:highlight w:val="none"/>
          <w:lang w:eastAsia="zh-CN"/>
        </w:rPr>
      </w:pPr>
    </w:p>
    <w:p w14:paraId="04C9FD1F">
      <w:pPr>
        <w:rPr>
          <w:rFonts w:hint="eastAsia" w:ascii="仿宋" w:hAnsi="仿宋" w:eastAsia="仿宋" w:cs="仿宋"/>
          <w:b/>
          <w:bCs/>
          <w:color w:val="auto"/>
          <w:highlight w:val="none"/>
          <w:lang w:eastAsia="zh-CN"/>
        </w:rPr>
      </w:pPr>
    </w:p>
    <w:p w14:paraId="403AE630">
      <w:pPr>
        <w:rPr>
          <w:rFonts w:hint="eastAsia" w:ascii="仿宋" w:hAnsi="仿宋" w:eastAsia="仿宋" w:cs="仿宋"/>
          <w:b/>
          <w:bCs/>
          <w:color w:val="auto"/>
          <w:highlight w:val="none"/>
          <w:lang w:eastAsia="zh-CN"/>
        </w:rPr>
      </w:pPr>
    </w:p>
    <w:p w14:paraId="0172D594">
      <w:pPr>
        <w:rPr>
          <w:rFonts w:hint="eastAsia" w:ascii="仿宋" w:hAnsi="仿宋" w:eastAsia="仿宋" w:cs="仿宋"/>
          <w:b/>
          <w:bCs/>
          <w:color w:val="auto"/>
          <w:highlight w:val="none"/>
          <w:lang w:eastAsia="zh-CN"/>
        </w:rPr>
      </w:pPr>
    </w:p>
    <w:p w14:paraId="2C92D8A6">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508F77E1">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2BC95B7D">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101F93D4">
      <w:pPr>
        <w:spacing w:line="400" w:lineRule="exact"/>
        <w:rPr>
          <w:rFonts w:ascii="仿宋" w:hAnsi="仿宋" w:eastAsia="仿宋" w:cs="仿宋"/>
          <w:color w:val="auto"/>
          <w:highlight w:val="none"/>
          <w:lang w:eastAsia="zh-CN"/>
        </w:rPr>
      </w:pPr>
    </w:p>
    <w:p w14:paraId="49D00D51">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仿宋" w:hAnsi="仿宋" w:eastAsia="仿宋" w:cs="仿宋"/>
          <w:color w:val="auto"/>
          <w:kern w:val="0"/>
          <w:sz w:val="24"/>
          <w:szCs w:val="24"/>
          <w:highlight w:val="none"/>
          <w:lang w:eastAsia="zh-CN"/>
        </w:rPr>
      </w:pPr>
      <w:bookmarkStart w:id="25" w:name="_Toc17515"/>
      <w:r>
        <w:rPr>
          <w:rFonts w:hint="eastAsia" w:ascii="仿宋" w:hAnsi="仿宋" w:eastAsia="仿宋" w:cs="仿宋"/>
          <w:color w:val="auto"/>
          <w:kern w:val="0"/>
          <w:sz w:val="24"/>
          <w:szCs w:val="24"/>
          <w:highlight w:val="none"/>
          <w:lang w:eastAsia="zh-CN"/>
        </w:rPr>
        <w:t>一、投诉相关主体基本情况</w:t>
      </w:r>
    </w:p>
    <w:p w14:paraId="0AAA21E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投诉人：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14:paraId="001FB3B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p>
    <w:p w14:paraId="3603E39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法定代表人/主要负责人：</w:t>
      </w:r>
      <w:r>
        <w:rPr>
          <w:rFonts w:hint="eastAsia" w:ascii="仿宋" w:hAnsi="仿宋" w:eastAsia="仿宋" w:cs="仿宋"/>
          <w:color w:val="auto"/>
          <w:kern w:val="0"/>
          <w:sz w:val="24"/>
          <w:szCs w:val="24"/>
          <w:highlight w:val="none"/>
          <w:u w:val="single"/>
          <w:lang w:val="en-US" w:eastAsia="zh-CN"/>
        </w:rPr>
        <w:t xml:space="preserve">                             </w:t>
      </w:r>
    </w:p>
    <w:p w14:paraId="5A5CDDF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9FD3CB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p>
    <w:p w14:paraId="4B49620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eastAsia="zh-CN"/>
        </w:rPr>
        <w:t>授权代表（如有）：</w:t>
      </w:r>
      <w:r>
        <w:rPr>
          <w:rFonts w:hint="eastAsia" w:ascii="仿宋" w:hAnsi="仿宋" w:eastAsia="仿宋" w:cs="仿宋"/>
          <w:color w:val="auto"/>
          <w:kern w:val="0"/>
          <w:sz w:val="24"/>
          <w:szCs w:val="24"/>
          <w:highlight w:val="none"/>
          <w:u w:val="single"/>
          <w:lang w:val="en-US" w:eastAsia="zh-CN"/>
        </w:rPr>
        <w:t xml:space="preserve">                         </w:t>
      </w:r>
    </w:p>
    <w:p w14:paraId="5923C89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val="en-US" w:eastAsia="zh-CN"/>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7F364E3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77139CE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lang w:eastAsia="zh-CN"/>
        </w:rPr>
        <w:t>被投诉人</w:t>
      </w: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654D146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5E02933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联系人：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2C29E14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eastAsia="zh-CN"/>
        </w:rPr>
        <w:t>被投诉人</w:t>
      </w:r>
      <w:r>
        <w:rPr>
          <w:rFonts w:hint="eastAsia" w:ascii="仿宋" w:hAnsi="仿宋" w:eastAsia="仿宋" w:cs="仿宋"/>
          <w:color w:val="auto"/>
          <w:kern w:val="0"/>
          <w:sz w:val="24"/>
          <w:szCs w:val="24"/>
          <w:highlight w:val="none"/>
          <w:u w:val="none"/>
          <w:lang w:val="en-US" w:eastAsia="zh-CN"/>
        </w:rPr>
        <w:t>2：</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05C3C8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lang w:val="en-US" w:eastAsia="zh-CN"/>
        </w:rPr>
        <w:t>相关供应商</w:t>
      </w:r>
      <w:r>
        <w:rPr>
          <w:rFonts w:hint="eastAsia" w:ascii="仿宋" w:hAnsi="仿宋" w:eastAsia="仿宋" w:cs="仿宋"/>
          <w:color w:val="auto"/>
          <w:kern w:val="0"/>
          <w:sz w:val="24"/>
          <w:szCs w:val="24"/>
          <w:highlight w:val="none"/>
          <w:u w:val="none"/>
          <w:lang w:eastAsia="zh-CN"/>
        </w:rPr>
        <w:t>（如有）</w:t>
      </w:r>
      <w:r>
        <w:rPr>
          <w:rFonts w:hint="eastAsia" w:ascii="仿宋" w:hAnsi="仿宋" w:eastAsia="仿宋" w:cs="仿宋"/>
          <w:color w:val="auto"/>
          <w:kern w:val="0"/>
          <w:sz w:val="24"/>
          <w:szCs w:val="24"/>
          <w:highlight w:val="none"/>
          <w:u w:val="none"/>
          <w:lang w:val="en-US" w:eastAsia="zh-CN"/>
        </w:rPr>
        <w:t>：</w:t>
      </w:r>
      <w:r>
        <w:rPr>
          <w:rFonts w:hint="eastAsia" w:ascii="仿宋" w:hAnsi="仿宋" w:eastAsia="仿宋" w:cs="仿宋"/>
          <w:color w:val="auto"/>
          <w:kern w:val="0"/>
          <w:sz w:val="24"/>
          <w:szCs w:val="24"/>
          <w:highlight w:val="none"/>
          <w:u w:val="single"/>
        </w:rPr>
        <w:t xml:space="preserve">                                        </w:t>
      </w:r>
    </w:p>
    <w:p w14:paraId="4127523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560257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211C3D4">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二、投诉项目基本情况</w:t>
      </w:r>
    </w:p>
    <w:p w14:paraId="62D514B1">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采购项目名称：</w:t>
      </w:r>
    </w:p>
    <w:p w14:paraId="5BA376E3">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采购项目编号：</w:t>
      </w:r>
      <w:r>
        <w:rPr>
          <w:rFonts w:hint="eastAsia" w:ascii="仿宋" w:hAnsi="仿宋" w:eastAsia="仿宋" w:cs="仿宋"/>
          <w:color w:val="auto"/>
          <w:kern w:val="0"/>
          <w:sz w:val="24"/>
          <w:szCs w:val="24"/>
          <w:highlight w:val="none"/>
          <w:lang w:val="en-US" w:eastAsia="zh-CN"/>
        </w:rPr>
        <w:t xml:space="preserve">        包号：</w:t>
      </w:r>
    </w:p>
    <w:p w14:paraId="42371F9A">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采购人名称：</w:t>
      </w:r>
    </w:p>
    <w:p w14:paraId="0F23CF88">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代理机构名称：</w:t>
      </w:r>
    </w:p>
    <w:p w14:paraId="5A854E13">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采购文件公告：是/否 公告期限：</w:t>
      </w:r>
    </w:p>
    <w:p w14:paraId="3B031BA4">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采购结果公告：是/否 公告期限：</w:t>
      </w:r>
    </w:p>
    <w:p w14:paraId="3C68F104">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0" w:firstLineChars="200"/>
        <w:jc w:val="left"/>
        <w:textAlignment w:val="auto"/>
        <w:outlineLvl w:val="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三、质疑基本情况</w:t>
      </w:r>
    </w:p>
    <w:p w14:paraId="1C180168">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投诉人于    年  月  日，向       提出质疑，</w:t>
      </w:r>
    </w:p>
    <w:p w14:paraId="406224CD">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质疑事项为：</w:t>
      </w:r>
    </w:p>
    <w:p w14:paraId="1E5F2188">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采购人/代理机构于    年  月  日，就质疑事项做出了答复/没有在法定期限内做出答复。</w:t>
      </w:r>
    </w:p>
    <w:p w14:paraId="767FB2DC">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0" w:firstLineChars="200"/>
        <w:jc w:val="left"/>
        <w:textAlignment w:val="auto"/>
        <w:outlineLvl w:val="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四、投诉事项具体内容</w:t>
      </w:r>
    </w:p>
    <w:p w14:paraId="18E0531F">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投诉事项1：</w:t>
      </w:r>
    </w:p>
    <w:p w14:paraId="4830C571">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事实依据：</w:t>
      </w:r>
    </w:p>
    <w:p w14:paraId="5C69712E">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法律依据1：</w:t>
      </w:r>
    </w:p>
    <w:p w14:paraId="419C18BC">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法律依据2：</w:t>
      </w:r>
    </w:p>
    <w:p w14:paraId="75BE5434">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p>
    <w:p w14:paraId="519BA164">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投诉事项2：</w:t>
      </w:r>
    </w:p>
    <w:p w14:paraId="12C088D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w:t>
      </w:r>
    </w:p>
    <w:p w14:paraId="03B2EB0B">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0" w:firstLineChars="200"/>
        <w:jc w:val="left"/>
        <w:textAlignment w:val="auto"/>
        <w:outlineLvl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五、与投诉事项相关的投诉请求</w:t>
      </w:r>
    </w:p>
    <w:p w14:paraId="628F3CDF">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请求：</w:t>
      </w:r>
    </w:p>
    <w:p w14:paraId="06E0AC8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rPr>
      </w:pPr>
    </w:p>
    <w:p w14:paraId="5AF648D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签字（签章）</w:t>
      </w:r>
      <w:r>
        <w:rPr>
          <w:rFonts w:hint="eastAsia" w:ascii="仿宋" w:hAnsi="仿宋" w:eastAsia="仿宋" w:cs="仿宋"/>
          <w:color w:val="auto"/>
          <w:kern w:val="0"/>
          <w:sz w:val="22"/>
          <w:szCs w:val="22"/>
          <w:highlight w:val="none"/>
          <w:lang w:eastAsia="zh-CN"/>
        </w:rPr>
        <w:t>（法人代表或负责人、代理人）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 xml:space="preserve">       </w:t>
      </w:r>
    </w:p>
    <w:p w14:paraId="7D54575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公章</w:t>
      </w:r>
      <w:r>
        <w:rPr>
          <w:rFonts w:hint="eastAsia" w:ascii="仿宋" w:hAnsi="仿宋" w:eastAsia="仿宋" w:cs="仿宋"/>
          <w:color w:val="auto"/>
          <w:kern w:val="0"/>
          <w:sz w:val="22"/>
          <w:szCs w:val="22"/>
          <w:highlight w:val="none"/>
          <w:lang w:eastAsia="zh-CN"/>
        </w:rPr>
        <w:t>（单位）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w:t>
      </w:r>
    </w:p>
    <w:p w14:paraId="7195FF7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日期：</w:t>
      </w:r>
    </w:p>
    <w:p w14:paraId="7E308C6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附件：质疑及答复材料</w:t>
      </w:r>
    </w:p>
    <w:p w14:paraId="384095D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32"/>
          <w:szCs w:val="32"/>
          <w:highlight w:val="none"/>
          <w:lang w:eastAsia="zh-CN"/>
        </w:rPr>
      </w:pPr>
      <w:r>
        <w:rPr>
          <w:rFonts w:hint="eastAsia" w:ascii="仿宋" w:hAnsi="仿宋" w:eastAsia="仿宋" w:cs="仿宋"/>
          <w:b/>
          <w:bCs/>
          <w:color w:val="auto"/>
          <w:kern w:val="0"/>
          <w:sz w:val="32"/>
          <w:szCs w:val="32"/>
          <w:highlight w:val="none"/>
          <w:lang w:eastAsia="zh-CN"/>
        </w:rPr>
        <w:br w:type="page"/>
      </w:r>
    </w:p>
    <w:p w14:paraId="3D71E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outlineLvl w:val="0"/>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eastAsia="zh-CN"/>
        </w:rPr>
        <w:t>投诉书制作说明：</w:t>
      </w:r>
    </w:p>
    <w:p w14:paraId="07FA8CC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1.投诉人应当按照《政府采购质疑和投诉办法》（财政部令第94号）规定提起投诉。</w:t>
      </w:r>
    </w:p>
    <w:p w14:paraId="5DC1FC8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2.投诉人提起投诉时，应当提交投诉书和必要的证明材料，并按照被投诉人和与投诉事项有关的供应商数量提供投诉书副本。</w:t>
      </w:r>
    </w:p>
    <w:p w14:paraId="4FC797D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329A84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4.投诉人若对项目的某一分包进行投诉，投诉书应列明具体分包号。</w:t>
      </w:r>
    </w:p>
    <w:p w14:paraId="67B2B20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5.投诉书应简要列明质疑事项，质疑函、质疑答复等作为附件材料提供。</w:t>
      </w:r>
    </w:p>
    <w:p w14:paraId="063B52F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6.投诉书的投诉事项应具体、明确，并由必要的事实依据和法律依据。</w:t>
      </w:r>
    </w:p>
    <w:p w14:paraId="0806EE2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7.投诉书的投诉请求应与投诉事项相关。</w:t>
      </w:r>
    </w:p>
    <w:p w14:paraId="1EAC1B1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8.投诉人为自然人的，投诉书应当由本人签字；投诉书应当由法定代表人、主要负责人，或者其授权代表签字或者盖章，并加盖公章。</w:t>
      </w:r>
    </w:p>
    <w:p w14:paraId="29C96E0D">
      <w:pPr>
        <w:ind w:left="5783" w:hanging="5783" w:hangingChars="1800"/>
        <w:jc w:val="center"/>
        <w:outlineLvl w:val="0"/>
        <w:rPr>
          <w:rFonts w:hint="eastAsia" w:ascii="仿宋" w:hAnsi="仿宋" w:eastAsia="仿宋" w:cs="仿宋"/>
          <w:b/>
          <w:bCs/>
          <w:color w:val="auto"/>
          <w:sz w:val="32"/>
          <w:szCs w:val="32"/>
          <w:highlight w:val="none"/>
          <w:lang w:eastAsia="zh-CN"/>
        </w:rPr>
      </w:pPr>
    </w:p>
    <w:p w14:paraId="4D182F10">
      <w:pPr>
        <w:ind w:left="5783" w:hanging="5783" w:hangingChars="1800"/>
        <w:jc w:val="center"/>
        <w:outlineLvl w:val="0"/>
        <w:rPr>
          <w:rFonts w:hint="eastAsia" w:ascii="仿宋" w:hAnsi="仿宋" w:eastAsia="仿宋" w:cs="仿宋"/>
          <w:b/>
          <w:bCs/>
          <w:color w:val="auto"/>
          <w:sz w:val="32"/>
          <w:szCs w:val="32"/>
          <w:highlight w:val="none"/>
          <w:lang w:eastAsia="zh-CN"/>
        </w:rPr>
      </w:pPr>
    </w:p>
    <w:p w14:paraId="50BFA690">
      <w:pPr>
        <w:ind w:left="5783" w:hanging="5783" w:hangingChars="1800"/>
        <w:jc w:val="center"/>
        <w:outlineLvl w:val="0"/>
        <w:rPr>
          <w:rFonts w:hint="eastAsia" w:ascii="仿宋" w:hAnsi="仿宋" w:eastAsia="仿宋" w:cs="仿宋"/>
          <w:b/>
          <w:bCs/>
          <w:color w:val="auto"/>
          <w:sz w:val="32"/>
          <w:szCs w:val="32"/>
          <w:highlight w:val="none"/>
          <w:lang w:eastAsia="zh-CN"/>
        </w:rPr>
      </w:pPr>
    </w:p>
    <w:p w14:paraId="57589206">
      <w:pPr>
        <w:ind w:left="5783" w:hanging="5783" w:hangingChars="1800"/>
        <w:jc w:val="center"/>
        <w:outlineLvl w:val="0"/>
        <w:rPr>
          <w:rFonts w:hint="eastAsia" w:ascii="仿宋" w:hAnsi="仿宋" w:eastAsia="仿宋" w:cs="仿宋"/>
          <w:b/>
          <w:bCs/>
          <w:color w:val="auto"/>
          <w:sz w:val="32"/>
          <w:szCs w:val="32"/>
          <w:highlight w:val="none"/>
          <w:lang w:eastAsia="zh-CN"/>
        </w:rPr>
      </w:pPr>
    </w:p>
    <w:p w14:paraId="3639294C">
      <w:pPr>
        <w:ind w:left="5783" w:hanging="5783" w:hangingChars="1800"/>
        <w:jc w:val="center"/>
        <w:outlineLvl w:val="0"/>
        <w:rPr>
          <w:rFonts w:hint="eastAsia" w:ascii="仿宋" w:hAnsi="仿宋" w:eastAsia="仿宋" w:cs="仿宋"/>
          <w:b/>
          <w:bCs/>
          <w:color w:val="auto"/>
          <w:sz w:val="32"/>
          <w:szCs w:val="32"/>
          <w:highlight w:val="none"/>
          <w:lang w:eastAsia="zh-CN"/>
        </w:rPr>
      </w:pPr>
    </w:p>
    <w:p w14:paraId="1B28F7BF">
      <w:pPr>
        <w:ind w:left="5783" w:hanging="5783" w:hangingChars="1800"/>
        <w:jc w:val="center"/>
        <w:outlineLvl w:val="0"/>
        <w:rPr>
          <w:rFonts w:hint="eastAsia" w:ascii="仿宋" w:hAnsi="仿宋" w:eastAsia="仿宋" w:cs="仿宋"/>
          <w:b/>
          <w:bCs/>
          <w:color w:val="auto"/>
          <w:sz w:val="32"/>
          <w:szCs w:val="32"/>
          <w:highlight w:val="none"/>
          <w:lang w:eastAsia="zh-CN"/>
        </w:rPr>
      </w:pPr>
    </w:p>
    <w:p w14:paraId="60500EA9">
      <w:pPr>
        <w:ind w:left="5783" w:hanging="5783" w:hangingChars="1800"/>
        <w:jc w:val="center"/>
        <w:outlineLvl w:val="0"/>
        <w:rPr>
          <w:rFonts w:hint="eastAsia" w:ascii="仿宋" w:hAnsi="仿宋" w:eastAsia="仿宋" w:cs="仿宋"/>
          <w:b/>
          <w:bCs/>
          <w:color w:val="auto"/>
          <w:sz w:val="32"/>
          <w:szCs w:val="32"/>
          <w:highlight w:val="none"/>
          <w:lang w:eastAsia="zh-CN"/>
        </w:rPr>
      </w:pPr>
    </w:p>
    <w:p w14:paraId="7C80C645">
      <w:pPr>
        <w:ind w:left="5783" w:hanging="5783" w:hangingChars="1800"/>
        <w:jc w:val="center"/>
        <w:outlineLvl w:val="0"/>
        <w:rPr>
          <w:rFonts w:hint="eastAsia" w:ascii="仿宋" w:hAnsi="仿宋" w:eastAsia="仿宋" w:cs="仿宋"/>
          <w:b/>
          <w:bCs/>
          <w:color w:val="auto"/>
          <w:sz w:val="32"/>
          <w:szCs w:val="32"/>
          <w:highlight w:val="none"/>
          <w:lang w:eastAsia="zh-CN"/>
        </w:rPr>
      </w:pPr>
    </w:p>
    <w:p w14:paraId="2CCD8F12">
      <w:pPr>
        <w:ind w:left="5783" w:hanging="5783" w:hangingChars="1800"/>
        <w:jc w:val="center"/>
        <w:outlineLvl w:val="0"/>
        <w:rPr>
          <w:rFonts w:hint="eastAsia" w:ascii="仿宋" w:hAnsi="仿宋" w:eastAsia="仿宋" w:cs="仿宋"/>
          <w:b/>
          <w:bCs/>
          <w:color w:val="auto"/>
          <w:sz w:val="32"/>
          <w:szCs w:val="32"/>
          <w:highlight w:val="none"/>
          <w:lang w:eastAsia="zh-CN"/>
        </w:rPr>
      </w:pPr>
    </w:p>
    <w:p w14:paraId="60AF2D60">
      <w:pPr>
        <w:ind w:left="5783" w:hanging="5783" w:hangingChars="1800"/>
        <w:jc w:val="center"/>
        <w:outlineLvl w:val="0"/>
        <w:rPr>
          <w:rFonts w:hint="eastAsia" w:ascii="仿宋" w:hAnsi="仿宋" w:eastAsia="仿宋" w:cs="仿宋"/>
          <w:b/>
          <w:bCs/>
          <w:color w:val="auto"/>
          <w:sz w:val="32"/>
          <w:szCs w:val="32"/>
          <w:highlight w:val="none"/>
          <w:lang w:eastAsia="zh-CN"/>
        </w:rPr>
      </w:pPr>
    </w:p>
    <w:p w14:paraId="5BB3BBDF">
      <w:pPr>
        <w:ind w:left="5783" w:hanging="5783"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25"/>
    </w:p>
    <w:p w14:paraId="550CA8C4">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3BD90293">
      <w:pPr>
        <w:numPr>
          <w:ilvl w:val="0"/>
          <w:numId w:val="4"/>
        </w:numPr>
        <w:spacing w:line="400" w:lineRule="exact"/>
        <w:ind w:left="4585" w:leftChars="304" w:hanging="3855" w:hangingChars="1600"/>
        <w:outlineLvl w:val="0"/>
        <w:rPr>
          <w:rFonts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14:paraId="6A495A33">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35F5D021">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13FD4CCB">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4A9E3DD1">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2F24FAF">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1CAF421F">
      <w:pPr>
        <w:spacing w:line="400" w:lineRule="exact"/>
        <w:ind w:left="3780" w:hanging="3780"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lang w:eastAsia="zh-CN"/>
        </w:rPr>
        <w:t xml:space="preserve"> </w:t>
      </w:r>
      <w:r>
        <w:rPr>
          <w:rFonts w:hint="eastAsia" w:ascii="仿宋" w:hAnsi="仿宋" w:eastAsia="仿宋" w:cs="仿宋"/>
          <w:b/>
          <w:bCs/>
          <w:color w:val="auto"/>
          <w:sz w:val="24"/>
          <w:szCs w:val="24"/>
          <w:highlight w:val="none"/>
          <w:lang w:eastAsia="zh-CN"/>
        </w:rPr>
        <w:t xml:space="preserve"> </w:t>
      </w:r>
      <w:bookmarkStart w:id="27" w:name="_Toc13508"/>
      <w:r>
        <w:rPr>
          <w:rFonts w:hint="eastAsia" w:ascii="仿宋" w:hAnsi="仿宋" w:eastAsia="仿宋" w:cs="仿宋"/>
          <w:b/>
          <w:bCs/>
          <w:color w:val="auto"/>
          <w:sz w:val="24"/>
          <w:szCs w:val="24"/>
          <w:highlight w:val="none"/>
          <w:lang w:eastAsia="zh-CN"/>
        </w:rPr>
        <w:t>二、书面方式</w:t>
      </w:r>
      <w:bookmarkEnd w:id="27"/>
    </w:p>
    <w:p w14:paraId="5F84BA72">
      <w:pPr>
        <w:spacing w:line="400" w:lineRule="exact"/>
        <w:ind w:left="3780" w:hanging="3780"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549850F7">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707B7762">
      <w:pPr>
        <w:spacing w:line="400" w:lineRule="exact"/>
        <w:ind w:left="4320" w:hanging="432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23B5B873">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3CA07AE2">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3BB51048">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74DE53EA">
      <w:pPr>
        <w:numPr>
          <w:ilvl w:val="0"/>
          <w:numId w:val="5"/>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6098CE6B">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2C37A9E1">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7B7907A">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1F0D2B4C">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074E29CD">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1E54884D">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3BB01C7E">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0CE15B28">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38F98C76">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C4BA77C">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1BD9C078">
      <w:pPr>
        <w:spacing w:line="400" w:lineRule="exact"/>
        <w:ind w:left="4320" w:hanging="432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5CD9C0B7">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28" w:name="_Toc5978"/>
      <w:r>
        <w:rPr>
          <w:rFonts w:hint="eastAsia" w:ascii="仿宋" w:hAnsi="仿宋" w:eastAsia="仿宋" w:cs="仿宋"/>
          <w:b/>
          <w:bCs/>
          <w:color w:val="auto"/>
          <w:highlight w:val="none"/>
          <w:lang w:eastAsia="zh-CN"/>
        </w:rPr>
        <w:t>三、虚假、恶意投诉法律责任</w:t>
      </w:r>
      <w:bookmarkEnd w:id="28"/>
    </w:p>
    <w:p w14:paraId="4C69D034">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71DEEDF1">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3D3A4A5B">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6942CBEB">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4794F1F0">
      <w:pPr>
        <w:spacing w:line="400" w:lineRule="exact"/>
        <w:rPr>
          <w:rFonts w:ascii="仿宋" w:hAnsi="仿宋" w:eastAsia="仿宋" w:cs="仿宋"/>
          <w:color w:val="auto"/>
          <w:sz w:val="21"/>
          <w:szCs w:val="21"/>
          <w:highlight w:val="none"/>
          <w:lang w:eastAsia="zh-CN"/>
        </w:rPr>
      </w:pPr>
    </w:p>
    <w:p w14:paraId="74B909B3">
      <w:pPr>
        <w:spacing w:line="400" w:lineRule="exact"/>
        <w:rPr>
          <w:rFonts w:ascii="仿宋" w:hAnsi="仿宋" w:eastAsia="仿宋" w:cs="仿宋"/>
          <w:color w:val="auto"/>
          <w:sz w:val="21"/>
          <w:szCs w:val="21"/>
          <w:highlight w:val="none"/>
          <w:lang w:eastAsia="zh-CN"/>
        </w:rPr>
      </w:pPr>
    </w:p>
    <w:p w14:paraId="5BE8BA87">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递交投诉书地址：克州政府采购办监管办公室</w:t>
      </w:r>
    </w:p>
    <w:p w14:paraId="4D30D17E">
      <w:pPr>
        <w:jc w:val="right"/>
        <w:rPr>
          <w:rFonts w:ascii="仿宋" w:hAnsi="仿宋" w:eastAsia="仿宋" w:cs="仿宋"/>
          <w:color w:val="auto"/>
          <w:sz w:val="32"/>
          <w:szCs w:val="32"/>
          <w:highlight w:val="none"/>
          <w:lang w:eastAsia="zh-CN"/>
        </w:rPr>
      </w:pPr>
    </w:p>
    <w:p w14:paraId="3AA1F7B5">
      <w:pPr>
        <w:spacing w:line="540" w:lineRule="exact"/>
        <w:jc w:val="center"/>
        <w:rPr>
          <w:rFonts w:ascii="仿宋" w:hAnsi="仿宋" w:eastAsia="仿宋" w:cs="仿宋"/>
          <w:b/>
          <w:bCs/>
          <w:color w:val="auto"/>
          <w:sz w:val="44"/>
          <w:szCs w:val="44"/>
          <w:highlight w:val="none"/>
          <w:lang w:eastAsia="zh-CN"/>
        </w:rPr>
      </w:pPr>
    </w:p>
    <w:p w14:paraId="733CF552">
      <w:pPr>
        <w:spacing w:line="540" w:lineRule="exact"/>
        <w:jc w:val="center"/>
        <w:rPr>
          <w:rFonts w:ascii="仿宋" w:hAnsi="仿宋" w:eastAsia="仿宋" w:cs="仿宋"/>
          <w:b/>
          <w:bCs/>
          <w:color w:val="auto"/>
          <w:sz w:val="44"/>
          <w:szCs w:val="44"/>
          <w:highlight w:val="none"/>
          <w:lang w:eastAsia="zh-CN"/>
        </w:rPr>
      </w:pPr>
    </w:p>
    <w:p w14:paraId="29DE1D8B">
      <w:pPr>
        <w:spacing w:line="540" w:lineRule="exact"/>
        <w:jc w:val="center"/>
        <w:rPr>
          <w:rFonts w:ascii="仿宋" w:hAnsi="仿宋" w:eastAsia="仿宋" w:cs="仿宋"/>
          <w:b/>
          <w:bCs/>
          <w:color w:val="auto"/>
          <w:sz w:val="44"/>
          <w:szCs w:val="44"/>
          <w:highlight w:val="none"/>
          <w:lang w:eastAsia="zh-CN"/>
        </w:rPr>
      </w:pPr>
    </w:p>
    <w:p w14:paraId="3800152F">
      <w:pPr>
        <w:spacing w:line="540" w:lineRule="exact"/>
        <w:jc w:val="center"/>
        <w:rPr>
          <w:rFonts w:ascii="仿宋" w:hAnsi="仿宋" w:eastAsia="仿宋" w:cs="仿宋"/>
          <w:b/>
          <w:bCs/>
          <w:color w:val="auto"/>
          <w:sz w:val="44"/>
          <w:szCs w:val="44"/>
          <w:highlight w:val="none"/>
          <w:lang w:eastAsia="zh-CN"/>
        </w:rPr>
      </w:pPr>
    </w:p>
    <w:p w14:paraId="0AD92AAA">
      <w:pPr>
        <w:spacing w:line="540" w:lineRule="exact"/>
        <w:jc w:val="center"/>
        <w:rPr>
          <w:rFonts w:ascii="仿宋" w:hAnsi="仿宋" w:eastAsia="仿宋" w:cs="仿宋"/>
          <w:b/>
          <w:bCs/>
          <w:color w:val="auto"/>
          <w:sz w:val="44"/>
          <w:szCs w:val="44"/>
          <w:highlight w:val="none"/>
          <w:lang w:eastAsia="zh-CN"/>
        </w:rPr>
      </w:pPr>
    </w:p>
    <w:p w14:paraId="7FDA8B06">
      <w:pPr>
        <w:spacing w:line="540" w:lineRule="exact"/>
        <w:jc w:val="center"/>
        <w:rPr>
          <w:rFonts w:ascii="仿宋" w:hAnsi="仿宋" w:eastAsia="仿宋" w:cs="仿宋"/>
          <w:b/>
          <w:bCs/>
          <w:color w:val="auto"/>
          <w:sz w:val="44"/>
          <w:szCs w:val="44"/>
          <w:highlight w:val="none"/>
          <w:lang w:eastAsia="zh-CN"/>
        </w:rPr>
      </w:pPr>
    </w:p>
    <w:p w14:paraId="102F8C53">
      <w:pPr>
        <w:spacing w:line="540" w:lineRule="exact"/>
        <w:jc w:val="center"/>
        <w:rPr>
          <w:rFonts w:ascii="仿宋" w:hAnsi="仿宋" w:eastAsia="仿宋" w:cs="仿宋"/>
          <w:b/>
          <w:bCs/>
          <w:color w:val="auto"/>
          <w:sz w:val="44"/>
          <w:szCs w:val="44"/>
          <w:highlight w:val="none"/>
          <w:lang w:eastAsia="zh-CN"/>
        </w:rPr>
      </w:pPr>
    </w:p>
    <w:p w14:paraId="022E9BFD">
      <w:pPr>
        <w:spacing w:line="540" w:lineRule="exact"/>
        <w:jc w:val="both"/>
        <w:outlineLvl w:val="0"/>
        <w:rPr>
          <w:rFonts w:hint="eastAsia" w:ascii="仿宋" w:hAnsi="仿宋" w:eastAsia="仿宋" w:cs="仿宋"/>
          <w:b/>
          <w:bCs/>
          <w:color w:val="auto"/>
          <w:sz w:val="32"/>
          <w:szCs w:val="32"/>
          <w:highlight w:val="none"/>
          <w:lang w:eastAsia="zh-CN"/>
        </w:rPr>
      </w:pPr>
      <w:bookmarkStart w:id="29" w:name="_Toc1697"/>
    </w:p>
    <w:p w14:paraId="39AD0ACF">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bookmarkEnd w:id="29"/>
    </w:p>
    <w:p w14:paraId="30CDA656">
      <w:pPr>
        <w:keepNext w:val="0"/>
        <w:keepLines w:val="0"/>
        <w:pageBreakBefore w:val="0"/>
        <w:widowControl w:val="0"/>
        <w:kinsoku/>
        <w:wordWrap/>
        <w:overflowPunct/>
        <w:topLinePunct w:val="0"/>
        <w:autoSpaceDE/>
        <w:autoSpaceDN/>
        <w:bidi w:val="0"/>
        <w:adjustRightInd w:val="0"/>
        <w:snapToGrid w:val="0"/>
        <w:spacing w:beforeLines="100" w:line="500" w:lineRule="exact"/>
        <w:ind w:firstLine="480" w:firstLineChars="200"/>
        <w:textAlignment w:val="auto"/>
        <w:outlineLvl w:val="0"/>
        <w:rPr>
          <w:rFonts w:ascii="仿宋" w:hAnsi="仿宋" w:eastAsia="仿宋" w:cs="仿宋"/>
          <w:bCs/>
          <w:color w:val="auto"/>
          <w:highlight w:val="none"/>
          <w:lang w:eastAsia="zh-CN"/>
        </w:rPr>
      </w:pPr>
      <w:bookmarkStart w:id="30" w:name="_Toc9061"/>
      <w:r>
        <w:rPr>
          <w:rFonts w:hint="eastAsia" w:ascii="仿宋" w:hAnsi="仿宋" w:eastAsia="仿宋" w:cs="仿宋"/>
          <w:bCs/>
          <w:color w:val="auto"/>
          <w:highlight w:val="none"/>
          <w:lang w:eastAsia="zh-CN"/>
        </w:rPr>
        <w:t>一、质疑供应商基本信息</w:t>
      </w:r>
      <w:bookmarkEnd w:id="30"/>
    </w:p>
    <w:p w14:paraId="46E017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2518D7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3F1701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675253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1C17D4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4C04F9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127289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0"/>
        <w:rPr>
          <w:rFonts w:ascii="仿宋" w:hAnsi="仿宋" w:eastAsia="仿宋" w:cs="仿宋"/>
          <w:bCs/>
          <w:color w:val="auto"/>
          <w:highlight w:val="none"/>
          <w:lang w:eastAsia="zh-CN"/>
        </w:rPr>
      </w:pPr>
      <w:bookmarkStart w:id="31" w:name="_Toc15938"/>
      <w:r>
        <w:rPr>
          <w:rFonts w:hint="eastAsia" w:ascii="仿宋" w:hAnsi="仿宋" w:eastAsia="仿宋" w:cs="仿宋"/>
          <w:bCs/>
          <w:color w:val="auto"/>
          <w:highlight w:val="none"/>
          <w:lang w:eastAsia="zh-CN"/>
        </w:rPr>
        <w:t>二、质疑项目基本情况</w:t>
      </w:r>
      <w:bookmarkEnd w:id="31"/>
    </w:p>
    <w:p w14:paraId="6B4FD7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61D6E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5C558F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434E45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3FA3E9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0"/>
        <w:rPr>
          <w:rFonts w:ascii="仿宋" w:hAnsi="仿宋" w:eastAsia="仿宋" w:cs="仿宋"/>
          <w:bCs/>
          <w:color w:val="auto"/>
          <w:highlight w:val="none"/>
          <w:lang w:eastAsia="zh-CN"/>
        </w:rPr>
      </w:pPr>
      <w:bookmarkStart w:id="32" w:name="_Toc18271"/>
      <w:r>
        <w:rPr>
          <w:rFonts w:hint="eastAsia" w:ascii="仿宋" w:hAnsi="仿宋" w:eastAsia="仿宋" w:cs="仿宋"/>
          <w:bCs/>
          <w:color w:val="auto"/>
          <w:highlight w:val="none"/>
          <w:lang w:eastAsia="zh-CN"/>
        </w:rPr>
        <w:t>三、质疑事项具体内容</w:t>
      </w:r>
      <w:bookmarkEnd w:id="32"/>
    </w:p>
    <w:p w14:paraId="20B598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57D58E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74D3AC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1DEEB2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7702A0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DFBC5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0"/>
        <w:rPr>
          <w:rFonts w:ascii="仿宋" w:hAnsi="仿宋" w:eastAsia="仿宋" w:cs="仿宋"/>
          <w:bCs/>
          <w:color w:val="auto"/>
          <w:highlight w:val="none"/>
          <w:lang w:eastAsia="zh-CN"/>
        </w:rPr>
      </w:pPr>
      <w:bookmarkStart w:id="33" w:name="_Toc22365"/>
      <w:r>
        <w:rPr>
          <w:rFonts w:hint="eastAsia" w:ascii="仿宋" w:hAnsi="仿宋" w:eastAsia="仿宋" w:cs="仿宋"/>
          <w:bCs/>
          <w:color w:val="auto"/>
          <w:highlight w:val="none"/>
          <w:lang w:eastAsia="zh-CN"/>
        </w:rPr>
        <w:t>四、与质疑事项相关的质疑请求</w:t>
      </w:r>
      <w:bookmarkEnd w:id="33"/>
    </w:p>
    <w:p w14:paraId="10E32C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28C7503A">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3C7F6D5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仿宋" w:hAnsi="仿宋" w:eastAsia="仿宋" w:cs="仿宋"/>
          <w:b/>
          <w:bCs/>
          <w:color w:val="auto"/>
          <w:sz w:val="21"/>
          <w:szCs w:val="21"/>
          <w:highlight w:val="none"/>
          <w:lang w:eastAsia="zh-CN"/>
        </w:rPr>
      </w:pPr>
      <w:r>
        <w:rPr>
          <w:rFonts w:hint="eastAsia" w:ascii="仿宋" w:hAnsi="仿宋" w:eastAsia="仿宋" w:cs="仿宋"/>
          <w:color w:val="auto"/>
          <w:highlight w:val="none"/>
          <w:lang w:eastAsia="zh-CN"/>
        </w:rPr>
        <w:t xml:space="preserve">日期：    </w:t>
      </w:r>
    </w:p>
    <w:p w14:paraId="35755593">
      <w:pPr>
        <w:pageBreakBefore/>
        <w:spacing w:line="440" w:lineRule="exact"/>
        <w:jc w:val="center"/>
        <w:outlineLvl w:val="0"/>
        <w:rPr>
          <w:rFonts w:ascii="仿宋" w:hAnsi="仿宋" w:eastAsia="仿宋" w:cs="仿宋"/>
          <w:b/>
          <w:bCs/>
          <w:color w:val="auto"/>
          <w:sz w:val="30"/>
          <w:szCs w:val="30"/>
          <w:highlight w:val="none"/>
          <w:lang w:eastAsia="zh-CN"/>
        </w:rPr>
      </w:pPr>
      <w:bookmarkStart w:id="34" w:name="_Toc469495731"/>
      <w:r>
        <w:rPr>
          <w:rFonts w:hint="eastAsia" w:ascii="仿宋" w:hAnsi="仿宋" w:eastAsia="仿宋" w:cs="仿宋"/>
          <w:b/>
          <w:bCs/>
          <w:color w:val="auto"/>
          <w:sz w:val="30"/>
          <w:szCs w:val="30"/>
          <w:highlight w:val="none"/>
          <w:lang w:eastAsia="zh-CN"/>
        </w:rPr>
        <w:t>第三</w:t>
      </w:r>
      <w:r>
        <w:rPr>
          <w:rFonts w:hint="eastAsia" w:ascii="仿宋" w:hAnsi="仿宋" w:eastAsia="仿宋" w:cs="仿宋"/>
          <w:b/>
          <w:bCs/>
          <w:color w:val="auto"/>
          <w:sz w:val="30"/>
          <w:szCs w:val="30"/>
          <w:highlight w:val="none"/>
          <w:lang w:val="en-US" w:eastAsia="zh-CN"/>
        </w:rPr>
        <w:t>章</w:t>
      </w:r>
      <w:r>
        <w:rPr>
          <w:rFonts w:hint="eastAsia" w:ascii="仿宋" w:hAnsi="仿宋" w:eastAsia="仿宋" w:cs="仿宋"/>
          <w:b/>
          <w:bCs/>
          <w:color w:val="auto"/>
          <w:sz w:val="30"/>
          <w:szCs w:val="30"/>
          <w:highlight w:val="none"/>
          <w:lang w:eastAsia="zh-CN"/>
        </w:rPr>
        <w:t xml:space="preserve">  评标办法</w:t>
      </w:r>
      <w:bookmarkEnd w:id="34"/>
    </w:p>
    <w:p w14:paraId="7A2FBCC0">
      <w:pPr>
        <w:jc w:val="center"/>
        <w:outlineLvl w:val="1"/>
        <w:rPr>
          <w:rFonts w:ascii="仿宋" w:hAnsi="仿宋" w:eastAsia="仿宋" w:cs="仿宋"/>
          <w:b/>
          <w:color w:val="auto"/>
          <w:sz w:val="28"/>
          <w:szCs w:val="28"/>
          <w:highlight w:val="none"/>
          <w:lang w:eastAsia="zh-CN"/>
        </w:rPr>
      </w:pPr>
      <w:bookmarkStart w:id="35" w:name="_Toc362983802"/>
      <w:bookmarkStart w:id="36" w:name="_Toc469495733"/>
      <w:bookmarkStart w:id="37" w:name="_Toc267320058"/>
      <w:bookmarkStart w:id="38" w:name="_Toc363135205"/>
      <w:r>
        <w:rPr>
          <w:rFonts w:hint="eastAsia" w:ascii="仿宋" w:hAnsi="仿宋" w:eastAsia="仿宋" w:cs="仿宋"/>
          <w:b/>
          <w:color w:val="auto"/>
          <w:sz w:val="28"/>
          <w:szCs w:val="28"/>
          <w:highlight w:val="none"/>
          <w:lang w:eastAsia="zh-CN"/>
        </w:rPr>
        <w:t>一  总  则</w:t>
      </w:r>
    </w:p>
    <w:p w14:paraId="15468312">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1、一般规定</w:t>
      </w:r>
    </w:p>
    <w:p w14:paraId="4733E21E">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1.1本项目的招标按照《中华人民共和国政府采购法》、《政府采购货物和服务招标投标管理办法》及政府采购的有关规定进行。</w:t>
      </w:r>
    </w:p>
    <w:p w14:paraId="08F88B02">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1.2评标必须遵循邀请、公平、公正、诚实信用的原则。</w:t>
      </w:r>
    </w:p>
    <w:p w14:paraId="021619A6">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1.3招标代理机构组织招标、开标、评标工作，全过程接受政府采购有关部门的监督、管理和指导。</w:t>
      </w:r>
    </w:p>
    <w:p w14:paraId="03D51E42">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1.4评标按照招标文件规定的内容进行，采取符合招标文件要求的</w:t>
      </w:r>
      <w:r>
        <w:rPr>
          <w:rFonts w:hint="eastAsia" w:ascii="仿宋" w:hAnsi="仿宋" w:eastAsia="仿宋" w:cs="仿宋"/>
          <w:color w:val="auto"/>
          <w:highlight w:val="none"/>
          <w:lang w:eastAsia="zh-CN"/>
        </w:rPr>
        <w:t>综合评分法</w:t>
      </w:r>
      <w:r>
        <w:rPr>
          <w:rFonts w:hint="eastAsia" w:ascii="仿宋" w:hAnsi="仿宋" w:eastAsia="仿宋" w:cs="仿宋"/>
          <w:color w:val="auto"/>
          <w:szCs w:val="21"/>
          <w:highlight w:val="none"/>
          <w:lang w:eastAsia="zh-CN"/>
        </w:rPr>
        <w:t>；</w:t>
      </w:r>
    </w:p>
    <w:p w14:paraId="308FCD6E">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1.5本办法的评标对象是指供应商按照招标文件要求提供的有效投标文件，包括供应商应评标委员会要求对原投标文件作出的正式书面澄清文件。</w:t>
      </w:r>
    </w:p>
    <w:p w14:paraId="2677816E">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2、评标组织机构的组成</w:t>
      </w:r>
    </w:p>
    <w:p w14:paraId="19CE92B0">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2.1</w:t>
      </w:r>
      <w:r>
        <w:rPr>
          <w:rFonts w:hint="eastAsia" w:ascii="仿宋" w:hAnsi="仿宋" w:eastAsia="仿宋" w:cs="仿宋"/>
          <w:color w:val="auto"/>
          <w:spacing w:val="-2"/>
          <w:highlight w:val="none"/>
          <w:lang w:eastAsia="zh-CN"/>
        </w:rPr>
        <w:t xml:space="preserve"> 评标委员会由采购人代表1人和有关技术、经济等方面的专家4人组成，成员人数为5人。</w:t>
      </w:r>
      <w:r>
        <w:rPr>
          <w:rFonts w:hint="eastAsia" w:ascii="仿宋" w:hAnsi="仿宋" w:eastAsia="仿宋" w:cs="仿宋"/>
          <w:color w:val="auto"/>
          <w:szCs w:val="21"/>
          <w:highlight w:val="none"/>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644B77E2">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2.2评标工作组由招标人及有关专家组成，由评标委员会确认，并接受其领导。</w:t>
      </w:r>
    </w:p>
    <w:p w14:paraId="28D22960">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2.3评标委员会应相对独立工作，负责评标、撰写技术、商务评标报告。采购代理机构负责评标过程中资料的保管、发放、回收，整理、汇总评标资料。</w:t>
      </w:r>
    </w:p>
    <w:p w14:paraId="01155206">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3、评标委员会职责</w:t>
      </w:r>
    </w:p>
    <w:p w14:paraId="6072DA2D">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3.1审查投标文件是否符合招标文件要求，并作出评价；</w:t>
      </w:r>
    </w:p>
    <w:p w14:paraId="61B38E3A">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3.2要求供应商对投标文件有关事项作出解释或者澄清；</w:t>
      </w:r>
    </w:p>
    <w:p w14:paraId="212222FE">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3.3推荐中标候选人名单；</w:t>
      </w:r>
    </w:p>
    <w:p w14:paraId="140838D2">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3.4向招标人、招标代理机构或者有关部门报告非法干预评标工作的行为。</w:t>
      </w:r>
    </w:p>
    <w:p w14:paraId="02D9C3F3">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4、评标委员会义务</w:t>
      </w:r>
    </w:p>
    <w:p w14:paraId="30F64132">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4.1遵纪守法，客观、公正、廉洁地履行职责；</w:t>
      </w:r>
    </w:p>
    <w:p w14:paraId="66F93A88">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4.2按照招标文件规定的评标方法和评标标准进行评标，对评审意见承担个人责任；</w:t>
      </w:r>
    </w:p>
    <w:p w14:paraId="45C45D1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4.3对评标过程和结果，以及供应商的商业秘密保密；</w:t>
      </w:r>
    </w:p>
    <w:p w14:paraId="0744494D">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4.4参与评标报告的起草；</w:t>
      </w:r>
    </w:p>
    <w:p w14:paraId="4754F31D">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4.5配合有关部门的投诉处理工作；</w:t>
      </w:r>
    </w:p>
    <w:p w14:paraId="23CC939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4.6配合招标人、招标代理机构答复投标供应商提出的质疑。</w:t>
      </w:r>
    </w:p>
    <w:p w14:paraId="0E2C20C8">
      <w:pPr>
        <w:keepNext w:val="0"/>
        <w:keepLines w:val="0"/>
        <w:pageBreakBefore w:val="0"/>
        <w:tabs>
          <w:tab w:val="left" w:pos="1547"/>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 评标程序</w:t>
      </w:r>
    </w:p>
    <w:p w14:paraId="0EE77B5B">
      <w:pPr>
        <w:pStyle w:val="21"/>
        <w:keepNext w:val="0"/>
        <w:keepLines w:val="0"/>
        <w:pageBreakBefore w:val="0"/>
        <w:tabs>
          <w:tab w:val="left" w:pos="720"/>
          <w:tab w:val="clear" w:pos="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bCs/>
          <w:color w:val="auto"/>
          <w:szCs w:val="21"/>
          <w:highlight w:val="none"/>
          <w:lang w:eastAsia="zh-CN" w:bidi="ar-SA"/>
        </w:rPr>
      </w:pPr>
      <w:r>
        <w:rPr>
          <w:rFonts w:hint="eastAsia" w:ascii="仿宋" w:hAnsi="仿宋" w:eastAsia="仿宋" w:cs="仿宋"/>
          <w:bCs/>
          <w:color w:val="auto"/>
          <w:szCs w:val="21"/>
          <w:highlight w:val="none"/>
          <w:lang w:eastAsia="zh-CN" w:bidi="ar-SA"/>
        </w:rPr>
        <w:t>5.1本次评标首先由评标委员会对供应商的投标文件进行初审，对未能通过初审的投标文件作无效标处理；</w:t>
      </w:r>
    </w:p>
    <w:p w14:paraId="48CE4CFD">
      <w:pPr>
        <w:keepNext w:val="0"/>
        <w:keepLines w:val="0"/>
        <w:pageBreakBefore w:val="0"/>
        <w:tabs>
          <w:tab w:val="left" w:pos="72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5.2对通过初审的供应商的投标文件进行详细的比较和评价。如需要，进行必要的澄清工作；</w:t>
      </w:r>
    </w:p>
    <w:p w14:paraId="22440D49">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ascii="仿宋" w:hAnsi="仿宋" w:eastAsia="仿宋" w:cs="仿宋"/>
          <w:b/>
          <w:bCs/>
          <w:color w:val="auto"/>
          <w:sz w:val="36"/>
          <w:szCs w:val="36"/>
          <w:highlight w:val="none"/>
          <w:lang w:eastAsia="zh-CN" w:bidi="ar-SA"/>
        </w:rPr>
      </w:pPr>
      <w:r>
        <w:rPr>
          <w:rFonts w:hint="eastAsia" w:ascii="仿宋" w:hAnsi="仿宋" w:eastAsia="仿宋" w:cs="仿宋"/>
          <w:color w:val="auto"/>
          <w:szCs w:val="21"/>
          <w:highlight w:val="none"/>
          <w:lang w:eastAsia="zh-CN" w:bidi="ar-SA"/>
        </w:rPr>
        <w:t>5.3依据评分标准以及各项权值，各位评委单独就每个供应商的投标文件进行价格、技术、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14:paraId="39D487F2">
      <w:pPr>
        <w:jc w:val="center"/>
        <w:outlineLvl w:val="1"/>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  投标文件初审</w:t>
      </w:r>
      <w:bookmarkEnd w:id="35"/>
      <w:bookmarkEnd w:id="36"/>
    </w:p>
    <w:p w14:paraId="1037112D">
      <w:pPr>
        <w:spacing w:line="400" w:lineRule="exact"/>
        <w:ind w:firstLine="354"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6.资格性审查:</w:t>
      </w:r>
    </w:p>
    <w:p w14:paraId="0A7819EB">
      <w:pPr>
        <w:spacing w:line="400" w:lineRule="exact"/>
        <w:ind w:firstLine="352" w:firstLineChars="147"/>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.1评审细则</w:t>
      </w:r>
    </w:p>
    <w:tbl>
      <w:tblPr>
        <w:tblStyle w:val="25"/>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360"/>
        <w:gridCol w:w="7590"/>
        <w:gridCol w:w="597"/>
        <w:gridCol w:w="568"/>
      </w:tblGrid>
      <w:tr w14:paraId="3B3A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02" w:type="dxa"/>
            <w:vMerge w:val="restart"/>
            <w:vAlign w:val="center"/>
          </w:tcPr>
          <w:p w14:paraId="576D4D08">
            <w:pPr>
              <w:spacing w:line="24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7950" w:type="dxa"/>
            <w:gridSpan w:val="2"/>
            <w:vMerge w:val="restart"/>
            <w:vAlign w:val="center"/>
          </w:tcPr>
          <w:p w14:paraId="4F02EC40">
            <w:pPr>
              <w:spacing w:line="24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1165" w:type="dxa"/>
            <w:gridSpan w:val="2"/>
            <w:vAlign w:val="center"/>
          </w:tcPr>
          <w:p w14:paraId="70C7B5E0">
            <w:pPr>
              <w:spacing w:line="24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评审意见</w:t>
            </w:r>
          </w:p>
        </w:tc>
      </w:tr>
      <w:tr w14:paraId="08B9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02" w:type="dxa"/>
            <w:vMerge w:val="continue"/>
            <w:vAlign w:val="center"/>
          </w:tcPr>
          <w:p w14:paraId="60CB06BD">
            <w:pPr>
              <w:spacing w:line="240" w:lineRule="auto"/>
              <w:rPr>
                <w:rFonts w:ascii="仿宋" w:hAnsi="仿宋" w:eastAsia="仿宋" w:cs="仿宋"/>
                <w:color w:val="auto"/>
                <w:sz w:val="18"/>
                <w:szCs w:val="21"/>
                <w:highlight w:val="none"/>
              </w:rPr>
            </w:pPr>
          </w:p>
        </w:tc>
        <w:tc>
          <w:tcPr>
            <w:tcW w:w="7950" w:type="dxa"/>
            <w:gridSpan w:val="2"/>
            <w:vMerge w:val="continue"/>
          </w:tcPr>
          <w:p w14:paraId="0BE0D22D">
            <w:pPr>
              <w:spacing w:line="240" w:lineRule="auto"/>
              <w:rPr>
                <w:rFonts w:ascii="仿宋" w:hAnsi="仿宋" w:eastAsia="仿宋" w:cs="仿宋"/>
                <w:color w:val="auto"/>
                <w:sz w:val="18"/>
                <w:szCs w:val="21"/>
                <w:highlight w:val="none"/>
              </w:rPr>
            </w:pPr>
          </w:p>
        </w:tc>
        <w:tc>
          <w:tcPr>
            <w:tcW w:w="597" w:type="dxa"/>
            <w:vAlign w:val="center"/>
          </w:tcPr>
          <w:p w14:paraId="62EC7930">
            <w:pPr>
              <w:spacing w:line="24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是</w:t>
            </w:r>
          </w:p>
        </w:tc>
        <w:tc>
          <w:tcPr>
            <w:tcW w:w="568" w:type="dxa"/>
            <w:vAlign w:val="center"/>
          </w:tcPr>
          <w:p w14:paraId="0FC291A1">
            <w:pPr>
              <w:spacing w:line="240" w:lineRule="auto"/>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w:t>
            </w:r>
          </w:p>
        </w:tc>
      </w:tr>
      <w:tr w14:paraId="331E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02" w:type="dxa"/>
            <w:vMerge w:val="continue"/>
            <w:vAlign w:val="center"/>
          </w:tcPr>
          <w:p w14:paraId="46458F0C">
            <w:pPr>
              <w:spacing w:line="240" w:lineRule="auto"/>
              <w:jc w:val="center"/>
              <w:rPr>
                <w:rFonts w:ascii="仿宋" w:hAnsi="仿宋" w:eastAsia="仿宋" w:cs="仿宋"/>
                <w:color w:val="auto"/>
                <w:szCs w:val="21"/>
                <w:highlight w:val="none"/>
                <w:lang w:eastAsia="zh-CN"/>
              </w:rPr>
            </w:pPr>
          </w:p>
        </w:tc>
        <w:tc>
          <w:tcPr>
            <w:tcW w:w="360" w:type="dxa"/>
            <w:vAlign w:val="center"/>
          </w:tcPr>
          <w:p w14:paraId="722B8A39">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7590" w:type="dxa"/>
            <w:vAlign w:val="center"/>
          </w:tcPr>
          <w:p w14:paraId="6B398888">
            <w:pPr>
              <w:widowControl/>
              <w:spacing w:line="240" w:lineRule="auto"/>
              <w:textAlignment w:val="center"/>
              <w:rPr>
                <w:rFonts w:hint="eastAsia" w:ascii="仿宋" w:hAnsi="仿宋" w:eastAsia="仿宋" w:cs="仿宋"/>
                <w:color w:val="auto"/>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供应商为中小企业</w:t>
            </w:r>
          </w:p>
        </w:tc>
        <w:tc>
          <w:tcPr>
            <w:tcW w:w="597" w:type="dxa"/>
          </w:tcPr>
          <w:p w14:paraId="50EC3A3B">
            <w:pPr>
              <w:spacing w:line="240" w:lineRule="auto"/>
              <w:rPr>
                <w:rFonts w:ascii="仿宋" w:hAnsi="仿宋" w:eastAsia="仿宋" w:cs="仿宋"/>
                <w:color w:val="auto"/>
                <w:szCs w:val="21"/>
                <w:highlight w:val="none"/>
                <w:lang w:eastAsia="zh-CN"/>
              </w:rPr>
            </w:pPr>
          </w:p>
        </w:tc>
        <w:tc>
          <w:tcPr>
            <w:tcW w:w="568" w:type="dxa"/>
          </w:tcPr>
          <w:p w14:paraId="440CE175">
            <w:pPr>
              <w:spacing w:line="240" w:lineRule="auto"/>
              <w:rPr>
                <w:rFonts w:ascii="仿宋" w:hAnsi="仿宋" w:eastAsia="仿宋" w:cs="仿宋"/>
                <w:color w:val="auto"/>
                <w:szCs w:val="21"/>
                <w:highlight w:val="none"/>
                <w:lang w:eastAsia="zh-CN"/>
              </w:rPr>
            </w:pPr>
          </w:p>
        </w:tc>
      </w:tr>
      <w:tr w14:paraId="62F0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2" w:type="dxa"/>
            <w:vMerge w:val="continue"/>
            <w:vAlign w:val="center"/>
          </w:tcPr>
          <w:p w14:paraId="4F9FF76D">
            <w:pPr>
              <w:spacing w:line="240" w:lineRule="auto"/>
              <w:jc w:val="center"/>
              <w:rPr>
                <w:rFonts w:ascii="仿宋" w:hAnsi="仿宋" w:eastAsia="仿宋" w:cs="仿宋"/>
                <w:color w:val="auto"/>
                <w:szCs w:val="21"/>
                <w:highlight w:val="none"/>
                <w:lang w:eastAsia="zh-CN"/>
              </w:rPr>
            </w:pPr>
          </w:p>
        </w:tc>
        <w:tc>
          <w:tcPr>
            <w:tcW w:w="360" w:type="dxa"/>
            <w:vAlign w:val="center"/>
          </w:tcPr>
          <w:p w14:paraId="41976860">
            <w:pPr>
              <w:spacing w:line="24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7590" w:type="dxa"/>
            <w:vAlign w:val="center"/>
          </w:tcPr>
          <w:p w14:paraId="302AA3B3">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（三证合一）营业执照</w:t>
            </w:r>
          </w:p>
        </w:tc>
        <w:tc>
          <w:tcPr>
            <w:tcW w:w="597" w:type="dxa"/>
          </w:tcPr>
          <w:p w14:paraId="5CD04FB3">
            <w:pPr>
              <w:spacing w:line="240" w:lineRule="auto"/>
              <w:rPr>
                <w:rFonts w:ascii="仿宋" w:hAnsi="仿宋" w:eastAsia="仿宋" w:cs="仿宋"/>
                <w:color w:val="auto"/>
                <w:szCs w:val="21"/>
                <w:highlight w:val="none"/>
                <w:lang w:eastAsia="zh-CN"/>
              </w:rPr>
            </w:pPr>
          </w:p>
        </w:tc>
        <w:tc>
          <w:tcPr>
            <w:tcW w:w="568" w:type="dxa"/>
          </w:tcPr>
          <w:p w14:paraId="115B2A8E">
            <w:pPr>
              <w:spacing w:line="240" w:lineRule="auto"/>
              <w:rPr>
                <w:rFonts w:ascii="仿宋" w:hAnsi="仿宋" w:eastAsia="仿宋" w:cs="仿宋"/>
                <w:color w:val="auto"/>
                <w:szCs w:val="21"/>
                <w:highlight w:val="none"/>
                <w:lang w:eastAsia="zh-CN"/>
              </w:rPr>
            </w:pPr>
          </w:p>
        </w:tc>
      </w:tr>
      <w:tr w14:paraId="5615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02" w:type="dxa"/>
            <w:vMerge w:val="continue"/>
            <w:vAlign w:val="center"/>
          </w:tcPr>
          <w:p w14:paraId="7F14DDAC">
            <w:pPr>
              <w:spacing w:line="240" w:lineRule="auto"/>
              <w:rPr>
                <w:rFonts w:ascii="仿宋" w:hAnsi="仿宋" w:eastAsia="仿宋" w:cs="仿宋"/>
                <w:color w:val="auto"/>
                <w:highlight w:val="none"/>
                <w:lang w:eastAsia="zh-CN"/>
              </w:rPr>
            </w:pPr>
          </w:p>
        </w:tc>
        <w:tc>
          <w:tcPr>
            <w:tcW w:w="360" w:type="dxa"/>
            <w:vAlign w:val="center"/>
          </w:tcPr>
          <w:p w14:paraId="6C01EAA1">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7590" w:type="dxa"/>
            <w:vAlign w:val="center"/>
          </w:tcPr>
          <w:p w14:paraId="730F81A3">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法定代表人投标需提供法定代表人资格证明书，委托代理人投标需提供法定代表人授权委托书</w:t>
            </w:r>
          </w:p>
        </w:tc>
        <w:tc>
          <w:tcPr>
            <w:tcW w:w="597" w:type="dxa"/>
          </w:tcPr>
          <w:p w14:paraId="126A0B8B">
            <w:pPr>
              <w:spacing w:line="240" w:lineRule="auto"/>
              <w:rPr>
                <w:rFonts w:ascii="仿宋" w:hAnsi="仿宋" w:eastAsia="仿宋" w:cs="仿宋"/>
                <w:color w:val="auto"/>
                <w:szCs w:val="21"/>
                <w:highlight w:val="none"/>
                <w:lang w:eastAsia="zh-CN"/>
              </w:rPr>
            </w:pPr>
          </w:p>
        </w:tc>
        <w:tc>
          <w:tcPr>
            <w:tcW w:w="568" w:type="dxa"/>
          </w:tcPr>
          <w:p w14:paraId="4D361CDE">
            <w:pPr>
              <w:spacing w:line="240" w:lineRule="auto"/>
              <w:rPr>
                <w:rFonts w:ascii="仿宋" w:hAnsi="仿宋" w:eastAsia="仿宋" w:cs="仿宋"/>
                <w:color w:val="auto"/>
                <w:szCs w:val="21"/>
                <w:highlight w:val="none"/>
                <w:lang w:eastAsia="zh-CN"/>
              </w:rPr>
            </w:pPr>
          </w:p>
        </w:tc>
      </w:tr>
      <w:tr w14:paraId="0B71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402" w:type="dxa"/>
            <w:vMerge w:val="continue"/>
            <w:vAlign w:val="center"/>
          </w:tcPr>
          <w:p w14:paraId="6C118454">
            <w:pPr>
              <w:spacing w:line="240" w:lineRule="auto"/>
              <w:rPr>
                <w:rFonts w:ascii="仿宋" w:hAnsi="仿宋" w:eastAsia="仿宋" w:cs="仿宋"/>
                <w:color w:val="auto"/>
                <w:highlight w:val="none"/>
                <w:lang w:eastAsia="zh-CN"/>
              </w:rPr>
            </w:pPr>
          </w:p>
        </w:tc>
        <w:tc>
          <w:tcPr>
            <w:tcW w:w="360" w:type="dxa"/>
            <w:vAlign w:val="center"/>
          </w:tcPr>
          <w:p w14:paraId="57D1F446">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7590" w:type="dxa"/>
            <w:vAlign w:val="center"/>
          </w:tcPr>
          <w:p w14:paraId="49E393B9">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97" w:type="dxa"/>
          </w:tcPr>
          <w:p w14:paraId="26632102">
            <w:pPr>
              <w:spacing w:line="240" w:lineRule="auto"/>
              <w:rPr>
                <w:rFonts w:ascii="仿宋" w:hAnsi="仿宋" w:eastAsia="仿宋" w:cs="仿宋"/>
                <w:color w:val="auto"/>
                <w:szCs w:val="21"/>
                <w:highlight w:val="none"/>
                <w:lang w:eastAsia="zh-CN"/>
              </w:rPr>
            </w:pPr>
          </w:p>
        </w:tc>
        <w:tc>
          <w:tcPr>
            <w:tcW w:w="568" w:type="dxa"/>
          </w:tcPr>
          <w:p w14:paraId="592566DF">
            <w:pPr>
              <w:spacing w:line="240" w:lineRule="auto"/>
              <w:rPr>
                <w:rFonts w:ascii="仿宋" w:hAnsi="仿宋" w:eastAsia="仿宋" w:cs="仿宋"/>
                <w:color w:val="auto"/>
                <w:szCs w:val="21"/>
                <w:highlight w:val="none"/>
                <w:lang w:eastAsia="zh-CN"/>
              </w:rPr>
            </w:pPr>
          </w:p>
        </w:tc>
      </w:tr>
      <w:tr w14:paraId="49DF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02" w:type="dxa"/>
            <w:vMerge w:val="continue"/>
            <w:vAlign w:val="center"/>
          </w:tcPr>
          <w:p w14:paraId="39E69045">
            <w:pPr>
              <w:spacing w:line="240" w:lineRule="auto"/>
              <w:rPr>
                <w:rFonts w:ascii="仿宋" w:hAnsi="仿宋" w:eastAsia="仿宋" w:cs="仿宋"/>
                <w:color w:val="auto"/>
                <w:highlight w:val="none"/>
                <w:lang w:eastAsia="zh-CN"/>
              </w:rPr>
            </w:pPr>
          </w:p>
        </w:tc>
        <w:tc>
          <w:tcPr>
            <w:tcW w:w="360" w:type="dxa"/>
            <w:vAlign w:val="center"/>
          </w:tcPr>
          <w:p w14:paraId="2F7A3DAF">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7590" w:type="dxa"/>
            <w:vAlign w:val="center"/>
          </w:tcPr>
          <w:p w14:paraId="3FE7CE47">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投标保证金缴纳凭证或投标担保函</w:t>
            </w:r>
          </w:p>
        </w:tc>
        <w:tc>
          <w:tcPr>
            <w:tcW w:w="597" w:type="dxa"/>
          </w:tcPr>
          <w:p w14:paraId="1D86911F">
            <w:pPr>
              <w:spacing w:line="240" w:lineRule="auto"/>
              <w:rPr>
                <w:rFonts w:ascii="仿宋" w:hAnsi="仿宋" w:eastAsia="仿宋" w:cs="仿宋"/>
                <w:color w:val="auto"/>
                <w:szCs w:val="21"/>
                <w:highlight w:val="none"/>
                <w:lang w:eastAsia="zh-CN"/>
              </w:rPr>
            </w:pPr>
          </w:p>
        </w:tc>
        <w:tc>
          <w:tcPr>
            <w:tcW w:w="568" w:type="dxa"/>
          </w:tcPr>
          <w:p w14:paraId="3384B76B">
            <w:pPr>
              <w:spacing w:line="240" w:lineRule="auto"/>
              <w:rPr>
                <w:rFonts w:ascii="仿宋" w:hAnsi="仿宋" w:eastAsia="仿宋" w:cs="仿宋"/>
                <w:color w:val="auto"/>
                <w:szCs w:val="21"/>
                <w:highlight w:val="none"/>
                <w:lang w:eastAsia="zh-CN"/>
              </w:rPr>
            </w:pPr>
          </w:p>
        </w:tc>
      </w:tr>
      <w:tr w14:paraId="610B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02" w:type="dxa"/>
            <w:vMerge w:val="continue"/>
            <w:vAlign w:val="center"/>
          </w:tcPr>
          <w:p w14:paraId="20293F30">
            <w:pPr>
              <w:spacing w:line="240" w:lineRule="auto"/>
              <w:rPr>
                <w:rFonts w:ascii="仿宋" w:hAnsi="仿宋" w:eastAsia="仿宋" w:cs="仿宋"/>
                <w:color w:val="auto"/>
                <w:highlight w:val="none"/>
                <w:lang w:eastAsia="zh-CN"/>
              </w:rPr>
            </w:pPr>
          </w:p>
        </w:tc>
        <w:tc>
          <w:tcPr>
            <w:tcW w:w="360" w:type="dxa"/>
            <w:vAlign w:val="center"/>
          </w:tcPr>
          <w:p w14:paraId="4AB096D2">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p>
        </w:tc>
        <w:tc>
          <w:tcPr>
            <w:tcW w:w="7590" w:type="dxa"/>
            <w:vAlign w:val="center"/>
          </w:tcPr>
          <w:p w14:paraId="00A65867">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投标企业须提供投标人（被授权在职人员）近6个月内任意一个月有效的社保证明</w:t>
            </w:r>
          </w:p>
        </w:tc>
        <w:tc>
          <w:tcPr>
            <w:tcW w:w="597" w:type="dxa"/>
          </w:tcPr>
          <w:p w14:paraId="13CC89C5">
            <w:pPr>
              <w:spacing w:line="240" w:lineRule="auto"/>
              <w:rPr>
                <w:rFonts w:ascii="仿宋" w:hAnsi="仿宋" w:eastAsia="仿宋" w:cs="仿宋"/>
                <w:color w:val="auto"/>
                <w:szCs w:val="21"/>
                <w:highlight w:val="none"/>
                <w:lang w:eastAsia="zh-CN"/>
              </w:rPr>
            </w:pPr>
          </w:p>
        </w:tc>
        <w:tc>
          <w:tcPr>
            <w:tcW w:w="568" w:type="dxa"/>
          </w:tcPr>
          <w:p w14:paraId="33FAF744">
            <w:pPr>
              <w:spacing w:line="240" w:lineRule="auto"/>
              <w:rPr>
                <w:rFonts w:ascii="仿宋" w:hAnsi="仿宋" w:eastAsia="仿宋" w:cs="仿宋"/>
                <w:color w:val="auto"/>
                <w:szCs w:val="21"/>
                <w:highlight w:val="none"/>
                <w:lang w:eastAsia="zh-CN"/>
              </w:rPr>
            </w:pPr>
          </w:p>
        </w:tc>
      </w:tr>
      <w:tr w14:paraId="3D5A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2" w:type="dxa"/>
            <w:vMerge w:val="continue"/>
            <w:vAlign w:val="center"/>
          </w:tcPr>
          <w:p w14:paraId="5DE6E9B6">
            <w:pPr>
              <w:spacing w:line="240" w:lineRule="auto"/>
              <w:jc w:val="center"/>
              <w:rPr>
                <w:rFonts w:ascii="仿宋" w:hAnsi="仿宋" w:eastAsia="仿宋" w:cs="仿宋"/>
                <w:color w:val="auto"/>
                <w:szCs w:val="21"/>
                <w:highlight w:val="none"/>
                <w:lang w:eastAsia="zh-CN"/>
              </w:rPr>
            </w:pPr>
          </w:p>
        </w:tc>
        <w:tc>
          <w:tcPr>
            <w:tcW w:w="360" w:type="dxa"/>
          </w:tcPr>
          <w:p w14:paraId="349B8B52">
            <w:pPr>
              <w:spacing w:line="240" w:lineRule="auto"/>
              <w:rPr>
                <w:rFonts w:ascii="仿宋" w:hAnsi="仿宋" w:eastAsia="仿宋" w:cs="仿宋"/>
                <w:color w:val="auto"/>
                <w:szCs w:val="21"/>
                <w:highlight w:val="none"/>
                <w:lang w:eastAsia="zh-CN"/>
              </w:rPr>
            </w:pPr>
          </w:p>
        </w:tc>
        <w:tc>
          <w:tcPr>
            <w:tcW w:w="7590" w:type="dxa"/>
          </w:tcPr>
          <w:p w14:paraId="442FC981">
            <w:pPr>
              <w:spacing w:line="24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5B717CE3">
            <w:pPr>
              <w:spacing w:line="24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注：如有一项不合格，作废标处理。</w:t>
            </w:r>
          </w:p>
        </w:tc>
        <w:tc>
          <w:tcPr>
            <w:tcW w:w="1165" w:type="dxa"/>
            <w:gridSpan w:val="2"/>
          </w:tcPr>
          <w:p w14:paraId="2971D61E">
            <w:pPr>
              <w:spacing w:line="240" w:lineRule="auto"/>
              <w:rPr>
                <w:rFonts w:ascii="仿宋" w:hAnsi="仿宋" w:eastAsia="仿宋" w:cs="仿宋"/>
                <w:color w:val="auto"/>
                <w:szCs w:val="21"/>
                <w:highlight w:val="none"/>
                <w:lang w:eastAsia="zh-CN"/>
              </w:rPr>
            </w:pPr>
          </w:p>
        </w:tc>
      </w:tr>
    </w:tbl>
    <w:p w14:paraId="59326807">
      <w:pPr>
        <w:keepNext w:val="0"/>
        <w:keepLines w:val="0"/>
        <w:pageBreakBefore w:val="0"/>
        <w:widowControl w:val="0"/>
        <w:kinsoku/>
        <w:wordWrap/>
        <w:overflowPunct/>
        <w:topLinePunct w:val="0"/>
        <w:autoSpaceDE/>
        <w:autoSpaceDN/>
        <w:bidi w:val="0"/>
        <w:adjustRightInd/>
        <w:snapToGrid/>
        <w:spacing w:line="480" w:lineRule="exact"/>
        <w:ind w:firstLine="581" w:firstLineChars="241"/>
        <w:textAlignment w:val="auto"/>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43FD7694">
      <w:pPr>
        <w:keepNext w:val="0"/>
        <w:keepLines w:val="0"/>
        <w:pageBreakBefore w:val="0"/>
        <w:widowControl w:val="0"/>
        <w:kinsoku/>
        <w:wordWrap/>
        <w:overflowPunct/>
        <w:topLinePunct w:val="0"/>
        <w:autoSpaceDE/>
        <w:autoSpaceDN/>
        <w:bidi w:val="0"/>
        <w:adjustRightInd/>
        <w:snapToGrid/>
        <w:spacing w:beforeLines="50" w:line="480" w:lineRule="exact"/>
        <w:ind w:firstLine="354" w:firstLineChars="147"/>
        <w:textAlignment w:val="auto"/>
        <w:rPr>
          <w:rFonts w:ascii="仿宋" w:hAnsi="仿宋" w:eastAsia="仿宋" w:cs="仿宋"/>
          <w:b/>
          <w:color w:val="auto"/>
          <w:szCs w:val="21"/>
          <w:highlight w:val="none"/>
        </w:rPr>
      </w:pPr>
      <w:r>
        <w:rPr>
          <w:rFonts w:hint="eastAsia" w:ascii="仿宋" w:hAnsi="仿宋" w:eastAsia="仿宋" w:cs="仿宋"/>
          <w:b/>
          <w:color w:val="auto"/>
          <w:szCs w:val="21"/>
          <w:highlight w:val="none"/>
          <w:lang w:eastAsia="zh-CN"/>
        </w:rPr>
        <w:t>7</w:t>
      </w:r>
      <w:r>
        <w:rPr>
          <w:rFonts w:hint="eastAsia" w:ascii="仿宋" w:hAnsi="仿宋" w:eastAsia="仿宋" w:cs="仿宋"/>
          <w:b/>
          <w:color w:val="auto"/>
          <w:szCs w:val="21"/>
          <w:highlight w:val="none"/>
        </w:rPr>
        <w:t>.符合性审查</w:t>
      </w:r>
    </w:p>
    <w:p w14:paraId="368BFF45">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．1评审细则</w:t>
      </w:r>
    </w:p>
    <w:tbl>
      <w:tblPr>
        <w:tblStyle w:val="25"/>
        <w:tblpPr w:leftFromText="180" w:rightFromText="180" w:vertAnchor="text" w:horzAnchor="page" w:tblpX="1937" w:tblpY="544"/>
        <w:tblW w:w="88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0"/>
        <w:gridCol w:w="510"/>
        <w:gridCol w:w="6615"/>
        <w:gridCol w:w="600"/>
        <w:gridCol w:w="630"/>
      </w:tblGrid>
      <w:tr w14:paraId="14957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450" w:type="dxa"/>
            <w:vMerge w:val="restart"/>
            <w:tcBorders>
              <w:top w:val="single" w:color="auto" w:sz="4" w:space="0"/>
              <w:left w:val="single" w:color="auto" w:sz="4" w:space="0"/>
            </w:tcBorders>
            <w:vAlign w:val="center"/>
          </w:tcPr>
          <w:p w14:paraId="769C194D">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7125" w:type="dxa"/>
            <w:gridSpan w:val="2"/>
            <w:vMerge w:val="restart"/>
            <w:tcBorders>
              <w:top w:val="single" w:color="auto" w:sz="4" w:space="0"/>
            </w:tcBorders>
            <w:vAlign w:val="center"/>
          </w:tcPr>
          <w:p w14:paraId="7573CFDB">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230" w:type="dxa"/>
            <w:gridSpan w:val="2"/>
            <w:tcBorders>
              <w:top w:val="single" w:color="auto" w:sz="4" w:space="0"/>
              <w:right w:val="single" w:color="auto" w:sz="4" w:space="0"/>
            </w:tcBorders>
            <w:vAlign w:val="center"/>
          </w:tcPr>
          <w:p w14:paraId="0173FD0E">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0B7E5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50" w:type="dxa"/>
            <w:vMerge w:val="continue"/>
            <w:tcBorders>
              <w:left w:val="single" w:color="auto" w:sz="4" w:space="0"/>
              <w:bottom w:val="single" w:color="auto" w:sz="4" w:space="0"/>
            </w:tcBorders>
            <w:vAlign w:val="center"/>
          </w:tcPr>
          <w:p w14:paraId="3C052F58">
            <w:pPr>
              <w:spacing w:line="240" w:lineRule="auto"/>
              <w:rPr>
                <w:rFonts w:ascii="仿宋" w:hAnsi="仿宋" w:eastAsia="仿宋" w:cs="仿宋"/>
                <w:color w:val="auto"/>
                <w:highlight w:val="none"/>
              </w:rPr>
            </w:pPr>
          </w:p>
        </w:tc>
        <w:tc>
          <w:tcPr>
            <w:tcW w:w="7125" w:type="dxa"/>
            <w:gridSpan w:val="2"/>
            <w:vMerge w:val="continue"/>
            <w:tcBorders>
              <w:bottom w:val="single" w:color="auto" w:sz="4" w:space="0"/>
            </w:tcBorders>
          </w:tcPr>
          <w:p w14:paraId="3F9E303E">
            <w:pPr>
              <w:spacing w:line="240" w:lineRule="auto"/>
              <w:rPr>
                <w:rFonts w:ascii="仿宋" w:hAnsi="仿宋" w:eastAsia="仿宋" w:cs="仿宋"/>
                <w:color w:val="auto"/>
                <w:highlight w:val="none"/>
              </w:rPr>
            </w:pPr>
          </w:p>
        </w:tc>
        <w:tc>
          <w:tcPr>
            <w:tcW w:w="600" w:type="dxa"/>
            <w:vAlign w:val="center"/>
          </w:tcPr>
          <w:p w14:paraId="47894DE8">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30" w:type="dxa"/>
            <w:tcBorders>
              <w:right w:val="single" w:color="auto" w:sz="4" w:space="0"/>
            </w:tcBorders>
            <w:vAlign w:val="center"/>
          </w:tcPr>
          <w:p w14:paraId="422D76C2">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2D3A7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450" w:type="dxa"/>
            <w:vMerge w:val="restart"/>
            <w:tcBorders>
              <w:top w:val="single" w:color="auto" w:sz="4" w:space="0"/>
              <w:left w:val="single" w:color="auto" w:sz="4" w:space="0"/>
              <w:right w:val="single" w:color="auto" w:sz="4" w:space="0"/>
            </w:tcBorders>
            <w:vAlign w:val="center"/>
          </w:tcPr>
          <w:p w14:paraId="4C8D81F4">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3B53C87A">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127D16D7">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429E58EC">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10" w:type="dxa"/>
            <w:tcBorders>
              <w:top w:val="single" w:color="auto" w:sz="4" w:space="0"/>
              <w:left w:val="single" w:color="auto" w:sz="4" w:space="0"/>
              <w:right w:val="single" w:color="auto" w:sz="4" w:space="0"/>
            </w:tcBorders>
            <w:vAlign w:val="center"/>
          </w:tcPr>
          <w:p w14:paraId="15C6D11E">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615" w:type="dxa"/>
            <w:tcBorders>
              <w:top w:val="single" w:color="auto" w:sz="4" w:space="0"/>
              <w:left w:val="single" w:color="auto" w:sz="4" w:space="0"/>
              <w:right w:val="single" w:color="auto" w:sz="4" w:space="0"/>
            </w:tcBorders>
            <w:vAlign w:val="center"/>
          </w:tcPr>
          <w:p w14:paraId="69AA1A3D">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报价高于设定的采购预算价的；</w:t>
            </w:r>
          </w:p>
        </w:tc>
        <w:tc>
          <w:tcPr>
            <w:tcW w:w="600" w:type="dxa"/>
            <w:tcBorders>
              <w:left w:val="single" w:color="auto" w:sz="4" w:space="0"/>
              <w:right w:val="single" w:color="auto" w:sz="4" w:space="0"/>
            </w:tcBorders>
          </w:tcPr>
          <w:p w14:paraId="22BE81F7">
            <w:pPr>
              <w:spacing w:line="240" w:lineRule="auto"/>
              <w:jc w:val="center"/>
              <w:rPr>
                <w:rFonts w:ascii="仿宋" w:hAnsi="仿宋" w:eastAsia="仿宋" w:cs="仿宋"/>
                <w:b/>
                <w:color w:val="auto"/>
                <w:szCs w:val="21"/>
                <w:highlight w:val="none"/>
                <w:lang w:eastAsia="zh-CN"/>
              </w:rPr>
            </w:pPr>
          </w:p>
        </w:tc>
        <w:tc>
          <w:tcPr>
            <w:tcW w:w="630" w:type="dxa"/>
            <w:tcBorders>
              <w:left w:val="single" w:color="auto" w:sz="4" w:space="0"/>
              <w:right w:val="single" w:color="auto" w:sz="4" w:space="0"/>
            </w:tcBorders>
          </w:tcPr>
          <w:p w14:paraId="3B744FAD">
            <w:pPr>
              <w:spacing w:line="240" w:lineRule="auto"/>
              <w:jc w:val="center"/>
              <w:rPr>
                <w:rFonts w:ascii="仿宋" w:hAnsi="仿宋" w:eastAsia="仿宋" w:cs="仿宋"/>
                <w:b/>
                <w:color w:val="auto"/>
                <w:szCs w:val="21"/>
                <w:highlight w:val="none"/>
                <w:lang w:eastAsia="zh-CN"/>
              </w:rPr>
            </w:pPr>
          </w:p>
        </w:tc>
      </w:tr>
      <w:tr w14:paraId="56089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450" w:type="dxa"/>
            <w:vMerge w:val="continue"/>
            <w:tcBorders>
              <w:left w:val="single" w:color="auto" w:sz="4" w:space="0"/>
              <w:right w:val="single" w:color="auto" w:sz="4" w:space="0"/>
            </w:tcBorders>
            <w:vAlign w:val="center"/>
          </w:tcPr>
          <w:p w14:paraId="77B37026">
            <w:pPr>
              <w:spacing w:line="240" w:lineRule="auto"/>
              <w:rPr>
                <w:rFonts w:ascii="仿宋" w:hAnsi="仿宋" w:eastAsia="仿宋" w:cs="仿宋"/>
                <w:color w:val="auto"/>
                <w:highlight w:val="none"/>
                <w:lang w:eastAsia="zh-CN"/>
              </w:rPr>
            </w:pPr>
          </w:p>
        </w:tc>
        <w:tc>
          <w:tcPr>
            <w:tcW w:w="510" w:type="dxa"/>
            <w:tcBorders>
              <w:top w:val="single" w:color="auto" w:sz="4" w:space="0"/>
              <w:left w:val="single" w:color="auto" w:sz="4" w:space="0"/>
              <w:bottom w:val="single" w:color="auto" w:sz="4" w:space="0"/>
              <w:right w:val="single" w:color="auto" w:sz="4" w:space="0"/>
            </w:tcBorders>
            <w:vAlign w:val="center"/>
          </w:tcPr>
          <w:p w14:paraId="5A2FD9CD">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615" w:type="dxa"/>
            <w:tcBorders>
              <w:top w:val="single" w:color="auto" w:sz="4" w:space="0"/>
              <w:left w:val="single" w:color="auto" w:sz="4" w:space="0"/>
              <w:bottom w:val="single" w:color="auto" w:sz="4" w:space="0"/>
              <w:right w:val="single" w:color="auto" w:sz="4" w:space="0"/>
            </w:tcBorders>
            <w:vAlign w:val="center"/>
          </w:tcPr>
          <w:p w14:paraId="7D412E0F">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法定代表人身份证明及授权委托书有效，且符合招标文件规定的格式。</w:t>
            </w:r>
          </w:p>
        </w:tc>
        <w:tc>
          <w:tcPr>
            <w:tcW w:w="600" w:type="dxa"/>
            <w:tcBorders>
              <w:left w:val="single" w:color="auto" w:sz="4" w:space="0"/>
            </w:tcBorders>
          </w:tcPr>
          <w:p w14:paraId="3D6A2A45">
            <w:pPr>
              <w:spacing w:line="240" w:lineRule="auto"/>
              <w:rPr>
                <w:rFonts w:ascii="仿宋" w:hAnsi="仿宋" w:eastAsia="仿宋" w:cs="仿宋"/>
                <w:color w:val="auto"/>
                <w:szCs w:val="21"/>
                <w:highlight w:val="none"/>
                <w:lang w:eastAsia="zh-CN"/>
              </w:rPr>
            </w:pPr>
          </w:p>
        </w:tc>
        <w:tc>
          <w:tcPr>
            <w:tcW w:w="630" w:type="dxa"/>
            <w:tcBorders>
              <w:right w:val="single" w:color="auto" w:sz="4" w:space="0"/>
            </w:tcBorders>
          </w:tcPr>
          <w:p w14:paraId="0BFDFF5C">
            <w:pPr>
              <w:spacing w:line="240" w:lineRule="auto"/>
              <w:rPr>
                <w:rFonts w:ascii="仿宋" w:hAnsi="仿宋" w:eastAsia="仿宋" w:cs="仿宋"/>
                <w:color w:val="auto"/>
                <w:szCs w:val="21"/>
                <w:highlight w:val="none"/>
                <w:lang w:eastAsia="zh-CN"/>
              </w:rPr>
            </w:pPr>
          </w:p>
        </w:tc>
      </w:tr>
      <w:tr w14:paraId="2979F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450" w:type="dxa"/>
            <w:vMerge w:val="continue"/>
            <w:tcBorders>
              <w:left w:val="single" w:color="auto" w:sz="4" w:space="0"/>
              <w:right w:val="single" w:color="auto" w:sz="4" w:space="0"/>
            </w:tcBorders>
            <w:vAlign w:val="center"/>
          </w:tcPr>
          <w:p w14:paraId="73037EE8">
            <w:pPr>
              <w:spacing w:line="240" w:lineRule="auto"/>
              <w:rPr>
                <w:rFonts w:ascii="仿宋" w:hAnsi="仿宋" w:eastAsia="仿宋" w:cs="仿宋"/>
                <w:color w:val="auto"/>
                <w:highlight w:val="none"/>
                <w:lang w:eastAsia="zh-CN"/>
              </w:rPr>
            </w:pPr>
          </w:p>
        </w:tc>
        <w:tc>
          <w:tcPr>
            <w:tcW w:w="510" w:type="dxa"/>
            <w:tcBorders>
              <w:top w:val="single" w:color="auto" w:sz="4" w:space="0"/>
              <w:left w:val="single" w:color="auto" w:sz="4" w:space="0"/>
              <w:right w:val="single" w:color="auto" w:sz="4" w:space="0"/>
            </w:tcBorders>
            <w:vAlign w:val="center"/>
          </w:tcPr>
          <w:p w14:paraId="2CF47840">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615" w:type="dxa"/>
            <w:tcBorders>
              <w:top w:val="single" w:color="auto" w:sz="4" w:space="0"/>
              <w:left w:val="single" w:color="auto" w:sz="4" w:space="0"/>
              <w:right w:val="single" w:color="auto" w:sz="4" w:space="0"/>
            </w:tcBorders>
            <w:vAlign w:val="center"/>
          </w:tcPr>
          <w:p w14:paraId="57DE45EE">
            <w:pPr>
              <w:widowControl/>
              <w:spacing w:line="240" w:lineRule="auto"/>
              <w:textAlignment w:val="center"/>
              <w:rPr>
                <w:rFonts w:ascii="仿宋" w:hAnsi="仿宋" w:eastAsia="仿宋" w:cs="仿宋"/>
                <w:color w:val="auto"/>
                <w:highlight w:val="none"/>
              </w:rPr>
            </w:pPr>
            <w:r>
              <w:rPr>
                <w:rFonts w:hint="eastAsia" w:ascii="仿宋" w:hAnsi="仿宋" w:eastAsia="仿宋" w:cs="仿宋"/>
                <w:color w:val="auto"/>
                <w:highlight w:val="none"/>
              </w:rPr>
              <w:t>只有一个方案投标。</w:t>
            </w:r>
          </w:p>
        </w:tc>
        <w:tc>
          <w:tcPr>
            <w:tcW w:w="600" w:type="dxa"/>
            <w:tcBorders>
              <w:left w:val="single" w:color="auto" w:sz="4" w:space="0"/>
            </w:tcBorders>
          </w:tcPr>
          <w:p w14:paraId="08A27938">
            <w:pPr>
              <w:spacing w:line="240" w:lineRule="auto"/>
              <w:rPr>
                <w:rFonts w:ascii="仿宋" w:hAnsi="仿宋" w:eastAsia="仿宋" w:cs="仿宋"/>
                <w:color w:val="auto"/>
                <w:szCs w:val="21"/>
                <w:highlight w:val="none"/>
              </w:rPr>
            </w:pPr>
          </w:p>
        </w:tc>
        <w:tc>
          <w:tcPr>
            <w:tcW w:w="630" w:type="dxa"/>
            <w:tcBorders>
              <w:right w:val="single" w:color="auto" w:sz="4" w:space="0"/>
            </w:tcBorders>
          </w:tcPr>
          <w:p w14:paraId="3E62CA6B">
            <w:pPr>
              <w:spacing w:line="240" w:lineRule="auto"/>
              <w:rPr>
                <w:rFonts w:ascii="仿宋" w:hAnsi="仿宋" w:eastAsia="仿宋" w:cs="仿宋"/>
                <w:color w:val="auto"/>
                <w:szCs w:val="21"/>
                <w:highlight w:val="none"/>
              </w:rPr>
            </w:pPr>
          </w:p>
        </w:tc>
      </w:tr>
      <w:tr w14:paraId="6319F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450" w:type="dxa"/>
            <w:vMerge w:val="continue"/>
            <w:tcBorders>
              <w:left w:val="single" w:color="auto" w:sz="4" w:space="0"/>
              <w:right w:val="single" w:color="auto" w:sz="4" w:space="0"/>
            </w:tcBorders>
            <w:vAlign w:val="center"/>
          </w:tcPr>
          <w:p w14:paraId="0F955898">
            <w:pPr>
              <w:spacing w:line="240" w:lineRule="auto"/>
              <w:rPr>
                <w:rFonts w:ascii="仿宋" w:hAnsi="仿宋" w:eastAsia="仿宋" w:cs="仿宋"/>
                <w:color w:val="auto"/>
                <w:highlight w:val="none"/>
              </w:rPr>
            </w:pPr>
          </w:p>
        </w:tc>
        <w:tc>
          <w:tcPr>
            <w:tcW w:w="510" w:type="dxa"/>
            <w:tcBorders>
              <w:left w:val="single" w:color="auto" w:sz="4" w:space="0"/>
            </w:tcBorders>
            <w:vAlign w:val="center"/>
          </w:tcPr>
          <w:p w14:paraId="307929B9">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lang w:eastAsia="zh-CN"/>
              </w:rPr>
              <w:t>4</w:t>
            </w:r>
          </w:p>
        </w:tc>
        <w:tc>
          <w:tcPr>
            <w:tcW w:w="6615" w:type="dxa"/>
            <w:tcBorders>
              <w:right w:val="single" w:color="auto" w:sz="4" w:space="0"/>
            </w:tcBorders>
            <w:vAlign w:val="center"/>
          </w:tcPr>
          <w:p w14:paraId="13B708C9">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投标文件内容齐全、无遗漏。</w:t>
            </w:r>
          </w:p>
        </w:tc>
        <w:tc>
          <w:tcPr>
            <w:tcW w:w="600" w:type="dxa"/>
            <w:tcBorders>
              <w:left w:val="single" w:color="auto" w:sz="4" w:space="0"/>
            </w:tcBorders>
          </w:tcPr>
          <w:p w14:paraId="453C355D">
            <w:pPr>
              <w:spacing w:line="240" w:lineRule="auto"/>
              <w:rPr>
                <w:rFonts w:ascii="仿宋" w:hAnsi="仿宋" w:eastAsia="仿宋" w:cs="仿宋"/>
                <w:color w:val="auto"/>
                <w:szCs w:val="21"/>
                <w:highlight w:val="none"/>
                <w:lang w:eastAsia="zh-CN"/>
              </w:rPr>
            </w:pPr>
          </w:p>
        </w:tc>
        <w:tc>
          <w:tcPr>
            <w:tcW w:w="630" w:type="dxa"/>
            <w:tcBorders>
              <w:right w:val="single" w:color="auto" w:sz="4" w:space="0"/>
            </w:tcBorders>
          </w:tcPr>
          <w:p w14:paraId="0B9BE6E5">
            <w:pPr>
              <w:spacing w:line="240" w:lineRule="auto"/>
              <w:rPr>
                <w:rFonts w:ascii="仿宋" w:hAnsi="仿宋" w:eastAsia="仿宋" w:cs="仿宋"/>
                <w:color w:val="auto"/>
                <w:szCs w:val="21"/>
                <w:highlight w:val="none"/>
                <w:lang w:eastAsia="zh-CN"/>
              </w:rPr>
            </w:pPr>
          </w:p>
        </w:tc>
      </w:tr>
      <w:tr w14:paraId="47750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450" w:type="dxa"/>
            <w:vMerge w:val="continue"/>
            <w:tcBorders>
              <w:left w:val="single" w:color="auto" w:sz="4" w:space="0"/>
              <w:right w:val="single" w:color="auto" w:sz="4" w:space="0"/>
            </w:tcBorders>
            <w:vAlign w:val="center"/>
          </w:tcPr>
          <w:p w14:paraId="5874ABC6">
            <w:pPr>
              <w:spacing w:line="240" w:lineRule="auto"/>
              <w:rPr>
                <w:rFonts w:ascii="仿宋" w:hAnsi="仿宋" w:eastAsia="仿宋" w:cs="仿宋"/>
                <w:color w:val="auto"/>
                <w:highlight w:val="none"/>
                <w:lang w:eastAsia="zh-CN"/>
              </w:rPr>
            </w:pPr>
          </w:p>
        </w:tc>
        <w:tc>
          <w:tcPr>
            <w:tcW w:w="510" w:type="dxa"/>
            <w:tcBorders>
              <w:left w:val="single" w:color="auto" w:sz="4" w:space="0"/>
              <w:bottom w:val="single" w:color="auto" w:sz="4" w:space="0"/>
            </w:tcBorders>
            <w:vAlign w:val="center"/>
          </w:tcPr>
          <w:p w14:paraId="59C9342D">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615" w:type="dxa"/>
            <w:tcBorders>
              <w:bottom w:val="single" w:color="auto" w:sz="4" w:space="0"/>
              <w:right w:val="single" w:color="auto" w:sz="4" w:space="0"/>
            </w:tcBorders>
            <w:vAlign w:val="center"/>
          </w:tcPr>
          <w:p w14:paraId="43FBAA18">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对招标文件规定的招标内容全部作出响应。</w:t>
            </w:r>
          </w:p>
        </w:tc>
        <w:tc>
          <w:tcPr>
            <w:tcW w:w="600" w:type="dxa"/>
            <w:tcBorders>
              <w:left w:val="single" w:color="auto" w:sz="4" w:space="0"/>
              <w:bottom w:val="single" w:color="auto" w:sz="4" w:space="0"/>
            </w:tcBorders>
          </w:tcPr>
          <w:p w14:paraId="4940CAAA">
            <w:pPr>
              <w:spacing w:line="240" w:lineRule="auto"/>
              <w:rPr>
                <w:rFonts w:ascii="仿宋" w:hAnsi="仿宋" w:eastAsia="仿宋" w:cs="仿宋"/>
                <w:color w:val="auto"/>
                <w:szCs w:val="21"/>
                <w:highlight w:val="none"/>
                <w:lang w:eastAsia="zh-CN"/>
              </w:rPr>
            </w:pPr>
          </w:p>
        </w:tc>
        <w:tc>
          <w:tcPr>
            <w:tcW w:w="630" w:type="dxa"/>
            <w:tcBorders>
              <w:bottom w:val="single" w:color="auto" w:sz="4" w:space="0"/>
              <w:right w:val="single" w:color="auto" w:sz="4" w:space="0"/>
            </w:tcBorders>
          </w:tcPr>
          <w:p w14:paraId="6B457401">
            <w:pPr>
              <w:spacing w:line="240" w:lineRule="auto"/>
              <w:rPr>
                <w:rFonts w:ascii="仿宋" w:hAnsi="仿宋" w:eastAsia="仿宋" w:cs="仿宋"/>
                <w:color w:val="auto"/>
                <w:szCs w:val="21"/>
                <w:highlight w:val="none"/>
                <w:lang w:eastAsia="zh-CN"/>
              </w:rPr>
            </w:pPr>
          </w:p>
        </w:tc>
      </w:tr>
      <w:tr w14:paraId="0292A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450" w:type="dxa"/>
            <w:vMerge w:val="continue"/>
            <w:tcBorders>
              <w:left w:val="single" w:color="auto" w:sz="4" w:space="0"/>
              <w:right w:val="single" w:color="auto" w:sz="4" w:space="0"/>
            </w:tcBorders>
            <w:vAlign w:val="center"/>
          </w:tcPr>
          <w:p w14:paraId="657FB517">
            <w:pPr>
              <w:spacing w:line="240" w:lineRule="auto"/>
              <w:rPr>
                <w:rFonts w:ascii="仿宋" w:hAnsi="仿宋" w:eastAsia="仿宋" w:cs="仿宋"/>
                <w:color w:val="auto"/>
                <w:highlight w:val="none"/>
                <w:lang w:eastAsia="zh-CN"/>
              </w:rPr>
            </w:pPr>
          </w:p>
        </w:tc>
        <w:tc>
          <w:tcPr>
            <w:tcW w:w="510" w:type="dxa"/>
            <w:tcBorders>
              <w:top w:val="single" w:color="auto" w:sz="4" w:space="0"/>
              <w:left w:val="single" w:color="auto" w:sz="4" w:space="0"/>
              <w:bottom w:val="single" w:color="auto" w:sz="4" w:space="0"/>
              <w:right w:val="single" w:color="auto" w:sz="4" w:space="0"/>
            </w:tcBorders>
            <w:vAlign w:val="center"/>
          </w:tcPr>
          <w:p w14:paraId="38324F61">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615" w:type="dxa"/>
            <w:tcBorders>
              <w:top w:val="single" w:color="auto" w:sz="4" w:space="0"/>
              <w:left w:val="single" w:color="auto" w:sz="4" w:space="0"/>
              <w:bottom w:val="single" w:color="auto" w:sz="4" w:space="0"/>
              <w:right w:val="single" w:color="auto" w:sz="4" w:space="0"/>
            </w:tcBorders>
            <w:vAlign w:val="center"/>
          </w:tcPr>
          <w:p w14:paraId="623231C6">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满足招标文件提出的技术和质量要求。</w:t>
            </w:r>
          </w:p>
        </w:tc>
        <w:tc>
          <w:tcPr>
            <w:tcW w:w="600" w:type="dxa"/>
            <w:tcBorders>
              <w:top w:val="single" w:color="auto" w:sz="4" w:space="0"/>
              <w:left w:val="single" w:color="auto" w:sz="4" w:space="0"/>
              <w:bottom w:val="single" w:color="auto" w:sz="4" w:space="0"/>
              <w:right w:val="single" w:color="auto" w:sz="4" w:space="0"/>
            </w:tcBorders>
          </w:tcPr>
          <w:p w14:paraId="20A3CE76">
            <w:pPr>
              <w:spacing w:line="240" w:lineRule="auto"/>
              <w:rPr>
                <w:rFonts w:ascii="仿宋" w:hAnsi="仿宋" w:eastAsia="仿宋" w:cs="仿宋"/>
                <w:color w:val="auto"/>
                <w:szCs w:val="21"/>
                <w:highlight w:val="none"/>
                <w:lang w:eastAsia="zh-CN"/>
              </w:rPr>
            </w:pPr>
          </w:p>
        </w:tc>
        <w:tc>
          <w:tcPr>
            <w:tcW w:w="630" w:type="dxa"/>
            <w:tcBorders>
              <w:top w:val="single" w:color="auto" w:sz="4" w:space="0"/>
              <w:left w:val="single" w:color="auto" w:sz="4" w:space="0"/>
              <w:bottom w:val="single" w:color="auto" w:sz="4" w:space="0"/>
              <w:right w:val="single" w:color="auto" w:sz="4" w:space="0"/>
            </w:tcBorders>
          </w:tcPr>
          <w:p w14:paraId="56811926">
            <w:pPr>
              <w:spacing w:line="240" w:lineRule="auto"/>
              <w:rPr>
                <w:rFonts w:ascii="仿宋" w:hAnsi="仿宋" w:eastAsia="仿宋" w:cs="仿宋"/>
                <w:color w:val="auto"/>
                <w:szCs w:val="21"/>
                <w:highlight w:val="none"/>
                <w:lang w:eastAsia="zh-CN"/>
              </w:rPr>
            </w:pPr>
          </w:p>
        </w:tc>
      </w:tr>
      <w:tr w14:paraId="0A825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0" w:type="dxa"/>
            <w:vMerge w:val="continue"/>
            <w:tcBorders>
              <w:left w:val="single" w:color="auto" w:sz="4" w:space="0"/>
              <w:right w:val="single" w:color="auto" w:sz="4" w:space="0"/>
            </w:tcBorders>
            <w:vAlign w:val="center"/>
          </w:tcPr>
          <w:p w14:paraId="5AD3E2D7">
            <w:pPr>
              <w:spacing w:line="240" w:lineRule="auto"/>
              <w:rPr>
                <w:rFonts w:ascii="仿宋" w:hAnsi="仿宋" w:eastAsia="仿宋" w:cs="仿宋"/>
                <w:color w:val="auto"/>
                <w:highlight w:val="none"/>
                <w:lang w:eastAsia="zh-CN"/>
              </w:rPr>
            </w:pPr>
          </w:p>
        </w:tc>
        <w:tc>
          <w:tcPr>
            <w:tcW w:w="510" w:type="dxa"/>
            <w:tcBorders>
              <w:top w:val="single" w:color="auto" w:sz="4" w:space="0"/>
              <w:left w:val="single" w:color="auto" w:sz="4" w:space="0"/>
            </w:tcBorders>
            <w:vAlign w:val="center"/>
          </w:tcPr>
          <w:p w14:paraId="68C95510">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615" w:type="dxa"/>
            <w:tcBorders>
              <w:top w:val="single" w:color="auto" w:sz="4" w:space="0"/>
              <w:right w:val="single" w:color="auto" w:sz="4" w:space="0"/>
            </w:tcBorders>
            <w:vAlign w:val="center"/>
          </w:tcPr>
          <w:p w14:paraId="449634E0">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完成期限满足招标文件要求。</w:t>
            </w:r>
          </w:p>
        </w:tc>
        <w:tc>
          <w:tcPr>
            <w:tcW w:w="600" w:type="dxa"/>
            <w:tcBorders>
              <w:top w:val="single" w:color="auto" w:sz="4" w:space="0"/>
              <w:left w:val="single" w:color="auto" w:sz="4" w:space="0"/>
            </w:tcBorders>
          </w:tcPr>
          <w:p w14:paraId="7F8BC99A">
            <w:pPr>
              <w:spacing w:line="240" w:lineRule="auto"/>
              <w:rPr>
                <w:rFonts w:ascii="仿宋" w:hAnsi="仿宋" w:eastAsia="仿宋" w:cs="仿宋"/>
                <w:color w:val="auto"/>
                <w:szCs w:val="21"/>
                <w:highlight w:val="none"/>
                <w:lang w:eastAsia="zh-CN"/>
              </w:rPr>
            </w:pPr>
          </w:p>
        </w:tc>
        <w:tc>
          <w:tcPr>
            <w:tcW w:w="630" w:type="dxa"/>
            <w:tcBorders>
              <w:top w:val="single" w:color="auto" w:sz="4" w:space="0"/>
              <w:right w:val="single" w:color="auto" w:sz="4" w:space="0"/>
            </w:tcBorders>
          </w:tcPr>
          <w:p w14:paraId="5BDE2DCE">
            <w:pPr>
              <w:spacing w:line="240" w:lineRule="auto"/>
              <w:rPr>
                <w:rFonts w:ascii="仿宋" w:hAnsi="仿宋" w:eastAsia="仿宋" w:cs="仿宋"/>
                <w:color w:val="auto"/>
                <w:szCs w:val="21"/>
                <w:highlight w:val="none"/>
                <w:lang w:eastAsia="zh-CN"/>
              </w:rPr>
            </w:pPr>
          </w:p>
        </w:tc>
      </w:tr>
      <w:tr w14:paraId="6CDD2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450" w:type="dxa"/>
            <w:vMerge w:val="continue"/>
            <w:tcBorders>
              <w:left w:val="single" w:color="auto" w:sz="4" w:space="0"/>
              <w:right w:val="single" w:color="auto" w:sz="4" w:space="0"/>
            </w:tcBorders>
            <w:vAlign w:val="center"/>
          </w:tcPr>
          <w:p w14:paraId="65877BC1">
            <w:pPr>
              <w:spacing w:line="240" w:lineRule="auto"/>
              <w:rPr>
                <w:rFonts w:ascii="仿宋" w:hAnsi="仿宋" w:eastAsia="仿宋" w:cs="仿宋"/>
                <w:color w:val="auto"/>
                <w:highlight w:val="none"/>
                <w:lang w:eastAsia="zh-CN"/>
              </w:rPr>
            </w:pPr>
          </w:p>
        </w:tc>
        <w:tc>
          <w:tcPr>
            <w:tcW w:w="510" w:type="dxa"/>
            <w:tcBorders>
              <w:left w:val="single" w:color="auto" w:sz="4" w:space="0"/>
            </w:tcBorders>
            <w:vAlign w:val="center"/>
          </w:tcPr>
          <w:p w14:paraId="1ECDE1A7">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8</w:t>
            </w:r>
          </w:p>
        </w:tc>
        <w:tc>
          <w:tcPr>
            <w:tcW w:w="6615" w:type="dxa"/>
            <w:tcBorders>
              <w:right w:val="single" w:color="auto" w:sz="4" w:space="0"/>
            </w:tcBorders>
            <w:vAlign w:val="center"/>
          </w:tcPr>
          <w:p w14:paraId="1EA7B856">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服务满足招标文件要求。</w:t>
            </w:r>
          </w:p>
        </w:tc>
        <w:tc>
          <w:tcPr>
            <w:tcW w:w="600" w:type="dxa"/>
            <w:tcBorders>
              <w:left w:val="single" w:color="auto" w:sz="4" w:space="0"/>
            </w:tcBorders>
          </w:tcPr>
          <w:p w14:paraId="317A77BC">
            <w:pPr>
              <w:spacing w:line="240" w:lineRule="auto"/>
              <w:rPr>
                <w:rFonts w:ascii="仿宋" w:hAnsi="仿宋" w:eastAsia="仿宋" w:cs="仿宋"/>
                <w:color w:val="auto"/>
                <w:szCs w:val="21"/>
                <w:highlight w:val="none"/>
                <w:lang w:eastAsia="zh-CN"/>
              </w:rPr>
            </w:pPr>
          </w:p>
        </w:tc>
        <w:tc>
          <w:tcPr>
            <w:tcW w:w="630" w:type="dxa"/>
            <w:tcBorders>
              <w:right w:val="single" w:color="auto" w:sz="4" w:space="0"/>
            </w:tcBorders>
          </w:tcPr>
          <w:p w14:paraId="19B5ABE0">
            <w:pPr>
              <w:spacing w:line="240" w:lineRule="auto"/>
              <w:rPr>
                <w:rFonts w:ascii="仿宋" w:hAnsi="仿宋" w:eastAsia="仿宋" w:cs="仿宋"/>
                <w:color w:val="auto"/>
                <w:szCs w:val="21"/>
                <w:highlight w:val="none"/>
                <w:lang w:eastAsia="zh-CN"/>
              </w:rPr>
            </w:pPr>
          </w:p>
        </w:tc>
      </w:tr>
      <w:tr w14:paraId="51F39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50" w:type="dxa"/>
            <w:vMerge w:val="continue"/>
            <w:tcBorders>
              <w:left w:val="single" w:color="auto" w:sz="4" w:space="0"/>
              <w:right w:val="single" w:color="auto" w:sz="4" w:space="0"/>
            </w:tcBorders>
            <w:vAlign w:val="center"/>
          </w:tcPr>
          <w:p w14:paraId="2112CEA5">
            <w:pPr>
              <w:spacing w:line="240" w:lineRule="auto"/>
              <w:rPr>
                <w:rFonts w:ascii="仿宋" w:hAnsi="仿宋" w:eastAsia="仿宋" w:cs="仿宋"/>
                <w:color w:val="auto"/>
                <w:highlight w:val="none"/>
                <w:lang w:eastAsia="zh-CN"/>
              </w:rPr>
            </w:pPr>
          </w:p>
        </w:tc>
        <w:tc>
          <w:tcPr>
            <w:tcW w:w="510" w:type="dxa"/>
            <w:tcBorders>
              <w:left w:val="single" w:color="auto" w:sz="4" w:space="0"/>
            </w:tcBorders>
            <w:vAlign w:val="center"/>
          </w:tcPr>
          <w:p w14:paraId="4948E97F">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9</w:t>
            </w:r>
          </w:p>
        </w:tc>
        <w:tc>
          <w:tcPr>
            <w:tcW w:w="6615" w:type="dxa"/>
            <w:tcBorders>
              <w:right w:val="single" w:color="auto" w:sz="4" w:space="0"/>
            </w:tcBorders>
            <w:vAlign w:val="center"/>
          </w:tcPr>
          <w:p w14:paraId="7E1BAB1A">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投标有效期满足招标文件要求。</w:t>
            </w:r>
          </w:p>
        </w:tc>
        <w:tc>
          <w:tcPr>
            <w:tcW w:w="600" w:type="dxa"/>
            <w:tcBorders>
              <w:left w:val="single" w:color="auto" w:sz="4" w:space="0"/>
            </w:tcBorders>
          </w:tcPr>
          <w:p w14:paraId="7F5303BE">
            <w:pPr>
              <w:spacing w:line="240" w:lineRule="auto"/>
              <w:rPr>
                <w:rFonts w:ascii="仿宋" w:hAnsi="仿宋" w:eastAsia="仿宋" w:cs="仿宋"/>
                <w:color w:val="auto"/>
                <w:szCs w:val="21"/>
                <w:highlight w:val="none"/>
                <w:lang w:eastAsia="zh-CN"/>
              </w:rPr>
            </w:pPr>
          </w:p>
        </w:tc>
        <w:tc>
          <w:tcPr>
            <w:tcW w:w="630" w:type="dxa"/>
            <w:tcBorders>
              <w:right w:val="single" w:color="auto" w:sz="4" w:space="0"/>
            </w:tcBorders>
          </w:tcPr>
          <w:p w14:paraId="7EFFCB37">
            <w:pPr>
              <w:spacing w:line="240" w:lineRule="auto"/>
              <w:rPr>
                <w:rFonts w:ascii="仿宋" w:hAnsi="仿宋" w:eastAsia="仿宋" w:cs="仿宋"/>
                <w:color w:val="auto"/>
                <w:szCs w:val="21"/>
                <w:highlight w:val="none"/>
                <w:lang w:eastAsia="zh-CN"/>
              </w:rPr>
            </w:pPr>
          </w:p>
        </w:tc>
      </w:tr>
      <w:tr w14:paraId="18EE4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450" w:type="dxa"/>
            <w:vMerge w:val="continue"/>
            <w:tcBorders>
              <w:left w:val="single" w:color="auto" w:sz="4" w:space="0"/>
              <w:right w:val="single" w:color="auto" w:sz="4" w:space="0"/>
            </w:tcBorders>
            <w:vAlign w:val="center"/>
          </w:tcPr>
          <w:p w14:paraId="0FA03B9F">
            <w:pPr>
              <w:spacing w:line="240" w:lineRule="auto"/>
              <w:rPr>
                <w:rFonts w:ascii="仿宋" w:hAnsi="仿宋" w:eastAsia="仿宋" w:cs="仿宋"/>
                <w:color w:val="auto"/>
                <w:highlight w:val="none"/>
                <w:lang w:eastAsia="zh-CN"/>
              </w:rPr>
            </w:pPr>
          </w:p>
        </w:tc>
        <w:tc>
          <w:tcPr>
            <w:tcW w:w="510" w:type="dxa"/>
            <w:tcBorders>
              <w:left w:val="single" w:color="auto" w:sz="4" w:space="0"/>
            </w:tcBorders>
            <w:vAlign w:val="center"/>
          </w:tcPr>
          <w:p w14:paraId="6980A2F6">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10</w:t>
            </w:r>
          </w:p>
        </w:tc>
        <w:tc>
          <w:tcPr>
            <w:tcW w:w="6615" w:type="dxa"/>
            <w:tcBorders>
              <w:right w:val="single" w:color="auto" w:sz="4" w:space="0"/>
            </w:tcBorders>
            <w:vAlign w:val="center"/>
          </w:tcPr>
          <w:p w14:paraId="07CA95C3">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供应商详细地址、联系人、电话。</w:t>
            </w:r>
          </w:p>
        </w:tc>
        <w:tc>
          <w:tcPr>
            <w:tcW w:w="600" w:type="dxa"/>
            <w:tcBorders>
              <w:left w:val="single" w:color="auto" w:sz="4" w:space="0"/>
            </w:tcBorders>
          </w:tcPr>
          <w:p w14:paraId="5E29D6DF">
            <w:pPr>
              <w:spacing w:line="240" w:lineRule="auto"/>
              <w:rPr>
                <w:rFonts w:ascii="仿宋" w:hAnsi="仿宋" w:eastAsia="仿宋" w:cs="仿宋"/>
                <w:color w:val="auto"/>
                <w:szCs w:val="21"/>
                <w:highlight w:val="none"/>
                <w:lang w:eastAsia="zh-CN"/>
              </w:rPr>
            </w:pPr>
          </w:p>
        </w:tc>
        <w:tc>
          <w:tcPr>
            <w:tcW w:w="630" w:type="dxa"/>
            <w:tcBorders>
              <w:right w:val="single" w:color="auto" w:sz="4" w:space="0"/>
            </w:tcBorders>
          </w:tcPr>
          <w:p w14:paraId="5F2751F4">
            <w:pPr>
              <w:spacing w:line="240" w:lineRule="auto"/>
              <w:rPr>
                <w:rFonts w:ascii="仿宋" w:hAnsi="仿宋" w:eastAsia="仿宋" w:cs="仿宋"/>
                <w:color w:val="auto"/>
                <w:szCs w:val="21"/>
                <w:highlight w:val="none"/>
                <w:lang w:eastAsia="zh-CN"/>
              </w:rPr>
            </w:pPr>
          </w:p>
        </w:tc>
      </w:tr>
      <w:tr w14:paraId="6F64A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450" w:type="dxa"/>
            <w:tcBorders>
              <w:left w:val="single" w:color="auto" w:sz="4" w:space="0"/>
              <w:bottom w:val="single" w:color="auto" w:sz="4" w:space="0"/>
              <w:right w:val="single" w:color="auto" w:sz="4" w:space="0"/>
            </w:tcBorders>
            <w:vAlign w:val="center"/>
          </w:tcPr>
          <w:p w14:paraId="71FFC6B7">
            <w:pPr>
              <w:spacing w:line="240" w:lineRule="auto"/>
              <w:jc w:val="center"/>
              <w:rPr>
                <w:rFonts w:ascii="仿宋" w:hAnsi="仿宋" w:eastAsia="仿宋" w:cs="仿宋"/>
                <w:color w:val="auto"/>
                <w:szCs w:val="21"/>
                <w:highlight w:val="none"/>
                <w:lang w:eastAsia="zh-CN"/>
              </w:rPr>
            </w:pPr>
          </w:p>
        </w:tc>
        <w:tc>
          <w:tcPr>
            <w:tcW w:w="7125" w:type="dxa"/>
            <w:gridSpan w:val="2"/>
            <w:tcBorders>
              <w:left w:val="single" w:color="auto" w:sz="4" w:space="0"/>
              <w:bottom w:val="single" w:color="auto" w:sz="4" w:space="0"/>
              <w:right w:val="single" w:color="auto" w:sz="4" w:space="0"/>
            </w:tcBorders>
          </w:tcPr>
          <w:p w14:paraId="5A69AEDE">
            <w:pPr>
              <w:spacing w:line="24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6519005F">
            <w:pPr>
              <w:spacing w:line="24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注：如有一项不合格，作废标处理。</w:t>
            </w:r>
          </w:p>
        </w:tc>
        <w:tc>
          <w:tcPr>
            <w:tcW w:w="1230" w:type="dxa"/>
            <w:gridSpan w:val="2"/>
            <w:tcBorders>
              <w:left w:val="single" w:color="auto" w:sz="4" w:space="0"/>
              <w:bottom w:val="single" w:color="auto" w:sz="4" w:space="0"/>
              <w:right w:val="single" w:color="auto" w:sz="4" w:space="0"/>
            </w:tcBorders>
          </w:tcPr>
          <w:p w14:paraId="2BF87454">
            <w:pPr>
              <w:spacing w:line="240" w:lineRule="auto"/>
              <w:rPr>
                <w:rFonts w:ascii="仿宋" w:hAnsi="仿宋" w:eastAsia="仿宋" w:cs="仿宋"/>
                <w:color w:val="auto"/>
                <w:szCs w:val="21"/>
                <w:highlight w:val="none"/>
                <w:lang w:eastAsia="zh-CN"/>
              </w:rPr>
            </w:pPr>
          </w:p>
        </w:tc>
      </w:tr>
    </w:tbl>
    <w:p w14:paraId="142B0AFE">
      <w:pPr>
        <w:rPr>
          <w:rFonts w:ascii="仿宋" w:hAnsi="仿宋" w:eastAsia="仿宋" w:cs="仿宋"/>
          <w:color w:val="auto"/>
          <w:highlight w:val="none"/>
          <w:lang w:eastAsia="zh-CN"/>
        </w:rPr>
      </w:pPr>
    </w:p>
    <w:p w14:paraId="15715F18">
      <w:pPr>
        <w:keepNext w:val="0"/>
        <w:keepLines w:val="0"/>
        <w:pageBreakBefore w:val="0"/>
        <w:widowControl w:val="0"/>
        <w:kinsoku/>
        <w:wordWrap/>
        <w:overflowPunct/>
        <w:topLinePunct w:val="0"/>
        <w:bidi w:val="0"/>
        <w:snapToGrid/>
        <w:spacing w:line="480" w:lineRule="exact"/>
        <w:ind w:firstLine="578"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7.2评委会判定投标文件的响应性只根据投标文件本身的内容，而不寻求外部的证据，但投标有不真实不正确的内容时除外。</w:t>
      </w:r>
    </w:p>
    <w:p w14:paraId="76F16B5A">
      <w:pPr>
        <w:keepNext w:val="0"/>
        <w:keepLines w:val="0"/>
        <w:pageBreakBefore w:val="0"/>
        <w:widowControl w:val="0"/>
        <w:kinsoku/>
        <w:wordWrap/>
        <w:overflowPunct/>
        <w:topLinePunct w:val="0"/>
        <w:bidi w:val="0"/>
        <w:snapToGrid/>
        <w:spacing w:line="480" w:lineRule="exact"/>
        <w:ind w:firstLine="578"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7.3如果投标文件实质上没有响应采购文件的要求，评委会将予以拒绝，供应商不得通过修正或撤销不符合要求的偏离或保留，而使其投标成为实质上响应的投标。</w:t>
      </w:r>
    </w:p>
    <w:p w14:paraId="7E090326">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7.4供应商可在现场20分钟内对评标委员会的评审结论提出异议，评标委员会根据采购文件及有关规定对供应商的异议进行复议</w:t>
      </w:r>
    </w:p>
    <w:p w14:paraId="29A1CA40">
      <w:pPr>
        <w:keepNext w:val="0"/>
        <w:keepLines w:val="0"/>
        <w:pageBreakBefore w:val="0"/>
        <w:widowControl w:val="0"/>
        <w:kinsoku/>
        <w:wordWrap/>
        <w:overflowPunct/>
        <w:topLinePunct w:val="0"/>
        <w:bidi w:val="0"/>
        <w:snapToGrid/>
        <w:spacing w:line="480" w:lineRule="exact"/>
        <w:ind w:firstLine="600" w:firstLineChars="2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7.5只有通过初审的供应商才能进入下一步评标程序。</w:t>
      </w:r>
    </w:p>
    <w:p w14:paraId="69EF60E7">
      <w:pPr>
        <w:keepNext w:val="0"/>
        <w:keepLines w:val="0"/>
        <w:pageBreakBefore w:val="0"/>
        <w:widowControl w:val="0"/>
        <w:kinsoku/>
        <w:wordWrap/>
        <w:overflowPunct/>
        <w:topLinePunct w:val="0"/>
        <w:bidi w:val="0"/>
        <w:snapToGrid/>
        <w:spacing w:line="480" w:lineRule="exact"/>
        <w:ind w:firstLine="482" w:firstLineChars="200"/>
        <w:textAlignment w:val="auto"/>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2B8609AB">
      <w:pPr>
        <w:keepNext w:val="0"/>
        <w:keepLines w:val="0"/>
        <w:pageBreakBefore w:val="0"/>
        <w:widowControl w:val="0"/>
        <w:kinsoku/>
        <w:wordWrap/>
        <w:overflowPunct/>
        <w:topLinePunct w:val="0"/>
        <w:bidi w:val="0"/>
        <w:snapToGrid/>
        <w:spacing w:beforeLines="50" w:line="480" w:lineRule="exact"/>
        <w:jc w:val="center"/>
        <w:textAlignment w:val="auto"/>
        <w:outlineLvl w:val="1"/>
        <w:rPr>
          <w:rFonts w:ascii="仿宋" w:hAnsi="仿宋" w:eastAsia="仿宋" w:cs="仿宋"/>
          <w:b/>
          <w:color w:val="auto"/>
          <w:highlight w:val="none"/>
          <w:lang w:eastAsia="zh-CN"/>
        </w:rPr>
      </w:pPr>
      <w:bookmarkStart w:id="39" w:name="_Toc469495734"/>
      <w:bookmarkStart w:id="40" w:name="_Toc362983803"/>
      <w:r>
        <w:rPr>
          <w:rFonts w:hint="eastAsia" w:ascii="仿宋" w:hAnsi="仿宋" w:eastAsia="仿宋" w:cs="仿宋"/>
          <w:b/>
          <w:color w:val="auto"/>
          <w:highlight w:val="none"/>
          <w:lang w:eastAsia="zh-CN"/>
        </w:rPr>
        <w:t xml:space="preserve">三 </w:t>
      </w:r>
      <w:r>
        <w:rPr>
          <w:rFonts w:hint="eastAsia" w:ascii="仿宋" w:hAnsi="仿宋" w:eastAsia="仿宋" w:cs="仿宋"/>
          <w:b/>
          <w:color w:val="auto"/>
          <w:sz w:val="28"/>
          <w:szCs w:val="28"/>
          <w:highlight w:val="none"/>
          <w:lang w:eastAsia="zh-CN"/>
        </w:rPr>
        <w:t xml:space="preserve"> </w:t>
      </w:r>
      <w:r>
        <w:rPr>
          <w:rFonts w:hint="eastAsia" w:ascii="仿宋" w:hAnsi="仿宋" w:eastAsia="仿宋" w:cs="仿宋"/>
          <w:b/>
          <w:color w:val="auto"/>
          <w:highlight w:val="none"/>
          <w:lang w:eastAsia="zh-CN"/>
        </w:rPr>
        <w:t>投标文件的澄清和补正</w:t>
      </w:r>
      <w:bookmarkEnd w:id="39"/>
      <w:bookmarkEnd w:id="40"/>
    </w:p>
    <w:p w14:paraId="3F4BC537">
      <w:pPr>
        <w:keepNext w:val="0"/>
        <w:keepLines w:val="0"/>
        <w:pageBreakBefore w:val="0"/>
        <w:widowControl w:val="0"/>
        <w:kinsoku/>
        <w:wordWrap/>
        <w:overflowPunct/>
        <w:topLinePunct w:val="0"/>
        <w:bidi w:val="0"/>
        <w:snapToGrid/>
        <w:spacing w:line="480" w:lineRule="exact"/>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8．澄清、说明或补正的形式</w:t>
      </w:r>
    </w:p>
    <w:p w14:paraId="2E372EE2">
      <w:pPr>
        <w:keepNext w:val="0"/>
        <w:keepLines w:val="0"/>
        <w:pageBreakBefore w:val="0"/>
        <w:widowControl w:val="0"/>
        <w:kinsoku/>
        <w:wordWrap/>
        <w:overflowPunct/>
        <w:topLinePunct w:val="0"/>
        <w:bidi w:val="0"/>
        <w:snapToGrid/>
        <w:spacing w:line="480" w:lineRule="exact"/>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5560C09">
      <w:pPr>
        <w:keepNext w:val="0"/>
        <w:keepLines w:val="0"/>
        <w:pageBreakBefore w:val="0"/>
        <w:widowControl w:val="0"/>
        <w:kinsoku/>
        <w:wordWrap/>
        <w:overflowPunct/>
        <w:topLinePunct w:val="0"/>
        <w:bidi w:val="0"/>
        <w:snapToGrid/>
        <w:spacing w:line="480" w:lineRule="exact"/>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1722BD6B">
      <w:pPr>
        <w:keepNext w:val="0"/>
        <w:keepLines w:val="0"/>
        <w:pageBreakBefore w:val="0"/>
        <w:widowControl w:val="0"/>
        <w:kinsoku/>
        <w:wordWrap/>
        <w:overflowPunct/>
        <w:topLinePunct w:val="0"/>
        <w:bidi w:val="0"/>
        <w:snapToGrid/>
        <w:spacing w:line="480" w:lineRule="exact"/>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2AA686B1">
      <w:pPr>
        <w:keepNext w:val="0"/>
        <w:keepLines w:val="0"/>
        <w:pageBreakBefore w:val="0"/>
        <w:widowControl w:val="0"/>
        <w:kinsoku/>
        <w:wordWrap/>
        <w:overflowPunct/>
        <w:topLinePunct w:val="0"/>
        <w:bidi w:val="0"/>
        <w:snapToGrid/>
        <w:spacing w:line="480" w:lineRule="exact"/>
        <w:ind w:firstLine="240"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9．错误修正的原则</w:t>
      </w:r>
    </w:p>
    <w:p w14:paraId="214DFEEB">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440F8F4E">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142DB7DF">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投标函中表述的内容与报价表中不一致的，以报价表为准；报价表中的内容与报价明细表不一致的，以报价表为准；</w:t>
      </w:r>
    </w:p>
    <w:p w14:paraId="0F3CFC52">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投标文件中的大写金额和小写金额不一致的，以大写金额为准；</w:t>
      </w:r>
    </w:p>
    <w:p w14:paraId="1E6C53C0">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单价金额小数点或者百分比有明显错位的，以开标一览表的总价为准，并修改单价；</w:t>
      </w:r>
    </w:p>
    <w:p w14:paraId="0FC35382">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总价金额与按单价汇总金额不一致的，以单价金额计算结果为准；</w:t>
      </w:r>
    </w:p>
    <w:p w14:paraId="03089234">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9.5 若用文字表示的数值与用数字表示的数值不一致，以文字表示的数值为准；</w:t>
      </w:r>
    </w:p>
    <w:p w14:paraId="0907F4C8">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9.6 如有多报（指数量超出采购文件需求）、重报（指同一货物重复报价），其投标总价在评标过程中不予调整，如其中标，其合同价按其投标单价予以调整；</w:t>
      </w:r>
    </w:p>
    <w:p w14:paraId="5D1FC716">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9.7 对不同文字文本投标文件的解释发生异议的，以中文文本为准；</w:t>
      </w:r>
    </w:p>
    <w:p w14:paraId="4F39D38B">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12D6144F">
      <w:pPr>
        <w:keepNext w:val="0"/>
        <w:keepLines w:val="0"/>
        <w:pageBreakBefore w:val="0"/>
        <w:widowControl w:val="0"/>
        <w:kinsoku/>
        <w:wordWrap/>
        <w:overflowPunct/>
        <w:topLinePunct w:val="0"/>
        <w:bidi w:val="0"/>
        <w:snapToGrid/>
        <w:spacing w:line="480" w:lineRule="exact"/>
        <w:jc w:val="center"/>
        <w:textAlignment w:val="auto"/>
        <w:outlineLvl w:val="1"/>
        <w:rPr>
          <w:rFonts w:ascii="仿宋" w:hAnsi="仿宋" w:eastAsia="仿宋" w:cs="仿宋"/>
          <w:b/>
          <w:color w:val="auto"/>
          <w:highlight w:val="none"/>
          <w:lang w:eastAsia="zh-CN"/>
        </w:rPr>
      </w:pPr>
      <w:bookmarkStart w:id="41" w:name="_Toc469495735"/>
      <w:r>
        <w:rPr>
          <w:rFonts w:hint="eastAsia" w:ascii="仿宋" w:hAnsi="仿宋" w:eastAsia="仿宋" w:cs="仿宋"/>
          <w:b/>
          <w:color w:val="auto"/>
          <w:highlight w:val="none"/>
          <w:lang w:eastAsia="zh-CN"/>
        </w:rPr>
        <w:t>四 比较与评价</w:t>
      </w:r>
      <w:bookmarkEnd w:id="41"/>
    </w:p>
    <w:p w14:paraId="18FFE889">
      <w:pPr>
        <w:keepNext w:val="0"/>
        <w:keepLines w:val="0"/>
        <w:pageBreakBefore w:val="0"/>
        <w:widowControl w:val="0"/>
        <w:tabs>
          <w:tab w:val="left" w:pos="720"/>
        </w:tabs>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bookmarkStart w:id="42" w:name="_Toc469495736"/>
      <w:bookmarkStart w:id="43" w:name="_Toc362983805"/>
      <w:r>
        <w:rPr>
          <w:rFonts w:hint="eastAsia" w:ascii="仿宋" w:hAnsi="仿宋" w:eastAsia="仿宋" w:cs="仿宋"/>
          <w:color w:val="auto"/>
          <w:szCs w:val="21"/>
          <w:highlight w:val="none"/>
          <w:lang w:eastAsia="zh-CN" w:bidi="ar-SA"/>
        </w:rPr>
        <w:t>10.1评标委员会按招标文件中规定的评标方法和标准，对资格性检查和符合性检查合格的投标文件进行商务和技术评估、综合比较与评价。</w:t>
      </w:r>
    </w:p>
    <w:p w14:paraId="7B05E9A8">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10.2评标委员会根据商务和技术评估的结果，采用综合评分法，分别对投标文件的商务、技术、价格等内容进行打分。其中，商务评估、技术评估、价格评估的评分权值（详见附件1）。</w:t>
      </w:r>
    </w:p>
    <w:p w14:paraId="5E9D785B">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bCs/>
          <w:color w:val="auto"/>
          <w:szCs w:val="21"/>
          <w:highlight w:val="none"/>
          <w:lang w:eastAsia="zh-CN" w:bidi="ar-SA"/>
        </w:rPr>
      </w:pPr>
      <w:r>
        <w:rPr>
          <w:rFonts w:hint="eastAsia" w:ascii="仿宋" w:hAnsi="仿宋" w:eastAsia="仿宋" w:cs="仿宋"/>
          <w:color w:val="auto"/>
          <w:szCs w:val="21"/>
          <w:highlight w:val="none"/>
          <w:lang w:eastAsia="zh-CN" w:bidi="ar-SA"/>
        </w:rPr>
        <w:t>10.</w:t>
      </w:r>
      <w:r>
        <w:rPr>
          <w:rFonts w:hint="eastAsia" w:ascii="仿宋" w:hAnsi="仿宋" w:eastAsia="仿宋" w:cs="仿宋"/>
          <w:bCs/>
          <w:color w:val="auto"/>
          <w:szCs w:val="21"/>
          <w:highlight w:val="none"/>
          <w:lang w:eastAsia="zh-CN" w:bidi="ar-SA"/>
        </w:rPr>
        <w:t>2.1评委打分办法</w:t>
      </w:r>
    </w:p>
    <w:p w14:paraId="4ED219FE">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bCs/>
          <w:color w:val="auto"/>
          <w:szCs w:val="21"/>
          <w:highlight w:val="none"/>
          <w:lang w:eastAsia="zh-CN" w:bidi="ar-SA"/>
        </w:rPr>
        <w:t>（1）</w:t>
      </w:r>
      <w:r>
        <w:rPr>
          <w:rFonts w:hint="eastAsia" w:ascii="仿宋" w:hAnsi="仿宋" w:eastAsia="仿宋" w:cs="仿宋"/>
          <w:color w:val="auto"/>
          <w:szCs w:val="21"/>
          <w:highlight w:val="none"/>
          <w:lang w:eastAsia="zh-CN" w:bidi="ar-SA"/>
        </w:rPr>
        <w:t>参加评分的评委应尽力体现客观、实事求是，避免学派偏见和个人偏好。</w:t>
      </w:r>
    </w:p>
    <w:p w14:paraId="5F2AA43B">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（2）衡量、对比的依据，应以招标文件、投标文件、提供的正式试验数据、质询澄清中的文字为准，口头回答和收集的资料只作为参考。</w:t>
      </w:r>
    </w:p>
    <w:p w14:paraId="462FBC44">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（3）评分主要是为比较各供应商的价格、商务和技术综合排序。</w:t>
      </w:r>
    </w:p>
    <w:p w14:paraId="703D1F6A">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（4）评委打分采取记名形式。</w:t>
      </w:r>
    </w:p>
    <w:p w14:paraId="7871A6D4">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（5）各评委根据提供的技术打分表独立自主打分，任何人不得要求评委统一打分或统一确定等次顺序。</w:t>
      </w:r>
    </w:p>
    <w:p w14:paraId="15D0967A">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（6）对打分表中的每项条款，各评委应根据投标文件、澄清材料、招标文件要求，按满足的程度给供应商打分。</w:t>
      </w:r>
    </w:p>
    <w:p w14:paraId="59CDB3FC">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（7）评分程序</w:t>
      </w:r>
    </w:p>
    <w:p w14:paraId="29563E49">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1)就供应商的投标文件对照整理出商务、技术评标因素对比表、偏差表，并在经过校核的基础上逐项打分。</w:t>
      </w:r>
    </w:p>
    <w:p w14:paraId="0807669C">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2)各评委独立完成打分后，将评分表交给代理机构，由代理机构组织进行分数统计。</w:t>
      </w:r>
    </w:p>
    <w:p w14:paraId="65D4C513">
      <w:pPr>
        <w:keepNext w:val="0"/>
        <w:keepLines w:val="0"/>
        <w:pageBreakBefore w:val="0"/>
        <w:widowControl w:val="0"/>
        <w:kinsoku/>
        <w:wordWrap/>
        <w:overflowPunct/>
        <w:topLinePunct w:val="0"/>
        <w:bidi w:val="0"/>
        <w:snapToGrid/>
        <w:spacing w:line="48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3)最终汇总表中各供应商得分应为评委打分的算术平均值。</w:t>
      </w:r>
    </w:p>
    <w:p w14:paraId="195B9521">
      <w:pPr>
        <w:pStyle w:val="7"/>
        <w:keepNext w:val="0"/>
        <w:keepLines w:val="0"/>
        <w:pageBreakBefore w:val="0"/>
        <w:widowControl w:val="0"/>
        <w:kinsoku/>
        <w:wordWrap/>
        <w:overflowPunct/>
        <w:topLinePunct w:val="0"/>
        <w:bidi w:val="0"/>
        <w:snapToGrid/>
        <w:spacing w:line="480" w:lineRule="exact"/>
        <w:jc w:val="left"/>
        <w:textAlignment w:val="auto"/>
        <w:rPr>
          <w:rFonts w:hint="eastAsia" w:ascii="仿宋" w:hAnsi="仿宋" w:eastAsia="仿宋" w:cs="仿宋"/>
          <w:b/>
          <w:bCs/>
          <w:color w:val="auto"/>
          <w:szCs w:val="21"/>
          <w:highlight w:val="none"/>
          <w:lang w:eastAsia="zh-CN" w:bidi="ar-SA"/>
        </w:rPr>
      </w:pPr>
      <w:r>
        <w:rPr>
          <w:rFonts w:hint="eastAsia" w:ascii="仿宋" w:hAnsi="仿宋" w:eastAsia="仿宋" w:cs="仿宋"/>
          <w:b/>
          <w:bCs/>
          <w:color w:val="auto"/>
          <w:szCs w:val="21"/>
          <w:highlight w:val="none"/>
          <w:lang w:eastAsia="zh-CN" w:bidi="ar-SA"/>
        </w:rPr>
        <w:t>（8）评分标准和细则（综合评分法评分标准）</w:t>
      </w:r>
    </w:p>
    <w:p w14:paraId="00EF8881">
      <w:pPr>
        <w:pStyle w:val="7"/>
        <w:jc w:val="center"/>
        <w:rPr>
          <w:rFonts w:hint="eastAsia" w:ascii="仿宋" w:hAnsi="仿宋" w:eastAsia="仿宋" w:cs="仿宋"/>
          <w:b/>
          <w:bCs/>
          <w:color w:val="auto"/>
          <w:sz w:val="28"/>
          <w:szCs w:val="21"/>
          <w:highlight w:val="none"/>
          <w:lang w:val="en-US" w:eastAsia="zh-CN"/>
        </w:rPr>
      </w:pPr>
    </w:p>
    <w:p w14:paraId="596F2CD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评分标准</w:t>
      </w:r>
    </w:p>
    <w:tbl>
      <w:tblPr>
        <w:tblStyle w:val="25"/>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272"/>
        <w:gridCol w:w="7176"/>
      </w:tblGrid>
      <w:tr w14:paraId="5268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30" w:type="dxa"/>
            <w:noWrap w:val="0"/>
            <w:vAlign w:val="center"/>
          </w:tcPr>
          <w:p w14:paraId="2A7DBCD2">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评分因素</w:t>
            </w:r>
          </w:p>
        </w:tc>
        <w:tc>
          <w:tcPr>
            <w:tcW w:w="1272" w:type="dxa"/>
            <w:noWrap w:val="0"/>
            <w:vAlign w:val="center"/>
          </w:tcPr>
          <w:p w14:paraId="1890C6D6">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分值</w:t>
            </w:r>
          </w:p>
        </w:tc>
        <w:tc>
          <w:tcPr>
            <w:tcW w:w="7176" w:type="dxa"/>
            <w:noWrap w:val="0"/>
            <w:vAlign w:val="center"/>
          </w:tcPr>
          <w:p w14:paraId="681FC152">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说明</w:t>
            </w:r>
          </w:p>
        </w:tc>
      </w:tr>
      <w:tr w14:paraId="4826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230" w:type="dxa"/>
            <w:noWrap w:val="0"/>
            <w:vAlign w:val="center"/>
          </w:tcPr>
          <w:p w14:paraId="54A2CB98">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报价得分</w:t>
            </w:r>
          </w:p>
          <w:p w14:paraId="1FF150A7">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w:t>
            </w:r>
            <w:r>
              <w:rPr>
                <w:rFonts w:hint="eastAsia" w:ascii="仿宋" w:hAnsi="仿宋" w:eastAsia="仿宋" w:cs="仿宋"/>
                <w:color w:val="auto"/>
                <w:sz w:val="24"/>
                <w:szCs w:val="24"/>
                <w:lang w:val="en-US" w:eastAsia="zh-CN" w:bidi="ar-SA"/>
              </w:rPr>
              <w:t>20</w:t>
            </w:r>
            <w:r>
              <w:rPr>
                <w:rFonts w:hint="eastAsia" w:ascii="仿宋" w:hAnsi="仿宋" w:eastAsia="仿宋" w:cs="仿宋"/>
                <w:color w:val="auto"/>
                <w:sz w:val="24"/>
                <w:szCs w:val="24"/>
                <w:lang w:eastAsia="zh-CN" w:bidi="ar-SA"/>
              </w:rPr>
              <w:t>分）</w:t>
            </w:r>
          </w:p>
        </w:tc>
        <w:tc>
          <w:tcPr>
            <w:tcW w:w="1272" w:type="dxa"/>
            <w:noWrap w:val="0"/>
            <w:vAlign w:val="center"/>
          </w:tcPr>
          <w:p w14:paraId="600CF972">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val="en-US" w:eastAsia="zh-CN" w:bidi="ar-SA"/>
              </w:rPr>
              <w:t>20</w:t>
            </w:r>
            <w:r>
              <w:rPr>
                <w:rFonts w:hint="eastAsia" w:ascii="仿宋" w:hAnsi="仿宋" w:eastAsia="仿宋" w:cs="仿宋"/>
                <w:color w:val="auto"/>
                <w:sz w:val="24"/>
                <w:szCs w:val="24"/>
                <w:lang w:eastAsia="zh-CN" w:bidi="ar-SA"/>
              </w:rPr>
              <w:t>分</w:t>
            </w:r>
          </w:p>
        </w:tc>
        <w:tc>
          <w:tcPr>
            <w:tcW w:w="7176" w:type="dxa"/>
            <w:noWrap w:val="0"/>
            <w:vAlign w:val="top"/>
          </w:tcPr>
          <w:p w14:paraId="27A2AE47">
            <w:pPr>
              <w:widowControl/>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满足招标文件要求且报价最低的供应商的价格为评标基准价，其价格分为满分。其他供应商的价格分统一按照下列公式计算：</w:t>
            </w:r>
          </w:p>
          <w:p w14:paraId="787AFC0B">
            <w:pPr>
              <w:spacing w:line="44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投标报价得分=（基准价/投标报价）</w:t>
            </w:r>
            <w:r>
              <w:rPr>
                <w:rFonts w:hint="default" w:ascii="Arial" w:hAnsi="Arial" w:eastAsia="仿宋" w:cs="Arial"/>
                <w:color w:val="auto"/>
                <w:szCs w:val="21"/>
                <w:highlight w:val="none"/>
                <w:lang w:eastAsia="zh-CN"/>
              </w:rPr>
              <w:t>×</w:t>
            </w:r>
            <w:r>
              <w:rPr>
                <w:rFonts w:hint="eastAsia" w:ascii="仿宋" w:hAnsi="仿宋" w:eastAsia="仿宋" w:cs="仿宋"/>
                <w:color w:val="auto"/>
                <w:szCs w:val="21"/>
                <w:highlight w:val="none"/>
                <w:lang w:val="en-US" w:eastAsia="zh-CN"/>
              </w:rPr>
              <w:t>20</w:t>
            </w:r>
            <w:r>
              <w:rPr>
                <w:rFonts w:hint="default" w:ascii="Arial" w:hAnsi="Arial" w:eastAsia="仿宋" w:cs="Arial"/>
                <w:color w:val="auto"/>
                <w:szCs w:val="21"/>
                <w:highlight w:val="none"/>
                <w:lang w:eastAsia="zh-CN"/>
              </w:rPr>
              <w:t>×</w:t>
            </w:r>
            <w:r>
              <w:rPr>
                <w:rFonts w:hint="eastAsia" w:ascii="仿宋" w:hAnsi="仿宋" w:eastAsia="仿宋" w:cs="仿宋"/>
                <w:color w:val="auto"/>
                <w:szCs w:val="21"/>
                <w:highlight w:val="none"/>
                <w:lang w:eastAsia="zh-CN"/>
              </w:rPr>
              <w:t>100</w:t>
            </w:r>
            <w:r>
              <w:rPr>
                <w:rFonts w:hint="eastAsia" w:ascii="仿宋" w:hAnsi="仿宋" w:eastAsia="仿宋" w:cs="仿宋"/>
                <w:color w:val="auto"/>
                <w:szCs w:val="21"/>
                <w:highlight w:val="none"/>
                <w:lang w:val="en-US" w:eastAsia="zh-CN"/>
              </w:rPr>
              <w:t>%</w:t>
            </w:r>
          </w:p>
          <w:p w14:paraId="1A46A511">
            <w:pPr>
              <w:spacing w:line="440" w:lineRule="exact"/>
              <w:rPr>
                <w:rFonts w:hint="default" w:ascii="仿宋" w:hAnsi="仿宋" w:eastAsia="仿宋" w:cs="仿宋"/>
                <w:color w:val="auto"/>
                <w:sz w:val="24"/>
                <w:szCs w:val="24"/>
                <w:lang w:val="en-US" w:eastAsia="zh-CN" w:bidi="ar-SA"/>
              </w:rPr>
            </w:pPr>
            <w:r>
              <w:rPr>
                <w:rFonts w:hint="eastAsia" w:ascii="仿宋" w:hAnsi="仿宋" w:eastAsia="仿宋" w:cs="仿宋"/>
                <w:b/>
                <w:bCs/>
                <w:color w:val="auto"/>
                <w:sz w:val="24"/>
                <w:szCs w:val="24"/>
                <w:lang w:val="en-US" w:eastAsia="zh-CN" w:bidi="ar-SA"/>
              </w:rPr>
              <w:t>注：投标报价超过采购预算价的按废标处理。</w:t>
            </w:r>
          </w:p>
        </w:tc>
      </w:tr>
      <w:tr w14:paraId="6829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jc w:val="center"/>
        </w:trPr>
        <w:tc>
          <w:tcPr>
            <w:tcW w:w="1230" w:type="dxa"/>
            <w:vMerge w:val="restart"/>
            <w:noWrap w:val="0"/>
            <w:vAlign w:val="center"/>
          </w:tcPr>
          <w:p w14:paraId="1B6D44EE">
            <w:pPr>
              <w:spacing w:line="440" w:lineRule="exact"/>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商务技术部分</w:t>
            </w:r>
          </w:p>
          <w:p w14:paraId="345C992A">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w:t>
            </w:r>
            <w:r>
              <w:rPr>
                <w:rFonts w:hint="eastAsia" w:ascii="仿宋" w:hAnsi="仿宋" w:eastAsia="仿宋" w:cs="仿宋"/>
                <w:color w:val="auto"/>
                <w:sz w:val="24"/>
                <w:szCs w:val="24"/>
                <w:lang w:val="en-US" w:eastAsia="zh-CN" w:bidi="ar-SA"/>
              </w:rPr>
              <w:t>80分</w:t>
            </w:r>
            <w:r>
              <w:rPr>
                <w:rFonts w:hint="eastAsia" w:ascii="仿宋" w:hAnsi="仿宋" w:eastAsia="仿宋" w:cs="仿宋"/>
                <w:color w:val="auto"/>
                <w:sz w:val="24"/>
                <w:szCs w:val="24"/>
                <w:lang w:eastAsia="zh-CN" w:bidi="ar-SA"/>
              </w:rPr>
              <w:t>）</w:t>
            </w:r>
          </w:p>
        </w:tc>
        <w:tc>
          <w:tcPr>
            <w:tcW w:w="1272" w:type="dxa"/>
            <w:noWrap w:val="0"/>
            <w:vAlign w:val="center"/>
          </w:tcPr>
          <w:p w14:paraId="68730FD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服务及人员配置方案</w:t>
            </w:r>
          </w:p>
          <w:p w14:paraId="22B0C41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(19分)</w:t>
            </w:r>
          </w:p>
        </w:tc>
        <w:tc>
          <w:tcPr>
            <w:tcW w:w="7176" w:type="dxa"/>
            <w:noWrap w:val="0"/>
            <w:vAlign w:val="top"/>
          </w:tcPr>
          <w:p w14:paraId="64269A43">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投标单位</w:t>
            </w:r>
            <w:r>
              <w:rPr>
                <w:rFonts w:hint="default" w:ascii="仿宋" w:hAnsi="仿宋" w:eastAsia="仿宋" w:cs="仿宋"/>
                <w:b w:val="0"/>
                <w:bCs w:val="0"/>
                <w:color w:val="auto"/>
                <w:sz w:val="24"/>
                <w:szCs w:val="24"/>
                <w:highlight w:val="none"/>
                <w:lang w:val="en-US" w:eastAsia="zh-CN"/>
              </w:rPr>
              <w:t>根据本项目的采购内容和需求编制服务方案，包含①服务标准②人员调整规范③人员流动及岗位增</w:t>
            </w:r>
            <w:r>
              <w:rPr>
                <w:rFonts w:hint="eastAsia" w:ascii="仿宋" w:hAnsi="仿宋" w:eastAsia="仿宋" w:cs="仿宋"/>
                <w:b w:val="0"/>
                <w:bCs w:val="0"/>
                <w:color w:val="auto"/>
                <w:sz w:val="24"/>
                <w:szCs w:val="24"/>
                <w:highlight w:val="none"/>
                <w:lang w:val="en-US" w:eastAsia="zh-CN"/>
              </w:rPr>
              <w:t>扣</w:t>
            </w:r>
            <w:r>
              <w:rPr>
                <w:rFonts w:hint="default" w:ascii="仿宋" w:hAnsi="仿宋" w:eastAsia="仿宋" w:cs="仿宋"/>
                <w:b w:val="0"/>
                <w:bCs w:val="0"/>
                <w:color w:val="auto"/>
                <w:sz w:val="24"/>
                <w:szCs w:val="24"/>
                <w:highlight w:val="none"/>
                <w:lang w:val="en-US" w:eastAsia="zh-CN"/>
              </w:rPr>
              <w:t>程序④服务重点及难点分析⑤合理化建议等内容。服务方案详尽、细致、全面，满足采购人的需求，得1</w:t>
            </w:r>
            <w:r>
              <w:rPr>
                <w:rFonts w:hint="eastAsia" w:ascii="仿宋" w:hAnsi="仿宋" w:eastAsia="仿宋" w:cs="仿宋"/>
                <w:b w:val="0"/>
                <w:bCs w:val="0"/>
                <w:color w:val="auto"/>
                <w:sz w:val="24"/>
                <w:szCs w:val="24"/>
                <w:highlight w:val="none"/>
                <w:lang w:val="en-US" w:eastAsia="zh-CN"/>
              </w:rPr>
              <w:t>0</w:t>
            </w:r>
            <w:r>
              <w:rPr>
                <w:rFonts w:hint="default" w:ascii="仿宋" w:hAnsi="仿宋" w:eastAsia="仿宋" w:cs="仿宋"/>
                <w:b w:val="0"/>
                <w:bCs w:val="0"/>
                <w:color w:val="auto"/>
                <w:sz w:val="24"/>
                <w:szCs w:val="24"/>
                <w:highlight w:val="none"/>
                <w:lang w:val="en-US" w:eastAsia="zh-CN"/>
              </w:rPr>
              <w:t>分；每缺一项内容</w:t>
            </w:r>
            <w:r>
              <w:rPr>
                <w:rFonts w:hint="eastAsia" w:ascii="仿宋" w:hAnsi="仿宋" w:eastAsia="仿宋" w:cs="仿宋"/>
                <w:b w:val="0"/>
                <w:bCs w:val="0"/>
                <w:color w:val="auto"/>
                <w:sz w:val="24"/>
                <w:szCs w:val="24"/>
                <w:highlight w:val="none"/>
                <w:lang w:val="en-US" w:eastAsia="zh-CN"/>
              </w:rPr>
              <w:t>扣2</w:t>
            </w:r>
            <w:r>
              <w:rPr>
                <w:rFonts w:hint="default" w:ascii="仿宋" w:hAnsi="仿宋" w:eastAsia="仿宋" w:cs="仿宋"/>
                <w:b w:val="0"/>
                <w:bCs w:val="0"/>
                <w:color w:val="auto"/>
                <w:sz w:val="24"/>
                <w:szCs w:val="24"/>
                <w:highlight w:val="none"/>
                <w:lang w:val="en-US" w:eastAsia="zh-CN"/>
              </w:rPr>
              <w:t>分，每一项内容</w:t>
            </w:r>
            <w:r>
              <w:rPr>
                <w:rFonts w:hint="eastAsia" w:ascii="仿宋" w:hAnsi="仿宋" w:eastAsia="仿宋" w:cs="仿宋"/>
                <w:b w:val="0"/>
                <w:bCs w:val="0"/>
                <w:color w:val="auto"/>
                <w:sz w:val="24"/>
                <w:szCs w:val="24"/>
                <w:highlight w:val="none"/>
                <w:lang w:val="en-US" w:eastAsia="zh-CN"/>
              </w:rPr>
              <w:t>中</w:t>
            </w:r>
            <w:r>
              <w:rPr>
                <w:rFonts w:hint="default" w:ascii="仿宋" w:hAnsi="仿宋" w:eastAsia="仿宋" w:cs="仿宋"/>
                <w:b w:val="0"/>
                <w:bCs w:val="0"/>
                <w:color w:val="auto"/>
                <w:sz w:val="24"/>
                <w:szCs w:val="24"/>
                <w:highlight w:val="none"/>
                <w:lang w:val="en-US" w:eastAsia="zh-CN"/>
              </w:rPr>
              <w:t>存在缺陷（缺陷指内容阐述不清晰，存在偏差或过于简略）的</w:t>
            </w:r>
            <w:r>
              <w:rPr>
                <w:rFonts w:hint="eastAsia" w:ascii="仿宋" w:hAnsi="仿宋" w:eastAsia="仿宋" w:cs="仿宋"/>
                <w:b w:val="0"/>
                <w:bCs w:val="0"/>
                <w:color w:val="auto"/>
                <w:sz w:val="24"/>
                <w:szCs w:val="24"/>
                <w:highlight w:val="none"/>
                <w:lang w:val="en-US" w:eastAsia="zh-CN"/>
              </w:rPr>
              <w:t>扣</w:t>
            </w:r>
            <w:r>
              <w:rPr>
                <w:rFonts w:hint="default" w:ascii="仿宋" w:hAnsi="仿宋" w:eastAsia="仿宋" w:cs="仿宋"/>
                <w:b w:val="0"/>
                <w:bCs w:val="0"/>
                <w:color w:val="auto"/>
                <w:sz w:val="24"/>
                <w:szCs w:val="24"/>
                <w:highlight w:val="none"/>
                <w:lang w:val="en-US" w:eastAsia="zh-CN"/>
              </w:rPr>
              <w:t>1分，</w:t>
            </w:r>
            <w:r>
              <w:rPr>
                <w:rFonts w:hint="eastAsia" w:ascii="仿宋" w:hAnsi="仿宋" w:eastAsia="仿宋" w:cs="仿宋"/>
                <w:b w:val="0"/>
                <w:bCs w:val="0"/>
                <w:color w:val="auto"/>
                <w:sz w:val="24"/>
                <w:szCs w:val="24"/>
                <w:highlight w:val="none"/>
                <w:lang w:val="en-US" w:eastAsia="zh-CN"/>
              </w:rPr>
              <w:t>扣</w:t>
            </w:r>
            <w:r>
              <w:rPr>
                <w:rFonts w:hint="default" w:ascii="仿宋" w:hAnsi="仿宋" w:eastAsia="仿宋" w:cs="仿宋"/>
                <w:b w:val="0"/>
                <w:bCs w:val="0"/>
                <w:color w:val="auto"/>
                <w:sz w:val="24"/>
                <w:szCs w:val="24"/>
                <w:highlight w:val="none"/>
                <w:lang w:val="en-US" w:eastAsia="zh-CN"/>
              </w:rPr>
              <w:t>完为止。未提供方案得0分。</w:t>
            </w:r>
          </w:p>
          <w:p w14:paraId="281436AB">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lang w:val="en-US" w:eastAsia="zh-CN"/>
              </w:rPr>
              <w:t>投标单位根据本项目的采购内容和需求编制人员配置方案，包含①岗位设置及人数分配</w:t>
            </w:r>
            <w:r>
              <w:rPr>
                <w:rFonts w:hint="eastAsia" w:ascii="仿宋" w:hAnsi="仿宋" w:eastAsia="仿宋" w:cs="仿宋"/>
                <w:color w:val="auto"/>
                <w:highlight w:val="none"/>
                <w:lang w:val="en-US" w:eastAsia="zh-CN"/>
              </w:rPr>
              <w:t>②</w:t>
            </w:r>
            <w:r>
              <w:rPr>
                <w:rFonts w:hint="eastAsia" w:ascii="仿宋" w:hAnsi="仿宋" w:eastAsia="仿宋" w:cs="仿宋"/>
                <w:color w:val="auto"/>
                <w:lang w:val="en-US" w:eastAsia="zh-CN"/>
              </w:rPr>
              <w:t>岗位职责</w:t>
            </w:r>
            <w:r>
              <w:rPr>
                <w:rFonts w:hint="default" w:ascii="仿宋" w:hAnsi="仿宋" w:eastAsia="仿宋" w:cs="仿宋"/>
                <w:b w:val="0"/>
                <w:bCs w:val="0"/>
                <w:color w:val="auto"/>
                <w:sz w:val="24"/>
                <w:szCs w:val="24"/>
                <w:highlight w:val="none"/>
                <w:lang w:val="en-US" w:eastAsia="zh-CN"/>
              </w:rPr>
              <w:t>③</w:t>
            </w:r>
            <w:r>
              <w:rPr>
                <w:rFonts w:hint="eastAsia" w:ascii="仿宋" w:hAnsi="仿宋" w:eastAsia="仿宋" w:cs="仿宋"/>
                <w:color w:val="auto"/>
                <w:lang w:val="en-US" w:eastAsia="zh-CN"/>
              </w:rPr>
              <w:t>人员稳定措施等内容。人员配置详尽、细致、 全面，满足采购人的需求，得9分；每缺一项内容扣3分，每一项内容中存在缺陷（缺陷指内容阐述不清晰，存在偏差或过于简略）的扣2 分，扣完为止。未提供方案得0分。</w:t>
            </w:r>
          </w:p>
        </w:tc>
      </w:tr>
      <w:tr w14:paraId="2D78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230" w:type="dxa"/>
            <w:vMerge w:val="continue"/>
            <w:noWrap w:val="0"/>
            <w:vAlign w:val="center"/>
          </w:tcPr>
          <w:p w14:paraId="03A9ED77">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22BBDFD6">
            <w:pPr>
              <w:spacing w:line="240" w:lineRule="auto"/>
              <w:jc w:val="center"/>
              <w:rPr>
                <w:rFonts w:hint="eastAsia" w:ascii="仿宋" w:hAnsi="仿宋" w:eastAsia="仿宋" w:cs="仿宋"/>
                <w:color w:val="auto"/>
                <w:sz w:val="24"/>
                <w:szCs w:val="24"/>
                <w:lang w:eastAsia="zh-CN" w:bidi="ar-SA"/>
              </w:rPr>
            </w:pPr>
            <w:r>
              <w:rPr>
                <w:rFonts w:hint="eastAsia" w:ascii="仿宋" w:hAnsi="仿宋" w:eastAsia="仿宋"/>
                <w:b w:val="0"/>
                <w:color w:val="auto"/>
                <w:sz w:val="24"/>
                <w:szCs w:val="24"/>
                <w:highlight w:val="none"/>
                <w:lang w:eastAsia="zh-CN"/>
              </w:rPr>
              <w:t>企业实力（</w:t>
            </w:r>
            <w:r>
              <w:rPr>
                <w:rFonts w:hint="eastAsia" w:ascii="仿宋" w:hAnsi="仿宋" w:eastAsia="仿宋"/>
                <w:b w:val="0"/>
                <w:color w:val="auto"/>
                <w:sz w:val="24"/>
                <w:szCs w:val="24"/>
                <w:highlight w:val="none"/>
                <w:lang w:val="en-US" w:eastAsia="zh-CN"/>
              </w:rPr>
              <w:t>10</w:t>
            </w:r>
            <w:r>
              <w:rPr>
                <w:rFonts w:hint="eastAsia" w:ascii="仿宋" w:hAnsi="仿宋" w:eastAsia="仿宋"/>
                <w:b w:val="0"/>
                <w:color w:val="auto"/>
                <w:sz w:val="24"/>
                <w:szCs w:val="24"/>
                <w:highlight w:val="none"/>
                <w:lang w:eastAsia="zh-CN"/>
              </w:rPr>
              <w:t>分）</w:t>
            </w:r>
          </w:p>
        </w:tc>
        <w:tc>
          <w:tcPr>
            <w:tcW w:w="7176" w:type="dxa"/>
            <w:noWrap w:val="0"/>
            <w:vAlign w:val="top"/>
          </w:tcPr>
          <w:p w14:paraId="3BB1DD1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投标单位拟投入本项目服务人员的职业资格证书（等级厨师或面点等相关专业），每提供1人得0.5分，最多得10分。</w:t>
            </w:r>
          </w:p>
          <w:p w14:paraId="4F2A2F11">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lang w:val="en-US" w:eastAsia="zh-CN"/>
              </w:rPr>
              <w:t>注：提供相关证明材料加盖公章（工作人员花名册及其简历基本信息、职业资格证明材料、健康证、提供劳动合同或社保证明）。</w:t>
            </w:r>
          </w:p>
        </w:tc>
      </w:tr>
      <w:tr w14:paraId="1F4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30" w:type="dxa"/>
            <w:vMerge w:val="continue"/>
            <w:noWrap w:val="0"/>
            <w:vAlign w:val="center"/>
          </w:tcPr>
          <w:p w14:paraId="4DD6494C">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04D96BEF">
            <w:pPr>
              <w:spacing w:line="440" w:lineRule="exact"/>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应急预案</w:t>
            </w:r>
          </w:p>
          <w:p w14:paraId="5CC44FE8">
            <w:pPr>
              <w:spacing w:line="440" w:lineRule="exact"/>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（12 分)</w:t>
            </w:r>
          </w:p>
        </w:tc>
        <w:tc>
          <w:tcPr>
            <w:tcW w:w="7176" w:type="dxa"/>
            <w:noWrap w:val="0"/>
            <w:vAlign w:val="top"/>
          </w:tcPr>
          <w:p w14:paraId="5DA9355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color w:val="auto"/>
                <w:sz w:val="24"/>
                <w:szCs w:val="24"/>
                <w:lang w:eastAsia="zh-CN"/>
              </w:rPr>
            </w:pPr>
            <w:r>
              <w:rPr>
                <w:rFonts w:hint="eastAsia" w:ascii="仿宋" w:hAnsi="仿宋" w:eastAsia="仿宋" w:cs="仿宋"/>
                <w:color w:val="auto"/>
                <w:sz w:val="24"/>
                <w:szCs w:val="24"/>
                <w:highlight w:val="none"/>
                <w:lang w:val="en-US" w:eastAsia="zh-CN" w:bidi="ar-SA"/>
              </w:rPr>
              <w:t>供应商根据本项目的采购内容和需求编制应急预案，包含①应急准备 ②应急响应③应急处置④应急恢复等内容。应急预案详尽、细致、全面，满足采购人的需求，得12分；每缺一项内容扣3分，每一项内容中存在缺陷（缺陷指内容阐述不清晰，存在偏差或过于简略）的扣2分，扣完为止。未提供方案得0分。</w:t>
            </w:r>
          </w:p>
        </w:tc>
      </w:tr>
      <w:tr w14:paraId="0290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230" w:type="dxa"/>
            <w:vMerge w:val="continue"/>
            <w:noWrap w:val="0"/>
            <w:vAlign w:val="center"/>
          </w:tcPr>
          <w:p w14:paraId="0C48FC03">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486929F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培训方案</w:t>
            </w:r>
          </w:p>
          <w:p w14:paraId="5C4182F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（12分）</w:t>
            </w:r>
          </w:p>
        </w:tc>
        <w:tc>
          <w:tcPr>
            <w:tcW w:w="7176" w:type="dxa"/>
            <w:noWrap w:val="0"/>
            <w:vAlign w:val="top"/>
          </w:tcPr>
          <w:p w14:paraId="35BFFA5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宋体" w:hAnsi="宋体" w:eastAsia="宋体" w:cs="宋体"/>
                <w:color w:val="000000"/>
                <w:kern w:val="0"/>
                <w:sz w:val="22"/>
                <w:szCs w:val="22"/>
                <w:lang w:val="en-US" w:eastAsia="zh-CN" w:bidi="ar"/>
              </w:rPr>
              <w:t>为</w:t>
            </w:r>
            <w:r>
              <w:rPr>
                <w:rFonts w:hint="eastAsia" w:ascii="仿宋" w:hAnsi="仿宋" w:eastAsia="仿宋" w:cs="仿宋"/>
                <w:b w:val="0"/>
                <w:bCs w:val="0"/>
                <w:color w:val="auto"/>
                <w:kern w:val="2"/>
                <w:sz w:val="24"/>
                <w:szCs w:val="24"/>
                <w:highlight w:val="none"/>
                <w:lang w:val="en-US" w:eastAsia="zh-CN" w:bidi="ar-SA"/>
              </w:rPr>
              <w:t>确保服务质量，制定服务期内对相关人员的培训方案，包括①职业道德②相关劳动政策③安全服务④各岗位职责及单位的规章制度等方面的培训方案完整，逻辑清晰，培训团队组成科学、时间地点组织者、目的清晰明确，可行性高的得12分；</w:t>
            </w:r>
            <w:r>
              <w:rPr>
                <w:rFonts w:hint="eastAsia" w:ascii="仿宋" w:hAnsi="仿宋" w:eastAsia="仿宋" w:cs="Times New Roman"/>
                <w:color w:val="auto"/>
                <w:szCs w:val="24"/>
                <w:highlight w:val="none"/>
                <w:lang w:val="en-US" w:eastAsia="zh-CN"/>
              </w:rPr>
              <w:t>每缺一项内容扣3分，</w:t>
            </w:r>
            <w:r>
              <w:rPr>
                <w:rFonts w:hint="eastAsia" w:ascii="仿宋" w:hAnsi="仿宋" w:eastAsia="仿宋" w:cs="仿宋"/>
                <w:color w:val="auto"/>
                <w:sz w:val="24"/>
                <w:szCs w:val="24"/>
                <w:highlight w:val="none"/>
                <w:lang w:val="en-US" w:eastAsia="zh-CN" w:bidi="ar-SA"/>
              </w:rPr>
              <w:t>每一项内容中存在缺陷</w:t>
            </w:r>
            <w:r>
              <w:rPr>
                <w:rFonts w:hint="eastAsia" w:ascii="仿宋" w:hAnsi="仿宋" w:eastAsia="仿宋" w:cs="Times New Roman"/>
                <w:color w:val="auto"/>
                <w:szCs w:val="24"/>
                <w:highlight w:val="none"/>
                <w:lang w:val="en-US" w:eastAsia="zh-CN"/>
              </w:rPr>
              <w:t>（缺陷指内容阐述不清晰，存在偏差或过于简略）的扣2分，扣完为止。未提供方案得0分。</w:t>
            </w:r>
          </w:p>
        </w:tc>
      </w:tr>
      <w:tr w14:paraId="0875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230" w:type="dxa"/>
            <w:vMerge w:val="continue"/>
            <w:noWrap w:val="0"/>
            <w:vAlign w:val="center"/>
          </w:tcPr>
          <w:p w14:paraId="4E0A99D6">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4264065A">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服务计划及保障措施</w:t>
            </w:r>
          </w:p>
          <w:p w14:paraId="5830A418">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（12分）</w:t>
            </w:r>
          </w:p>
        </w:tc>
        <w:tc>
          <w:tcPr>
            <w:tcW w:w="7176" w:type="dxa"/>
            <w:noWrap w:val="0"/>
            <w:vAlign w:val="top"/>
          </w:tcPr>
          <w:p w14:paraId="76F84572">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服务计划需要详尽列明：①人员管理办法；②服务承诺</w:t>
            </w:r>
            <w:r>
              <w:rPr>
                <w:rFonts w:hint="eastAsia" w:ascii="仿宋" w:hAnsi="仿宋" w:eastAsia="仿宋" w:cs="仿宋"/>
                <w:b w:val="0"/>
                <w:bCs w:val="0"/>
                <w:color w:val="auto"/>
                <w:kern w:val="2"/>
                <w:sz w:val="24"/>
                <w:szCs w:val="24"/>
                <w:highlight w:val="none"/>
                <w:lang w:val="en-US" w:eastAsia="zh-CN" w:bidi="ar-SA"/>
              </w:rPr>
              <w:t>、</w:t>
            </w:r>
            <w:r>
              <w:rPr>
                <w:rFonts w:hint="default" w:ascii="仿宋" w:hAnsi="仿宋" w:eastAsia="仿宋" w:cs="仿宋"/>
                <w:b w:val="0"/>
                <w:bCs w:val="0"/>
                <w:color w:val="auto"/>
                <w:kern w:val="2"/>
                <w:sz w:val="24"/>
                <w:szCs w:val="24"/>
                <w:highlight w:val="none"/>
                <w:lang w:val="en-US" w:eastAsia="zh-CN" w:bidi="ar-SA"/>
              </w:rPr>
              <w:t>质量标准；③考核目标等</w:t>
            </w:r>
            <w:r>
              <w:rPr>
                <w:rFonts w:hint="eastAsia" w:ascii="仿宋" w:hAnsi="仿宋" w:eastAsia="仿宋" w:cs="仿宋"/>
                <w:b w:val="0"/>
                <w:bCs w:val="0"/>
                <w:color w:val="auto"/>
                <w:kern w:val="2"/>
                <w:sz w:val="24"/>
                <w:szCs w:val="24"/>
                <w:highlight w:val="none"/>
                <w:lang w:val="en-US" w:eastAsia="zh-CN" w:bidi="ar-SA"/>
              </w:rPr>
              <w:t>；④</w:t>
            </w:r>
            <w:r>
              <w:rPr>
                <w:rFonts w:hint="eastAsia" w:ascii="仿宋" w:hAnsi="仿宋" w:eastAsia="仿宋" w:cs="仿宋"/>
                <w:color w:val="auto"/>
                <w:sz w:val="24"/>
                <w:szCs w:val="24"/>
                <w:highlight w:val="none"/>
                <w:lang w:val="en-US" w:eastAsia="zh-CN" w:bidi="ar-SA"/>
              </w:rPr>
              <w:t>服务过程中的风险防范（包括食物中毒、急救措施、用水电气保障措施等）；</w:t>
            </w:r>
            <w:r>
              <w:rPr>
                <w:rFonts w:hint="default" w:ascii="仿宋" w:hAnsi="仿宋" w:eastAsia="仿宋" w:cs="仿宋"/>
                <w:b w:val="0"/>
                <w:bCs w:val="0"/>
                <w:color w:val="auto"/>
                <w:kern w:val="2"/>
                <w:sz w:val="24"/>
                <w:szCs w:val="24"/>
                <w:highlight w:val="none"/>
                <w:lang w:val="en-US" w:eastAsia="zh-CN" w:bidi="ar-SA"/>
              </w:rPr>
              <w:t>提供方案包含以上</w:t>
            </w:r>
            <w:r>
              <w:rPr>
                <w:rFonts w:hint="eastAsia" w:ascii="仿宋" w:hAnsi="仿宋" w:eastAsia="仿宋" w:cs="仿宋"/>
                <w:b w:val="0"/>
                <w:bCs w:val="0"/>
                <w:color w:val="auto"/>
                <w:kern w:val="2"/>
                <w:sz w:val="24"/>
                <w:szCs w:val="24"/>
                <w:highlight w:val="none"/>
                <w:lang w:val="en-US" w:eastAsia="zh-CN" w:bidi="ar-SA"/>
              </w:rPr>
              <w:t>四</w:t>
            </w:r>
            <w:r>
              <w:rPr>
                <w:rFonts w:hint="default" w:ascii="仿宋" w:hAnsi="仿宋" w:eastAsia="仿宋" w:cs="仿宋"/>
                <w:b w:val="0"/>
                <w:bCs w:val="0"/>
                <w:color w:val="auto"/>
                <w:kern w:val="2"/>
                <w:sz w:val="24"/>
                <w:szCs w:val="24"/>
                <w:highlight w:val="none"/>
                <w:lang w:val="en-US" w:eastAsia="zh-CN" w:bidi="ar-SA"/>
              </w:rPr>
              <w:t>项内容，方案完整，逻辑清晰，贴合采购需求，得</w:t>
            </w:r>
            <w:r>
              <w:rPr>
                <w:rFonts w:hint="eastAsia" w:ascii="仿宋" w:hAnsi="仿宋" w:eastAsia="仿宋" w:cs="仿宋"/>
                <w:b w:val="0"/>
                <w:bCs w:val="0"/>
                <w:color w:val="auto"/>
                <w:kern w:val="2"/>
                <w:sz w:val="24"/>
                <w:szCs w:val="24"/>
                <w:highlight w:val="none"/>
                <w:lang w:val="en-US" w:eastAsia="zh-CN" w:bidi="ar-SA"/>
              </w:rPr>
              <w:t>12</w:t>
            </w:r>
            <w:r>
              <w:rPr>
                <w:rFonts w:hint="default" w:ascii="仿宋" w:hAnsi="仿宋" w:eastAsia="仿宋" w:cs="仿宋"/>
                <w:b w:val="0"/>
                <w:bCs w:val="0"/>
                <w:color w:val="auto"/>
                <w:kern w:val="2"/>
                <w:sz w:val="24"/>
                <w:szCs w:val="24"/>
                <w:highlight w:val="none"/>
                <w:lang w:val="en-US" w:eastAsia="zh-CN" w:bidi="ar-SA"/>
              </w:rPr>
              <w:t>分；</w:t>
            </w:r>
            <w:r>
              <w:rPr>
                <w:rFonts w:hint="eastAsia" w:ascii="仿宋" w:hAnsi="仿宋" w:eastAsia="仿宋" w:cs="Times New Roman"/>
                <w:color w:val="auto"/>
                <w:szCs w:val="24"/>
                <w:highlight w:val="none"/>
                <w:lang w:val="en-US" w:eastAsia="zh-CN"/>
              </w:rPr>
              <w:t>每缺一项内容扣3分，</w:t>
            </w:r>
            <w:r>
              <w:rPr>
                <w:rFonts w:hint="eastAsia" w:ascii="仿宋" w:hAnsi="仿宋" w:eastAsia="仿宋" w:cs="仿宋"/>
                <w:color w:val="auto"/>
                <w:sz w:val="24"/>
                <w:szCs w:val="24"/>
                <w:highlight w:val="none"/>
                <w:lang w:val="en-US" w:eastAsia="zh-CN" w:bidi="ar-SA"/>
              </w:rPr>
              <w:t>每一项内容中存在缺陷</w:t>
            </w:r>
            <w:r>
              <w:rPr>
                <w:rFonts w:hint="eastAsia" w:ascii="仿宋" w:hAnsi="仿宋" w:eastAsia="仿宋" w:cs="Times New Roman"/>
                <w:color w:val="auto"/>
                <w:szCs w:val="24"/>
                <w:highlight w:val="none"/>
                <w:lang w:val="en-US" w:eastAsia="zh-CN"/>
              </w:rPr>
              <w:t>（</w:t>
            </w:r>
            <w:r>
              <w:rPr>
                <w:rFonts w:hint="default" w:ascii="仿宋" w:hAnsi="仿宋" w:eastAsia="仿宋" w:cs="仿宋"/>
                <w:b w:val="0"/>
                <w:bCs w:val="0"/>
                <w:color w:val="auto"/>
                <w:kern w:val="2"/>
                <w:sz w:val="24"/>
                <w:szCs w:val="24"/>
                <w:highlight w:val="none"/>
                <w:lang w:val="en-US" w:eastAsia="zh-CN" w:bidi="ar-SA"/>
              </w:rPr>
              <w:t>方案结构混乱，不贴合本项目的采购需求</w:t>
            </w:r>
            <w:r>
              <w:rPr>
                <w:rFonts w:hint="eastAsia" w:ascii="仿宋" w:hAnsi="仿宋" w:eastAsia="仿宋" w:cs="Times New Roman"/>
                <w:color w:val="auto"/>
                <w:szCs w:val="24"/>
                <w:highlight w:val="none"/>
                <w:lang w:val="en-US" w:eastAsia="zh-CN"/>
              </w:rPr>
              <w:t>）的扣2分，</w:t>
            </w:r>
            <w:r>
              <w:rPr>
                <w:rFonts w:hint="eastAsia" w:ascii="仿宋" w:hAnsi="仿宋" w:eastAsia="仿宋" w:cs="仿宋"/>
                <w:b w:val="0"/>
                <w:bCs w:val="0"/>
                <w:color w:val="auto"/>
                <w:kern w:val="2"/>
                <w:sz w:val="24"/>
                <w:szCs w:val="24"/>
                <w:highlight w:val="none"/>
                <w:lang w:val="en-US" w:eastAsia="zh-CN" w:bidi="ar-SA"/>
              </w:rPr>
              <w:t>扣完为止；</w:t>
            </w:r>
            <w:r>
              <w:rPr>
                <w:rFonts w:hint="eastAsia" w:ascii="仿宋" w:hAnsi="仿宋" w:eastAsia="仿宋" w:cs="Times New Roman"/>
                <w:color w:val="auto"/>
                <w:szCs w:val="24"/>
                <w:highlight w:val="none"/>
                <w:lang w:val="en-US" w:eastAsia="zh-CN"/>
              </w:rPr>
              <w:t>未提供方案得0分</w:t>
            </w:r>
            <w:r>
              <w:rPr>
                <w:rFonts w:hint="default" w:ascii="仿宋" w:hAnsi="仿宋" w:eastAsia="仿宋" w:cs="仿宋"/>
                <w:b w:val="0"/>
                <w:bCs w:val="0"/>
                <w:color w:val="auto"/>
                <w:kern w:val="2"/>
                <w:sz w:val="24"/>
                <w:szCs w:val="24"/>
                <w:highlight w:val="none"/>
                <w:lang w:val="en-US" w:eastAsia="zh-CN" w:bidi="ar-SA"/>
              </w:rPr>
              <w:t>。</w:t>
            </w:r>
          </w:p>
        </w:tc>
      </w:tr>
      <w:tr w14:paraId="7AFE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1230" w:type="dxa"/>
            <w:vMerge w:val="continue"/>
            <w:noWrap w:val="0"/>
            <w:vAlign w:val="center"/>
          </w:tcPr>
          <w:p w14:paraId="63683B4D">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45CFF08C">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规章管理制度</w:t>
            </w:r>
          </w:p>
          <w:p w14:paraId="13616E94">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c>
          <w:tcPr>
            <w:tcW w:w="7176" w:type="dxa"/>
            <w:noWrap w:val="0"/>
            <w:vAlign w:val="top"/>
          </w:tcPr>
          <w:p w14:paraId="22A3BA6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规章管理制度：应包含管理组织架构，人员分工，管理制度等。有完善的派遣服务人员薪资酬管理体系和财务管理等制度保障，能保证薪酬安全可靠，及时发放，并承诺不拖欠劳务人员薪酬。根据保障制度完善程度评分：①有开展服务工作的基本组织机构；②有人事（含招聘、薪酬、考勤、奖惩、辞退等主要内容）管理制度健全；</w:t>
            </w:r>
            <w:r>
              <w:rPr>
                <w:rFonts w:hint="default" w:ascii="仿宋" w:hAnsi="仿宋" w:eastAsia="仿宋" w:cs="仿宋"/>
                <w:b w:val="0"/>
                <w:bCs w:val="0"/>
                <w:color w:val="auto"/>
                <w:kern w:val="2"/>
                <w:sz w:val="24"/>
                <w:szCs w:val="24"/>
                <w:highlight w:val="none"/>
                <w:lang w:val="en-US" w:eastAsia="zh-CN" w:bidi="ar-SA"/>
              </w:rPr>
              <w:t>③</w:t>
            </w:r>
            <w:r>
              <w:rPr>
                <w:rFonts w:hint="eastAsia" w:ascii="仿宋" w:hAnsi="仿宋" w:eastAsia="仿宋" w:cs="仿宋"/>
                <w:b w:val="0"/>
                <w:bCs w:val="0"/>
                <w:color w:val="auto"/>
                <w:kern w:val="2"/>
                <w:sz w:val="24"/>
                <w:szCs w:val="24"/>
                <w:highlight w:val="none"/>
                <w:lang w:val="en-US" w:eastAsia="zh-CN" w:bidi="ar-SA"/>
              </w:rPr>
              <w:t>财务（含收支、预算等主要内容）内容完整，逻辑清晰；组织构架、人事、财务健全全面的得6分；每缺一项内容扣2分，每一项内容中存在缺陷或不足（制度不健全、分工不明、表述不清等）的扣1分，扣完为止。</w:t>
            </w:r>
          </w:p>
        </w:tc>
      </w:tr>
      <w:tr w14:paraId="729A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30" w:type="dxa"/>
            <w:vMerge w:val="continue"/>
            <w:noWrap w:val="0"/>
            <w:vAlign w:val="center"/>
          </w:tcPr>
          <w:p w14:paraId="79BD6F1B">
            <w:pPr>
              <w:spacing w:line="440" w:lineRule="exact"/>
              <w:ind w:firstLine="616" w:firstLineChars="257"/>
              <w:rPr>
                <w:rFonts w:ascii="仿宋" w:hAnsi="仿宋" w:eastAsia="仿宋" w:cs="仿宋"/>
                <w:color w:val="auto"/>
                <w:sz w:val="24"/>
                <w:szCs w:val="24"/>
                <w:lang w:eastAsia="zh-CN" w:bidi="ar-SA"/>
              </w:rPr>
            </w:pPr>
          </w:p>
        </w:tc>
        <w:tc>
          <w:tcPr>
            <w:tcW w:w="1272" w:type="dxa"/>
            <w:shd w:val="clear" w:color="auto" w:fill="auto"/>
            <w:noWrap w:val="0"/>
            <w:vAlign w:val="center"/>
          </w:tcPr>
          <w:p w14:paraId="1C22D47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卫生保洁及日常维护方案</w:t>
            </w:r>
          </w:p>
          <w:p w14:paraId="0429282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imes New Roman"/>
                <w:color w:val="auto"/>
                <w:sz w:val="24"/>
                <w:szCs w:val="24"/>
                <w:highlight w:val="none"/>
                <w:lang w:val="en-US" w:eastAsia="zh-CN" w:bidi="en-US"/>
              </w:rPr>
            </w:pPr>
            <w:r>
              <w:rPr>
                <w:rFonts w:hint="eastAsia" w:ascii="仿宋" w:hAnsi="仿宋" w:eastAsia="仿宋" w:cs="Times New Roman"/>
                <w:color w:val="auto"/>
                <w:highlight w:val="none"/>
                <w:lang w:val="en-US" w:eastAsia="zh-CN"/>
              </w:rPr>
              <w:t>（4分）</w:t>
            </w:r>
          </w:p>
        </w:tc>
        <w:tc>
          <w:tcPr>
            <w:tcW w:w="7176" w:type="dxa"/>
            <w:shd w:val="clear" w:color="auto" w:fill="auto"/>
            <w:noWrap w:val="0"/>
            <w:vAlign w:val="top"/>
          </w:tcPr>
          <w:p w14:paraId="5AAB8772">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根据投标单位拟定的针对本项目食堂的日常卫生保洁及虫、鼠、蟑螂等的消杀方案和对现有设施设备的维护保养及损耗率的承诺方案进行评价，方案较优的得4分；方案一般的得2分；未提供不得分；</w:t>
            </w:r>
          </w:p>
        </w:tc>
      </w:tr>
      <w:tr w14:paraId="3878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230" w:type="dxa"/>
            <w:vMerge w:val="continue"/>
            <w:noWrap w:val="0"/>
            <w:vAlign w:val="center"/>
          </w:tcPr>
          <w:p w14:paraId="63F5D23B">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00D2AD96">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类似业绩 （5分）</w:t>
            </w:r>
          </w:p>
        </w:tc>
        <w:tc>
          <w:tcPr>
            <w:tcW w:w="7176" w:type="dxa"/>
            <w:noWrap w:val="0"/>
            <w:vAlign w:val="top"/>
          </w:tcPr>
          <w:p w14:paraId="6E6CFFC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投标单位提供(2022年1月1日至今）类似业绩，每提供一项业绩得 1 分，最多得 5 分。 </w:t>
            </w:r>
          </w:p>
          <w:p w14:paraId="4B37466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注：需同时提供合同协议和中标（成交）通知书，业绩证明材料需清晰可辨认，否则视为无效业绩。未提供不得分。</w:t>
            </w:r>
          </w:p>
          <w:p w14:paraId="5C05521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val="0"/>
                <w:color w:val="auto"/>
                <w:kern w:val="2"/>
                <w:sz w:val="24"/>
                <w:szCs w:val="24"/>
                <w:highlight w:val="none"/>
                <w:lang w:val="en-US" w:eastAsia="zh-CN" w:bidi="ar-SA"/>
              </w:rPr>
            </w:pPr>
          </w:p>
        </w:tc>
      </w:tr>
    </w:tbl>
    <w:p w14:paraId="562048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7EEC374C">
      <w:pPr>
        <w:pStyle w:val="45"/>
        <w:keepNext w:val="0"/>
        <w:keepLines w:val="0"/>
        <w:pageBreakBefore w:val="0"/>
        <w:widowControl w:val="0"/>
        <w:tabs>
          <w:tab w:val="left" w:pos="1701"/>
        </w:tabs>
        <w:kinsoku/>
        <w:wordWrap/>
        <w:overflowPunct/>
        <w:topLinePunct w:val="0"/>
        <w:autoSpaceDE/>
        <w:autoSpaceDN/>
        <w:bidi w:val="0"/>
        <w:adjustRightInd/>
        <w:snapToGrid/>
        <w:spacing w:line="400" w:lineRule="exact"/>
        <w:ind w:left="0"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10.2.2价格评分方法</w:t>
      </w:r>
    </w:p>
    <w:p w14:paraId="6A07E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满足招标文件技术要求且投标价格最低的投标报价为评标基准价，其价格分为满分。其他供应商的价格分别按照下列公式计算： 投标报价得分=（评标基准价/投标报价）×价格权重。</w:t>
      </w:r>
    </w:p>
    <w:p w14:paraId="244606D1">
      <w:pPr>
        <w:keepNext w:val="0"/>
        <w:keepLines w:val="0"/>
        <w:pageBreakBefore w:val="0"/>
        <w:kinsoku/>
        <w:wordWrap/>
        <w:overflowPunct/>
        <w:topLinePunct w:val="0"/>
        <w:autoSpaceDE/>
        <w:autoSpaceDN/>
        <w:bidi w:val="0"/>
        <w:adjustRightInd/>
        <w:spacing w:beforeLines="50" w:line="360" w:lineRule="auto"/>
        <w:jc w:val="center"/>
        <w:textAlignment w:val="auto"/>
        <w:outlineLvl w:val="1"/>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五  推荐中标候选人</w:t>
      </w:r>
      <w:bookmarkEnd w:id="42"/>
      <w:bookmarkEnd w:id="43"/>
    </w:p>
    <w:p w14:paraId="5CBF097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11.1评标委员会推荐3名中标候选人，并标明排序。</w:t>
      </w:r>
    </w:p>
    <w:p w14:paraId="447B1651">
      <w:pPr>
        <w:keepNext w:val="0"/>
        <w:keepLines w:val="0"/>
        <w:pageBreakBefore w:val="0"/>
        <w:kinsoku/>
        <w:wordWrap/>
        <w:overflowPunct/>
        <w:topLinePunct w:val="0"/>
        <w:autoSpaceDE/>
        <w:autoSpaceDN/>
        <w:bidi w:val="0"/>
        <w:adjustRightInd/>
        <w:spacing w:line="360" w:lineRule="auto"/>
        <w:ind w:firstLine="470" w:firstLineChars="196"/>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11.2如出现报价相同情况，则由招标人现场抽签确定中标候选人排名顺序。</w:t>
      </w:r>
    </w:p>
    <w:bookmarkEnd w:id="37"/>
    <w:p w14:paraId="19AFF429">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12.无效投标条款</w:t>
      </w:r>
    </w:p>
    <w:p w14:paraId="2312115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12.1投标文件有下列情形之一的,其投标文件拒收:</w:t>
      </w:r>
    </w:p>
    <w:p w14:paraId="0733FD89">
      <w:pPr>
        <w:keepNext w:val="0"/>
        <w:keepLines w:val="0"/>
        <w:pageBreakBefore w:val="0"/>
        <w:kinsoku/>
        <w:wordWrap/>
        <w:overflowPunct/>
        <w:topLinePunct w:val="0"/>
        <w:autoSpaceDE/>
        <w:autoSpaceDN/>
        <w:bidi w:val="0"/>
        <w:adjustRightInd/>
        <w:snapToGrid w:val="0"/>
        <w:spacing w:line="360" w:lineRule="auto"/>
        <w:textAlignment w:val="auto"/>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b/>
          <w:bCs/>
          <w:color w:val="auto"/>
          <w:szCs w:val="21"/>
          <w:highlight w:val="none"/>
          <w:lang w:eastAsia="zh-CN"/>
        </w:rPr>
        <w:t xml:space="preserve"> (1) 未在开标截止时间前通过网上招标投标系统递交有效电子投标文件的，开标系统不予接收。</w:t>
      </w:r>
    </w:p>
    <w:p w14:paraId="31274448">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w:t>
      </w:r>
      <w:r>
        <w:rPr>
          <w:rFonts w:hint="eastAsia" w:ascii="仿宋" w:hAnsi="仿宋" w:eastAsia="仿宋" w:cs="仿宋"/>
          <w:b/>
          <w:color w:val="auto"/>
          <w:szCs w:val="21"/>
          <w:highlight w:val="none"/>
          <w:lang w:eastAsia="zh-CN"/>
        </w:rPr>
        <w:t>所有供应商应在规定时间里完成投标文件的解密工作</w:t>
      </w:r>
      <w:r>
        <w:rPr>
          <w:rFonts w:hint="eastAsia" w:ascii="仿宋" w:hAnsi="仿宋" w:eastAsia="仿宋" w:cs="仿宋"/>
          <w:b/>
          <w:bCs/>
          <w:color w:val="auto"/>
          <w:szCs w:val="21"/>
          <w:highlight w:val="none"/>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lang w:eastAsia="zh-CN"/>
        </w:rPr>
        <w:t>，因系统原因未能成功解密的投标文件，可导入备份投标文件。备份投标文件也无法导入的，则投标文件被否决。</w:t>
      </w:r>
    </w:p>
    <w:p w14:paraId="4C238898">
      <w:pPr>
        <w:keepNext w:val="0"/>
        <w:keepLines w:val="0"/>
        <w:pageBreakBefore w:val="0"/>
        <w:kinsoku/>
        <w:wordWrap/>
        <w:overflowPunct/>
        <w:topLinePunct w:val="0"/>
        <w:autoSpaceDE/>
        <w:autoSpaceDN/>
        <w:bidi w:val="0"/>
        <w:adjustRightInd/>
        <w:snapToGrid w:val="0"/>
        <w:spacing w:line="360" w:lineRule="auto"/>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12.2供应商有下列情形之一的,资格审查后其投标作无效投标处理：</w:t>
      </w:r>
    </w:p>
    <w:p w14:paraId="21ACF61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(1)法定代表人参加开标会议未携带有效的法定代表人身份证明原件和本人身份证的；委托代理人参加开标会议未携带有效的法定代表人授权书和本人身份证；</w:t>
      </w:r>
    </w:p>
    <w:p w14:paraId="43D23FE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(2)供应商为本项目提供招标代理服务的；</w:t>
      </w:r>
    </w:p>
    <w:p w14:paraId="09344C4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(3)供应商与在本项目代理机构存在相互任职或工作的；</w:t>
      </w:r>
    </w:p>
    <w:p w14:paraId="1E013F8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(4)投标保证金未按规定要求缴纳的；</w:t>
      </w:r>
    </w:p>
    <w:p w14:paraId="26A3021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(5)评标专家无法查看并检验电子标书中相关资料的；</w:t>
      </w:r>
    </w:p>
    <w:p w14:paraId="2FF751E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(6)供应商超出营业范围投标的；</w:t>
      </w:r>
    </w:p>
    <w:p w14:paraId="56E8552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(7)联合体投标未提交联合体协议的；</w:t>
      </w:r>
    </w:p>
    <w:p w14:paraId="6C6733D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(8)被暂停营业的；</w:t>
      </w:r>
    </w:p>
    <w:p w14:paraId="251D567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(9)被暂停或取消投标资格的；</w:t>
      </w:r>
    </w:p>
    <w:p w14:paraId="27BDF62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(10)财产被接管或冻结的；</w:t>
      </w:r>
    </w:p>
    <w:p w14:paraId="534DB98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(11)供应商单位负责人为同一人或者存在控股、管理关系的不同单位的；</w:t>
      </w:r>
    </w:p>
    <w:p w14:paraId="35B153C1">
      <w:pPr>
        <w:keepNext w:val="0"/>
        <w:keepLines w:val="0"/>
        <w:pageBreakBefore w:val="0"/>
        <w:kinsoku/>
        <w:wordWrap/>
        <w:overflowPunct/>
        <w:topLinePunct w:val="0"/>
        <w:autoSpaceDE/>
        <w:autoSpaceDN/>
        <w:bidi w:val="0"/>
        <w:adjustRightInd/>
        <w:snapToGrid w:val="0"/>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（12）供应商基本资格条件和特定资格条件中有一项及以上不符合要求的；</w:t>
      </w:r>
    </w:p>
    <w:p w14:paraId="33CAB5E7">
      <w:pPr>
        <w:keepNext w:val="0"/>
        <w:keepLines w:val="0"/>
        <w:pageBreakBefore w:val="0"/>
        <w:kinsoku/>
        <w:wordWrap/>
        <w:overflowPunct/>
        <w:topLinePunct w:val="0"/>
        <w:autoSpaceDE/>
        <w:autoSpaceDN/>
        <w:bidi w:val="0"/>
        <w:adjustRightInd/>
        <w:snapToGrid w:val="0"/>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（13）供应商使用相同的MAC地址进行报名的；</w:t>
      </w:r>
    </w:p>
    <w:p w14:paraId="0CBE1048">
      <w:pPr>
        <w:keepNext w:val="0"/>
        <w:keepLines w:val="0"/>
        <w:pageBreakBefore w:val="0"/>
        <w:kinsoku/>
        <w:wordWrap/>
        <w:overflowPunct/>
        <w:topLinePunct w:val="0"/>
        <w:autoSpaceDE/>
        <w:autoSpaceDN/>
        <w:bidi w:val="0"/>
        <w:adjustRightInd/>
        <w:snapToGrid w:val="0"/>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（14）其它情形，经评标委员会委提出按无效投标处理，并经公共资源交易监督部门核准的；</w:t>
      </w:r>
    </w:p>
    <w:p w14:paraId="0E6C9EBD">
      <w:pPr>
        <w:keepNext w:val="0"/>
        <w:keepLines w:val="0"/>
        <w:pageBreakBefore w:val="0"/>
        <w:kinsoku/>
        <w:wordWrap/>
        <w:overflowPunct/>
        <w:topLinePunct w:val="0"/>
        <w:autoSpaceDE/>
        <w:autoSpaceDN/>
        <w:bidi w:val="0"/>
        <w:adjustRightInd/>
        <w:snapToGrid w:val="0"/>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（15）供应商使用相同IP地址报名的，一经发现，监管部门将进一步核实，查实后按串通投标处理；</w:t>
      </w:r>
    </w:p>
    <w:p w14:paraId="5DADA49F">
      <w:pPr>
        <w:keepNext w:val="0"/>
        <w:keepLines w:val="0"/>
        <w:pageBreakBefore w:val="0"/>
        <w:kinsoku/>
        <w:wordWrap/>
        <w:overflowPunct/>
        <w:topLinePunct w:val="0"/>
        <w:autoSpaceDE/>
        <w:autoSpaceDN/>
        <w:bidi w:val="0"/>
        <w:adjustRightInd/>
        <w:snapToGrid w:val="0"/>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（16）采购文件规定的其它无效投标情形。</w:t>
      </w:r>
    </w:p>
    <w:p w14:paraId="73407C3B">
      <w:pPr>
        <w:keepNext w:val="0"/>
        <w:keepLines w:val="0"/>
        <w:pageBreakBefore w:val="0"/>
        <w:kinsoku/>
        <w:wordWrap/>
        <w:overflowPunct/>
        <w:topLinePunct w:val="0"/>
        <w:autoSpaceDE/>
        <w:autoSpaceDN/>
        <w:bidi w:val="0"/>
        <w:adjustRightInd/>
        <w:snapToGrid w:val="0"/>
        <w:spacing w:line="360" w:lineRule="auto"/>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12.3 供应商有下列情形之一的,符合性审查后其投标按无效投标处理：</w:t>
      </w:r>
    </w:p>
    <w:p w14:paraId="0FC8A50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 投标文件签章、盖章不全，经评标委员会一致认定对开评标内容有实质性影响并经监督部门核准的；</w:t>
      </w:r>
    </w:p>
    <w:p w14:paraId="0D57D14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(2)未按规定的格式填写，实质性内容不全或关键字迹模糊、无法辨认; 经监督部门核准的；</w:t>
      </w:r>
    </w:p>
    <w:p w14:paraId="3EA1623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(4)同一供应商提交两个以上不同的投标文件或者投标报价，但采购文件规定提交备选方案的除外；</w:t>
      </w:r>
    </w:p>
    <w:p w14:paraId="505EBFE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(3)投标文件没有对采购文件的实质性要求和条件作出响应;</w:t>
      </w:r>
    </w:p>
    <w:p w14:paraId="5988BDF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(4)投标报价超出规定的投标限价或公布的采购预算的；</w:t>
      </w:r>
    </w:p>
    <w:p w14:paraId="5E00915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(5)不按评标委员会要求澄清、说明或补正的，或者评标委员会根据采购文件的规定对采购文件的计算错误进行修正后，供应商不接受修正的投标报价的。</w:t>
      </w:r>
    </w:p>
    <w:p w14:paraId="447862B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（6）其它情形，经评标委员会委提出按无效投标处理，并经公共资源交易监督部门核准的；</w:t>
      </w:r>
    </w:p>
    <w:p w14:paraId="4E564635">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shd w:val="clear" w:color="auto" w:fill="FFFFFF"/>
          <w:lang w:eastAsia="zh-CN"/>
        </w:rPr>
        <w:t>未按照招标文件的规定提交投标保证金的；</w:t>
      </w:r>
    </w:p>
    <w:p w14:paraId="5D2E07D8">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shd w:val="clear" w:color="auto" w:fill="FFFFFF"/>
          <w:lang w:eastAsia="zh-CN"/>
        </w:rPr>
        <w:t>投标文件含有采购人不能接受的附加条件的;</w:t>
      </w:r>
    </w:p>
    <w:p w14:paraId="62D9380C">
      <w:pPr>
        <w:keepNext w:val="0"/>
        <w:keepLines w:val="0"/>
        <w:pageBreakBefore w:val="0"/>
        <w:tabs>
          <w:tab w:val="left" w:pos="1123"/>
        </w:tabs>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（9）采购文件规定的其它无效投标情形。</w:t>
      </w:r>
    </w:p>
    <w:p w14:paraId="725DAA1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12.4 供应商有下列情形之一的, 详细评审后其投标按无效投标处理：</w:t>
      </w:r>
    </w:p>
    <w:p w14:paraId="6609168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(1)投标产品不符合必须强制执行的国家标准的；</w:t>
      </w:r>
    </w:p>
    <w:p w14:paraId="19271B9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(2)供应商有串通投标、弄虚作假、行贿等违法行为；</w:t>
      </w:r>
    </w:p>
    <w:p w14:paraId="0E0AAFF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(3)投标文件含有违反国家法律、法规的内容，或附有招标人不能接受的条件的；</w:t>
      </w:r>
    </w:p>
    <w:p w14:paraId="53292062">
      <w:pPr>
        <w:keepNext w:val="0"/>
        <w:keepLines w:val="0"/>
        <w:pageBreakBefore w:val="0"/>
        <w:kinsoku/>
        <w:wordWrap/>
        <w:overflowPunct/>
        <w:topLinePunct w:val="0"/>
        <w:autoSpaceDE/>
        <w:autoSpaceDN/>
        <w:bidi w:val="0"/>
        <w:adjustRightInd/>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（4）在同一项目（或同一标段）中有多个供应商有效投标报价接近最高限价，且评标委员会认为报价出现异常的，可以宣布其投标无效；</w:t>
      </w:r>
    </w:p>
    <w:p w14:paraId="7692020E">
      <w:pPr>
        <w:keepNext w:val="0"/>
        <w:keepLines w:val="0"/>
        <w:pageBreakBefore w:val="0"/>
        <w:kinsoku/>
        <w:wordWrap/>
        <w:overflowPunct/>
        <w:topLinePunct w:val="0"/>
        <w:autoSpaceDE/>
        <w:autoSpaceDN/>
        <w:bidi w:val="0"/>
        <w:adjustRightInd/>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（5）报价明显低于其他供应商，且不能证明报价合理性的投标无效；</w:t>
      </w:r>
    </w:p>
    <w:p w14:paraId="16C9D881">
      <w:pPr>
        <w:keepNext w:val="0"/>
        <w:keepLines w:val="0"/>
        <w:pageBreakBefore w:val="0"/>
        <w:kinsoku/>
        <w:wordWrap/>
        <w:overflowPunct/>
        <w:topLinePunct w:val="0"/>
        <w:autoSpaceDE/>
        <w:autoSpaceDN/>
        <w:bidi w:val="0"/>
        <w:adjustRightInd/>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（6）拒不确认评标委员会评审修正的投标无效；</w:t>
      </w:r>
    </w:p>
    <w:p w14:paraId="4FD184EF">
      <w:pPr>
        <w:keepNext w:val="0"/>
        <w:keepLines w:val="0"/>
        <w:pageBreakBefore w:val="0"/>
        <w:kinsoku/>
        <w:wordWrap/>
        <w:overflowPunct/>
        <w:topLinePunct w:val="0"/>
        <w:autoSpaceDE/>
        <w:autoSpaceDN/>
        <w:bidi w:val="0"/>
        <w:adjustRightInd/>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（7）其它情形，经评标委员会委提出按无效投标处理，并经公共资源交易监督部门核准的；</w:t>
      </w:r>
    </w:p>
    <w:p w14:paraId="2F3A7566">
      <w:pPr>
        <w:keepNext w:val="0"/>
        <w:keepLines w:val="0"/>
        <w:pageBreakBefore w:val="0"/>
        <w:kinsoku/>
        <w:wordWrap/>
        <w:overflowPunct/>
        <w:topLinePunct w:val="0"/>
        <w:autoSpaceDE/>
        <w:autoSpaceDN/>
        <w:bidi w:val="0"/>
        <w:adjustRightInd/>
        <w:spacing w:line="360" w:lineRule="auto"/>
        <w:ind w:firstLine="360"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（8）采购文件规定的其它无效投标情形。</w:t>
      </w:r>
    </w:p>
    <w:p w14:paraId="38598C81">
      <w:pPr>
        <w:pageBreakBefore/>
        <w:spacing w:line="440" w:lineRule="exact"/>
        <w:jc w:val="center"/>
        <w:outlineLvl w:val="0"/>
        <w:rPr>
          <w:rFonts w:hint="eastAsia" w:ascii="仿宋" w:hAnsi="仿宋" w:eastAsia="仿宋" w:cs="仿宋"/>
          <w:b/>
          <w:bCs w:val="0"/>
          <w:color w:val="auto"/>
          <w:sz w:val="36"/>
          <w:szCs w:val="36"/>
          <w:highlight w:val="none"/>
          <w:lang w:eastAsia="zh-CN"/>
        </w:rPr>
      </w:pPr>
      <w:bookmarkStart w:id="44" w:name="OLE_LINK4"/>
      <w:bookmarkStart w:id="45" w:name="_Toc469495737"/>
      <w:r>
        <w:rPr>
          <w:rFonts w:hint="eastAsia" w:ascii="仿宋" w:hAnsi="仿宋" w:eastAsia="仿宋" w:cs="仿宋"/>
          <w:b/>
          <w:bCs w:val="0"/>
          <w:color w:val="auto"/>
          <w:sz w:val="36"/>
          <w:szCs w:val="36"/>
          <w:highlight w:val="none"/>
          <w:lang w:eastAsia="zh-CN"/>
        </w:rPr>
        <w:t>第四</w:t>
      </w:r>
      <w:r>
        <w:rPr>
          <w:rFonts w:hint="eastAsia" w:ascii="仿宋" w:hAnsi="仿宋" w:eastAsia="仿宋" w:cs="仿宋"/>
          <w:b/>
          <w:bCs w:val="0"/>
          <w:color w:val="auto"/>
          <w:sz w:val="36"/>
          <w:szCs w:val="36"/>
          <w:highlight w:val="none"/>
          <w:lang w:val="en-US" w:eastAsia="zh-CN"/>
        </w:rPr>
        <w:t>章</w:t>
      </w:r>
      <w:r>
        <w:rPr>
          <w:rFonts w:hint="eastAsia" w:ascii="仿宋" w:hAnsi="仿宋" w:eastAsia="仿宋" w:cs="仿宋"/>
          <w:b/>
          <w:bCs w:val="0"/>
          <w:color w:val="auto"/>
          <w:sz w:val="36"/>
          <w:szCs w:val="36"/>
          <w:highlight w:val="none"/>
          <w:lang w:eastAsia="zh-CN"/>
        </w:rPr>
        <w:t xml:space="preserve"> </w:t>
      </w:r>
      <w:bookmarkStart w:id="70" w:name="_GoBack"/>
      <w:r>
        <w:rPr>
          <w:rFonts w:hint="eastAsia" w:ascii="仿宋" w:hAnsi="仿宋" w:eastAsia="仿宋" w:cs="仿宋"/>
          <w:b/>
          <w:bCs w:val="0"/>
          <w:color w:val="auto"/>
          <w:sz w:val="36"/>
          <w:szCs w:val="36"/>
          <w:highlight w:val="none"/>
          <w:lang w:eastAsia="zh-CN"/>
        </w:rPr>
        <w:t>技术参数及服务要求</w:t>
      </w:r>
      <w:bookmarkEnd w:id="38"/>
      <w:bookmarkEnd w:id="44"/>
      <w:bookmarkEnd w:id="45"/>
      <w:bookmarkStart w:id="46" w:name="_Toc267320052"/>
      <w:bookmarkStart w:id="47" w:name="_Toc340225294"/>
    </w:p>
    <w:p w14:paraId="1ACF8D65">
      <w:pPr>
        <w:jc w:val="left"/>
        <w:outlineLvl w:val="0"/>
        <w:rPr>
          <w:rFonts w:hint="eastAsia" w:ascii="仿宋" w:hAnsi="仿宋" w:eastAsia="仿宋" w:cs="仿宋"/>
          <w:b/>
          <w:bCs/>
          <w:color w:val="auto"/>
          <w:sz w:val="24"/>
          <w:szCs w:val="24"/>
          <w:lang w:eastAsia="zh-CN"/>
        </w:rPr>
      </w:pPr>
    </w:p>
    <w:p w14:paraId="542492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一、项目基本情况</w:t>
      </w:r>
    </w:p>
    <w:p w14:paraId="132762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1、项目名称：克州二中2025年学生食堂后厨工作人员服务采购项目</w:t>
      </w:r>
    </w:p>
    <w:p w14:paraId="392750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2、采购内容：服务人员42人（厨师长1人、主厨4人、副厨4人、面点师4人、帮厨15人、杂工14人）</w:t>
      </w:r>
    </w:p>
    <w:p w14:paraId="57A5CA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3、采购金额：175000元/月（按11个月计），计：1925000元。</w:t>
      </w:r>
    </w:p>
    <w:p w14:paraId="4AF0C55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4、实施方法：学校自营</w:t>
      </w:r>
    </w:p>
    <w:p w14:paraId="3020CF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bookmarkStart w:id="48" w:name="_Toc267320051"/>
      <w:bookmarkStart w:id="49" w:name="_Toc340225293"/>
      <w:r>
        <w:rPr>
          <w:rFonts w:hint="eastAsia" w:ascii="仿宋" w:hAnsi="仿宋" w:eastAsia="仿宋" w:cs="仿宋"/>
          <w:b w:val="0"/>
          <w:bCs w:val="0"/>
          <w:color w:val="auto"/>
          <w:highlight w:val="none"/>
          <w:lang w:val="en-US" w:eastAsia="zh-CN"/>
        </w:rPr>
        <w:t>5、履约期限：1年（自合同之日起算）</w:t>
      </w:r>
    </w:p>
    <w:p w14:paraId="443024C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6、就餐形式：刷卡式点餐；</w:t>
      </w:r>
    </w:p>
    <w:p w14:paraId="1939AA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7、就餐天数：根据学校教学工作实际确定；</w:t>
      </w:r>
    </w:p>
    <w:p w14:paraId="3EB498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8、就餐人数：约 1900 人；</w:t>
      </w:r>
    </w:p>
    <w:p w14:paraId="30D3D1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二、项目具体需求及要求</w:t>
      </w:r>
    </w:p>
    <w:p w14:paraId="2BA135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1、服务人员要求：</w:t>
      </w:r>
    </w:p>
    <w:p w14:paraId="251F74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1.1</w:t>
      </w:r>
      <w:r>
        <w:rPr>
          <w:rFonts w:hint="eastAsia" w:ascii="仿宋" w:hAnsi="仿宋" w:eastAsia="仿宋" w:cs="仿宋"/>
          <w:b w:val="0"/>
          <w:bCs w:val="0"/>
          <w:color w:val="auto"/>
          <w:highlight w:val="none"/>
          <w:lang w:eastAsia="zh-CN"/>
        </w:rPr>
        <w:t>乙方按国家法律、法规，以及相关政策，与员工签订劳动合同，依法依规为在职员工缴纳社会保险（含养老、失业、医疗、工伤保险、大病保险）及员工意外保险，员工年龄必须符合国家法定用工规定。</w:t>
      </w:r>
    </w:p>
    <w:p w14:paraId="606A60D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1.2</w:t>
      </w:r>
      <w:r>
        <w:rPr>
          <w:rFonts w:hint="eastAsia" w:ascii="仿宋" w:hAnsi="仿宋" w:eastAsia="仿宋" w:cs="仿宋"/>
          <w:b w:val="0"/>
          <w:bCs w:val="0"/>
          <w:color w:val="auto"/>
          <w:highlight w:val="none"/>
          <w:lang w:eastAsia="zh-CN"/>
        </w:rPr>
        <w:t>所有服务人员上岗时应提供有效的《健康证》，身体健康、五官端正，体检报告和无违法犯罪记录。</w:t>
      </w:r>
      <w:r>
        <w:rPr>
          <w:rFonts w:hint="eastAsia" w:ascii="仿宋" w:hAnsi="仿宋" w:eastAsia="仿宋" w:cs="仿宋"/>
          <w:b w:val="0"/>
          <w:bCs w:val="0"/>
          <w:color w:val="auto"/>
          <w:highlight w:val="none"/>
          <w:lang w:val="en-US" w:eastAsia="zh-CN"/>
        </w:rPr>
        <w:t>身心健康、政审合格，须具有一定的烹饪能力，有较好的国语沟通能力，熟悉食品安全相关卫生知识；能够在食堂管理员的指挥下，负责对各种饭菜的加工制作，保证食品质量和安全。</w:t>
      </w:r>
    </w:p>
    <w:p w14:paraId="159D80B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1.3</w:t>
      </w:r>
      <w:r>
        <w:rPr>
          <w:rFonts w:hint="eastAsia" w:ascii="仿宋" w:hAnsi="仿宋" w:eastAsia="仿宋" w:cs="仿宋"/>
          <w:b w:val="0"/>
          <w:bCs w:val="0"/>
          <w:color w:val="auto"/>
          <w:highlight w:val="none"/>
          <w:lang w:eastAsia="zh-CN"/>
        </w:rPr>
        <w:t>如乙方聘用人员的服务标准和工作能力达不到甲方要求的，必须按甲方要求进行人员更换。</w:t>
      </w:r>
    </w:p>
    <w:p w14:paraId="4E1B9A7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1.4</w:t>
      </w:r>
      <w:r>
        <w:rPr>
          <w:rFonts w:hint="eastAsia" w:ascii="仿宋" w:hAnsi="仿宋" w:eastAsia="仿宋" w:cs="仿宋"/>
          <w:b w:val="0"/>
          <w:bCs w:val="0"/>
          <w:color w:val="auto"/>
          <w:highlight w:val="none"/>
          <w:lang w:eastAsia="zh-CN"/>
        </w:rPr>
        <w:t>食堂实行一日三餐制，</w:t>
      </w:r>
      <w:r>
        <w:rPr>
          <w:rFonts w:hint="eastAsia" w:ascii="仿宋" w:hAnsi="仿宋" w:eastAsia="仿宋" w:cs="仿宋"/>
          <w:b w:val="0"/>
          <w:bCs w:val="0"/>
          <w:color w:val="auto"/>
          <w:highlight w:val="none"/>
          <w:lang w:val="en-US" w:eastAsia="zh-CN"/>
        </w:rPr>
        <w:t>严格遵守学校作息时间，按时开餐，不擅离职守、串岗、脱岗，不得影响学校正常教育教学工作。</w:t>
      </w:r>
    </w:p>
    <w:p w14:paraId="7466DC3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 xml:space="preserve">  </w:t>
      </w:r>
      <w:r>
        <w:rPr>
          <w:rFonts w:hint="eastAsia" w:ascii="仿宋" w:hAnsi="仿宋" w:eastAsia="仿宋" w:cs="仿宋"/>
          <w:b w:val="0"/>
          <w:bCs w:val="0"/>
          <w:color w:val="auto"/>
          <w:highlight w:val="none"/>
          <w:lang w:val="en-US" w:eastAsia="zh-CN"/>
        </w:rPr>
        <w:t xml:space="preserve">  1.5</w:t>
      </w:r>
      <w:r>
        <w:rPr>
          <w:rFonts w:hint="eastAsia" w:ascii="仿宋" w:hAnsi="仿宋" w:eastAsia="仿宋" w:cs="仿宋"/>
          <w:b w:val="0"/>
          <w:bCs w:val="0"/>
          <w:color w:val="auto"/>
          <w:highlight w:val="none"/>
          <w:lang w:eastAsia="zh-CN"/>
        </w:rPr>
        <w:t>每周要制作和公布当周菜谱，食物品种需营养均衡、多样化搭配，花样翻新，兼顾色、香、味、形俱佳，确保一周内每天不重样。</w:t>
      </w:r>
    </w:p>
    <w:p w14:paraId="79C068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1.6</w:t>
      </w:r>
      <w:r>
        <w:rPr>
          <w:rFonts w:hint="eastAsia" w:ascii="仿宋" w:hAnsi="仿宋" w:eastAsia="仿宋" w:cs="仿宋"/>
          <w:b w:val="0"/>
          <w:bCs w:val="0"/>
          <w:color w:val="auto"/>
          <w:highlight w:val="none"/>
          <w:lang w:eastAsia="zh-CN"/>
        </w:rPr>
        <w:t>根据甲方要求，中标方需高标准认真做好各项服务工作，确保服务的高质高效。现场服务的主厨要了解各大菜系的做法，提供食材的多种加工方式，保障菜肴的高质量出品。</w:t>
      </w:r>
    </w:p>
    <w:p w14:paraId="6BD6BE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1.7</w:t>
      </w:r>
      <w:r>
        <w:rPr>
          <w:rFonts w:hint="eastAsia" w:ascii="仿宋" w:hAnsi="仿宋" w:eastAsia="仿宋" w:cs="仿宋"/>
          <w:b w:val="0"/>
          <w:bCs w:val="0"/>
          <w:color w:val="auto"/>
          <w:highlight w:val="none"/>
          <w:lang w:eastAsia="zh-CN"/>
        </w:rPr>
        <w:t>厨房要保持设备整齐划一，餐具均需遵守一刮二洗三冲四消毒五保洁的制度进行；工作台、餐具、炊具、地面、墙面按时清洁消毒，干净无异物；冰箱保持干净卫生，分档分类存放食物。所有设施设备、餐具都须洗涤之后再经消毒处理。</w:t>
      </w:r>
    </w:p>
    <w:p w14:paraId="2EBC39E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1.8食堂各种易损耗类</w:t>
      </w:r>
      <w:r>
        <w:rPr>
          <w:rFonts w:hint="eastAsia" w:ascii="仿宋" w:hAnsi="仿宋" w:eastAsia="仿宋" w:cs="仿宋"/>
          <w:b w:val="0"/>
          <w:bCs w:val="0"/>
          <w:color w:val="auto"/>
          <w:highlight w:val="none"/>
          <w:lang w:eastAsia="zh-CN"/>
        </w:rPr>
        <w:t>物品年耗损率要控制在2%以内。</w:t>
      </w:r>
    </w:p>
    <w:p w14:paraId="24C5CD2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1.9</w:t>
      </w:r>
      <w:r>
        <w:rPr>
          <w:rFonts w:hint="eastAsia" w:ascii="仿宋" w:hAnsi="仿宋" w:eastAsia="仿宋" w:cs="仿宋"/>
          <w:b w:val="0"/>
          <w:bCs w:val="0"/>
          <w:color w:val="auto"/>
          <w:highlight w:val="none"/>
          <w:lang w:eastAsia="zh-CN"/>
        </w:rPr>
        <w:t>所有服务人员衣帽统一、穿戴整齐，保持整洁，着工作服、工作帽、戴工号牌，每个员工有冬、夏工作服各两套。</w:t>
      </w:r>
    </w:p>
    <w:p w14:paraId="37D7719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1.10</w:t>
      </w:r>
      <w:r>
        <w:rPr>
          <w:rFonts w:hint="eastAsia" w:ascii="仿宋" w:hAnsi="仿宋" w:eastAsia="仿宋" w:cs="仿宋"/>
          <w:b w:val="0"/>
          <w:bCs w:val="0"/>
          <w:color w:val="auto"/>
          <w:highlight w:val="none"/>
          <w:lang w:eastAsia="zh-CN"/>
        </w:rPr>
        <w:t>搞好餐厅内外环境卫生，做到熟食、生料加工分开，杜绝生、熟食混放，每餐须对食品留样。制定餐厅卫生管理制度，建立餐厅卫生工作自查记录。餐厅内所有垃圾倒在指定地点，定期对就餐场所、就餐桌椅、板凳进行打扫消毒。</w:t>
      </w:r>
    </w:p>
    <w:p w14:paraId="74E6ECB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1.11</w:t>
      </w:r>
      <w:r>
        <w:rPr>
          <w:rFonts w:hint="eastAsia" w:ascii="仿宋" w:hAnsi="仿宋" w:eastAsia="仿宋" w:cs="仿宋"/>
          <w:b w:val="0"/>
          <w:bCs w:val="0"/>
          <w:color w:val="auto"/>
          <w:highlight w:val="none"/>
          <w:lang w:eastAsia="zh-CN"/>
        </w:rPr>
        <w:t>确保餐厅操作的安全卫生，杜绝各类设施设备的安全卫生事故。全体工作人员都应熟练掌握消防安全常规常识，严格执行消防安全标准，确保不出问题。做到人走灯熄、人走水停、人走燃气关。</w:t>
      </w:r>
    </w:p>
    <w:p w14:paraId="462C59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1.12</w:t>
      </w:r>
      <w:r>
        <w:rPr>
          <w:rFonts w:hint="eastAsia" w:ascii="仿宋" w:hAnsi="仿宋" w:eastAsia="仿宋" w:cs="仿宋"/>
          <w:b w:val="0"/>
          <w:bCs w:val="0"/>
          <w:color w:val="auto"/>
          <w:highlight w:val="none"/>
          <w:lang w:eastAsia="zh-CN"/>
        </w:rPr>
        <w:t>在餐厅管理中，不使用腐烂变质的主副食品，包括各类辅料，不供应变质饭菜，保证饭菜卫生质量。注意荤素、营养的搭配，花色品种不断翻新，做到饭热、菜香。</w:t>
      </w:r>
    </w:p>
    <w:p w14:paraId="4AD0482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 xml:space="preserve">1.13遵守安全操作规程，合理使用操作工具，合理使用食物原材料，加强水、电、气的安全管理。 </w:t>
      </w:r>
    </w:p>
    <w:p w14:paraId="29270B0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1.14节假日、周末根据学校统一安排来确定休息，如学生补课，食堂要正常供餐。</w:t>
      </w:r>
    </w:p>
    <w:p w14:paraId="5575A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1.15场所环境</w:t>
      </w:r>
    </w:p>
    <w:p w14:paraId="04A92FE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1.15.1保持场所干净卫生，无积尘、蛛网、无残渣、无污迹、油迹、无积水、不湿滑，无烟头等杂物。</w:t>
      </w:r>
    </w:p>
    <w:p w14:paraId="5051B0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1.15.2 室内外环境要做到清洁，无蚊蝇、老鼠、蟑螂孳生地，落实有效防范措施。日常有灭蝇、灭鼠、灭蟑螂工作记录，纱门、纱窗应随时关闭。</w:t>
      </w:r>
    </w:p>
    <w:p w14:paraId="2278181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1.15.3餐厅内外、餐桌椅无残渣、无污迹、油迹、不湿滑， 泔水、垃圾应盖好存放及时处理。</w:t>
      </w:r>
    </w:p>
    <w:p w14:paraId="496F51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1.16人员卫生</w:t>
      </w:r>
    </w:p>
    <w:p w14:paraId="58C30FE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1.16.1 食品从业人员应保持个人卫生，做到四勤：勤洗手、勤剪指甲、勤理发洗澡、勤换工作服帽，从事食品加工时，应穿戴清洁的工作衣、帽、口罩。</w:t>
      </w:r>
    </w:p>
    <w:p w14:paraId="22DFE1D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1.16.2食品从业人员不得留长指甲、涂指甲油、佩戴首饰 ，要勤洗手消毒、不随地吐痰、不乱扔废弃物。</w:t>
      </w:r>
    </w:p>
    <w:p w14:paraId="7527369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1.16.3 加工食品时不吸烟、不挖鼻孔、不捣耳朵、不对着食品打喷嚏。</w:t>
      </w:r>
    </w:p>
    <w:p w14:paraId="386F240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1.17建立服务评价退出机制</w:t>
      </w:r>
    </w:p>
    <w:p w14:paraId="63A1E9E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服务评价退出工作应当遵循“客观公正、优胜劣汰、动态管理”的原则，设定评价指标体系、对餐饮服务质量等内容，由校方食堂管理委员会按月进行比较打分，连续两个月满意度低于60%时将终止履行合同，乙方无条件退出。</w:t>
      </w:r>
      <w:bookmarkEnd w:id="48"/>
      <w:bookmarkEnd w:id="49"/>
    </w:p>
    <w:bookmarkEnd w:id="70"/>
    <w:p w14:paraId="7899E7D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highlight w:val="none"/>
          <w:lang w:eastAsia="zh-CN"/>
        </w:rPr>
      </w:pPr>
    </w:p>
    <w:p w14:paraId="0A7F82CD">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b/>
          <w:bCs/>
          <w:color w:val="auto"/>
          <w:highlight w:val="none"/>
          <w:lang w:eastAsia="zh-CN"/>
        </w:rPr>
      </w:pPr>
    </w:p>
    <w:bookmarkEnd w:id="46"/>
    <w:bookmarkEnd w:id="47"/>
    <w:p w14:paraId="16D2434F">
      <w:pPr>
        <w:spacing w:line="480" w:lineRule="exact"/>
        <w:jc w:val="center"/>
        <w:outlineLvl w:val="1"/>
        <w:rPr>
          <w:rFonts w:hint="eastAsia" w:ascii="仿宋" w:hAnsi="仿宋" w:eastAsia="仿宋" w:cs="仿宋"/>
          <w:b/>
          <w:color w:val="auto"/>
          <w:sz w:val="30"/>
          <w:szCs w:val="30"/>
          <w:highlight w:val="none"/>
          <w:lang w:eastAsia="zh-CN"/>
        </w:rPr>
      </w:pPr>
    </w:p>
    <w:p w14:paraId="11E43A20">
      <w:pPr>
        <w:spacing w:line="480" w:lineRule="exact"/>
        <w:jc w:val="center"/>
        <w:outlineLvl w:val="1"/>
        <w:rPr>
          <w:rFonts w:hint="eastAsia" w:ascii="仿宋" w:hAnsi="仿宋" w:eastAsia="仿宋" w:cs="仿宋"/>
          <w:b/>
          <w:color w:val="auto"/>
          <w:sz w:val="30"/>
          <w:szCs w:val="30"/>
          <w:highlight w:val="none"/>
          <w:lang w:eastAsia="zh-CN"/>
        </w:rPr>
      </w:pPr>
    </w:p>
    <w:p w14:paraId="54A7F85A">
      <w:pPr>
        <w:spacing w:line="480" w:lineRule="exact"/>
        <w:jc w:val="center"/>
        <w:outlineLvl w:val="1"/>
        <w:rPr>
          <w:rFonts w:hint="eastAsia" w:ascii="仿宋" w:hAnsi="仿宋" w:eastAsia="仿宋" w:cs="仿宋"/>
          <w:b/>
          <w:color w:val="auto"/>
          <w:sz w:val="30"/>
          <w:szCs w:val="30"/>
          <w:highlight w:val="none"/>
          <w:lang w:eastAsia="zh-CN"/>
        </w:rPr>
      </w:pPr>
    </w:p>
    <w:p w14:paraId="43FD9E98">
      <w:pPr>
        <w:spacing w:line="480" w:lineRule="exact"/>
        <w:jc w:val="center"/>
        <w:outlineLvl w:val="1"/>
        <w:rPr>
          <w:rFonts w:hint="eastAsia" w:ascii="仿宋" w:hAnsi="仿宋" w:eastAsia="仿宋" w:cs="仿宋"/>
          <w:b/>
          <w:color w:val="auto"/>
          <w:sz w:val="30"/>
          <w:szCs w:val="30"/>
          <w:highlight w:val="none"/>
          <w:lang w:eastAsia="zh-CN"/>
        </w:rPr>
      </w:pPr>
    </w:p>
    <w:p w14:paraId="31CC2012">
      <w:pPr>
        <w:spacing w:line="480" w:lineRule="exact"/>
        <w:jc w:val="center"/>
        <w:outlineLvl w:val="1"/>
        <w:rPr>
          <w:rFonts w:hint="eastAsia" w:ascii="仿宋" w:hAnsi="仿宋" w:eastAsia="仿宋" w:cs="仿宋"/>
          <w:b/>
          <w:color w:val="auto"/>
          <w:sz w:val="30"/>
          <w:szCs w:val="30"/>
          <w:highlight w:val="none"/>
          <w:lang w:eastAsia="zh-CN"/>
        </w:rPr>
      </w:pPr>
    </w:p>
    <w:p w14:paraId="1977BA16">
      <w:pPr>
        <w:spacing w:line="480" w:lineRule="exact"/>
        <w:jc w:val="center"/>
        <w:outlineLvl w:val="1"/>
        <w:rPr>
          <w:rFonts w:hint="eastAsia" w:ascii="仿宋" w:hAnsi="仿宋" w:eastAsia="仿宋" w:cs="仿宋"/>
          <w:b/>
          <w:color w:val="auto"/>
          <w:sz w:val="30"/>
          <w:szCs w:val="30"/>
          <w:highlight w:val="none"/>
          <w:lang w:eastAsia="zh-CN"/>
        </w:rPr>
      </w:pPr>
    </w:p>
    <w:p w14:paraId="4CFC33A2">
      <w:pPr>
        <w:spacing w:line="480" w:lineRule="exact"/>
        <w:jc w:val="center"/>
        <w:outlineLvl w:val="1"/>
        <w:rPr>
          <w:rFonts w:hint="eastAsia" w:ascii="仿宋" w:hAnsi="仿宋" w:eastAsia="仿宋" w:cs="仿宋"/>
          <w:b/>
          <w:color w:val="auto"/>
          <w:sz w:val="30"/>
          <w:szCs w:val="30"/>
          <w:highlight w:val="none"/>
          <w:lang w:eastAsia="zh-CN"/>
        </w:rPr>
      </w:pPr>
    </w:p>
    <w:p w14:paraId="5DED3995">
      <w:pPr>
        <w:spacing w:line="480" w:lineRule="exact"/>
        <w:jc w:val="center"/>
        <w:outlineLvl w:val="1"/>
        <w:rPr>
          <w:rFonts w:hint="eastAsia" w:ascii="仿宋" w:hAnsi="仿宋" w:eastAsia="仿宋" w:cs="仿宋"/>
          <w:b/>
          <w:color w:val="auto"/>
          <w:sz w:val="30"/>
          <w:szCs w:val="30"/>
          <w:highlight w:val="none"/>
          <w:lang w:eastAsia="zh-CN"/>
        </w:rPr>
      </w:pPr>
    </w:p>
    <w:p w14:paraId="38C2E2B9">
      <w:pPr>
        <w:spacing w:line="480" w:lineRule="exact"/>
        <w:jc w:val="center"/>
        <w:outlineLvl w:val="1"/>
        <w:rPr>
          <w:rFonts w:hint="eastAsia" w:ascii="仿宋" w:hAnsi="仿宋" w:eastAsia="仿宋" w:cs="仿宋"/>
          <w:b/>
          <w:color w:val="auto"/>
          <w:sz w:val="30"/>
          <w:szCs w:val="30"/>
          <w:highlight w:val="none"/>
          <w:lang w:eastAsia="zh-CN"/>
        </w:rPr>
      </w:pPr>
    </w:p>
    <w:p w14:paraId="28A2F024">
      <w:pPr>
        <w:spacing w:line="480" w:lineRule="exact"/>
        <w:jc w:val="center"/>
        <w:outlineLvl w:val="1"/>
        <w:rPr>
          <w:rFonts w:hint="eastAsia" w:ascii="仿宋" w:hAnsi="仿宋" w:eastAsia="仿宋" w:cs="仿宋"/>
          <w:b/>
          <w:color w:val="auto"/>
          <w:sz w:val="30"/>
          <w:szCs w:val="30"/>
          <w:highlight w:val="none"/>
          <w:lang w:eastAsia="zh-CN"/>
        </w:rPr>
      </w:pPr>
    </w:p>
    <w:p w14:paraId="2425B492">
      <w:pPr>
        <w:spacing w:line="480" w:lineRule="exact"/>
        <w:jc w:val="center"/>
        <w:outlineLvl w:val="1"/>
        <w:rPr>
          <w:rFonts w:hint="eastAsia" w:ascii="仿宋" w:hAnsi="仿宋" w:eastAsia="仿宋" w:cs="仿宋"/>
          <w:b/>
          <w:color w:val="auto"/>
          <w:sz w:val="30"/>
          <w:szCs w:val="30"/>
          <w:highlight w:val="none"/>
          <w:lang w:eastAsia="zh-CN"/>
        </w:rPr>
      </w:pPr>
    </w:p>
    <w:p w14:paraId="515B5623">
      <w:pPr>
        <w:spacing w:line="480" w:lineRule="exact"/>
        <w:jc w:val="center"/>
        <w:outlineLvl w:val="1"/>
        <w:rPr>
          <w:rFonts w:hint="eastAsia" w:ascii="仿宋" w:hAnsi="仿宋" w:eastAsia="仿宋" w:cs="仿宋"/>
          <w:b/>
          <w:color w:val="auto"/>
          <w:sz w:val="30"/>
          <w:szCs w:val="30"/>
          <w:highlight w:val="none"/>
          <w:lang w:eastAsia="zh-CN"/>
        </w:rPr>
      </w:pPr>
    </w:p>
    <w:p w14:paraId="2A2BB179">
      <w:pPr>
        <w:spacing w:line="480" w:lineRule="exact"/>
        <w:jc w:val="both"/>
        <w:outlineLvl w:val="1"/>
        <w:rPr>
          <w:rFonts w:hint="eastAsia" w:ascii="仿宋" w:hAnsi="仿宋" w:eastAsia="仿宋" w:cs="仿宋"/>
          <w:b/>
          <w:color w:val="auto"/>
          <w:sz w:val="30"/>
          <w:szCs w:val="30"/>
          <w:highlight w:val="none"/>
          <w:lang w:eastAsia="zh-CN"/>
        </w:rPr>
      </w:pPr>
    </w:p>
    <w:p w14:paraId="6CD69FEF">
      <w:pPr>
        <w:spacing w:line="480" w:lineRule="exact"/>
        <w:jc w:val="both"/>
        <w:outlineLvl w:val="1"/>
        <w:rPr>
          <w:rFonts w:hint="eastAsia" w:ascii="仿宋" w:hAnsi="仿宋" w:eastAsia="仿宋" w:cs="仿宋"/>
          <w:b/>
          <w:color w:val="auto"/>
          <w:sz w:val="30"/>
          <w:szCs w:val="30"/>
          <w:highlight w:val="none"/>
          <w:lang w:eastAsia="zh-CN"/>
        </w:rPr>
      </w:pPr>
    </w:p>
    <w:p w14:paraId="50A17838">
      <w:pPr>
        <w:spacing w:line="480" w:lineRule="exact"/>
        <w:jc w:val="center"/>
        <w:outlineLvl w:val="1"/>
        <w:rPr>
          <w:rFonts w:hint="eastAsia" w:ascii="仿宋" w:hAnsi="仿宋" w:eastAsia="仿宋" w:cs="仿宋"/>
          <w:b/>
          <w:color w:val="auto"/>
          <w:sz w:val="30"/>
          <w:szCs w:val="30"/>
          <w:highlight w:val="none"/>
          <w:lang w:eastAsia="zh-CN"/>
        </w:rPr>
      </w:pPr>
    </w:p>
    <w:p w14:paraId="6B0A6CDA">
      <w:pPr>
        <w:spacing w:line="480" w:lineRule="exact"/>
        <w:jc w:val="center"/>
        <w:outlineLvl w:val="1"/>
        <w:rPr>
          <w:rFonts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第五</w:t>
      </w:r>
      <w:r>
        <w:rPr>
          <w:rFonts w:hint="eastAsia" w:ascii="仿宋" w:hAnsi="仿宋" w:eastAsia="仿宋" w:cs="仿宋"/>
          <w:b/>
          <w:color w:val="auto"/>
          <w:sz w:val="32"/>
          <w:szCs w:val="32"/>
          <w:highlight w:val="none"/>
          <w:lang w:val="en-US" w:eastAsia="zh-CN"/>
        </w:rPr>
        <w:t>章</w:t>
      </w:r>
      <w:r>
        <w:rPr>
          <w:rFonts w:hint="eastAsia" w:ascii="仿宋" w:hAnsi="仿宋" w:eastAsia="仿宋" w:cs="仿宋"/>
          <w:b/>
          <w:color w:val="auto"/>
          <w:sz w:val="32"/>
          <w:szCs w:val="32"/>
          <w:highlight w:val="none"/>
          <w:lang w:eastAsia="zh-CN"/>
        </w:rPr>
        <w:t xml:space="preserve"> 合同条款及格式</w:t>
      </w:r>
      <w:bookmarkStart w:id="50" w:name="_Toc20669"/>
    </w:p>
    <w:p w14:paraId="26284766">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50"/>
    </w:p>
    <w:p w14:paraId="06821A22">
      <w:pPr>
        <w:pStyle w:val="13"/>
        <w:adjustRightInd w:val="0"/>
        <w:snapToGrid w:val="0"/>
        <w:spacing w:line="682" w:lineRule="exact"/>
        <w:jc w:val="center"/>
        <w:rPr>
          <w:rFonts w:hint="eastAsia" w:ascii="方正小标宋简体" w:hAnsi="宋体" w:eastAsia="方正小标宋简体" w:cs="宋体"/>
          <w:color w:val="000000"/>
          <w:sz w:val="48"/>
          <w:szCs w:val="48"/>
          <w:lang w:eastAsia="zh-CN"/>
        </w:rPr>
      </w:pPr>
    </w:p>
    <w:p w14:paraId="65C0C10C">
      <w:pPr>
        <w:pStyle w:val="13"/>
        <w:adjustRightInd w:val="0"/>
        <w:snapToGrid w:val="0"/>
        <w:spacing w:line="682" w:lineRule="exact"/>
        <w:jc w:val="center"/>
        <w:rPr>
          <w:rFonts w:hint="eastAsia" w:ascii="方正小标宋简体" w:hAnsi="宋体" w:eastAsia="方正小标宋简体" w:cs="宋体"/>
          <w:color w:val="000000"/>
          <w:sz w:val="48"/>
          <w:szCs w:val="48"/>
          <w:lang w:eastAsia="zh-CN"/>
        </w:rPr>
      </w:pPr>
      <w:r>
        <w:rPr>
          <w:rFonts w:hint="eastAsia" w:ascii="方正小标宋简体" w:hAnsi="宋体" w:eastAsia="方正小标宋简体" w:cs="宋体"/>
          <w:color w:val="000000"/>
          <w:sz w:val="48"/>
          <w:szCs w:val="48"/>
          <w:lang w:eastAsia="zh-CN"/>
        </w:rPr>
        <w:t>克州二中</w:t>
      </w:r>
      <w:r>
        <w:rPr>
          <w:rFonts w:hint="eastAsia" w:ascii="方正小标宋简体" w:hAnsi="宋体" w:eastAsia="方正小标宋简体" w:cs="宋体"/>
          <w:color w:val="000000"/>
          <w:sz w:val="48"/>
          <w:szCs w:val="48"/>
          <w:lang w:val="en-US" w:eastAsia="zh-CN"/>
        </w:rPr>
        <w:t>2025年</w:t>
      </w:r>
      <w:r>
        <w:rPr>
          <w:rFonts w:hint="eastAsia" w:ascii="方正小标宋简体" w:hAnsi="宋体" w:eastAsia="方正小标宋简体" w:cs="宋体"/>
          <w:color w:val="000000"/>
          <w:sz w:val="48"/>
          <w:szCs w:val="48"/>
          <w:lang w:eastAsia="zh-CN"/>
        </w:rPr>
        <w:t>学生食堂后厨工作</w:t>
      </w:r>
    </w:p>
    <w:p w14:paraId="17B2F2B5">
      <w:pPr>
        <w:pStyle w:val="13"/>
        <w:adjustRightInd w:val="0"/>
        <w:snapToGrid w:val="0"/>
        <w:spacing w:line="682" w:lineRule="exact"/>
        <w:jc w:val="center"/>
        <w:rPr>
          <w:rFonts w:hint="eastAsia" w:ascii="方正小标宋简体" w:hAnsi="宋体" w:eastAsia="方正小标宋简体" w:cs="宋体"/>
          <w:color w:val="000000"/>
          <w:sz w:val="48"/>
          <w:szCs w:val="48"/>
          <w:lang w:eastAsia="zh-CN"/>
        </w:rPr>
      </w:pPr>
      <w:r>
        <w:rPr>
          <w:rFonts w:hint="eastAsia" w:ascii="方正小标宋简体" w:hAnsi="宋体" w:eastAsia="方正小标宋简体" w:cs="宋体"/>
          <w:color w:val="000000"/>
          <w:sz w:val="48"/>
          <w:szCs w:val="48"/>
          <w:lang w:eastAsia="zh-CN"/>
        </w:rPr>
        <w:t>人员服务采购项目合同</w:t>
      </w:r>
    </w:p>
    <w:p w14:paraId="76ED235E">
      <w:pPr>
        <w:pStyle w:val="13"/>
        <w:adjustRightInd w:val="0"/>
        <w:snapToGrid w:val="0"/>
        <w:spacing w:line="682" w:lineRule="exact"/>
        <w:jc w:val="center"/>
        <w:rPr>
          <w:rFonts w:hint="eastAsia" w:ascii="楷体_GB2312" w:hAnsi="宋体" w:eastAsia="楷体_GB2312" w:cs="宋体"/>
          <w:color w:val="000000"/>
          <w:sz w:val="44"/>
          <w:szCs w:val="44"/>
        </w:rPr>
      </w:pPr>
      <w:r>
        <w:rPr>
          <w:rFonts w:hint="eastAsia" w:ascii="楷体_GB2312" w:hAnsi="宋体" w:eastAsia="楷体_GB2312" w:cs="宋体"/>
          <w:color w:val="000000"/>
          <w:sz w:val="44"/>
          <w:szCs w:val="44"/>
        </w:rPr>
        <w:t>（示范文本）</w:t>
      </w:r>
    </w:p>
    <w:p w14:paraId="26D7F378">
      <w:pPr>
        <w:pStyle w:val="13"/>
        <w:adjustRightInd w:val="0"/>
        <w:snapToGrid w:val="0"/>
        <w:spacing w:line="482" w:lineRule="exact"/>
        <w:jc w:val="center"/>
        <w:rPr>
          <w:rFonts w:hint="eastAsia" w:ascii="楷体_GB2312" w:hAnsi="宋体" w:eastAsia="楷体_GB2312" w:cs="宋体"/>
          <w:color w:val="000000"/>
          <w:sz w:val="32"/>
          <w:szCs w:val="32"/>
        </w:rPr>
      </w:pPr>
    </w:p>
    <w:p w14:paraId="5023DB0A">
      <w:pPr>
        <w:pStyle w:val="13"/>
        <w:adjustRightInd w:val="0"/>
        <w:snapToGrid w:val="0"/>
        <w:spacing w:line="482" w:lineRule="exact"/>
        <w:jc w:val="center"/>
        <w:rPr>
          <w:rFonts w:hint="eastAsia" w:ascii="楷体_GB2312" w:hAnsi="宋体" w:eastAsia="楷体_GB2312" w:cs="宋体"/>
          <w:color w:val="000000"/>
          <w:sz w:val="32"/>
          <w:szCs w:val="32"/>
        </w:rPr>
      </w:pPr>
    </w:p>
    <w:p w14:paraId="208B32F1">
      <w:pPr>
        <w:pStyle w:val="13"/>
        <w:adjustRightInd w:val="0"/>
        <w:snapToGrid w:val="0"/>
        <w:spacing w:line="482" w:lineRule="exact"/>
        <w:jc w:val="center"/>
        <w:rPr>
          <w:rFonts w:hint="eastAsia" w:ascii="楷体_GB2312" w:hAnsi="宋体" w:eastAsia="楷体_GB2312" w:cs="宋体"/>
          <w:color w:val="000000"/>
          <w:sz w:val="32"/>
          <w:szCs w:val="32"/>
        </w:rPr>
      </w:pPr>
    </w:p>
    <w:p w14:paraId="1EE43121">
      <w:pPr>
        <w:pStyle w:val="13"/>
        <w:adjustRightInd w:val="0"/>
        <w:snapToGrid w:val="0"/>
        <w:spacing w:line="482" w:lineRule="exact"/>
        <w:jc w:val="center"/>
        <w:rPr>
          <w:rFonts w:hint="eastAsia" w:ascii="楷体_GB2312" w:hAnsi="宋体" w:eastAsia="楷体_GB2312" w:cs="宋体"/>
          <w:color w:val="000000"/>
          <w:sz w:val="32"/>
          <w:szCs w:val="32"/>
        </w:rPr>
      </w:pPr>
    </w:p>
    <w:p w14:paraId="46E375B2">
      <w:pPr>
        <w:pStyle w:val="13"/>
        <w:adjustRightInd w:val="0"/>
        <w:snapToGrid w:val="0"/>
        <w:spacing w:line="482" w:lineRule="exact"/>
        <w:jc w:val="center"/>
        <w:rPr>
          <w:rFonts w:hint="eastAsia" w:ascii="楷体_GB2312" w:hAnsi="宋体" w:eastAsia="楷体_GB2312" w:cs="宋体"/>
          <w:color w:val="000000"/>
          <w:sz w:val="32"/>
          <w:szCs w:val="32"/>
        </w:rPr>
      </w:pPr>
    </w:p>
    <w:p w14:paraId="76BAAA0F">
      <w:pPr>
        <w:pStyle w:val="13"/>
        <w:adjustRightInd w:val="0"/>
        <w:snapToGrid w:val="0"/>
        <w:spacing w:line="482" w:lineRule="exact"/>
        <w:jc w:val="center"/>
        <w:rPr>
          <w:rFonts w:hint="eastAsia" w:ascii="楷体_GB2312" w:hAnsi="宋体" w:eastAsia="楷体_GB2312" w:cs="宋体"/>
          <w:color w:val="000000"/>
          <w:sz w:val="32"/>
          <w:szCs w:val="32"/>
        </w:rPr>
      </w:pPr>
    </w:p>
    <w:p w14:paraId="62061597">
      <w:pPr>
        <w:pStyle w:val="13"/>
        <w:adjustRightInd w:val="0"/>
        <w:snapToGrid w:val="0"/>
        <w:spacing w:line="482" w:lineRule="exact"/>
        <w:jc w:val="center"/>
        <w:rPr>
          <w:rFonts w:hint="eastAsia" w:ascii="楷体_GB2312" w:hAnsi="宋体" w:eastAsia="楷体_GB2312" w:cs="宋体"/>
          <w:color w:val="000000"/>
          <w:sz w:val="32"/>
          <w:szCs w:val="32"/>
        </w:rPr>
      </w:pPr>
    </w:p>
    <w:p w14:paraId="18E2949E">
      <w:pPr>
        <w:pStyle w:val="13"/>
        <w:adjustRightInd w:val="0"/>
        <w:snapToGrid w:val="0"/>
        <w:spacing w:line="482" w:lineRule="exact"/>
        <w:jc w:val="center"/>
        <w:rPr>
          <w:rFonts w:hint="eastAsia" w:ascii="楷体_GB2312" w:hAnsi="宋体" w:eastAsia="楷体_GB2312" w:cs="宋体"/>
          <w:color w:val="000000"/>
          <w:sz w:val="32"/>
          <w:szCs w:val="32"/>
        </w:rPr>
      </w:pPr>
    </w:p>
    <w:p w14:paraId="3E338DCC">
      <w:pPr>
        <w:pStyle w:val="13"/>
        <w:adjustRightInd w:val="0"/>
        <w:snapToGrid w:val="0"/>
        <w:spacing w:line="482" w:lineRule="exact"/>
        <w:jc w:val="both"/>
        <w:rPr>
          <w:rFonts w:hint="eastAsia" w:ascii="楷体_GB2312" w:hAnsi="宋体" w:eastAsia="楷体_GB2312" w:cs="宋体"/>
          <w:color w:val="000000"/>
          <w:sz w:val="32"/>
          <w:szCs w:val="32"/>
        </w:rPr>
      </w:pPr>
    </w:p>
    <w:p w14:paraId="05DF15E6">
      <w:pPr>
        <w:pStyle w:val="13"/>
        <w:adjustRightInd w:val="0"/>
        <w:snapToGrid w:val="0"/>
        <w:spacing w:line="482" w:lineRule="exact"/>
        <w:jc w:val="both"/>
        <w:rPr>
          <w:rFonts w:hint="eastAsia" w:ascii="楷体_GB2312" w:hAnsi="宋体" w:eastAsia="楷体_GB2312" w:cs="宋体"/>
          <w:color w:val="000000"/>
          <w:sz w:val="32"/>
          <w:szCs w:val="32"/>
        </w:rPr>
      </w:pPr>
    </w:p>
    <w:p w14:paraId="5CD65CF4">
      <w:pPr>
        <w:pStyle w:val="13"/>
        <w:adjustRightInd w:val="0"/>
        <w:snapToGrid w:val="0"/>
        <w:spacing w:line="482" w:lineRule="exact"/>
        <w:jc w:val="both"/>
        <w:rPr>
          <w:rFonts w:hint="eastAsia" w:ascii="楷体_GB2312" w:hAnsi="宋体" w:eastAsia="楷体_GB2312" w:cs="宋体"/>
          <w:color w:val="000000"/>
          <w:sz w:val="32"/>
          <w:szCs w:val="32"/>
        </w:rPr>
      </w:pPr>
    </w:p>
    <w:p w14:paraId="76DADF34">
      <w:pPr>
        <w:pStyle w:val="13"/>
        <w:adjustRightInd w:val="0"/>
        <w:snapToGrid w:val="0"/>
        <w:spacing w:line="482" w:lineRule="exact"/>
        <w:jc w:val="center"/>
        <w:rPr>
          <w:rFonts w:hint="eastAsia" w:ascii="楷体_GB2312" w:hAnsi="宋体" w:eastAsia="楷体_GB2312" w:cs="宋体"/>
          <w:color w:val="000000"/>
          <w:sz w:val="32"/>
          <w:szCs w:val="32"/>
        </w:rPr>
      </w:pPr>
    </w:p>
    <w:p w14:paraId="2121875D">
      <w:pPr>
        <w:pStyle w:val="13"/>
        <w:adjustRightInd w:val="0"/>
        <w:snapToGrid w:val="0"/>
        <w:spacing w:line="482" w:lineRule="exact"/>
        <w:jc w:val="center"/>
        <w:rPr>
          <w:rFonts w:hint="eastAsia" w:ascii="楷体_GB2312" w:hAnsi="宋体" w:eastAsia="楷体_GB2312" w:cs="宋体"/>
          <w:color w:val="auto"/>
          <w:sz w:val="32"/>
          <w:szCs w:val="32"/>
          <w:highlight w:val="none"/>
        </w:rPr>
      </w:pPr>
    </w:p>
    <w:p w14:paraId="350C1DC8">
      <w:pPr>
        <w:pStyle w:val="13"/>
        <w:adjustRightInd w:val="0"/>
        <w:snapToGrid w:val="0"/>
        <w:spacing w:line="482" w:lineRule="exact"/>
        <w:jc w:val="center"/>
        <w:rPr>
          <w:rFonts w:hint="eastAsia" w:ascii="楷体_GB2312" w:hAnsi="宋体" w:eastAsia="楷体_GB2312" w:cs="宋体"/>
          <w:color w:val="auto"/>
          <w:spacing w:val="18"/>
          <w:sz w:val="32"/>
          <w:szCs w:val="32"/>
          <w:highlight w:val="none"/>
          <w:lang w:eastAsia="zh-CN"/>
        </w:rPr>
      </w:pPr>
      <w:r>
        <w:rPr>
          <w:color w:val="auto"/>
          <w:sz w:val="32"/>
          <w:highlight w:val="none"/>
        </w:rPr>
        <mc:AlternateContent>
          <mc:Choice Requires="wps">
            <w:drawing>
              <wp:anchor distT="0" distB="0" distL="114300" distR="114300" simplePos="0" relativeHeight="251667456" behindDoc="0" locked="0" layoutInCell="1" allowOverlap="1">
                <wp:simplePos x="0" y="0"/>
                <wp:positionH relativeFrom="column">
                  <wp:posOffset>4558665</wp:posOffset>
                </wp:positionH>
                <wp:positionV relativeFrom="paragraph">
                  <wp:posOffset>201930</wp:posOffset>
                </wp:positionV>
                <wp:extent cx="638175" cy="390525"/>
                <wp:effectExtent l="7620" t="7620" r="20955" b="20955"/>
                <wp:wrapNone/>
                <wp:docPr id="8" name="文本框 10"/>
                <wp:cNvGraphicFramePr/>
                <a:graphic xmlns:a="http://schemas.openxmlformats.org/drawingml/2006/main">
                  <a:graphicData uri="http://schemas.microsoft.com/office/word/2010/wordprocessingShape">
                    <wps:wsp>
                      <wps:cNvSpPr txBox="1"/>
                      <wps:spPr>
                        <a:xfrm>
                          <a:off x="0" y="0"/>
                          <a:ext cx="638175" cy="39052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57B67AB0">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制定</w:t>
                            </w:r>
                          </w:p>
                        </w:txbxContent>
                      </wps:txbx>
                      <wps:bodyPr vert="horz" wrap="square" anchor="t" anchorCtr="0" upright="1"/>
                    </wps:wsp>
                  </a:graphicData>
                </a:graphic>
              </wp:anchor>
            </w:drawing>
          </mc:Choice>
          <mc:Fallback>
            <w:pict>
              <v:shape id="文本框 10" o:spid="_x0000_s1026" o:spt="202" type="#_x0000_t202" style="position:absolute;left:0pt;margin-left:358.95pt;margin-top:15.9pt;height:30.75pt;width:50.25pt;z-index:251667456;mso-width-relative:page;mso-height-relative:page;" fillcolor="#FFFFFF" filled="t" stroked="t" coordsize="21600,21600" o:gfxdata="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HJarl2gAAAAkBAAAPAAAAAAAAAAEAIAAAACIAAABkcnMvZG93bnJldi54bWxQSwECFAAUAAAA&#10;CACHTuJAPQr2Jl4CAADxBAAADgAAAAAAAAABACAAAAApAQAAZHJzL2Uyb0RvYy54bWxQSwUGAAAA&#10;AAYABgBZAQAA+QUAAAAA&#10;">
                <v:fill type="gradient" on="t" color2="#FFFFFF" angle="90" focus="100%" focussize="0,0">
                  <o:fill type="gradientUnscaled" v:ext="backwardCompatible"/>
                </v:fill>
                <v:stroke weight="1.25pt" color="#FFFFFF" joinstyle="miter"/>
                <v:imagedata o:title=""/>
                <o:lock v:ext="edit" aspectratio="f"/>
                <v:textbox>
                  <w:txbxContent>
                    <w:p w14:paraId="57B67AB0">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制定</w:t>
                      </w:r>
                    </w:p>
                  </w:txbxContent>
                </v:textbox>
              </v:shape>
            </w:pict>
          </mc:Fallback>
        </mc:AlternateContent>
      </w:r>
      <w:r>
        <w:rPr>
          <w:rFonts w:hint="eastAsia" w:ascii="楷体_GB2312" w:hAnsi="宋体" w:eastAsia="楷体_GB2312" w:cs="宋体"/>
          <w:color w:val="auto"/>
          <w:spacing w:val="18"/>
          <w:sz w:val="32"/>
          <w:szCs w:val="32"/>
          <w:highlight w:val="none"/>
          <w:lang w:eastAsia="zh-CN"/>
        </w:rPr>
        <w:t>新疆维吾尔自治区市场监督管理局</w:t>
      </w:r>
    </w:p>
    <w:p w14:paraId="1C82BCC0">
      <w:pPr>
        <w:pStyle w:val="13"/>
        <w:adjustRightInd w:val="0"/>
        <w:snapToGrid w:val="0"/>
        <w:spacing w:line="482" w:lineRule="exact"/>
        <w:ind w:right="105"/>
        <w:jc w:val="center"/>
        <w:rPr>
          <w:rFonts w:hint="eastAsia" w:ascii="楷体_GB2312" w:hAnsi="宋体" w:eastAsia="楷体_GB2312" w:cs="宋体"/>
          <w:color w:val="auto"/>
          <w:sz w:val="32"/>
          <w:szCs w:val="32"/>
          <w:highlight w:val="none"/>
          <w:lang w:eastAsia="zh-CN"/>
        </w:rPr>
      </w:pPr>
      <w:r>
        <w:rPr>
          <w:rFonts w:hint="eastAsia" w:ascii="楷体_GB2312" w:hAnsi="宋体" w:eastAsia="楷体_GB2312" w:cs="宋体"/>
          <w:color w:val="auto"/>
          <w:sz w:val="32"/>
          <w:szCs w:val="32"/>
          <w:highlight w:val="none"/>
          <w:lang w:eastAsia="zh-CN"/>
        </w:rPr>
        <w:t>新疆维吾尔自治区教育厅</w:t>
      </w:r>
    </w:p>
    <w:p w14:paraId="08CA2F26">
      <w:pPr>
        <w:spacing w:line="205" w:lineRule="auto"/>
        <w:rPr>
          <w:rFonts w:ascii="微软雅黑" w:hAnsi="微软雅黑" w:eastAsia="微软雅黑" w:cs="微软雅黑"/>
          <w:color w:val="000000"/>
          <w:sz w:val="31"/>
          <w:szCs w:val="31"/>
          <w:highlight w:val="yellow"/>
        </w:rPr>
        <w:sectPr>
          <w:footerReference r:id="rId6" w:type="default"/>
          <w:pgSz w:w="11906" w:h="16839"/>
          <w:pgMar w:top="2098" w:right="1474" w:bottom="1984" w:left="1587" w:header="0" w:footer="1531" w:gutter="0"/>
          <w:pgNumType w:fmt="decimal" w:start="1"/>
          <w:cols w:space="720" w:num="1"/>
          <w:rtlGutter w:val="0"/>
          <w:docGrid w:linePitch="0" w:charSpace="0"/>
        </w:sectPr>
      </w:pPr>
    </w:p>
    <w:p w14:paraId="4C52BC16">
      <w:pPr>
        <w:pStyle w:val="4"/>
        <w:spacing w:before="0" w:beforeAutospacing="0" w:after="0" w:afterAutospacing="0" w:line="360" w:lineRule="auto"/>
        <w:ind w:left="0" w:leftChars="0" w:firstLine="0" w:firstLineChars="0"/>
        <w:jc w:val="center"/>
        <w:rPr>
          <w:rFonts w:hint="eastAsia" w:ascii="仿宋" w:hAnsi="仿宋" w:eastAsia="仿宋" w:cs="仿宋"/>
          <w:color w:val="000000"/>
        </w:rPr>
      </w:pPr>
      <w:r>
        <w:rPr>
          <w:rFonts w:hint="eastAsia" w:ascii="仿宋" w:hAnsi="仿宋" w:eastAsia="仿宋" w:cs="仿宋"/>
          <w:color w:val="000000"/>
        </w:rPr>
        <w:t>使用说明</w:t>
      </w:r>
    </w:p>
    <w:p w14:paraId="0B4A1BAA">
      <w:pPr>
        <w:widowControl w:val="0"/>
        <w:spacing w:line="278" w:lineRule="auto"/>
        <w:jc w:val="both"/>
        <w:rPr>
          <w:rFonts w:hint="eastAsia" w:ascii="仿宋" w:hAnsi="仿宋" w:eastAsia="仿宋" w:cs="仿宋"/>
          <w:color w:val="000000"/>
          <w:kern w:val="2"/>
          <w:sz w:val="21"/>
          <w:szCs w:val="24"/>
          <w:lang w:val="en-US" w:eastAsia="zh-CN" w:bidi="ar-SA"/>
        </w:rPr>
      </w:pPr>
    </w:p>
    <w:p w14:paraId="7720D4DE">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一、为规范学校与企业的权利义务，维护双方合法权益 ， 确保学校食堂的安全和质量，根据《中华人民共和国民法典》《中华人民共和国食品安全法》《学校食品安全与营养健康管理规定》《企业落实食品安全主体责任监督管理规定》《GB31654—2021食品安全国家标准餐饮服务通用卫生规范》《餐饮服务食品安全操作规范》及相关法律法规、规章制度要求，制定本《合同示范文本》。</w:t>
      </w:r>
    </w:p>
    <w:p w14:paraId="56C7A623">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二、本《合同示范文本》供新疆维吾尔自治区行政区域内的学校（委托方）与企业（受托方）之间签订食堂委托管理服务合同时参照使用。</w:t>
      </w:r>
    </w:p>
    <w:p w14:paraId="35FA26B4">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三、本《合同示范文本》由自治区市场监管局和自治区教育厅共同制定发布并负责解释。</w:t>
      </w:r>
    </w:p>
    <w:p w14:paraId="6B877BA9">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四、 当事人参照本《合同示范文本》订立合同的 ， 应充分理解合同中条款的内容 ，并自行承担合同订立履行所发生的法律后果。当事人对合同条款理解发生争议时 ，应按照有关法律法规规定对条款进行解释。</w:t>
      </w:r>
    </w:p>
    <w:p w14:paraId="39C08F08">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五、合同当事人参照本《合同示范文本》订立合同时，可以根据实际情况修改、增补合同内容。但是对文本中的格式条款如果进行了修改、增补的 ，不得以“合同示范文本 ”名义使用。</w:t>
      </w:r>
    </w:p>
    <w:p w14:paraId="2BDD5B5E">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六、本《合同示范文本》所称的委托管理服务是指：根据学校（委托方）和企业（管理服务方） 的约定 ， 企业组建服务团队 ，并将聘用的员工派遣到学校食堂 ，由学校监督服务团队做好食堂的采购 、验收 、贮存、加工、供餐、陪餐、留样、 洗消等日常管理 ，财务核算由学校自行负责。服务团队员工用工合同由企业签订。</w:t>
      </w:r>
    </w:p>
    <w:p w14:paraId="6749FDDD">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七、本《合同示范文本》中所称的学校是指： 普通中小学校 、中等职业学校、高等教育学校、特殊教育学校、专门学校等 ，包括幼儿园、小学、初中、高中和大学。</w:t>
      </w:r>
    </w:p>
    <w:p w14:paraId="36F8770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firstLine="440" w:firstLineChars="200"/>
        <w:textAlignment w:val="auto"/>
        <w:rPr>
          <w:rFonts w:hint="eastAsia" w:ascii="仿宋" w:hAnsi="仿宋" w:eastAsia="仿宋" w:cs="仿宋"/>
          <w:color w:val="000000"/>
          <w:spacing w:val="0"/>
          <w:w w:val="100"/>
          <w:sz w:val="22"/>
          <w:szCs w:val="22"/>
          <w:lang w:val="en-US" w:eastAsia="zh-CN"/>
        </w:rPr>
      </w:pPr>
      <w:r>
        <w:rPr>
          <w:rFonts w:hint="eastAsia" w:ascii="仿宋" w:hAnsi="仿宋" w:eastAsia="仿宋" w:cs="仿宋"/>
          <w:snapToGrid/>
          <w:color w:val="000000"/>
          <w:kern w:val="2"/>
          <w:sz w:val="22"/>
          <w:szCs w:val="22"/>
          <w:lang w:val="en-US" w:eastAsia="zh-CN"/>
        </w:rPr>
        <w:t>八、</w:t>
      </w:r>
      <w:r>
        <w:rPr>
          <w:rFonts w:hint="eastAsia" w:ascii="仿宋" w:hAnsi="仿宋" w:eastAsia="仿宋" w:cs="仿宋"/>
          <w:color w:val="000000"/>
          <w:spacing w:val="0"/>
          <w:w w:val="100"/>
          <w:sz w:val="22"/>
          <w:szCs w:val="22"/>
          <w:lang w:val="en-US" w:eastAsia="zh-CN"/>
        </w:rPr>
        <w:t>为保证合同条款的全面、准确，请在“新疆维吾尔自治区市场监督管理局”门户网站（www</w:t>
      </w:r>
      <w:r>
        <w:rPr>
          <w:rFonts w:hint="eastAsia" w:ascii="仿宋" w:hAnsi="仿宋" w:eastAsia="仿宋" w:cs="仿宋"/>
          <w:color w:val="000000"/>
          <w:spacing w:val="0"/>
          <w:w w:val="100"/>
          <w:sz w:val="22"/>
          <w:szCs w:val="22"/>
          <w:lang w:val="en" w:eastAsia="zh-CN"/>
        </w:rPr>
        <w:t>.xjaic.gov.cn</w:t>
      </w:r>
      <w:r>
        <w:rPr>
          <w:rFonts w:hint="eastAsia" w:ascii="仿宋" w:hAnsi="仿宋" w:eastAsia="仿宋" w:cs="仿宋"/>
          <w:color w:val="000000"/>
          <w:spacing w:val="0"/>
          <w:w w:val="100"/>
          <w:sz w:val="22"/>
          <w:szCs w:val="22"/>
          <w:lang w:val="en-US" w:eastAsia="zh-CN"/>
        </w:rPr>
        <w:t>）“合同示范文本”模块、“新疆维吾尔自治区教育厅”门户网站（</w:t>
      </w:r>
      <w:r>
        <w:rPr>
          <w:rFonts w:hint="eastAsia" w:ascii="仿宋" w:hAnsi="仿宋" w:eastAsia="仿宋" w:cs="仿宋"/>
          <w:color w:val="000000"/>
          <w:spacing w:val="0"/>
          <w:w w:val="100"/>
          <w:sz w:val="22"/>
          <w:szCs w:val="22"/>
          <w:lang w:val="en" w:eastAsia="zh-CN"/>
        </w:rPr>
        <w:t>jyt.xinjiang.gov.cn</w:t>
      </w:r>
      <w:r>
        <w:rPr>
          <w:rFonts w:hint="eastAsia" w:ascii="仿宋" w:hAnsi="仿宋" w:eastAsia="仿宋" w:cs="仿宋"/>
          <w:color w:val="000000"/>
          <w:spacing w:val="0"/>
          <w:w w:val="100"/>
          <w:sz w:val="22"/>
          <w:szCs w:val="22"/>
          <w:lang w:val="en-US" w:eastAsia="zh-CN"/>
        </w:rPr>
        <w:t>）相关栏目等渠道下载本《合同示范文本》，任何单位和个人不得出于商业目的擅自翻印和出售《合同示范文本》。</w:t>
      </w:r>
    </w:p>
    <w:p w14:paraId="1B658C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cs="仿宋"/>
          <w:color w:val="000000"/>
          <w:sz w:val="22"/>
          <w:szCs w:val="22"/>
          <w:lang w:val="en-US" w:eastAsia="zh-CN"/>
        </w:rPr>
      </w:pPr>
    </w:p>
    <w:p w14:paraId="06A00396">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jc w:val="both"/>
        <w:textAlignment w:val="auto"/>
        <w:rPr>
          <w:rFonts w:hint="eastAsia" w:ascii="仿宋" w:hAnsi="仿宋" w:eastAsia="仿宋" w:cs="仿宋"/>
          <w:snapToGrid/>
          <w:color w:val="000000"/>
          <w:kern w:val="2"/>
          <w:sz w:val="22"/>
          <w:szCs w:val="22"/>
          <w:lang w:val="en-US" w:eastAsia="zh-CN"/>
        </w:rPr>
        <w:sectPr>
          <w:footerReference r:id="rId7" w:type="default"/>
          <w:pgSz w:w="11906" w:h="16839"/>
          <w:pgMar w:top="2098" w:right="1474" w:bottom="1984" w:left="1587" w:header="0" w:footer="1531" w:gutter="0"/>
          <w:pgNumType w:fmt="decimal"/>
          <w:cols w:space="720" w:num="1"/>
          <w:rtlGutter w:val="0"/>
          <w:docGrid w:linePitch="0" w:charSpace="0"/>
        </w:sectPr>
      </w:pPr>
    </w:p>
    <w:p w14:paraId="67DE24AA">
      <w:pPr>
        <w:pStyle w:val="13"/>
        <w:keepNext w:val="0"/>
        <w:keepLines w:val="0"/>
        <w:pageBreakBefore w:val="0"/>
        <w:widowControl w:val="0"/>
        <w:suppressAutoHyphens/>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napToGrid/>
          <w:color w:val="000000"/>
          <w:kern w:val="2"/>
          <w:sz w:val="40"/>
          <w:szCs w:val="40"/>
          <w:lang w:val="en-US" w:eastAsia="zh-CN"/>
        </w:rPr>
      </w:pPr>
      <w:r>
        <w:rPr>
          <w:rFonts w:hint="eastAsia" w:ascii="仿宋" w:hAnsi="仿宋" w:eastAsia="仿宋" w:cs="仿宋"/>
          <w:b/>
          <w:bCs/>
          <w:snapToGrid/>
          <w:color w:val="000000"/>
          <w:kern w:val="2"/>
          <w:sz w:val="40"/>
          <w:szCs w:val="40"/>
          <w:lang w:val="en-US" w:eastAsia="zh-CN"/>
        </w:rPr>
        <w:t>克州二中2025年学生食堂后厨工作</w:t>
      </w:r>
    </w:p>
    <w:p w14:paraId="5C351D31">
      <w:pPr>
        <w:pStyle w:val="13"/>
        <w:keepNext w:val="0"/>
        <w:keepLines w:val="0"/>
        <w:pageBreakBefore w:val="0"/>
        <w:widowControl w:val="0"/>
        <w:suppressAutoHyphens/>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napToGrid/>
          <w:color w:val="000000"/>
          <w:kern w:val="2"/>
          <w:sz w:val="40"/>
          <w:szCs w:val="40"/>
          <w:lang w:val="en-US" w:eastAsia="zh-CN"/>
        </w:rPr>
      </w:pPr>
      <w:r>
        <w:rPr>
          <w:rFonts w:hint="eastAsia" w:ascii="仿宋" w:hAnsi="仿宋" w:eastAsia="仿宋" w:cs="仿宋"/>
          <w:b/>
          <w:bCs/>
          <w:snapToGrid/>
          <w:color w:val="000000"/>
          <w:kern w:val="2"/>
          <w:sz w:val="40"/>
          <w:szCs w:val="40"/>
          <w:lang w:val="en-US" w:eastAsia="zh-CN"/>
        </w:rPr>
        <w:t>人员服务采购项目合同</w:t>
      </w:r>
    </w:p>
    <w:p w14:paraId="3FAE5B8B">
      <w:pPr>
        <w:keepNext w:val="0"/>
        <w:keepLines w:val="0"/>
        <w:pageBreakBefore w:val="0"/>
        <w:widowControl w:val="0"/>
        <w:wordWrap/>
        <w:overflowPunct/>
        <w:topLinePunct w:val="0"/>
        <w:bidi w:val="0"/>
        <w:adjustRightInd w:val="0"/>
        <w:snapToGrid w:val="0"/>
        <w:spacing w:line="560" w:lineRule="exact"/>
        <w:jc w:val="both"/>
        <w:rPr>
          <w:rFonts w:hint="eastAsia" w:ascii="仿宋" w:hAnsi="仿宋" w:eastAsia="仿宋" w:cs="仿宋"/>
          <w:color w:val="000000"/>
          <w:kern w:val="2"/>
          <w:sz w:val="21"/>
          <w:szCs w:val="24"/>
          <w:lang w:val="en-US" w:eastAsia="zh-CN" w:bidi="ar-SA"/>
        </w:rPr>
      </w:pPr>
    </w:p>
    <w:p w14:paraId="0733F1D6">
      <w:pPr>
        <w:keepNext w:val="0"/>
        <w:keepLines w:val="0"/>
        <w:pageBreakBefore w:val="0"/>
        <w:widowControl w:val="0"/>
        <w:wordWrap/>
        <w:overflowPunct/>
        <w:topLinePunct w:val="0"/>
        <w:bidi w:val="0"/>
        <w:adjustRightInd w:val="0"/>
        <w:snapToGrid w:val="0"/>
        <w:spacing w:line="420" w:lineRule="exact"/>
        <w:jc w:val="both"/>
        <w:rPr>
          <w:rFonts w:hint="eastAsia" w:ascii="仿宋" w:hAnsi="仿宋" w:eastAsia="仿宋" w:cs="仿宋"/>
          <w:color w:val="000000"/>
          <w:kern w:val="2"/>
          <w:sz w:val="21"/>
          <w:szCs w:val="24"/>
          <w:lang w:val="en-US" w:eastAsia="zh-CN" w:bidi="ar-SA"/>
        </w:rPr>
      </w:pPr>
    </w:p>
    <w:p w14:paraId="30DC6C25">
      <w:pPr>
        <w:keepNext w:val="0"/>
        <w:keepLines w:val="0"/>
        <w:pageBreakBefore w:val="0"/>
        <w:widowControl/>
        <w:tabs>
          <w:tab w:val="left" w:pos="7962"/>
        </w:tabs>
        <w:kinsoku w:val="0"/>
        <w:wordWrap/>
        <w:overflowPunct/>
        <w:topLinePunct w:val="0"/>
        <w:autoSpaceDE w:val="0"/>
        <w:autoSpaceDN w:val="0"/>
        <w:bidi w:val="0"/>
        <w:adjustRightInd w:val="0"/>
        <w:snapToGrid w:val="0"/>
        <w:spacing w:line="420" w:lineRule="exact"/>
        <w:ind w:right="468"/>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11"/>
          <w:sz w:val="24"/>
          <w:szCs w:val="24"/>
        </w:rPr>
        <w:t>甲方（</w:t>
      </w:r>
      <w:r>
        <w:rPr>
          <w:rFonts w:hint="eastAsia" w:ascii="仿宋" w:hAnsi="仿宋" w:eastAsia="仿宋" w:cs="仿宋"/>
          <w:color w:val="000000"/>
          <w:spacing w:val="-11"/>
          <w:sz w:val="24"/>
          <w:szCs w:val="24"/>
          <w:lang w:eastAsia="zh-CN"/>
        </w:rPr>
        <w:t>委托方</w:t>
      </w:r>
      <w:r>
        <w:rPr>
          <w:rFonts w:hint="eastAsia" w:ascii="仿宋" w:hAnsi="仿宋" w:eastAsia="仿宋" w:cs="仿宋"/>
          <w:color w:val="000000"/>
          <w:spacing w:val="-74"/>
          <w:sz w:val="24"/>
          <w:szCs w:val="24"/>
        </w:rPr>
        <w:t>）：</w:t>
      </w:r>
      <w:r>
        <w:rPr>
          <w:rFonts w:hint="eastAsia" w:ascii="仿宋" w:hAnsi="仿宋" w:eastAsia="仿宋" w:cs="仿宋"/>
          <w:color w:val="000000"/>
          <w:sz w:val="24"/>
          <w:szCs w:val="24"/>
          <w:u w:val="single" w:color="auto"/>
        </w:rPr>
        <w:tab/>
      </w:r>
      <w:r>
        <w:rPr>
          <w:rFonts w:hint="eastAsia" w:ascii="仿宋" w:hAnsi="仿宋" w:eastAsia="仿宋" w:cs="仿宋"/>
          <w:color w:val="000000"/>
          <w:sz w:val="24"/>
          <w:szCs w:val="24"/>
        </w:rPr>
        <w:t xml:space="preserve"> </w:t>
      </w:r>
    </w:p>
    <w:p w14:paraId="4BAC2352">
      <w:pPr>
        <w:keepNext w:val="0"/>
        <w:keepLines w:val="0"/>
        <w:pageBreakBefore w:val="0"/>
        <w:widowControl/>
        <w:tabs>
          <w:tab w:val="left" w:pos="7962"/>
        </w:tabs>
        <w:kinsoku w:val="0"/>
        <w:wordWrap/>
        <w:overflowPunct/>
        <w:topLinePunct w:val="0"/>
        <w:autoSpaceDE w:val="0"/>
        <w:autoSpaceDN w:val="0"/>
        <w:bidi w:val="0"/>
        <w:adjustRightInd w:val="0"/>
        <w:snapToGrid w:val="0"/>
        <w:spacing w:line="420" w:lineRule="exact"/>
        <w:ind w:right="468"/>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3"/>
          <w:sz w:val="24"/>
          <w:szCs w:val="24"/>
        </w:rPr>
        <w:t>统一社会信用代码证号：</w:t>
      </w:r>
      <w:r>
        <w:rPr>
          <w:rFonts w:hint="eastAsia" w:ascii="仿宋" w:hAnsi="仿宋" w:eastAsia="仿宋" w:cs="仿宋"/>
          <w:color w:val="000000"/>
          <w:sz w:val="24"/>
          <w:szCs w:val="24"/>
          <w:u w:val="single" w:color="auto"/>
        </w:rPr>
        <w:tab/>
      </w:r>
      <w:r>
        <w:rPr>
          <w:rFonts w:hint="eastAsia" w:ascii="仿宋" w:hAnsi="仿宋" w:eastAsia="仿宋" w:cs="仿宋"/>
          <w:color w:val="000000"/>
          <w:sz w:val="24"/>
          <w:szCs w:val="24"/>
        </w:rPr>
        <w:t xml:space="preserve"> </w:t>
      </w:r>
    </w:p>
    <w:p w14:paraId="2E0012F9">
      <w:pPr>
        <w:keepNext w:val="0"/>
        <w:keepLines w:val="0"/>
        <w:pageBreakBefore w:val="0"/>
        <w:widowControl/>
        <w:tabs>
          <w:tab w:val="left" w:pos="7962"/>
        </w:tabs>
        <w:kinsoku w:val="0"/>
        <w:wordWrap/>
        <w:overflowPunct/>
        <w:topLinePunct w:val="0"/>
        <w:autoSpaceDE w:val="0"/>
        <w:autoSpaceDN w:val="0"/>
        <w:bidi w:val="0"/>
        <w:adjustRightInd w:val="0"/>
        <w:snapToGrid w:val="0"/>
        <w:spacing w:line="420" w:lineRule="exact"/>
        <w:ind w:right="468"/>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4"/>
          <w:sz w:val="24"/>
          <w:szCs w:val="24"/>
        </w:rPr>
        <w:t>乙方（</w:t>
      </w:r>
      <w:r>
        <w:rPr>
          <w:rFonts w:hint="eastAsia" w:ascii="仿宋" w:hAnsi="仿宋" w:eastAsia="仿宋" w:cs="仿宋"/>
          <w:color w:val="000000"/>
          <w:spacing w:val="-4"/>
          <w:sz w:val="24"/>
          <w:szCs w:val="24"/>
          <w:lang w:eastAsia="zh-CN"/>
        </w:rPr>
        <w:t>管理服务方</w:t>
      </w:r>
      <w:r>
        <w:rPr>
          <w:rFonts w:hint="eastAsia" w:ascii="仿宋" w:hAnsi="仿宋" w:eastAsia="仿宋" w:cs="仿宋"/>
          <w:color w:val="000000"/>
          <w:spacing w:val="-77"/>
          <w:sz w:val="24"/>
          <w:szCs w:val="24"/>
        </w:rPr>
        <w:t>）：</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z w:val="24"/>
          <w:szCs w:val="24"/>
          <w:u w:val="single" w:color="auto"/>
          <w:lang w:val="en-US" w:eastAsia="zh-CN"/>
        </w:rPr>
        <w:t xml:space="preserve">                                      </w:t>
      </w:r>
      <w:r>
        <w:rPr>
          <w:rFonts w:hint="eastAsia" w:ascii="仿宋" w:hAnsi="仿宋" w:eastAsia="仿宋" w:cs="仿宋"/>
          <w:color w:val="000000"/>
          <w:sz w:val="24"/>
          <w:szCs w:val="24"/>
          <w:u w:val="single" w:color="auto"/>
        </w:rPr>
        <w:t xml:space="preserve">        </w:t>
      </w:r>
    </w:p>
    <w:p w14:paraId="022E9533">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1"/>
          <w:sz w:val="24"/>
          <w:szCs w:val="24"/>
        </w:rPr>
        <w:t>统一社会信用代码证号：</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1"/>
          <w:sz w:val="24"/>
          <w:szCs w:val="24"/>
          <w:u w:val="single" w:color="auto"/>
          <w:lang w:val="en-US" w:eastAsia="zh-CN"/>
        </w:rPr>
        <w:t xml:space="preserve">                                             </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1"/>
          <w:sz w:val="24"/>
          <w:szCs w:val="24"/>
          <w:u w:val="single" w:color="auto"/>
          <w:lang w:val="en-US" w:eastAsia="zh-CN"/>
        </w:rPr>
        <w:t xml:space="preserve">  </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2"/>
          <w:sz w:val="24"/>
          <w:szCs w:val="24"/>
          <w:u w:val="single" w:color="auto"/>
        </w:rPr>
        <w:t xml:space="preserve">   </w:t>
      </w:r>
    </w:p>
    <w:p w14:paraId="1BF730EB">
      <w:pPr>
        <w:keepNext w:val="0"/>
        <w:keepLines w:val="0"/>
        <w:pageBreakBefore w:val="0"/>
        <w:widowControl w:val="0"/>
        <w:kinsoku/>
        <w:wordWrap/>
        <w:overflowPunct/>
        <w:topLinePunct w:val="0"/>
        <w:autoSpaceDE w:val="0"/>
        <w:autoSpaceDN/>
        <w:bidi w:val="0"/>
        <w:adjustRightInd w:val="0"/>
        <w:snapToGrid w:val="0"/>
        <w:spacing w:line="420" w:lineRule="exact"/>
        <w:jc w:val="both"/>
        <w:textAlignment w:val="baseline"/>
        <w:rPr>
          <w:rFonts w:hint="eastAsia" w:ascii="仿宋" w:hAnsi="仿宋" w:eastAsia="仿宋" w:cs="仿宋"/>
          <w:color w:val="000000"/>
          <w:spacing w:val="0"/>
          <w:w w:val="100"/>
          <w:kern w:val="2"/>
          <w:sz w:val="24"/>
          <w:szCs w:val="24"/>
          <w:lang w:val="en-US" w:eastAsia="zh-CN" w:bidi="ar-SA"/>
        </w:rPr>
      </w:pPr>
    </w:p>
    <w:p w14:paraId="51617CD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为确保学校师生食品安全及提供专业、优质、高效的餐饮服务 ，根据《中华人民共和国政府采购法》《中华人民共和国招标投标法》《中华人民共和国民法典》《中华人民共和国食品安全法》《学校食品安全与营养健康管理规定》《企业落实食品安全主体责任监督管理规定》《GB31654—2021 食品安全国家标准餐饮服务通用卫生规范》《餐饮服务食品安全操作规范》等法律法规，遵循平等、 自愿、公平和诚信原 则，经甲乙双方协商一致，就学校食堂委托管理服务事宜签订本合同。</w:t>
      </w:r>
    </w:p>
    <w:p w14:paraId="53F06531">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b w:val="0"/>
          <w:bCs w:val="0"/>
          <w:color w:val="000000"/>
          <w:spacing w:val="0"/>
          <w:w w:val="100"/>
          <w:sz w:val="24"/>
          <w:szCs w:val="24"/>
        </w:rPr>
      </w:pPr>
      <w:r>
        <w:rPr>
          <w:rFonts w:hint="eastAsia" w:ascii="仿宋" w:hAnsi="仿宋" w:eastAsia="仿宋" w:cs="仿宋"/>
          <w:b w:val="0"/>
          <w:bCs w:val="0"/>
          <w:color w:val="000000"/>
          <w:spacing w:val="0"/>
          <w:w w:val="100"/>
          <w:sz w:val="24"/>
          <w:szCs w:val="24"/>
        </w:rPr>
        <w:t>一、合同标的</w:t>
      </w:r>
    </w:p>
    <w:p w14:paraId="30B9881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1.标的名称：</w:t>
      </w:r>
      <w:r>
        <w:rPr>
          <w:rFonts w:hint="eastAsia" w:ascii="仿宋" w:hAnsi="仿宋" w:eastAsia="仿宋" w:cs="仿宋"/>
          <w:color w:val="000000"/>
          <w:spacing w:val="0"/>
          <w:w w:val="100"/>
          <w:kern w:val="2"/>
          <w:sz w:val="24"/>
          <w:szCs w:val="24"/>
          <w:u w:val="single" w:color="auto"/>
          <w:lang w:val="en-US" w:eastAsia="zh-CN" w:bidi="ar-SA"/>
        </w:rPr>
        <w:t xml:space="preserve">                                                                     </w:t>
      </w:r>
    </w:p>
    <w:p w14:paraId="39776B3F">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2.委托管理服务地点：</w:t>
      </w:r>
      <w:r>
        <w:rPr>
          <w:rFonts w:hint="eastAsia" w:ascii="仿宋" w:hAnsi="仿宋" w:eastAsia="仿宋" w:cs="仿宋"/>
          <w:color w:val="000000"/>
          <w:spacing w:val="0"/>
          <w:w w:val="100"/>
          <w:kern w:val="2"/>
          <w:sz w:val="24"/>
          <w:szCs w:val="24"/>
          <w:u w:val="single" w:color="auto"/>
          <w:lang w:val="en-US" w:eastAsia="zh-CN" w:bidi="ar-SA"/>
        </w:rPr>
        <w:t xml:space="preserve">                                                  </w:t>
      </w:r>
    </w:p>
    <w:p w14:paraId="174BAD3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3.委托管理服务内容：</w:t>
      </w:r>
      <w:r>
        <w:rPr>
          <w:rFonts w:hint="eastAsia" w:ascii="仿宋" w:hAnsi="仿宋" w:eastAsia="仿宋" w:cs="仿宋"/>
          <w:color w:val="000000"/>
          <w:spacing w:val="0"/>
          <w:w w:val="100"/>
          <w:kern w:val="2"/>
          <w:sz w:val="24"/>
          <w:szCs w:val="24"/>
          <w:u w:val="single" w:color="auto"/>
          <w:lang w:val="en-US" w:eastAsia="zh-CN" w:bidi="ar-SA"/>
        </w:rPr>
        <w:t xml:space="preserve">                                                  </w:t>
      </w:r>
    </w:p>
    <w:p w14:paraId="5AF9B127">
      <w:pPr>
        <w:keepNext w:val="0"/>
        <w:keepLines w:val="0"/>
        <w:pageBreakBefore w:val="0"/>
        <w:widowControl w:val="0"/>
        <w:numPr>
          <w:ilvl w:val="0"/>
          <w:numId w:val="8"/>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b w:val="0"/>
          <w:bCs w:val="0"/>
          <w:color w:val="000000"/>
          <w:spacing w:val="0"/>
          <w:w w:val="100"/>
          <w:sz w:val="24"/>
          <w:szCs w:val="24"/>
        </w:rPr>
      </w:pPr>
      <w:r>
        <w:rPr>
          <w:rFonts w:hint="eastAsia" w:ascii="仿宋" w:hAnsi="仿宋" w:eastAsia="仿宋" w:cs="仿宋"/>
          <w:b w:val="0"/>
          <w:bCs w:val="0"/>
          <w:color w:val="000000"/>
          <w:spacing w:val="0"/>
          <w:w w:val="100"/>
          <w:sz w:val="24"/>
          <w:szCs w:val="24"/>
        </w:rPr>
        <w:t>合同期限</w:t>
      </w:r>
    </w:p>
    <w:p w14:paraId="7DA08FC1">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仿宋" w:hAnsi="仿宋" w:eastAsia="仿宋" w:cs="仿宋"/>
          <w:color w:val="000000"/>
          <w:spacing w:val="0"/>
          <w:w w:val="100"/>
          <w:sz w:val="24"/>
          <w:szCs w:val="24"/>
          <w:lang w:val="en-US" w:eastAsia="zh-CN"/>
        </w:rPr>
      </w:pPr>
      <w:r>
        <w:rPr>
          <w:rFonts w:hint="eastAsia" w:ascii="仿宋" w:hAnsi="仿宋" w:eastAsia="仿宋" w:cs="仿宋"/>
          <w:color w:val="000000"/>
          <w:spacing w:val="0"/>
          <w:w w:val="100"/>
          <w:sz w:val="24"/>
          <w:szCs w:val="24"/>
        </w:rPr>
        <w:t>本合同期限</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年</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即：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年</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月</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日至</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年</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rPr>
        <w:t xml:space="preserve"> 月</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w:t>
      </w:r>
      <w:r>
        <w:rPr>
          <w:rFonts w:hint="eastAsia" w:ascii="仿宋" w:hAnsi="仿宋" w:eastAsia="仿宋" w:cs="仿宋"/>
          <w:color w:val="000000"/>
          <w:spacing w:val="0"/>
          <w:w w:val="100"/>
          <w:sz w:val="24"/>
          <w:szCs w:val="24"/>
          <w:lang w:val="en-US" w:eastAsia="zh-CN"/>
        </w:rPr>
        <w:t>日。</w:t>
      </w:r>
      <w:r>
        <w:rPr>
          <w:rFonts w:hint="eastAsia" w:ascii="仿宋" w:hAnsi="仿宋" w:eastAsia="仿宋" w:cs="仿宋"/>
          <w:snapToGrid w:val="0"/>
          <w:color w:val="000000"/>
          <w:spacing w:val="0"/>
          <w:w w:val="100"/>
          <w:kern w:val="0"/>
          <w:sz w:val="24"/>
          <w:szCs w:val="24"/>
          <w:lang w:val="en-US" w:eastAsia="zh-CN" w:bidi="ar-SA"/>
        </w:rPr>
        <w:t>如采用招投标方式确定管理服务对象的，则本合同期限与招投标文件保持一致。</w:t>
      </w:r>
    </w:p>
    <w:p w14:paraId="14D396BA">
      <w:pPr>
        <w:keepNext w:val="0"/>
        <w:keepLines w:val="0"/>
        <w:pageBreakBefore w:val="0"/>
        <w:widowControl w:val="0"/>
        <w:numPr>
          <w:ilvl w:val="0"/>
          <w:numId w:val="8"/>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b w:val="0"/>
          <w:bCs w:val="0"/>
          <w:color w:val="000000"/>
          <w:spacing w:val="0"/>
          <w:w w:val="100"/>
          <w:sz w:val="24"/>
          <w:szCs w:val="24"/>
          <w:lang w:val="en-US" w:eastAsia="en-US"/>
        </w:rPr>
      </w:pPr>
      <w:r>
        <w:rPr>
          <w:rFonts w:hint="eastAsia" w:ascii="仿宋" w:hAnsi="仿宋" w:eastAsia="仿宋" w:cs="仿宋"/>
          <w:b w:val="0"/>
          <w:bCs w:val="0"/>
          <w:color w:val="000000"/>
          <w:spacing w:val="0"/>
          <w:w w:val="100"/>
          <w:sz w:val="24"/>
          <w:szCs w:val="24"/>
          <w:lang w:val="en-US" w:eastAsia="en-US"/>
        </w:rPr>
        <w:t>管理服务的范围和时间</w:t>
      </w:r>
    </w:p>
    <w:p w14:paraId="5B48BE3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en-US" w:bidi="ar-SA"/>
        </w:rPr>
      </w:pPr>
      <w:r>
        <w:rPr>
          <w:rFonts w:hint="eastAsia" w:ascii="仿宋" w:hAnsi="仿宋" w:eastAsia="仿宋" w:cs="仿宋"/>
          <w:color w:val="000000"/>
          <w:spacing w:val="0"/>
          <w:w w:val="100"/>
          <w:kern w:val="2"/>
          <w:sz w:val="24"/>
          <w:szCs w:val="24"/>
          <w:lang w:val="en-US" w:eastAsia="en-US" w:bidi="ar-SA"/>
        </w:rPr>
        <w:t>乙方应负责为甲方教职工和学生提供优质餐饮服务</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lang w:val="en-US" w:eastAsia="en-US" w:bidi="ar-SA"/>
        </w:rPr>
        <w:t>根据学校实际情况和师生餐饮需求制定合理的经营时间。</w:t>
      </w:r>
    </w:p>
    <w:p w14:paraId="3D78EC39">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四、费用及结算方式</w:t>
      </w:r>
    </w:p>
    <w:p w14:paraId="25AE0CD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outlineLvl w:val="0"/>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w:t>
      </w:r>
      <w:r>
        <w:rPr>
          <w:rFonts w:hint="eastAsia" w:ascii="仿宋" w:hAnsi="仿宋" w:eastAsia="仿宋" w:cs="仿宋"/>
          <w:b/>
          <w:bCs/>
          <w:color w:val="000000"/>
          <w:spacing w:val="0"/>
          <w:w w:val="100"/>
          <w:kern w:val="2"/>
          <w:sz w:val="24"/>
          <w:szCs w:val="24"/>
          <w:lang w:val="en-US" w:eastAsia="zh-CN" w:bidi="ar-SA"/>
        </w:rPr>
        <w:t>服务费用</w:t>
      </w:r>
    </w:p>
    <w:p w14:paraId="4A3E7BE6">
      <w:pPr>
        <w:keepNext w:val="0"/>
        <w:keepLines w:val="0"/>
        <w:pageBreakBefore w:val="0"/>
        <w:widowControl w:val="0"/>
        <w:kinsoku/>
        <w:wordWrap/>
        <w:overflowPunct/>
        <w:topLinePunct w:val="0"/>
        <w:autoSpaceDE w:val="0"/>
        <w:autoSpaceDN/>
        <w:bidi w:val="0"/>
        <w:adjustRightInd w:val="0"/>
        <w:snapToGrid/>
        <w:spacing w:before="0" w:beforeLines="0" w:after="0" w:afterLines="0" w:line="560" w:lineRule="exact"/>
        <w:ind w:left="0" w:right="0" w:firstLine="480" w:firstLineChars="200"/>
        <w:jc w:val="both"/>
        <w:textAlignment w:val="baseline"/>
        <w:outlineLvl w:val="0"/>
        <w:rPr>
          <w:rFonts w:hint="eastAsia" w:ascii="仿宋" w:hAnsi="仿宋" w:eastAsia="仿宋" w:cs="仿宋"/>
          <w:color w:val="000000"/>
          <w:spacing w:val="0"/>
          <w:w w:val="100"/>
          <w:kern w:val="2"/>
          <w:sz w:val="24"/>
          <w:szCs w:val="24"/>
          <w:u w:val="none"/>
          <w:lang w:val="en-US" w:eastAsia="zh-CN" w:bidi="ar-SA"/>
        </w:rPr>
      </w:pPr>
      <w:r>
        <w:rPr>
          <w:rFonts w:hint="eastAsia" w:ascii="仿宋" w:hAnsi="仿宋" w:eastAsia="仿宋" w:cs="仿宋"/>
          <w:color w:val="000000"/>
          <w:spacing w:val="0"/>
          <w:w w:val="100"/>
          <w:kern w:val="2"/>
          <w:sz w:val="24"/>
          <w:szCs w:val="24"/>
          <w:lang w:val="en-US" w:eastAsia="zh-CN" w:bidi="ar-SA"/>
        </w:rPr>
        <w:t xml:space="preserve">服务费用为 </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，分为固定费用和考核费用两部分。其中：固定费用（含税</w:t>
      </w:r>
      <w:r>
        <w:rPr>
          <w:rFonts w:hint="eastAsia" w:ascii="仿宋" w:hAnsi="仿宋" w:eastAsia="仿宋" w:cs="仿宋"/>
          <w:color w:val="000000"/>
          <w:spacing w:val="0"/>
          <w:w w:val="100"/>
          <w:kern w:val="2"/>
          <w:sz w:val="24"/>
          <w:szCs w:val="24"/>
          <w:lang w:val="en" w:eastAsia="zh-CN" w:bidi="ar-SA"/>
        </w:rPr>
        <w:t>/不含税</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lang w:val="en-US" w:eastAsia="zh-CN" w:bidi="ar-SA"/>
        </w:rPr>
        <w:t xml:space="preserve">                                   </w:t>
      </w:r>
      <w:r>
        <w:rPr>
          <w:rFonts w:hint="eastAsia" w:ascii="仿宋" w:hAnsi="仿宋" w:eastAsia="仿宋" w:cs="仿宋"/>
          <w:color w:val="000000"/>
          <w:spacing w:val="0"/>
          <w:w w:val="100"/>
          <w:kern w:val="2"/>
          <w:sz w:val="24"/>
          <w:szCs w:val="24"/>
          <w:u w:val="none"/>
          <w:lang w:val="en-US" w:eastAsia="zh-CN" w:bidi="ar-SA"/>
        </w:rPr>
        <w:t>，考核费用</w:t>
      </w:r>
      <w:r>
        <w:rPr>
          <w:rFonts w:hint="eastAsia" w:ascii="仿宋" w:hAnsi="仿宋" w:eastAsia="仿宋" w:cs="仿宋"/>
          <w:color w:val="000000"/>
          <w:spacing w:val="0"/>
          <w:w w:val="100"/>
          <w:kern w:val="2"/>
          <w:sz w:val="24"/>
          <w:szCs w:val="24"/>
          <w:lang w:val="en-US" w:eastAsia="zh-CN" w:bidi="ar-SA"/>
        </w:rPr>
        <w:t>（含税</w:t>
      </w:r>
      <w:r>
        <w:rPr>
          <w:rFonts w:hint="eastAsia" w:ascii="仿宋" w:hAnsi="仿宋" w:eastAsia="仿宋" w:cs="仿宋"/>
          <w:color w:val="000000"/>
          <w:spacing w:val="0"/>
          <w:w w:val="100"/>
          <w:kern w:val="2"/>
          <w:sz w:val="24"/>
          <w:szCs w:val="24"/>
          <w:lang w:val="en" w:eastAsia="zh-CN" w:bidi="ar-SA"/>
        </w:rPr>
        <w:t>/不含税</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lang w:val="en-US" w:eastAsia="zh-CN" w:bidi="ar-SA"/>
        </w:rPr>
        <w:t xml:space="preserve">                                  。</w:t>
      </w:r>
    </w:p>
    <w:p w14:paraId="779881CB">
      <w:pPr>
        <w:keepNext w:val="0"/>
        <w:keepLines w:val="0"/>
        <w:pageBreakBefore w:val="0"/>
        <w:widowControl w:val="0"/>
        <w:kinsoku/>
        <w:wordWrap/>
        <w:overflowPunct/>
        <w:topLinePunct w:val="0"/>
        <w:autoSpaceDE w:val="0"/>
        <w:autoSpaceDN/>
        <w:bidi w:val="0"/>
        <w:adjustRightInd w:val="0"/>
        <w:snapToGrid/>
        <w:spacing w:before="0" w:beforeLines="0" w:after="0" w:afterLines="0" w:line="560" w:lineRule="exact"/>
        <w:ind w:left="0" w:right="0" w:firstLine="480" w:firstLineChars="200"/>
        <w:jc w:val="both"/>
        <w:textAlignment w:val="baseline"/>
        <w:outlineLvl w:val="0"/>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w:t>
      </w:r>
      <w:r>
        <w:rPr>
          <w:rFonts w:hint="eastAsia" w:ascii="仿宋" w:hAnsi="仿宋" w:eastAsia="仿宋" w:cs="仿宋"/>
          <w:b/>
          <w:bCs/>
          <w:color w:val="000000"/>
          <w:spacing w:val="0"/>
          <w:w w:val="100"/>
          <w:kern w:val="2"/>
          <w:sz w:val="24"/>
          <w:szCs w:val="24"/>
          <w:lang w:val="en-US" w:eastAsia="zh-CN" w:bidi="ar-SA"/>
        </w:rPr>
        <w:t>支付方式</w:t>
      </w:r>
    </w:p>
    <w:p w14:paraId="70BDF4DE">
      <w:pPr>
        <w:pStyle w:val="9"/>
        <w:keepNext w:val="0"/>
        <w:keepLines w:val="0"/>
        <w:pageBreakBefore w:val="0"/>
        <w:widowControl w:val="0"/>
        <w:kinsoku/>
        <w:wordWrap/>
        <w:overflowPunct/>
        <w:topLinePunct w:val="0"/>
        <w:autoSpaceDE w:val="0"/>
        <w:autoSpaceDN/>
        <w:bidi w:val="0"/>
        <w:ind w:left="0" w:right="0" w:firstLine="480" w:firstLineChars="200"/>
        <w:jc w:val="both"/>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□固定费用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每月</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rPr>
        <w:t xml:space="preserve"> </w:t>
      </w:r>
      <w:r>
        <w:rPr>
          <w:rFonts w:hint="eastAsia" w:ascii="仿宋" w:hAnsi="仿宋" w:eastAsia="仿宋" w:cs="仿宋"/>
          <w:color w:val="000000"/>
          <w:spacing w:val="0"/>
          <w:w w:val="100"/>
          <w:sz w:val="24"/>
          <w:szCs w:val="24"/>
        </w:rPr>
        <w:t>日前</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由乙方提供正式票据后支付</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甲方每月支付上月服务费用的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考核费用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甲方每月提取的</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%服务费用作为考核经费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根据每学期测评结果支付乙方</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lang w:val="en-US" w:eastAsia="zh-CN"/>
        </w:rPr>
        <w:t>具体见附件2《食堂考核办法》。</w:t>
      </w:r>
    </w:p>
    <w:p w14:paraId="2264C92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□其他结算形式：</w:t>
      </w:r>
      <w:r>
        <w:rPr>
          <w:rFonts w:hint="eastAsia" w:ascii="仿宋" w:hAnsi="仿宋" w:eastAsia="仿宋" w:cs="仿宋"/>
          <w:color w:val="000000"/>
          <w:spacing w:val="0"/>
          <w:w w:val="100"/>
          <w:kern w:val="2"/>
          <w:sz w:val="24"/>
          <w:szCs w:val="24"/>
          <w:u w:val="single" w:color="auto"/>
          <w:lang w:val="en-US" w:eastAsia="zh-CN" w:bidi="ar-SA"/>
        </w:rPr>
        <w:t xml:space="preserve">                                                                                       </w:t>
      </w:r>
    </w:p>
    <w:p w14:paraId="79739BA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outlineLvl w:val="0"/>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w:t>
      </w:r>
      <w:r>
        <w:rPr>
          <w:rFonts w:hint="eastAsia" w:ascii="仿宋" w:hAnsi="仿宋" w:eastAsia="仿宋" w:cs="仿宋"/>
          <w:b/>
          <w:bCs/>
          <w:color w:val="000000"/>
          <w:spacing w:val="0"/>
          <w:w w:val="100"/>
          <w:kern w:val="2"/>
          <w:sz w:val="24"/>
          <w:szCs w:val="24"/>
          <w:lang w:val="en-US" w:eastAsia="zh-CN" w:bidi="ar-SA"/>
        </w:rPr>
        <w:t>履约保证金</w:t>
      </w:r>
    </w:p>
    <w:p w14:paraId="34C62C8E">
      <w:pPr>
        <w:pStyle w:val="22"/>
        <w:keepNext w:val="0"/>
        <w:keepLines w:val="0"/>
        <w:pageBreakBefore w:val="0"/>
        <w:widowControl w:val="0"/>
        <w:numPr>
          <w:ilvl w:val="0"/>
          <w:numId w:val="0"/>
        </w:numPr>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3.1乙方在签订合同后</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lang w:val="en-US" w:eastAsia="en-US" w:bidi="ar-SA"/>
        </w:rPr>
        <w:t>个工作日内，向甲方提供履约保证金或银行开具的履约保函。其中履约保证金、保函金额</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lang w:val="en-US" w:eastAsia="en-US" w:bidi="ar-SA"/>
        </w:rPr>
        <w:t>万元，期限</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lang w:val="en-US" w:eastAsia="en-US" w:bidi="ar-SA"/>
        </w:rPr>
        <w:t>年。如超期未提供保函原件，将</w:t>
      </w:r>
      <w:r>
        <w:rPr>
          <w:rFonts w:hint="eastAsia" w:ascii="仿宋" w:hAnsi="仿宋" w:eastAsia="仿宋" w:cs="仿宋"/>
          <w:snapToGrid w:val="0"/>
          <w:color w:val="000000"/>
          <w:spacing w:val="0"/>
          <w:w w:val="100"/>
          <w:kern w:val="0"/>
          <w:sz w:val="24"/>
          <w:szCs w:val="24"/>
          <w:lang w:val="en-US" w:eastAsia="zh-CN" w:bidi="ar-SA"/>
        </w:rPr>
        <w:t>视为乙方无故单方解除合同，因此造成甲方损失的，乙方应当予以赔偿。</w:t>
      </w:r>
    </w:p>
    <w:p w14:paraId="3BCC2230">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3.2 履约保证金在服务期满并确认乙方无违约行为后或不属乙方重大责任事故造成协议终止 ，并完成相关验收移交手续后</w:t>
      </w:r>
      <w:r>
        <w:rPr>
          <w:rFonts w:hint="eastAsia" w:ascii="仿宋" w:hAnsi="仿宋" w:eastAsia="仿宋" w:cs="仿宋"/>
          <w:color w:val="000000"/>
          <w:spacing w:val="0"/>
          <w:w w:val="100"/>
          <w:kern w:val="2"/>
          <w:sz w:val="24"/>
          <w:szCs w:val="24"/>
          <w:u w:val="single" w:color="auto"/>
          <w:lang w:val="en-US" w:eastAsia="zh-CN" w:bidi="ar-SA"/>
        </w:rPr>
        <w:tab/>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个工作日内返还。</w:t>
      </w:r>
    </w:p>
    <w:p w14:paraId="092E4875">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w:t>
      </w:r>
      <w:r>
        <w:rPr>
          <w:rFonts w:hint="eastAsia" w:ascii="仿宋" w:hAnsi="仿宋" w:eastAsia="仿宋" w:cs="仿宋"/>
          <w:color w:val="000000"/>
          <w:spacing w:val="0"/>
          <w:w w:val="100"/>
          <w:kern w:val="2"/>
          <w:sz w:val="24"/>
          <w:szCs w:val="24"/>
          <w:lang w:val="en" w:eastAsia="zh-CN" w:bidi="ar-SA"/>
        </w:rPr>
        <w:t>.</w:t>
      </w:r>
      <w:r>
        <w:rPr>
          <w:rFonts w:hint="eastAsia" w:ascii="仿宋" w:hAnsi="仿宋" w:eastAsia="仿宋" w:cs="仿宋"/>
          <w:color w:val="000000"/>
          <w:spacing w:val="0"/>
          <w:w w:val="100"/>
          <w:kern w:val="2"/>
          <w:sz w:val="24"/>
          <w:szCs w:val="24"/>
          <w:lang w:val="en-US" w:eastAsia="zh-CN" w:bidi="ar-SA"/>
        </w:rPr>
        <w:t>3 如服务期内乙方有违约或处罚、赔偿等相关费用， 甲方有权在履约保证金中先行扣除相关费用。履约保证金不足时，乙方应当在</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个工作日内补足履约保证金。</w:t>
      </w:r>
    </w:p>
    <w:p w14:paraId="5FDD2EF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b/>
          <w:bCs/>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4.</w:t>
      </w:r>
      <w:r>
        <w:rPr>
          <w:rFonts w:hint="eastAsia" w:ascii="仿宋" w:hAnsi="仿宋" w:eastAsia="仿宋" w:cs="仿宋"/>
          <w:b/>
          <w:bCs/>
          <w:color w:val="000000"/>
          <w:spacing w:val="0"/>
          <w:w w:val="100"/>
          <w:kern w:val="2"/>
          <w:sz w:val="24"/>
          <w:szCs w:val="24"/>
          <w:lang w:val="en-US" w:eastAsia="zh-CN" w:bidi="ar-SA"/>
        </w:rPr>
        <w:t>其他费用承担</w:t>
      </w:r>
    </w:p>
    <w:p w14:paraId="6D3C19CF">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4.1 食责险。</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购买校园食品安全责任保险，保额</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万。</w:t>
      </w:r>
    </w:p>
    <w:p w14:paraId="49A2E13B">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 w:eastAsia="zh-CN" w:bidi="ar-SA"/>
        </w:rPr>
        <w:t>4.2</w:t>
      </w:r>
      <w:r>
        <w:rPr>
          <w:rFonts w:hint="eastAsia" w:ascii="仿宋" w:hAnsi="仿宋" w:eastAsia="仿宋" w:cs="仿宋"/>
          <w:color w:val="000000"/>
          <w:spacing w:val="0"/>
          <w:w w:val="100"/>
          <w:kern w:val="2"/>
          <w:sz w:val="24"/>
          <w:szCs w:val="24"/>
          <w:lang w:val="en-US" w:eastAsia="zh-CN" w:bidi="ar-SA"/>
        </w:rPr>
        <w:t>□实施本项目过程中所发生的□采购费 、</w:t>
      </w:r>
      <w:r>
        <w:rPr>
          <w:rFonts w:hint="eastAsia" w:ascii="仿宋" w:hAnsi="仿宋" w:eastAsia="仿宋" w:cs="仿宋"/>
          <w:color w:val="000000"/>
          <w:spacing w:val="0"/>
          <w:w w:val="100"/>
          <w:kern w:val="2"/>
          <w:sz w:val="24"/>
          <w:szCs w:val="24"/>
          <w:lang w:val="en-US" w:eastAsia="zh-CN" w:bidi="ar-SA"/>
        </w:rPr>
        <w:sym w:font="Wingdings 2" w:char="0052"/>
      </w:r>
      <w:r>
        <w:rPr>
          <w:rFonts w:hint="eastAsia" w:ascii="仿宋" w:hAnsi="仿宋" w:eastAsia="仿宋" w:cs="仿宋"/>
          <w:color w:val="000000"/>
          <w:spacing w:val="0"/>
          <w:w w:val="100"/>
          <w:kern w:val="2"/>
          <w:sz w:val="24"/>
          <w:szCs w:val="24"/>
          <w:lang w:val="en-US" w:eastAsia="zh-CN" w:bidi="ar-SA"/>
        </w:rPr>
        <w:t>加工费 、□ 人工费、□管理费、□</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等费用由</w:t>
      </w:r>
      <w:r>
        <w:rPr>
          <w:rFonts w:hint="eastAsia" w:ascii="仿宋" w:hAnsi="仿宋" w:eastAsia="仿宋" w:cs="仿宋"/>
          <w:color w:val="000000"/>
          <w:spacing w:val="0"/>
          <w:w w:val="100"/>
          <w:kern w:val="2"/>
          <w:sz w:val="24"/>
          <w:szCs w:val="24"/>
          <w:u w:val="single"/>
          <w:lang w:val="en" w:eastAsia="zh-CN" w:bidi="ar-SA"/>
        </w:rPr>
        <w:t xml:space="preserve">          </w:t>
      </w:r>
      <w:r>
        <w:rPr>
          <w:rFonts w:hint="eastAsia" w:ascii="仿宋" w:hAnsi="仿宋" w:eastAsia="仿宋" w:cs="仿宋"/>
          <w:color w:val="000000"/>
          <w:spacing w:val="0"/>
          <w:w w:val="100"/>
          <w:kern w:val="2"/>
          <w:sz w:val="24"/>
          <w:szCs w:val="24"/>
          <w:lang w:val="en-US" w:eastAsia="zh-CN" w:bidi="ar-SA"/>
        </w:rPr>
        <w:t>方承担。</w:t>
      </w:r>
    </w:p>
    <w:p w14:paraId="4227C985">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 w:eastAsia="zh-CN" w:bidi="ar-SA"/>
        </w:rPr>
        <w:t>4.3</w:t>
      </w:r>
      <w:r>
        <w:rPr>
          <w:rFonts w:hint="eastAsia" w:ascii="仿宋" w:hAnsi="仿宋" w:eastAsia="仿宋" w:cs="仿宋"/>
          <w:color w:val="000000"/>
          <w:spacing w:val="0"/>
          <w:w w:val="100"/>
          <w:kern w:val="2"/>
          <w:sz w:val="24"/>
          <w:szCs w:val="24"/>
          <w:lang w:val="en-US" w:eastAsia="zh-CN" w:bidi="ar-SA"/>
        </w:rPr>
        <w:t>□水费、□电费、□燃气费、□</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等费用由</w:t>
      </w:r>
      <w:r>
        <w:rPr>
          <w:rFonts w:hint="eastAsia" w:ascii="仿宋" w:hAnsi="仿宋" w:eastAsia="仿宋" w:cs="仿宋"/>
          <w:color w:val="000000"/>
          <w:spacing w:val="0"/>
          <w:w w:val="100"/>
          <w:kern w:val="2"/>
          <w:sz w:val="24"/>
          <w:szCs w:val="24"/>
          <w:u w:val="single"/>
          <w:lang w:val="en" w:eastAsia="zh-CN" w:bidi="ar-SA"/>
        </w:rPr>
        <w:t xml:space="preserve">          </w:t>
      </w:r>
      <w:r>
        <w:rPr>
          <w:rFonts w:hint="eastAsia" w:ascii="仿宋" w:hAnsi="仿宋" w:eastAsia="仿宋" w:cs="仿宋"/>
          <w:color w:val="000000"/>
          <w:spacing w:val="0"/>
          <w:w w:val="100"/>
          <w:kern w:val="2"/>
          <w:sz w:val="24"/>
          <w:szCs w:val="24"/>
          <w:lang w:val="en-US" w:eastAsia="zh-CN" w:bidi="ar-SA"/>
        </w:rPr>
        <w:t>方承担。</w:t>
      </w:r>
    </w:p>
    <w:p w14:paraId="0AE06C9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4.</w:t>
      </w:r>
      <w:r>
        <w:rPr>
          <w:rFonts w:hint="eastAsia" w:ascii="仿宋" w:hAnsi="仿宋" w:eastAsia="仿宋" w:cs="仿宋"/>
          <w:color w:val="000000"/>
          <w:spacing w:val="0"/>
          <w:w w:val="100"/>
          <w:kern w:val="2"/>
          <w:sz w:val="24"/>
          <w:szCs w:val="24"/>
          <w:lang w:val="en" w:eastAsia="zh-CN" w:bidi="ar-SA"/>
        </w:rPr>
        <w:t>4</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等费用由乙方承担。</w:t>
      </w:r>
    </w:p>
    <w:p w14:paraId="0DC2B0E0">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五、人员要求</w:t>
      </w:r>
    </w:p>
    <w:p w14:paraId="216B856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1.服务团队组建。</w:t>
      </w:r>
      <w:r>
        <w:rPr>
          <w:rFonts w:hint="eastAsia" w:ascii="仿宋" w:hAnsi="仿宋" w:eastAsia="仿宋" w:cs="仿宋"/>
          <w:color w:val="000000"/>
          <w:spacing w:val="0"/>
          <w:w w:val="100"/>
          <w:kern w:val="2"/>
          <w:sz w:val="24"/>
          <w:szCs w:val="24"/>
          <w:lang w:val="en-US" w:eastAsia="zh-CN" w:bidi="ar-SA"/>
        </w:rPr>
        <w:t>乙方根据甲方食堂的营业规模合理组建经营服务团队 ，按校区就餐人数和相关实际情况合理配置。</w:t>
      </w:r>
    </w:p>
    <w:p w14:paraId="72E56189">
      <w:pPr>
        <w:keepNext w:val="0"/>
        <w:keepLines w:val="0"/>
        <w:pageBreakBefore w:val="0"/>
        <w:widowControl w:val="0"/>
        <w:tabs>
          <w:tab w:val="left" w:pos="8320"/>
        </w:tabs>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u w:val="single"/>
          <w:lang w:val="en-US" w:eastAsia="zh-CN"/>
        </w:rPr>
      </w:pPr>
      <w:r>
        <w:rPr>
          <w:rFonts w:hint="eastAsia" w:ascii="仿宋" w:hAnsi="仿宋" w:eastAsia="仿宋" w:cs="仿宋"/>
          <w:color w:val="000000"/>
          <w:spacing w:val="0"/>
          <w:w w:val="100"/>
          <w:sz w:val="24"/>
          <w:szCs w:val="24"/>
        </w:rPr>
        <w:t>服务团队负责人</w:t>
      </w:r>
      <w:r>
        <w:rPr>
          <w:rFonts w:hint="eastAsia" w:ascii="仿宋" w:hAnsi="仿宋" w:eastAsia="仿宋" w:cs="仿宋"/>
          <w:color w:val="000000"/>
          <w:spacing w:val="0"/>
          <w:w w:val="100"/>
          <w:sz w:val="24"/>
          <w:szCs w:val="24"/>
          <w:lang w:val="en"/>
        </w:rPr>
        <w:t>:</w:t>
      </w:r>
      <w:r>
        <w:rPr>
          <w:rFonts w:hint="eastAsia" w:ascii="仿宋" w:hAnsi="仿宋" w:eastAsia="仿宋" w:cs="仿宋"/>
          <w:color w:val="000000"/>
          <w:spacing w:val="0"/>
          <w:w w:val="100"/>
          <w:sz w:val="24"/>
          <w:szCs w:val="24"/>
          <w:u w:val="single"/>
          <w:lang w:val="en"/>
        </w:rPr>
        <w:t xml:space="preserve">                                              </w:t>
      </w:r>
      <w:r>
        <w:rPr>
          <w:rFonts w:hint="eastAsia" w:ascii="仿宋" w:hAnsi="仿宋" w:eastAsia="仿宋" w:cs="仿宋"/>
          <w:color w:val="000000"/>
          <w:spacing w:val="0"/>
          <w:w w:val="100"/>
          <w:sz w:val="24"/>
          <w:szCs w:val="24"/>
          <w:u w:val="none"/>
          <w:lang w:val="en" w:eastAsia="zh-CN"/>
        </w:rPr>
        <w:t>联系方式：</w:t>
      </w:r>
      <w:r>
        <w:rPr>
          <w:rFonts w:hint="eastAsia" w:ascii="仿宋" w:hAnsi="仿宋" w:eastAsia="仿宋" w:cs="仿宋"/>
          <w:color w:val="000000"/>
          <w:spacing w:val="0"/>
          <w:w w:val="100"/>
          <w:sz w:val="24"/>
          <w:szCs w:val="24"/>
          <w:u w:val="single"/>
          <w:lang w:val="en-US" w:eastAsia="zh-CN"/>
        </w:rPr>
        <w:t xml:space="preserve">                                       </w:t>
      </w:r>
    </w:p>
    <w:p w14:paraId="327835D5">
      <w:pPr>
        <w:keepNext w:val="0"/>
        <w:keepLines w:val="0"/>
        <w:pageBreakBefore w:val="0"/>
        <w:widowControl w:val="0"/>
        <w:tabs>
          <w:tab w:val="left" w:pos="8320"/>
        </w:tabs>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工作人员配置总人数</w:t>
      </w:r>
      <w:r>
        <w:rPr>
          <w:rFonts w:hint="eastAsia" w:ascii="仿宋" w:hAnsi="仿宋" w:eastAsia="仿宋" w:cs="仿宋"/>
          <w:color w:val="000000"/>
          <w:spacing w:val="0"/>
          <w:w w:val="100"/>
          <w:sz w:val="24"/>
          <w:szCs w:val="24"/>
          <w:lang w:val="en"/>
        </w:rPr>
        <w:t>:</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p>
    <w:p w14:paraId="2C0ED27F">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具体人员安排</w:t>
      </w:r>
      <w:r>
        <w:rPr>
          <w:rFonts w:hint="eastAsia" w:ascii="仿宋" w:hAnsi="仿宋" w:eastAsia="仿宋" w:cs="仿宋"/>
          <w:color w:val="000000"/>
          <w:spacing w:val="0"/>
          <w:w w:val="100"/>
          <w:sz w:val="24"/>
          <w:szCs w:val="24"/>
          <w:lang w:val="en"/>
        </w:rPr>
        <w:t>:</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p>
    <w:p w14:paraId="7F964F0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b/>
          <w:bCs/>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2.人员证明。</w:t>
      </w:r>
    </w:p>
    <w:p w14:paraId="0894068F">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 xml:space="preserve">2.1 工作人员应进行岗前培训，取得“预防性健康体检合格证明”后方可上岗，□厨师、□面点师、□营养师、□ </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等特殊岗位工作人员应取得相关证书。</w:t>
      </w:r>
    </w:p>
    <w:p w14:paraId="2CB370B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2.2 乙方应提供由公安部门开具的服务团队工作人员的无犯罪记录证明。</w:t>
      </w:r>
    </w:p>
    <w:p w14:paraId="65771628">
      <w:pPr>
        <w:keepNext w:val="0"/>
        <w:keepLines w:val="0"/>
        <w:pageBreakBefore w:val="0"/>
        <w:widowControl w:val="0"/>
        <w:kinsoku/>
        <w:wordWrap/>
        <w:overflowPunct/>
        <w:topLinePunct w:val="0"/>
        <w:autoSpaceDE w:val="0"/>
        <w:autoSpaceDN/>
        <w:bidi w:val="0"/>
        <w:spacing w:before="0" w:beforeLines="0" w:after="0" w:afterLines="0"/>
        <w:ind w:left="0" w:right="0" w:firstLine="480" w:firstLineChars="200"/>
        <w:jc w:val="both"/>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snapToGrid w:val="0"/>
          <w:color w:val="000000"/>
          <w:spacing w:val="0"/>
          <w:w w:val="100"/>
          <w:kern w:val="0"/>
          <w:sz w:val="24"/>
          <w:szCs w:val="24"/>
          <w:lang w:val="en-US" w:eastAsia="zh-CN" w:bidi="ar-SA"/>
        </w:rPr>
        <w:t>2.3</w:t>
      </w:r>
      <w:r>
        <w:rPr>
          <w:rFonts w:hint="eastAsia" w:ascii="仿宋" w:hAnsi="仿宋" w:eastAsia="仿宋" w:cs="仿宋"/>
          <w:snapToGrid w:val="0"/>
          <w:color w:val="000000"/>
          <w:spacing w:val="0"/>
          <w:w w:val="100"/>
          <w:kern w:val="0"/>
          <w:sz w:val="24"/>
          <w:szCs w:val="24"/>
          <w:lang w:val="en-US" w:eastAsia="en-US" w:bidi="ar-SA"/>
        </w:rPr>
        <w:t>食品安全管理人员</w:t>
      </w:r>
      <w:r>
        <w:rPr>
          <w:rFonts w:hint="eastAsia" w:ascii="仿宋" w:hAnsi="仿宋" w:eastAsia="仿宋" w:cs="仿宋"/>
          <w:snapToGrid w:val="0"/>
          <w:color w:val="000000"/>
          <w:spacing w:val="0"/>
          <w:w w:val="100"/>
          <w:kern w:val="0"/>
          <w:sz w:val="24"/>
          <w:szCs w:val="24"/>
          <w:lang w:val="en-US" w:eastAsia="zh-CN" w:bidi="ar-SA"/>
        </w:rPr>
        <w:t>提供</w:t>
      </w:r>
      <w:r>
        <w:rPr>
          <w:rFonts w:hint="eastAsia" w:ascii="仿宋" w:hAnsi="仿宋" w:eastAsia="仿宋" w:cs="仿宋"/>
          <w:snapToGrid w:val="0"/>
          <w:color w:val="000000"/>
          <w:spacing w:val="0"/>
          <w:w w:val="100"/>
          <w:kern w:val="0"/>
          <w:sz w:val="24"/>
          <w:szCs w:val="24"/>
          <w:lang w:val="en-US" w:eastAsia="en-US" w:bidi="ar-SA"/>
        </w:rPr>
        <w:t>三年以上实体店餐饮服务管理经验</w:t>
      </w:r>
      <w:r>
        <w:rPr>
          <w:rFonts w:hint="eastAsia" w:ascii="仿宋" w:hAnsi="仿宋" w:eastAsia="仿宋" w:cs="仿宋"/>
          <w:snapToGrid w:val="0"/>
          <w:color w:val="000000"/>
          <w:spacing w:val="0"/>
          <w:w w:val="100"/>
          <w:kern w:val="0"/>
          <w:sz w:val="24"/>
          <w:szCs w:val="24"/>
          <w:lang w:val="en-US" w:eastAsia="zh-CN" w:bidi="ar-SA"/>
        </w:rPr>
        <w:t>证明。</w:t>
      </w:r>
    </w:p>
    <w:p w14:paraId="0593AEC1">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六、甲方权利与义务</w:t>
      </w:r>
    </w:p>
    <w:p w14:paraId="27D374F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 xml:space="preserve">1.主体责任。 </w:t>
      </w:r>
      <w:r>
        <w:rPr>
          <w:rFonts w:hint="eastAsia" w:ascii="仿宋" w:hAnsi="仿宋" w:eastAsia="仿宋" w:cs="仿宋"/>
          <w:color w:val="000000"/>
          <w:spacing w:val="0"/>
          <w:w w:val="100"/>
          <w:kern w:val="2"/>
          <w:sz w:val="24"/>
          <w:szCs w:val="24"/>
          <w:lang w:val="en-US" w:eastAsia="zh-CN" w:bidi="ar-SA"/>
        </w:rPr>
        <w:t>甲方应取得学校食堂《食品经营许可证》，承担食品安全主体责任 ，落实校长（园长）负责制，结合学校实际制定食品安全风险管控清单。甲方应成立学校食堂食品安全管理机构，明确人员对乙方日常管理进行监督，督促乙方落实食品安全管理制度、履行食品安全责任，定期对乙方进行检查、评估和考核 ，发现问题及时督促整改。</w:t>
      </w:r>
    </w:p>
    <w:p w14:paraId="34169C68">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2.人员配备。</w:t>
      </w:r>
      <w:r>
        <w:rPr>
          <w:rFonts w:hint="eastAsia" w:ascii="仿宋" w:hAnsi="仿宋" w:eastAsia="仿宋" w:cs="仿宋"/>
          <w:color w:val="000000"/>
          <w:spacing w:val="0"/>
          <w:w w:val="100"/>
          <w:kern w:val="2"/>
          <w:sz w:val="24"/>
          <w:szCs w:val="24"/>
          <w:lang w:val="en-US" w:eastAsia="zh-CN" w:bidi="ar-SA"/>
        </w:rPr>
        <w:t>甲方应按照《企业落实食品安全主体责任监督管理规定》配备专职食品安全总监</w:t>
      </w:r>
      <w:r>
        <w:rPr>
          <w:rFonts w:hint="eastAsia" w:ascii="仿宋" w:hAnsi="仿宋" w:eastAsia="仿宋" w:cs="仿宋"/>
          <w:color w:val="000000"/>
          <w:spacing w:val="0"/>
          <w:w w:val="100"/>
          <w:kern w:val="2"/>
          <w:sz w:val="24"/>
          <w:szCs w:val="24"/>
          <w:lang w:val="en" w:eastAsia="zh-CN" w:bidi="ar-SA"/>
        </w:rPr>
        <w:t>/</w:t>
      </w:r>
      <w:r>
        <w:rPr>
          <w:rFonts w:hint="eastAsia" w:ascii="仿宋" w:hAnsi="仿宋" w:eastAsia="仿宋" w:cs="仿宋"/>
          <w:color w:val="000000"/>
          <w:spacing w:val="0"/>
          <w:w w:val="100"/>
          <w:kern w:val="2"/>
          <w:sz w:val="24"/>
          <w:szCs w:val="24"/>
          <w:lang w:val="en-US" w:eastAsia="zh-CN" w:bidi="ar-SA"/>
        </w:rPr>
        <w:t>食品安全员， 结合学校实际细化制定《食品安全总监职责》《食品安全员守则》，落实食品安全“ 日管控、周排查、月调度”制度， 同时督促乙方配备相应专职食品安全总监/食品安全员。</w:t>
      </w:r>
    </w:p>
    <w:p w14:paraId="04414DF6">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3.食材采购（择一适用）。</w:t>
      </w:r>
    </w:p>
    <w:p w14:paraId="065B5E0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□甲方采购的大宗食品 ，应按相关要求选择供货商，签订供货协议。加强食品供货商管理，建立食品供货商退出机制。</w:t>
      </w:r>
    </w:p>
    <w:p w14:paraId="3B26321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□甲方采购的大宗食品，应实行公开招标选择供货商，签订供货协议。加强食品供货商管理 ，建立食品供货商退出机制。</w:t>
      </w:r>
    </w:p>
    <w:p w14:paraId="7C1B5B0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4.食材验收。</w:t>
      </w:r>
      <w:r>
        <w:rPr>
          <w:rFonts w:hint="eastAsia" w:ascii="仿宋" w:hAnsi="仿宋" w:eastAsia="仿宋" w:cs="仿宋"/>
          <w:color w:val="000000"/>
          <w:spacing w:val="0"/>
          <w:w w:val="100"/>
          <w:kern w:val="2"/>
          <w:sz w:val="24"/>
          <w:szCs w:val="24"/>
          <w:lang w:val="en-US" w:eastAsia="zh-CN" w:bidi="ar-SA"/>
        </w:rPr>
        <w:t>甲方应建立健全食材采购验收机制，落实食材索证索票制度，建立采购台账，不得采购腐败变质、有毒有害、来历不明的食品原料及食品。发现采购的食材有腐败变质或不符合食品安全要求的 ，应拒绝接收。</w:t>
      </w:r>
    </w:p>
    <w:p w14:paraId="45DE9DA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5.食材检测。</w:t>
      </w:r>
      <w:r>
        <w:rPr>
          <w:rFonts w:hint="eastAsia" w:ascii="仿宋" w:hAnsi="仿宋" w:eastAsia="仿宋" w:cs="仿宋"/>
          <w:color w:val="000000"/>
          <w:spacing w:val="0"/>
          <w:w w:val="100"/>
          <w:kern w:val="2"/>
          <w:sz w:val="24"/>
          <w:szCs w:val="24"/>
          <w:lang w:val="en-US" w:eastAsia="zh-CN" w:bidi="ar-SA"/>
        </w:rPr>
        <w:t>甲方积极配置食用农产品快检设施，与乙方共 同对食堂采购的蔬菜、肉、腌制品、食用油等进行快速检测，建立快检不合格处置机制 ，保证食材采购的安全。</w:t>
      </w:r>
    </w:p>
    <w:p w14:paraId="5326A980">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b w:val="0"/>
          <w:bCs w:val="0"/>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6.经营保障。</w:t>
      </w:r>
      <w:r>
        <w:rPr>
          <w:rFonts w:hint="eastAsia" w:ascii="仿宋" w:hAnsi="仿宋" w:eastAsia="仿宋" w:cs="仿宋"/>
          <w:b w:val="0"/>
          <w:bCs w:val="0"/>
          <w:color w:val="000000"/>
          <w:spacing w:val="0"/>
          <w:w w:val="100"/>
          <w:kern w:val="2"/>
          <w:sz w:val="24"/>
          <w:szCs w:val="24"/>
          <w:lang w:val="en-US" w:eastAsia="zh-CN" w:bidi="ar-SA"/>
        </w:rPr>
        <w:t>甲方应保证乙方在履约情况下正常的经营环境 （包括水、 电、天然气的正常供应等），提供食堂主体运行所需证件，学校有重大活动、放假或停水停电等情况时，应提前</w:t>
      </w:r>
      <w:r>
        <w:rPr>
          <w:rFonts w:hint="eastAsia" w:ascii="仿宋" w:hAnsi="仿宋" w:eastAsia="仿宋" w:cs="仿宋"/>
          <w:b w:val="0"/>
          <w:bCs w:val="0"/>
          <w:color w:val="000000"/>
          <w:spacing w:val="0"/>
          <w:w w:val="100"/>
          <w:kern w:val="2"/>
          <w:sz w:val="24"/>
          <w:szCs w:val="24"/>
          <w:u w:val="single"/>
          <w:lang w:val="en-US" w:eastAsia="zh-CN" w:bidi="ar-SA"/>
        </w:rPr>
        <w:t xml:space="preserve">       </w:t>
      </w:r>
      <w:r>
        <w:rPr>
          <w:rFonts w:hint="eastAsia" w:ascii="仿宋" w:hAnsi="仿宋" w:eastAsia="仿宋" w:cs="仿宋"/>
          <w:b w:val="0"/>
          <w:bCs w:val="0"/>
          <w:color w:val="000000"/>
          <w:spacing w:val="0"/>
          <w:w w:val="100"/>
          <w:kern w:val="2"/>
          <w:sz w:val="24"/>
          <w:szCs w:val="24"/>
          <w:lang w:val="en-US" w:eastAsia="zh-CN" w:bidi="ar-SA"/>
        </w:rPr>
        <w:t>个工作日通知乙方及时调整保障计划。</w:t>
      </w:r>
    </w:p>
    <w:p w14:paraId="1F3F622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b w:val="0"/>
          <w:bCs w:val="0"/>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7.财务管理。</w:t>
      </w:r>
      <w:r>
        <w:rPr>
          <w:rFonts w:hint="eastAsia" w:ascii="仿宋" w:hAnsi="仿宋" w:eastAsia="仿宋" w:cs="仿宋"/>
          <w:b w:val="0"/>
          <w:bCs w:val="0"/>
          <w:color w:val="000000"/>
          <w:spacing w:val="0"/>
          <w:w w:val="100"/>
          <w:kern w:val="2"/>
          <w:sz w:val="24"/>
          <w:szCs w:val="24"/>
          <w:lang w:val="en-US" w:eastAsia="zh-CN" w:bidi="ar-SA"/>
        </w:rPr>
        <w:t>甲方负责食堂的账务处理、原料采购及销售定价。</w:t>
      </w:r>
    </w:p>
    <w:p w14:paraId="127F6588">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b w:val="0"/>
          <w:bCs w:val="0"/>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8.供餐服务。</w:t>
      </w:r>
      <w:r>
        <w:rPr>
          <w:rFonts w:hint="eastAsia" w:ascii="仿宋" w:hAnsi="仿宋" w:eastAsia="仿宋" w:cs="仿宋"/>
          <w:b w:val="0"/>
          <w:bCs w:val="0"/>
          <w:color w:val="000000"/>
          <w:spacing w:val="0"/>
          <w:w w:val="100"/>
          <w:kern w:val="2"/>
          <w:sz w:val="24"/>
          <w:szCs w:val="24"/>
          <w:lang w:val="en-US" w:eastAsia="zh-CN" w:bidi="ar-SA"/>
        </w:rPr>
        <w:t>甲方应制定供餐标准供乙方执行。</w:t>
      </w:r>
    </w:p>
    <w:p w14:paraId="10D9FC7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9.校园智治。</w:t>
      </w:r>
      <w:r>
        <w:rPr>
          <w:rFonts w:hint="eastAsia" w:ascii="仿宋" w:hAnsi="仿宋" w:eastAsia="仿宋" w:cs="仿宋"/>
          <w:b w:val="0"/>
          <w:bCs w:val="0"/>
          <w:color w:val="000000"/>
          <w:spacing w:val="0"/>
          <w:w w:val="100"/>
          <w:kern w:val="2"/>
          <w:sz w:val="24"/>
          <w:szCs w:val="24"/>
          <w:lang w:val="en-US" w:eastAsia="zh-CN" w:bidi="ar-SA"/>
        </w:rPr>
        <w:t>甲方做好食堂基础信息、人员管理以及“ 明厨亮灶”“互联网+明厨亮灶”动态维护，对视频不清晰、掉线、转位、移位的及时修复。鼓励通过数字化系统完成电子台账、</w:t>
      </w:r>
      <w:r>
        <w:rPr>
          <w:rFonts w:hint="eastAsia" w:ascii="仿宋" w:hAnsi="仿宋" w:eastAsia="仿宋" w:cs="仿宋"/>
          <w:color w:val="000000"/>
          <w:spacing w:val="0"/>
          <w:w w:val="100"/>
          <w:kern w:val="2"/>
          <w:sz w:val="24"/>
          <w:szCs w:val="24"/>
          <w:lang w:val="en-US" w:eastAsia="zh-CN" w:bidi="ar-SA"/>
        </w:rPr>
        <w:t>校园陪餐等日常管理信息。</w:t>
      </w:r>
    </w:p>
    <w:p w14:paraId="0DD1E88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 xml:space="preserve">10.“ 三防 ”配备。 </w:t>
      </w:r>
      <w:r>
        <w:rPr>
          <w:rFonts w:hint="eastAsia" w:ascii="仿宋" w:hAnsi="仿宋" w:eastAsia="仿宋" w:cs="仿宋"/>
          <w:color w:val="000000"/>
          <w:spacing w:val="0"/>
          <w:w w:val="100"/>
          <w:kern w:val="2"/>
          <w:sz w:val="24"/>
          <w:szCs w:val="24"/>
          <w:lang w:val="en-US" w:eastAsia="zh-CN" w:bidi="ar-SA"/>
        </w:rPr>
        <w:t>甲方应当配齐防蝇、防尘、防鼠等“ 三防 ”设备设施。</w:t>
      </w:r>
    </w:p>
    <w:p w14:paraId="70603AB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11.互动机制。</w:t>
      </w:r>
      <w:r>
        <w:rPr>
          <w:rFonts w:hint="eastAsia" w:ascii="仿宋" w:hAnsi="仿宋" w:eastAsia="仿宋" w:cs="仿宋"/>
          <w:color w:val="000000"/>
          <w:spacing w:val="0"/>
          <w:w w:val="100"/>
          <w:kern w:val="2"/>
          <w:sz w:val="24"/>
          <w:szCs w:val="24"/>
          <w:lang w:val="en-US" w:eastAsia="zh-CN" w:bidi="ar-SA"/>
        </w:rPr>
        <w:t xml:space="preserve"> 甲方应建立食堂问题投诉渠道和反馈机制。通过学校网站、电话、公众号、邮箱等方式引导家长或学生共同参与校园食品安全管理，按照规定每学期组织家长或学生代表进行交流与沟通机制 ，并进行供餐满意度测评。</w:t>
      </w:r>
    </w:p>
    <w:p w14:paraId="7E54667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12. 宣传教育。</w:t>
      </w:r>
      <w:r>
        <w:rPr>
          <w:rFonts w:hint="eastAsia" w:ascii="仿宋" w:hAnsi="仿宋" w:eastAsia="仿宋" w:cs="仿宋"/>
          <w:color w:val="000000"/>
          <w:spacing w:val="0"/>
          <w:w w:val="100"/>
          <w:kern w:val="2"/>
          <w:sz w:val="24"/>
          <w:szCs w:val="24"/>
          <w:lang w:val="en-US" w:eastAsia="zh-CN" w:bidi="ar-SA"/>
        </w:rPr>
        <w:t xml:space="preserve"> 甲方对食堂的宣传标语、宣传海报、宣传资料等内容进行审核和管理。</w:t>
      </w:r>
    </w:p>
    <w:p w14:paraId="629CB9BB">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13.违规处置。</w:t>
      </w:r>
      <w:r>
        <w:rPr>
          <w:rFonts w:hint="eastAsia" w:ascii="仿宋" w:hAnsi="仿宋" w:eastAsia="仿宋" w:cs="仿宋"/>
          <w:color w:val="000000"/>
          <w:spacing w:val="0"/>
          <w:w w:val="100"/>
          <w:kern w:val="2"/>
          <w:sz w:val="24"/>
          <w:szCs w:val="24"/>
          <w:lang w:val="en-US" w:eastAsia="zh-CN" w:bidi="ar-SA"/>
        </w:rPr>
        <w:t xml:space="preserve"> 甲方有权要求乙方撤换不称职或不遵守校纪校规的从业人员。</w:t>
      </w:r>
    </w:p>
    <w:p w14:paraId="707B964B">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 xml:space="preserve">14.  </w:t>
      </w:r>
      <w:r>
        <w:rPr>
          <w:rFonts w:hint="eastAsia" w:ascii="仿宋" w:hAnsi="仿宋" w:eastAsia="仿宋" w:cs="仿宋"/>
          <w:color w:val="000000"/>
          <w:spacing w:val="0"/>
          <w:w w:val="100"/>
          <w:kern w:val="2"/>
          <w:sz w:val="24"/>
          <w:szCs w:val="24"/>
          <w:u w:val="single" w:color="auto"/>
          <w:lang w:val="en-US" w:eastAsia="zh-CN" w:bidi="ar-SA"/>
        </w:rPr>
        <w:t xml:space="preserve">                                                                                                                                   </w:t>
      </w:r>
    </w:p>
    <w:p w14:paraId="12045E1C">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七、乙方权利与义务</w:t>
      </w:r>
    </w:p>
    <w:p w14:paraId="1D1E51C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1.费用约定。乙方有权按照合同约定收取费用。</w:t>
      </w:r>
    </w:p>
    <w:p w14:paraId="09058617">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2.资质要求。乙方依法取得食品经营许可证，含餐饮服务管理经营项目。</w:t>
      </w:r>
    </w:p>
    <w:p w14:paraId="7DEAA14A">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3.规范执行</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乙方应严格遵守《食品安全法》《学校食品安全与营养健康管理规定》《GB31654—2021食品安全国家标准餐饮服务通用卫生规范》《餐饮服务食品安全操作规范》等要求</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履行食品安全管理责任</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主动接受甲方的监督和管理。</w:t>
      </w:r>
    </w:p>
    <w:p w14:paraId="2608C30F">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乙方应严格规范食品加工管理</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保持加工经营场所内外环境整洁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实施原料采购、粗加工、切配、烹饪、供餐、留样、餐用具清洗消毒保洁全过程控制管理。积极落实色标管理制度等要求。</w:t>
      </w:r>
    </w:p>
    <w:p w14:paraId="6171EA36">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4. 两员责任。乙方应按照《企业落实食品安全主体责任监督管理规定》配备食品安全总监/食品安全员， 落实 “ 日管控、 周排查、月调度 ” 制度要求， 同甲方食品安全管理人员共同开展食堂食品安全日常管理。</w:t>
      </w:r>
    </w:p>
    <w:p w14:paraId="131A77C8">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5.用工管理。乙方应根据合同约定组建服务团队。乙方应与聘用的员工签订用工协议，与甲方没有人事依附关系， 自行承担用工纠纷的处理和工伤等相关经济和法律责任。乙方员工应严格遵守国家法律法规和甲方单位的各项规章制度。同时，乙方负责员工 的生产安全（包括车辆交通安全），并根据责任划分承担相应的责任。 乙方应为员工缴纳相关保险。</w:t>
      </w:r>
    </w:p>
    <w:p w14:paraId="2F3BBDEF">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6.人员管理。乙方应严格从业人员健康管理，制定实施从业人员食品安全培训考核计划。聘用的食品从业人员应持有效健康 证明，经培训合格后上岗并留存记录</w:t>
      </w:r>
      <w:r>
        <w:rPr>
          <w:rFonts w:hint="eastAsia" w:ascii="仿宋" w:hAnsi="仿宋" w:eastAsia="仿宋" w:cs="仿宋"/>
          <w:color w:val="000000"/>
          <w:spacing w:val="0"/>
          <w:w w:val="100"/>
          <w:kern w:val="2"/>
          <w:sz w:val="24"/>
          <w:szCs w:val="24"/>
          <w:lang w:val="en" w:eastAsia="zh-CN" w:bidi="ar-SA"/>
        </w:rPr>
        <w:t>,</w:t>
      </w:r>
      <w:r>
        <w:rPr>
          <w:rFonts w:hint="eastAsia" w:ascii="仿宋" w:hAnsi="仿宋" w:eastAsia="仿宋" w:cs="仿宋"/>
          <w:color w:val="000000"/>
          <w:spacing w:val="0"/>
          <w:w w:val="100"/>
          <w:kern w:val="2"/>
          <w:sz w:val="24"/>
          <w:szCs w:val="24"/>
          <w:lang w:val="en-US" w:eastAsia="zh-CN" w:bidi="ar-SA"/>
        </w:rPr>
        <w:t>按规定每日晨检，穿戴整洁的工作服、帽子、 口罩 ，禁止无关人员进入厨房。</w:t>
      </w:r>
    </w:p>
    <w:p w14:paraId="6307436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7.采购验收。乙方应积极协助甲方开展食材验收、台账建立等工作。发现采购的食材有腐败变质或不符合食品安全要求的，应拒绝接收。</w:t>
      </w:r>
    </w:p>
    <w:p w14:paraId="7741E0AE">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8.病媒防护</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乙方应做好老鼠、蟑螂、蝇（虫）等病媒生物防护工作</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垃圾做到日产日清</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定期检查库房、操作间、橱柜</w:t>
      </w:r>
      <w:r>
        <w:rPr>
          <w:rFonts w:hint="eastAsia" w:ascii="仿宋" w:hAnsi="仿宋" w:eastAsia="仿宋" w:cs="仿宋"/>
          <w:color w:val="000000"/>
          <w:spacing w:val="0"/>
          <w:w w:val="100"/>
          <w:sz w:val="24"/>
          <w:szCs w:val="24"/>
          <w:lang w:eastAsia="zh-CN"/>
        </w:rPr>
        <w:t>等</w:t>
      </w:r>
      <w:r>
        <w:rPr>
          <w:rFonts w:hint="eastAsia" w:ascii="仿宋" w:hAnsi="仿宋" w:eastAsia="仿宋" w:cs="仿宋"/>
          <w:color w:val="000000"/>
          <w:spacing w:val="0"/>
          <w:w w:val="100"/>
          <w:sz w:val="24"/>
          <w:szCs w:val="24"/>
        </w:rPr>
        <w:t xml:space="preserve">设施设备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采取有效措施消除四害</w:t>
      </w:r>
      <w:r>
        <w:rPr>
          <w:rFonts w:hint="eastAsia" w:ascii="仿宋" w:hAnsi="仿宋" w:eastAsia="仿宋" w:cs="仿宋"/>
          <w:color w:val="000000"/>
          <w:spacing w:val="0"/>
          <w:w w:val="100"/>
          <w:sz w:val="24"/>
          <w:szCs w:val="24"/>
          <w:lang w:eastAsia="zh-CN"/>
        </w:rPr>
        <w:t>孳生</w:t>
      </w:r>
      <w:r>
        <w:rPr>
          <w:rFonts w:hint="eastAsia" w:ascii="仿宋" w:hAnsi="仿宋" w:eastAsia="仿宋" w:cs="仿宋"/>
          <w:color w:val="000000"/>
          <w:spacing w:val="0"/>
          <w:w w:val="100"/>
          <w:sz w:val="24"/>
          <w:szCs w:val="24"/>
        </w:rPr>
        <w:t>条件。</w:t>
      </w:r>
    </w:p>
    <w:p w14:paraId="02974C0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9.体系导入。乙方积极导入“4D ”“五常法”“6T ”等现场管理方法或建立HACCP 、ISO22000 等危害分析与关键控制点体系，实施专业化、规范化、系统化管理。</w:t>
      </w:r>
    </w:p>
    <w:p w14:paraId="7121896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10.供餐管理。 乙方应配合甲方降低成本控制 ，根据就餐情况合理制定菜单和采购数量，加工过程控制食材损耗和浪费、节约用水、用电、用气等。</w:t>
      </w:r>
    </w:p>
    <w:p w14:paraId="55832BE7">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11.供餐约定。 乙方应按照甲方要求的供餐时间与标准 ，合理制定每周带量营养食谱，并积极创新菜品，定期更新菜谱，增加花色品种，不断调整口味提高伙食质量，满足师生需求，提升满意度。</w:t>
      </w:r>
    </w:p>
    <w:p w14:paraId="4725A78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12.设备管理。 乙方负责对甲方提供的房产及设施设备的管理，如定期清洗烟道，保持烟道畅通等，做到无事故隐患，设备完好，承担因管理不当而引起的损失，对于发现隐患或自然损耗需要进行维修的，乙方应及时跟甲方提出维修要求。</w:t>
      </w:r>
    </w:p>
    <w:p w14:paraId="48EDA79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13.食安责任。 乙方因经营管理失职造成食源性疾病、人身损害及其他安全事故，乙方应承担相应的安全责任，并赔偿由此产生的相应损失。</w:t>
      </w:r>
    </w:p>
    <w:p w14:paraId="5615294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14.值班巡查。 乙方应落实食堂安全值班制 ，保证用火用电用水用气安全，食堂内部用火用电、用气应符合消防安全规定，严禁私拉电线、严禁违章用电 ，每天下班前，专人负责对食堂电源、天然气、水、 门窗等设施进行安全检查 ，并做好台账记录。</w:t>
      </w:r>
    </w:p>
    <w:p w14:paraId="44CEABFC">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15.消防安全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乙方应定期检查和维护消防器材和设施、</w:t>
      </w:r>
      <w:r>
        <w:rPr>
          <w:rFonts w:hint="eastAsia" w:ascii="仿宋" w:hAnsi="仿宋" w:eastAsia="仿宋" w:cs="仿宋"/>
          <w:color w:val="000000"/>
          <w:spacing w:val="0"/>
          <w:w w:val="100"/>
          <w:sz w:val="24"/>
          <w:szCs w:val="24"/>
          <w:lang w:eastAsia="zh-CN"/>
        </w:rPr>
        <w:t>如</w:t>
      </w:r>
      <w:r>
        <w:rPr>
          <w:rFonts w:hint="eastAsia" w:ascii="仿宋" w:hAnsi="仿宋" w:eastAsia="仿宋" w:cs="仿宋"/>
          <w:color w:val="000000"/>
          <w:spacing w:val="0"/>
          <w:w w:val="100"/>
          <w:sz w:val="24"/>
          <w:szCs w:val="24"/>
        </w:rPr>
        <w:t>有破损应及时向甲方提出报修</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定期开展消防演练</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培训员工疏散逃生、有效使用消防器材</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掌握报警求救等应急处理技能。</w:t>
      </w:r>
    </w:p>
    <w:p w14:paraId="3E86CE39">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lang w:eastAsia="zh-CN"/>
        </w:rPr>
      </w:pPr>
      <w:r>
        <w:rPr>
          <w:rFonts w:hint="eastAsia" w:ascii="仿宋" w:hAnsi="仿宋" w:eastAsia="仿宋" w:cs="仿宋"/>
          <w:color w:val="000000"/>
          <w:spacing w:val="0"/>
          <w:w w:val="100"/>
          <w:sz w:val="24"/>
          <w:szCs w:val="24"/>
        </w:rPr>
        <w:t>16.服务约定</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不以任何形式转租、转让、抵押服务区域</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在服务区域内只从事</w:t>
      </w:r>
      <w:r>
        <w:rPr>
          <w:rFonts w:hint="eastAsia" w:ascii="仿宋" w:hAnsi="仿宋" w:eastAsia="仿宋" w:cs="仿宋"/>
          <w:color w:val="000000"/>
          <w:spacing w:val="0"/>
          <w:w w:val="100"/>
          <w:sz w:val="24"/>
          <w:szCs w:val="24"/>
          <w:lang w:eastAsia="zh-CN"/>
        </w:rPr>
        <w:t>双方约定</w:t>
      </w:r>
      <w:r>
        <w:rPr>
          <w:rFonts w:hint="eastAsia" w:ascii="仿宋" w:hAnsi="仿宋" w:eastAsia="仿宋" w:cs="仿宋"/>
          <w:color w:val="000000"/>
          <w:spacing w:val="0"/>
          <w:w w:val="100"/>
          <w:sz w:val="24"/>
          <w:szCs w:val="24"/>
        </w:rPr>
        <w:t>的服务工作。</w:t>
      </w:r>
    </w:p>
    <w:p w14:paraId="5F54B67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color w:val="000000"/>
          <w:spacing w:val="0"/>
          <w:w w:val="100"/>
          <w:kern w:val="2"/>
          <w:sz w:val="24"/>
          <w:szCs w:val="24"/>
          <w:lang w:val="en-US" w:eastAsia="en-US" w:bidi="ar-SA"/>
        </w:rPr>
        <w:t>17.廉洁要求</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 xml:space="preserve"> 乙方不得以任何理由向甲方工作人员行贿</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甲方人员也不得以任何形式向相关人员索贿。</w:t>
      </w:r>
    </w:p>
    <w:p w14:paraId="4F2FB8C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18. □乙方应配有相关资质证书的营养师 ，每周定期向甲方申报由营养师制定的食堂菜单，报甲方同意后实施。乙方有责任向甲方提供学生病号餐。</w:t>
      </w:r>
    </w:p>
    <w:p w14:paraId="4DDFC7D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19. □</w:t>
      </w:r>
      <w:r>
        <w:rPr>
          <w:rFonts w:hint="eastAsia" w:ascii="仿宋" w:hAnsi="仿宋" w:eastAsia="仿宋" w:cs="仿宋"/>
          <w:color w:val="000000"/>
          <w:spacing w:val="0"/>
          <w:w w:val="100"/>
          <w:kern w:val="2"/>
          <w:sz w:val="24"/>
          <w:szCs w:val="24"/>
          <w:u w:val="single" w:color="auto"/>
          <w:lang w:val="en-US" w:eastAsia="zh-CN" w:bidi="ar-SA"/>
        </w:rPr>
        <w:t xml:space="preserve">                                                                                    </w:t>
      </w:r>
    </w:p>
    <w:p w14:paraId="3C009C88">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八、合同解除</w:t>
      </w:r>
    </w:p>
    <w:p w14:paraId="38A1F917">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1.双方协商一致可以解除合同，并妥善处理好合同解除后的相关事宜，如空档期的食堂餐饮供应等。</w:t>
      </w:r>
    </w:p>
    <w:p w14:paraId="1D06799B">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2.甲方有以下行为之一 的， 乙方可以解除合同：</w:t>
      </w:r>
    </w:p>
    <w:p w14:paraId="731CE190">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2.1 甲方未按要求取得学校食堂《食品经营许可证》；</w:t>
      </w:r>
    </w:p>
    <w:p w14:paraId="3FFD6E65">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2.2 甲方拒绝履行提供水、电、气、暖等必要经营条件， 乙方无法继续经营的；</w:t>
      </w:r>
    </w:p>
    <w:p w14:paraId="39E1921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2.3 其它</w:t>
      </w:r>
      <w:r>
        <w:rPr>
          <w:rFonts w:hint="eastAsia" w:ascii="仿宋" w:hAnsi="仿宋" w:eastAsia="仿宋" w:cs="仿宋"/>
          <w:color w:val="000000"/>
          <w:spacing w:val="0"/>
          <w:w w:val="100"/>
          <w:kern w:val="2"/>
          <w:sz w:val="24"/>
          <w:szCs w:val="24"/>
          <w:u w:val="single" w:color="auto"/>
          <w:lang w:val="en-US" w:eastAsia="zh-CN" w:bidi="ar-SA"/>
        </w:rPr>
        <w:t xml:space="preserve">                                                                          </w:t>
      </w:r>
    </w:p>
    <w:p w14:paraId="270712AA">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 乙方发生以下情形之一 的 ，甲方可以解除合同，并承担相关后果：</w:t>
      </w:r>
    </w:p>
    <w:p w14:paraId="71CBFE7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3.1 违反相关法律法规，被市场监督管理部门吊销或注销营业执照、食品经营许可证的；</w:t>
      </w:r>
    </w:p>
    <w:p w14:paraId="58433EB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snapToGrid w:val="0"/>
          <w:color w:val="000000"/>
          <w:spacing w:val="0"/>
          <w:w w:val="100"/>
          <w:kern w:val="0"/>
          <w:sz w:val="24"/>
          <w:szCs w:val="24"/>
          <w:lang w:val="en-US" w:eastAsia="en-US" w:bidi="ar-SA"/>
        </w:rPr>
        <w:t>3.2 乙方因食品安全、安全生产等问题</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造成师生食物中毒（ 一般食品安全事故及以上等级的）或其他食源性疾病等重大安</w:t>
      </w:r>
      <w:r>
        <w:rPr>
          <w:rFonts w:hint="eastAsia" w:ascii="仿宋" w:hAnsi="仿宋" w:eastAsia="仿宋" w:cs="仿宋"/>
          <w:color w:val="000000"/>
          <w:spacing w:val="0"/>
          <w:w w:val="100"/>
          <w:kern w:val="2"/>
          <w:sz w:val="24"/>
          <w:szCs w:val="24"/>
          <w:lang w:val="en-US" w:eastAsia="zh-CN" w:bidi="ar-SA"/>
        </w:rPr>
        <w:t>全事故的， 甲方有权无条件终止合同；</w:t>
      </w:r>
    </w:p>
    <w:p w14:paraId="1A6FDC3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3.3 发生转包、分包供餐业务的，或擅自更换履约人等其他违反法律法规或供餐合同行为的；</w:t>
      </w:r>
    </w:p>
    <w:p w14:paraId="60E6D6E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3.4 未按供餐服务合同约定建立相关制度或执行制度不力</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 xml:space="preserve"> 经营管理混乱</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存在食品安全隐患</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被市场监督管理部门下达整改且限期整改不力的或者一年内被市场监管部门行政处罚、通报（包括暗访）</w:t>
      </w:r>
      <w:r>
        <w:rPr>
          <w:rFonts w:hint="eastAsia" w:ascii="仿宋" w:hAnsi="仿宋" w:eastAsia="仿宋" w:cs="仿宋"/>
          <w:snapToGrid w:val="0"/>
          <w:color w:val="000000"/>
          <w:spacing w:val="0"/>
          <w:w w:val="100"/>
          <w:kern w:val="0"/>
          <w:sz w:val="24"/>
          <w:szCs w:val="24"/>
          <w:u w:val="single"/>
          <w:lang w:val="en-US" w:eastAsia="en-US" w:bidi="ar-SA"/>
        </w:rPr>
        <w:t xml:space="preserve">       </w:t>
      </w:r>
      <w:r>
        <w:rPr>
          <w:rFonts w:hint="eastAsia" w:ascii="仿宋" w:hAnsi="仿宋" w:eastAsia="仿宋" w:cs="仿宋"/>
          <w:snapToGrid w:val="0"/>
          <w:color w:val="000000"/>
          <w:spacing w:val="0"/>
          <w:w w:val="100"/>
          <w:kern w:val="0"/>
          <w:sz w:val="24"/>
          <w:szCs w:val="24"/>
          <w:lang w:val="en-US" w:eastAsia="en-US" w:bidi="ar-SA"/>
        </w:rPr>
        <w:t>次以上的；</w:t>
      </w:r>
    </w:p>
    <w:p w14:paraId="144A0060">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zh-CN" w:bidi="ar-SA"/>
        </w:rPr>
        <w:t>3.5 互联网+明厨亮灶未保持在线状态且对各级市场监管部门整改要求拒不整改，刻意躲避监管的；</w:t>
      </w:r>
    </w:p>
    <w:p w14:paraId="6EDFACD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w:t>
      </w:r>
      <w:r>
        <w:rPr>
          <w:rFonts w:hint="eastAsia" w:ascii="仿宋" w:hAnsi="仿宋" w:eastAsia="仿宋" w:cs="仿宋"/>
          <w:snapToGrid w:val="0"/>
          <w:color w:val="000000"/>
          <w:spacing w:val="0"/>
          <w:w w:val="100"/>
          <w:kern w:val="0"/>
          <w:sz w:val="24"/>
          <w:szCs w:val="24"/>
          <w:lang w:val="en-US" w:eastAsia="zh-CN" w:bidi="ar-SA"/>
        </w:rPr>
        <w:t>6</w:t>
      </w:r>
      <w:r>
        <w:rPr>
          <w:rFonts w:hint="eastAsia" w:ascii="仿宋" w:hAnsi="仿宋" w:eastAsia="仿宋" w:cs="仿宋"/>
          <w:snapToGrid w:val="0"/>
          <w:color w:val="000000"/>
          <w:spacing w:val="0"/>
          <w:w w:val="100"/>
          <w:kern w:val="0"/>
          <w:sz w:val="24"/>
          <w:szCs w:val="24"/>
          <w:lang w:val="en-US" w:eastAsia="en-US" w:bidi="ar-SA"/>
        </w:rPr>
        <w:t xml:space="preserve"> </w:t>
      </w:r>
      <w:r>
        <w:rPr>
          <w:rFonts w:hint="eastAsia" w:ascii="仿宋" w:hAnsi="仿宋" w:eastAsia="仿宋" w:cs="仿宋"/>
          <w:snapToGrid w:val="0"/>
          <w:color w:val="000000"/>
          <w:spacing w:val="0"/>
          <w:w w:val="100"/>
          <w:kern w:val="0"/>
          <w:sz w:val="24"/>
          <w:szCs w:val="24"/>
          <w:lang w:val="en-US" w:eastAsia="zh-CN" w:bidi="ar-SA"/>
        </w:rPr>
        <w:t xml:space="preserve"> </w:t>
      </w:r>
      <w:r>
        <w:rPr>
          <w:rFonts w:hint="eastAsia" w:ascii="仿宋" w:hAnsi="仿宋" w:eastAsia="仿宋" w:cs="仿宋"/>
          <w:snapToGrid w:val="0"/>
          <w:color w:val="000000"/>
          <w:spacing w:val="0"/>
          <w:w w:val="100"/>
          <w:kern w:val="0"/>
          <w:sz w:val="24"/>
          <w:szCs w:val="24"/>
          <w:lang w:val="en-US" w:eastAsia="en-US" w:bidi="ar-SA"/>
        </w:rPr>
        <w:t>与学校或学校工作人员间存在商业贿赂等不正当经营行为的；</w:t>
      </w:r>
    </w:p>
    <w:p w14:paraId="4BAE5A35">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3.</w:t>
      </w:r>
      <w:r>
        <w:rPr>
          <w:rFonts w:hint="eastAsia" w:ascii="仿宋" w:hAnsi="仿宋" w:eastAsia="仿宋" w:cs="仿宋"/>
          <w:color w:val="000000"/>
          <w:spacing w:val="0"/>
          <w:w w:val="100"/>
          <w:sz w:val="24"/>
          <w:szCs w:val="24"/>
          <w:lang w:val="en-US" w:eastAsia="zh-CN"/>
        </w:rPr>
        <w:t xml:space="preserve">7 </w:t>
      </w:r>
      <w:r>
        <w:rPr>
          <w:rFonts w:hint="eastAsia" w:ascii="仿宋" w:hAnsi="仿宋" w:eastAsia="仿宋" w:cs="仿宋"/>
          <w:color w:val="000000"/>
          <w:spacing w:val="0"/>
          <w:w w:val="100"/>
          <w:sz w:val="24"/>
          <w:szCs w:val="24"/>
        </w:rPr>
        <w:t>乙方拒绝接受甲方监督管理</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经甲方通知整改后不予整改</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且影响食堂正常经营的；</w:t>
      </w:r>
    </w:p>
    <w:p w14:paraId="3DFEECF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3.8 乙方经营过程中，与用餐者发生谩骂、斗殴或造成严重后果或违反法律法规、规章规定，发生学生、教职工、学生家长群体性事件的；</w:t>
      </w:r>
    </w:p>
    <w:p w14:paraId="1D4051D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w:t>
      </w:r>
      <w:r>
        <w:rPr>
          <w:rFonts w:hint="eastAsia" w:ascii="仿宋" w:hAnsi="仿宋" w:eastAsia="仿宋" w:cs="仿宋"/>
          <w:snapToGrid w:val="0"/>
          <w:color w:val="000000"/>
          <w:spacing w:val="0"/>
          <w:w w:val="100"/>
          <w:kern w:val="0"/>
          <w:sz w:val="24"/>
          <w:szCs w:val="24"/>
          <w:lang w:val="en-US" w:eastAsia="zh-CN" w:bidi="ar-SA"/>
        </w:rPr>
        <w:t>9</w:t>
      </w:r>
      <w:r>
        <w:rPr>
          <w:rFonts w:hint="eastAsia" w:ascii="仿宋" w:hAnsi="仿宋" w:eastAsia="仿宋" w:cs="仿宋"/>
          <w:snapToGrid w:val="0"/>
          <w:color w:val="000000"/>
          <w:spacing w:val="0"/>
          <w:w w:val="100"/>
          <w:kern w:val="0"/>
          <w:sz w:val="24"/>
          <w:szCs w:val="24"/>
          <w:lang w:val="en-US" w:eastAsia="en-US" w:bidi="ar-SA"/>
        </w:rPr>
        <w:t xml:space="preserve">  乙方人员在校园存放危险品或实施违法犯罪或损坏公共利益等行为。</w:t>
      </w:r>
    </w:p>
    <w:p w14:paraId="0BDB1F7E">
      <w:pPr>
        <w:keepNext w:val="0"/>
        <w:keepLines w:val="0"/>
        <w:pageBreakBefore w:val="0"/>
        <w:widowControl w:val="0"/>
        <w:numPr>
          <w:ilvl w:val="0"/>
          <w:numId w:val="0"/>
        </w:numPr>
        <w:kinsoku/>
        <w:wordWrap/>
        <w:overflowPunct/>
        <w:topLinePunct w:val="0"/>
        <w:autoSpaceDE w:val="0"/>
        <w:autoSpaceDN/>
        <w:bidi w:val="0"/>
        <w:adjustRightInd w:val="0"/>
        <w:snapToGrid w:val="0"/>
        <w:spacing w:before="0" w:beforeLines="0" w:after="0" w:afterLines="0" w:line="420" w:lineRule="exact"/>
        <w:ind w:leftChars="200" w:right="0" w:rightChars="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zh-CN" w:bidi="ar-SA"/>
        </w:rPr>
        <w:t>4.</w:t>
      </w:r>
      <w:r>
        <w:rPr>
          <w:rFonts w:hint="eastAsia" w:ascii="仿宋" w:hAnsi="仿宋" w:eastAsia="仿宋" w:cs="仿宋"/>
          <w:snapToGrid w:val="0"/>
          <w:color w:val="000000"/>
          <w:spacing w:val="0"/>
          <w:w w:val="100"/>
          <w:kern w:val="0"/>
          <w:sz w:val="24"/>
          <w:szCs w:val="24"/>
          <w:lang w:val="en-US" w:eastAsia="en-US" w:bidi="ar-SA"/>
        </w:rPr>
        <w:t xml:space="preserve">其它                                                                         </w:t>
      </w:r>
    </w:p>
    <w:p w14:paraId="35149A04">
      <w:pPr>
        <w:keepNext w:val="0"/>
        <w:keepLines w:val="0"/>
        <w:pageBreakBefore w:val="0"/>
        <w:widowControl w:val="0"/>
        <w:numPr>
          <w:ilvl w:val="0"/>
          <w:numId w:val="9"/>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不可抗力事件处理</w:t>
      </w:r>
    </w:p>
    <w:p w14:paraId="2A697067">
      <w:pPr>
        <w:keepNext w:val="0"/>
        <w:keepLines w:val="0"/>
        <w:pageBreakBefore w:val="0"/>
        <w:widowControl w:val="0"/>
        <w:numPr>
          <w:ilvl w:val="0"/>
          <w:numId w:val="0"/>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服务期内</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 xml:space="preserve">如不可抗力致使合同无法履行时 </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甲乙双方协商可变更或解除合</w:t>
      </w:r>
      <w:r>
        <w:rPr>
          <w:rFonts w:hint="eastAsia" w:ascii="仿宋" w:hAnsi="仿宋" w:eastAsia="仿宋" w:cs="仿宋"/>
          <w:snapToGrid w:val="0"/>
          <w:color w:val="000000"/>
          <w:spacing w:val="0"/>
          <w:w w:val="100"/>
          <w:kern w:val="0"/>
          <w:sz w:val="24"/>
          <w:szCs w:val="24"/>
          <w:lang w:val="en-US" w:eastAsia="zh-CN" w:bidi="ar-SA"/>
        </w:rPr>
        <w:t>同。</w:t>
      </w:r>
    </w:p>
    <w:p w14:paraId="26C490A4">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十、违约责任</w:t>
      </w:r>
    </w:p>
    <w:p w14:paraId="01B11ED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1.甲方违约责任</w:t>
      </w:r>
    </w:p>
    <w:p w14:paraId="2360BEF1">
      <w:pPr>
        <w:pStyle w:val="9"/>
        <w:keepNext w:val="0"/>
        <w:keepLines w:val="0"/>
        <w:pageBreakBefore w:val="0"/>
        <w:widowControl w:val="0"/>
        <w:kinsoku/>
        <w:wordWrap/>
        <w:overflowPunct/>
        <w:topLinePunct w:val="0"/>
        <w:autoSpaceDE w:val="0"/>
        <w:autoSpaceDN/>
        <w:bidi w:val="0"/>
        <w:ind w:left="0" w:right="0" w:firstLine="480" w:firstLineChars="200"/>
        <w:jc w:val="both"/>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1</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1 甲方不按照约定支付费用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lang w:val="en-US" w:eastAsia="zh-CN"/>
        </w:rPr>
        <w:t>经乙方书面催告后</w:t>
      </w:r>
      <w:r>
        <w:rPr>
          <w:rFonts w:hint="eastAsia" w:ascii="仿宋" w:hAnsi="仿宋" w:eastAsia="仿宋" w:cs="仿宋"/>
          <w:color w:val="000000"/>
          <w:spacing w:val="0"/>
          <w:w w:val="100"/>
          <w:sz w:val="24"/>
          <w:szCs w:val="24"/>
          <w:u w:val="single"/>
          <w:lang w:val="en-US" w:eastAsia="zh-CN"/>
        </w:rPr>
        <w:t xml:space="preserve">          </w:t>
      </w:r>
      <w:r>
        <w:rPr>
          <w:rFonts w:hint="eastAsia" w:ascii="仿宋" w:hAnsi="仿宋" w:eastAsia="仿宋" w:cs="仿宋"/>
          <w:color w:val="000000"/>
          <w:spacing w:val="0"/>
          <w:w w:val="100"/>
          <w:sz w:val="24"/>
          <w:szCs w:val="24"/>
          <w:lang w:val="en-US" w:eastAsia="zh-CN"/>
        </w:rPr>
        <w:t>日内仍未支付的，自催告期满后</w:t>
      </w:r>
      <w:r>
        <w:rPr>
          <w:rFonts w:hint="eastAsia" w:ascii="仿宋" w:hAnsi="仿宋" w:eastAsia="仿宋" w:cs="仿宋"/>
          <w:color w:val="000000"/>
          <w:spacing w:val="0"/>
          <w:w w:val="100"/>
          <w:sz w:val="24"/>
          <w:szCs w:val="24"/>
        </w:rPr>
        <w:t>每逾期</w:t>
      </w:r>
      <w:r>
        <w:rPr>
          <w:rFonts w:hint="eastAsia" w:ascii="仿宋" w:hAnsi="仿宋" w:eastAsia="仿宋" w:cs="仿宋"/>
          <w:color w:val="000000"/>
          <w:spacing w:val="0"/>
          <w:w w:val="100"/>
          <w:sz w:val="24"/>
          <w:szCs w:val="24"/>
          <w:lang w:eastAsia="zh-CN"/>
        </w:rPr>
        <w:t>一</w:t>
      </w:r>
      <w:r>
        <w:rPr>
          <w:rFonts w:hint="eastAsia" w:ascii="仿宋" w:hAnsi="仿宋" w:eastAsia="仿宋" w:cs="仿宋"/>
          <w:color w:val="000000"/>
          <w:spacing w:val="0"/>
          <w:w w:val="100"/>
          <w:sz w:val="24"/>
          <w:szCs w:val="24"/>
        </w:rPr>
        <w:t xml:space="preserve">日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按</w:t>
      </w:r>
      <w:r>
        <w:rPr>
          <w:rFonts w:hint="eastAsia" w:ascii="仿宋" w:hAnsi="仿宋" w:eastAsia="仿宋" w:cs="仿宋"/>
          <w:color w:val="000000"/>
          <w:spacing w:val="0"/>
          <w:w w:val="100"/>
          <w:sz w:val="24"/>
          <w:szCs w:val="24"/>
          <w:lang w:val="en-US" w:eastAsia="zh-CN"/>
        </w:rPr>
        <w:t>欠付</w:t>
      </w:r>
      <w:r>
        <w:rPr>
          <w:rFonts w:hint="eastAsia" w:ascii="仿宋" w:hAnsi="仿宋" w:eastAsia="仿宋" w:cs="仿宋"/>
          <w:color w:val="000000"/>
          <w:spacing w:val="0"/>
          <w:w w:val="100"/>
          <w:sz w:val="24"/>
          <w:szCs w:val="24"/>
        </w:rPr>
        <w:t>金额的</w:t>
      </w:r>
      <w:r>
        <w:rPr>
          <w:rFonts w:hint="eastAsia" w:ascii="仿宋" w:hAnsi="仿宋" w:eastAsia="仿宋" w:cs="仿宋"/>
          <w:color w:val="000000"/>
          <w:spacing w:val="0"/>
          <w:w w:val="100"/>
          <w:sz w:val="24"/>
          <w:szCs w:val="24"/>
          <w:u w:val="single"/>
          <w:lang w:val="en-US" w:eastAsia="zh-CN"/>
        </w:rPr>
        <w:t xml:space="preserve">             </w:t>
      </w:r>
      <w:r>
        <w:rPr>
          <w:rFonts w:hint="eastAsia" w:ascii="仿宋" w:hAnsi="仿宋" w:eastAsia="仿宋" w:cs="仿宋"/>
          <w:color w:val="000000"/>
          <w:spacing w:val="0"/>
          <w:w w:val="100"/>
          <w:sz w:val="24"/>
          <w:szCs w:val="24"/>
          <w:u w:val="none"/>
          <w:lang w:val="en-US" w:eastAsia="zh-CN"/>
        </w:rPr>
        <w:t>‰</w:t>
      </w:r>
      <w:r>
        <w:rPr>
          <w:rFonts w:hint="eastAsia" w:ascii="仿宋" w:hAnsi="仿宋" w:eastAsia="仿宋" w:cs="仿宋"/>
          <w:color w:val="000000"/>
          <w:spacing w:val="0"/>
          <w:w w:val="100"/>
          <w:sz w:val="24"/>
          <w:szCs w:val="24"/>
        </w:rPr>
        <w:t>向乙方支付违约金</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lang w:val="en-US" w:eastAsia="zh-CN"/>
        </w:rPr>
        <w:t>违约金累计不超过欠付金额的</w:t>
      </w:r>
      <w:r>
        <w:rPr>
          <w:rFonts w:hint="eastAsia" w:ascii="仿宋" w:hAnsi="仿宋" w:eastAsia="仿宋" w:cs="仿宋"/>
          <w:color w:val="000000"/>
          <w:spacing w:val="0"/>
          <w:w w:val="100"/>
          <w:sz w:val="24"/>
          <w:szCs w:val="24"/>
          <w:u w:val="single"/>
          <w:lang w:val="en-US" w:eastAsia="zh-CN"/>
        </w:rPr>
        <w:t xml:space="preserve">              </w:t>
      </w:r>
      <w:r>
        <w:rPr>
          <w:rFonts w:hint="eastAsia" w:ascii="仿宋" w:hAnsi="仿宋" w:eastAsia="仿宋" w:cs="仿宋"/>
          <w:color w:val="000000"/>
          <w:spacing w:val="0"/>
          <w:w w:val="100"/>
          <w:sz w:val="24"/>
          <w:szCs w:val="24"/>
          <w:lang w:val="en-US" w:eastAsia="zh-CN"/>
        </w:rPr>
        <w:t>%。</w:t>
      </w:r>
    </w:p>
    <w:p w14:paraId="2E110817">
      <w:pPr>
        <w:keepNext w:val="0"/>
        <w:keepLines w:val="0"/>
        <w:pageBreakBefore w:val="0"/>
        <w:widowControl w:val="0"/>
        <w:tabs>
          <w:tab w:val="left" w:pos="1361"/>
        </w:tabs>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1.2 因甲方违约导致合同解除的，甲方应向乙方支付违约金，同时还应承担乙方的实际经济损失。</w:t>
      </w:r>
    </w:p>
    <w:p w14:paraId="66AD8EB3">
      <w:pPr>
        <w:keepNext w:val="0"/>
        <w:keepLines w:val="0"/>
        <w:pageBreakBefore w:val="0"/>
        <w:widowControl w:val="0"/>
        <w:tabs>
          <w:tab w:val="left" w:pos="1361"/>
        </w:tabs>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1.3  因甲方原因导致食材不符合食品安全的要求，造成的相关后果由甲方承担。</w:t>
      </w:r>
    </w:p>
    <w:p w14:paraId="054AAED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2.乙方违约责任</w:t>
      </w:r>
    </w:p>
    <w:p w14:paraId="637ECCA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2.1 乙方在有关部门执法检查中， 因存在食品安全、安全生产问题被通报或者被新闻媒体曝光，损害学校声誉的，乙方交纳的履约保证金不予退还，并需要承担相应的法律责任和相应的经济责任， 甲方根据侵害情况有权决定是否解除合同。</w:t>
      </w:r>
    </w:p>
    <w:p w14:paraId="711091E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 xml:space="preserve">2.2  因乙方违约导致合同解除的，则乙方交纳履约保证金不予返还， 乙方还应向甲方支付违约金 </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，违约金不足以补偿甲方损失的 ，按实际损失赔偿。包括但不限于赔偿款、补偿款、罚款以及甲方因争议解决产生的诉讼费、保全费、保全、保险费、律师费、鉴定费、评估费、公证费、差旅费、公告费、邮寄送达费等。</w:t>
      </w:r>
    </w:p>
    <w:p w14:paraId="6AA9FC7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96"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val="en-US" w:eastAsia="zh-CN"/>
        </w:rPr>
        <w:t xml:space="preserve">2.3  </w:t>
      </w:r>
      <w:r>
        <w:rPr>
          <w:rFonts w:hint="eastAsia" w:ascii="仿宋" w:hAnsi="仿宋" w:eastAsia="仿宋" w:cs="仿宋"/>
          <w:i w:val="0"/>
          <w:iCs w:val="0"/>
          <w:caps w:val="0"/>
          <w:color w:val="000000"/>
          <w:spacing w:val="4"/>
          <w:sz w:val="24"/>
          <w:szCs w:val="24"/>
          <w:shd w:val="clear" w:color="auto" w:fill="FFFFFF"/>
          <w:lang w:eastAsia="zh-CN"/>
        </w:rPr>
        <w:t>除本合同对违约责任有明确约定外，任何一方不履行合同或履行合同不符合约定的均视为违约。届时，违约方除应向守约方支付</w:t>
      </w:r>
      <w:r>
        <w:rPr>
          <w:rFonts w:hint="eastAsia" w:ascii="仿宋" w:hAnsi="仿宋" w:eastAsia="仿宋" w:cs="仿宋"/>
          <w:i w:val="0"/>
          <w:iCs w:val="0"/>
          <w:caps w:val="0"/>
          <w:color w:val="000000"/>
          <w:spacing w:val="4"/>
          <w:sz w:val="24"/>
          <w:szCs w:val="24"/>
          <w:shd w:val="clear" w:color="auto" w:fill="FFFFFF"/>
          <w:lang w:val="en-US" w:eastAsia="zh-CN"/>
        </w:rPr>
        <w:t>服务费用</w:t>
      </w:r>
      <w:r>
        <w:rPr>
          <w:rFonts w:hint="eastAsia" w:ascii="仿宋" w:hAnsi="仿宋" w:eastAsia="仿宋" w:cs="仿宋"/>
          <w:i w:val="0"/>
          <w:iCs w:val="0"/>
          <w:caps w:val="0"/>
          <w:color w:val="000000"/>
          <w:spacing w:val="4"/>
          <w:sz w:val="24"/>
          <w:szCs w:val="24"/>
          <w:shd w:val="clear" w:color="auto" w:fill="FFFFFF"/>
          <w:lang w:eastAsia="zh-CN"/>
        </w:rPr>
        <w:t>总额</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lang w:val="en-US" w:eastAsia="zh-CN"/>
        </w:rPr>
        <w:t>%的惩罚性违约金外，还应赔偿由此给守约方造成的所有损失。同时，违约方未按守约方的要求纠正违约行为或虽经纠正但仍不符合合同约定的，守约方有权单方面解除合同，由此产生的责任均由违约方承担。</w:t>
      </w:r>
    </w:p>
    <w:p w14:paraId="7C8B5038">
      <w:pPr>
        <w:keepNext w:val="0"/>
        <w:keepLines w:val="0"/>
        <w:pageBreakBefore w:val="0"/>
        <w:widowControl w:val="0"/>
        <w:kinsoku/>
        <w:wordWrap/>
        <w:overflowPunct/>
        <w:topLinePunct w:val="0"/>
        <w:autoSpaceDE w:val="0"/>
        <w:autoSpaceDN/>
        <w:bidi w:val="0"/>
        <w:adjustRightInd w:val="0"/>
        <w:snapToGrid w:val="0"/>
        <w:spacing w:line="420" w:lineRule="exact"/>
        <w:ind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十一、保密条款</w:t>
      </w:r>
    </w:p>
    <w:p w14:paraId="49F27055">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甲乙双方应保守在缔结和履行合同过程中获知对方的个人</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师生信息以及内部保密信息</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除甲乙双方履行合同义务的必要或有法律、法规规定应披露的之外</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不得以任何方式向第三人披露和不正当使用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否则</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应当赔偿因泄露保密信息给对方造成的损失。</w:t>
      </w:r>
    </w:p>
    <w:p w14:paraId="5AD1F61B">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十二、考核</w:t>
      </w:r>
    </w:p>
    <w:p w14:paraId="2ADF2052">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考核具体内容由甲方乙方共同协商制定（详见附件 2）。</w:t>
      </w:r>
    </w:p>
    <w:p w14:paraId="608F2178">
      <w:pPr>
        <w:keepNext w:val="0"/>
        <w:keepLines w:val="0"/>
        <w:pageBreakBefore w:val="0"/>
        <w:widowControl w:val="0"/>
        <w:numPr>
          <w:ilvl w:val="0"/>
          <w:numId w:val="10"/>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争议解决因本合同相关事项发生的纠纷</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应通过协商解决。如协商不成</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可按以下第</w:t>
      </w:r>
      <w:r>
        <w:rPr>
          <w:rFonts w:hint="eastAsia" w:ascii="仿宋" w:hAnsi="仿宋" w:eastAsia="仿宋" w:cs="仿宋"/>
          <w:snapToGrid w:val="0"/>
          <w:color w:val="000000"/>
          <w:spacing w:val="0"/>
          <w:w w:val="100"/>
          <w:kern w:val="0"/>
          <w:sz w:val="24"/>
          <w:szCs w:val="24"/>
          <w:u w:val="single"/>
          <w:lang w:val="en-US" w:eastAsia="en-US" w:bidi="ar-SA"/>
        </w:rPr>
        <w:t xml:space="preserve">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xml:space="preserve">  </w:t>
      </w:r>
      <w:r>
        <w:rPr>
          <w:rFonts w:hint="eastAsia" w:ascii="仿宋" w:hAnsi="仿宋" w:eastAsia="仿宋" w:cs="仿宋"/>
          <w:snapToGrid w:val="0"/>
          <w:color w:val="000000"/>
          <w:spacing w:val="0"/>
          <w:w w:val="100"/>
          <w:kern w:val="0"/>
          <w:sz w:val="24"/>
          <w:szCs w:val="24"/>
          <w:lang w:val="en-US" w:eastAsia="en-US" w:bidi="ar-SA"/>
        </w:rPr>
        <w:t>种方式解决：</w:t>
      </w:r>
    </w:p>
    <w:p w14:paraId="37BA99D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1.向</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仲裁委员会申请仲裁。</w:t>
      </w:r>
    </w:p>
    <w:p w14:paraId="581C511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2.依法向</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人民法院起诉。</w:t>
      </w:r>
    </w:p>
    <w:p w14:paraId="0055A1D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在诉讼或仲裁期间</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本合同不涉及争议的条款仍然有效</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双方应继续履行。</w:t>
      </w:r>
      <w:r>
        <w:rPr>
          <w:rFonts w:hint="eastAsia" w:ascii="仿宋" w:hAnsi="仿宋" w:eastAsia="仿宋" w:cs="仿宋"/>
          <w:color w:val="000000"/>
          <w:spacing w:val="0"/>
          <w:w w:val="100"/>
          <w:kern w:val="2"/>
          <w:sz w:val="24"/>
          <w:szCs w:val="24"/>
          <w:lang w:val="en-US" w:eastAsia="zh-CN" w:bidi="ar-SA"/>
        </w:rPr>
        <w:t>因争议解决产生的诉讼费、保全费、保全、保险费、律师费、鉴定费、评估费、公证费、差旅费、公告费、邮寄送达费等</w:t>
      </w:r>
      <w:r>
        <w:rPr>
          <w:rFonts w:hint="eastAsia" w:ascii="仿宋" w:hAnsi="仿宋" w:eastAsia="仿宋" w:cs="仿宋"/>
          <w:snapToGrid w:val="0"/>
          <w:color w:val="000000"/>
          <w:spacing w:val="0"/>
          <w:w w:val="100"/>
          <w:kern w:val="0"/>
          <w:sz w:val="24"/>
          <w:szCs w:val="24"/>
          <w:lang w:val="en-US" w:eastAsia="zh-CN" w:bidi="ar-SA"/>
        </w:rPr>
        <w:t>所有成本由违约方承担。</w:t>
      </w:r>
    </w:p>
    <w:p w14:paraId="3717FC91">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十</w:t>
      </w:r>
      <w:r>
        <w:rPr>
          <w:rFonts w:hint="eastAsia" w:ascii="仿宋" w:hAnsi="仿宋" w:eastAsia="仿宋" w:cs="仿宋"/>
          <w:color w:val="000000"/>
          <w:spacing w:val="0"/>
          <w:w w:val="100"/>
          <w:sz w:val="24"/>
          <w:szCs w:val="24"/>
          <w:lang w:eastAsia="zh-CN"/>
        </w:rPr>
        <w:t>四</w:t>
      </w:r>
      <w:r>
        <w:rPr>
          <w:rFonts w:hint="eastAsia" w:ascii="仿宋" w:hAnsi="仿宋" w:eastAsia="仿宋" w:cs="仿宋"/>
          <w:color w:val="000000"/>
          <w:spacing w:val="0"/>
          <w:w w:val="100"/>
          <w:sz w:val="24"/>
          <w:szCs w:val="24"/>
        </w:rPr>
        <w:t>、其他</w:t>
      </w:r>
    </w:p>
    <w:p w14:paraId="7FB04946">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left"/>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1.本合同在</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签订。</w:t>
      </w:r>
    </w:p>
    <w:p w14:paraId="2B4EA59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2.本合同于</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年</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月</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日签订。</w:t>
      </w:r>
    </w:p>
    <w:p w14:paraId="10D616CC">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3.合同经双方法定代表人或授权代表签字并加盖单位公章后生效。</w:t>
      </w:r>
    </w:p>
    <w:p w14:paraId="38690FB8">
      <w:pPr>
        <w:pStyle w:val="22"/>
        <w:keepNext w:val="0"/>
        <w:keepLines w:val="0"/>
        <w:pageBreakBefore w:val="0"/>
        <w:widowControl w:val="0"/>
        <w:numPr>
          <w:ilvl w:val="0"/>
          <w:numId w:val="0"/>
        </w:numPr>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4</w:t>
      </w:r>
      <w:r>
        <w:rPr>
          <w:rFonts w:hint="eastAsia" w:ascii="仿宋" w:hAnsi="仿宋" w:eastAsia="仿宋" w:cs="仿宋"/>
          <w:color w:val="000000"/>
          <w:spacing w:val="0"/>
          <w:w w:val="100"/>
          <w:sz w:val="24"/>
          <w:szCs w:val="24"/>
          <w:lang w:val="en-US" w:eastAsia="zh-CN"/>
        </w:rPr>
        <w:t>.</w:t>
      </w:r>
      <w:r>
        <w:rPr>
          <w:rFonts w:hint="eastAsia" w:ascii="仿宋" w:hAnsi="仿宋" w:eastAsia="仿宋" w:cs="仿宋"/>
          <w:snapToGrid w:val="0"/>
          <w:color w:val="000000"/>
          <w:spacing w:val="0"/>
          <w:w w:val="100"/>
          <w:kern w:val="0"/>
          <w:sz w:val="24"/>
          <w:szCs w:val="24"/>
          <w:lang w:val="en-US" w:eastAsia="zh-CN" w:bidi="ar-SA"/>
        </w:rPr>
        <w:t>本合同一式</w:t>
      </w:r>
      <w:r>
        <w:rPr>
          <w:rFonts w:hint="eastAsia" w:ascii="仿宋" w:hAnsi="仿宋" w:eastAsia="仿宋" w:cs="仿宋"/>
          <w:snapToGrid w:val="0"/>
          <w:color w:val="000000"/>
          <w:spacing w:val="0"/>
          <w:w w:val="100"/>
          <w:kern w:val="0"/>
          <w:sz w:val="24"/>
          <w:szCs w:val="24"/>
          <w:u w:val="single"/>
          <w:lang w:val="en-US" w:eastAsia="zh-CN" w:bidi="ar-SA"/>
        </w:rPr>
        <w:t>      </w:t>
      </w:r>
      <w:r>
        <w:rPr>
          <w:rFonts w:hint="eastAsia" w:ascii="仿宋" w:hAnsi="仿宋" w:eastAsia="仿宋" w:cs="仿宋"/>
          <w:snapToGrid w:val="0"/>
          <w:color w:val="000000"/>
          <w:spacing w:val="0"/>
          <w:w w:val="100"/>
          <w:kern w:val="0"/>
          <w:sz w:val="24"/>
          <w:szCs w:val="24"/>
          <w:lang w:val="en-US" w:eastAsia="zh-CN" w:bidi="ar-SA"/>
        </w:rPr>
        <w:t>份，甲方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lang w:val="en-US" w:eastAsia="zh-CN" w:bidi="ar-SA"/>
        </w:rPr>
        <w:t>份，乙方</w:t>
      </w:r>
      <w:r>
        <w:rPr>
          <w:rFonts w:hint="eastAsia" w:ascii="仿宋" w:hAnsi="仿宋" w:eastAsia="仿宋" w:cs="仿宋"/>
          <w:snapToGrid w:val="0"/>
          <w:color w:val="000000"/>
          <w:spacing w:val="0"/>
          <w:w w:val="100"/>
          <w:kern w:val="0"/>
          <w:sz w:val="24"/>
          <w:szCs w:val="24"/>
          <w:u w:val="single"/>
          <w:lang w:val="en-US" w:eastAsia="zh-CN" w:bidi="ar-SA"/>
        </w:rPr>
        <w:t>      </w:t>
      </w:r>
      <w:r>
        <w:rPr>
          <w:rFonts w:hint="eastAsia" w:ascii="仿宋" w:hAnsi="仿宋" w:eastAsia="仿宋" w:cs="仿宋"/>
          <w:snapToGrid w:val="0"/>
          <w:color w:val="000000"/>
          <w:spacing w:val="0"/>
          <w:w w:val="100"/>
          <w:kern w:val="0"/>
          <w:sz w:val="24"/>
          <w:szCs w:val="24"/>
          <w:lang w:val="en-US" w:eastAsia="zh-CN" w:bidi="ar-SA"/>
        </w:rPr>
        <w:t>份，由甲方向当地教育行政部门备案      份。</w:t>
      </w:r>
    </w:p>
    <w:p w14:paraId="1FFBBB0F">
      <w:pPr>
        <w:keepNext w:val="0"/>
        <w:keepLines w:val="0"/>
        <w:pageBreakBefore w:val="0"/>
        <w:widowControl w:val="0"/>
        <w:numPr>
          <w:ilvl w:val="0"/>
          <w:numId w:val="0"/>
        </w:numPr>
        <w:kinsoku/>
        <w:wordWrap/>
        <w:overflowPunct/>
        <w:topLinePunct w:val="0"/>
        <w:autoSpaceDE w:val="0"/>
        <w:autoSpaceDN/>
        <w:bidi w:val="0"/>
        <w:ind w:left="0" w:right="0" w:firstLine="480" w:firstLineChars="200"/>
        <w:jc w:val="both"/>
        <w:rPr>
          <w:rFonts w:hint="eastAsia" w:ascii="仿宋" w:hAnsi="仿宋" w:eastAsia="仿宋" w:cs="仿宋"/>
          <w:snapToGrid w:val="0"/>
          <w:color w:val="000000"/>
          <w:spacing w:val="0"/>
          <w:w w:val="100"/>
          <w:kern w:val="0"/>
          <w:sz w:val="24"/>
          <w:szCs w:val="24"/>
          <w:lang w:val="en-US" w:eastAsia="zh-CN" w:bidi="ar-SA"/>
        </w:rPr>
      </w:pPr>
      <w:r>
        <w:rPr>
          <w:rFonts w:hint="eastAsia" w:ascii="仿宋" w:hAnsi="仿宋" w:eastAsia="仿宋" w:cs="仿宋"/>
          <w:snapToGrid w:val="0"/>
          <w:color w:val="000000"/>
          <w:spacing w:val="0"/>
          <w:w w:val="100"/>
          <w:kern w:val="0"/>
          <w:sz w:val="24"/>
          <w:szCs w:val="24"/>
          <w:lang w:val="en-US" w:eastAsia="zh-CN" w:bidi="ar-SA"/>
        </w:rPr>
        <w:t>5.未约定事项，双方可以协商签订补充协议。</w:t>
      </w:r>
    </w:p>
    <w:p w14:paraId="2191FD70">
      <w:pPr>
        <w:keepNext w:val="0"/>
        <w:keepLines w:val="0"/>
        <w:pageBreakBefore w:val="0"/>
        <w:widowControl/>
        <w:kinsoku w:val="0"/>
        <w:wordWrap/>
        <w:overflowPunct/>
        <w:topLinePunct w:val="0"/>
        <w:autoSpaceDE w:val="0"/>
        <w:autoSpaceDN w:val="0"/>
        <w:bidi w:val="0"/>
        <w:adjustRightInd w:val="0"/>
        <w:snapToGrid w:val="0"/>
        <w:spacing w:line="420" w:lineRule="exact"/>
        <w:ind w:firstLine="496" w:firstLineChars="200"/>
        <w:jc w:val="both"/>
        <w:textAlignment w:val="baseline"/>
        <w:rPr>
          <w:rFonts w:hint="eastAsia" w:ascii="仿宋" w:hAnsi="仿宋" w:eastAsia="仿宋" w:cs="仿宋"/>
          <w:color w:val="000000"/>
          <w:spacing w:val="4"/>
          <w:sz w:val="24"/>
          <w:szCs w:val="24"/>
          <w:lang w:val="en-US" w:eastAsia="zh-CN"/>
        </w:rPr>
      </w:pPr>
    </w:p>
    <w:p w14:paraId="6F54F608">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4"/>
          <w:sz w:val="24"/>
          <w:szCs w:val="24"/>
        </w:rPr>
        <w:t>甲方</w:t>
      </w:r>
      <w:r>
        <w:rPr>
          <w:rFonts w:hint="eastAsia" w:ascii="仿宋" w:hAnsi="仿宋" w:eastAsia="仿宋" w:cs="仿宋"/>
          <w:color w:val="000000"/>
          <w:spacing w:val="-70"/>
          <w:w w:val="84"/>
          <w:sz w:val="24"/>
          <w:szCs w:val="24"/>
        </w:rPr>
        <w:t>：（</w:t>
      </w:r>
      <w:r>
        <w:rPr>
          <w:rFonts w:hint="eastAsia" w:ascii="仿宋" w:hAnsi="仿宋" w:eastAsia="仿宋" w:cs="仿宋"/>
          <w:color w:val="000000"/>
          <w:spacing w:val="4"/>
          <w:sz w:val="24"/>
          <w:szCs w:val="24"/>
        </w:rPr>
        <w:t xml:space="preserve">公章）                        </w:t>
      </w:r>
      <w:r>
        <w:rPr>
          <w:rFonts w:hint="eastAsia" w:ascii="仿宋" w:hAnsi="仿宋" w:eastAsia="仿宋" w:cs="仿宋"/>
          <w:color w:val="000000"/>
          <w:spacing w:val="4"/>
          <w:sz w:val="24"/>
          <w:szCs w:val="24"/>
          <w:lang w:val="en-US" w:eastAsia="zh-CN"/>
        </w:rPr>
        <w:t xml:space="preserve">    </w:t>
      </w:r>
      <w:r>
        <w:rPr>
          <w:rFonts w:hint="eastAsia" w:ascii="仿宋" w:hAnsi="仿宋" w:eastAsia="仿宋" w:cs="仿宋"/>
          <w:color w:val="000000"/>
          <w:spacing w:val="4"/>
          <w:sz w:val="24"/>
          <w:szCs w:val="24"/>
        </w:rPr>
        <w:t xml:space="preserve"> 乙方</w:t>
      </w:r>
      <w:r>
        <w:rPr>
          <w:rFonts w:hint="eastAsia" w:ascii="仿宋" w:hAnsi="仿宋" w:eastAsia="仿宋" w:cs="仿宋"/>
          <w:color w:val="000000"/>
          <w:spacing w:val="-70"/>
          <w:w w:val="84"/>
          <w:sz w:val="24"/>
          <w:szCs w:val="24"/>
        </w:rPr>
        <w:t>：（</w:t>
      </w:r>
      <w:r>
        <w:rPr>
          <w:rFonts w:hint="eastAsia" w:ascii="仿宋" w:hAnsi="仿宋" w:eastAsia="仿宋" w:cs="仿宋"/>
          <w:color w:val="000000"/>
          <w:spacing w:val="4"/>
          <w:sz w:val="24"/>
          <w:szCs w:val="24"/>
        </w:rPr>
        <w:t>公章）</w:t>
      </w:r>
    </w:p>
    <w:p w14:paraId="289DBF61">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5"/>
          <w:sz w:val="24"/>
          <w:szCs w:val="24"/>
        </w:rPr>
        <w:t>地址：</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7"/>
          <w:sz w:val="24"/>
          <w:szCs w:val="24"/>
        </w:rPr>
        <w:t xml:space="preserve">        </w:t>
      </w:r>
      <w:r>
        <w:rPr>
          <w:rFonts w:hint="eastAsia" w:ascii="仿宋" w:hAnsi="仿宋" w:eastAsia="仿宋" w:cs="仿宋"/>
          <w:color w:val="000000"/>
          <w:spacing w:val="7"/>
          <w:sz w:val="24"/>
          <w:szCs w:val="24"/>
          <w:lang w:val="en-US" w:eastAsia="zh-CN"/>
        </w:rPr>
        <w:t xml:space="preserve">    </w:t>
      </w:r>
      <w:r>
        <w:rPr>
          <w:rFonts w:hint="eastAsia" w:ascii="仿宋" w:hAnsi="仿宋" w:eastAsia="仿宋" w:cs="仿宋"/>
          <w:color w:val="000000"/>
          <w:spacing w:val="-5"/>
          <w:sz w:val="24"/>
          <w:szCs w:val="24"/>
        </w:rPr>
        <w:t>地址：</w:t>
      </w:r>
      <w:r>
        <w:rPr>
          <w:rFonts w:hint="eastAsia" w:ascii="仿宋" w:hAnsi="仿宋" w:eastAsia="仿宋" w:cs="仿宋"/>
          <w:color w:val="000000"/>
          <w:sz w:val="24"/>
          <w:szCs w:val="24"/>
          <w:u w:val="single" w:color="auto"/>
        </w:rPr>
        <w:t xml:space="preserve">                            </w:t>
      </w:r>
    </w:p>
    <w:p w14:paraId="40EAE31B">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4"/>
          <w:sz w:val="24"/>
          <w:szCs w:val="24"/>
        </w:rPr>
        <w:t>法定代表人：</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11"/>
          <w:sz w:val="24"/>
          <w:szCs w:val="24"/>
        </w:rPr>
        <w:t xml:space="preserve">        </w:t>
      </w:r>
      <w:r>
        <w:rPr>
          <w:rFonts w:hint="eastAsia" w:ascii="仿宋" w:hAnsi="仿宋" w:eastAsia="仿宋" w:cs="仿宋"/>
          <w:color w:val="000000"/>
          <w:spacing w:val="11"/>
          <w:sz w:val="24"/>
          <w:szCs w:val="24"/>
          <w:lang w:val="en-US" w:eastAsia="zh-CN"/>
        </w:rPr>
        <w:t xml:space="preserve">  </w:t>
      </w:r>
      <w:r>
        <w:rPr>
          <w:rFonts w:hint="eastAsia" w:ascii="仿宋" w:hAnsi="仿宋" w:eastAsia="仿宋" w:cs="仿宋"/>
          <w:color w:val="000000"/>
          <w:spacing w:val="-4"/>
          <w:sz w:val="24"/>
          <w:szCs w:val="24"/>
        </w:rPr>
        <w:t>法定代表人：</w:t>
      </w:r>
      <w:r>
        <w:rPr>
          <w:rFonts w:hint="eastAsia" w:ascii="仿宋" w:hAnsi="仿宋" w:eastAsia="仿宋" w:cs="仿宋"/>
          <w:color w:val="000000"/>
          <w:spacing w:val="-4"/>
          <w:sz w:val="24"/>
          <w:szCs w:val="24"/>
          <w:u w:val="single" w:color="auto"/>
        </w:rPr>
        <w:t xml:space="preserve">                  </w:t>
      </w:r>
    </w:p>
    <w:p w14:paraId="2EBDDCC1">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3"/>
          <w:sz w:val="24"/>
          <w:szCs w:val="24"/>
        </w:rPr>
        <w:t>委托代理人：</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9"/>
          <w:sz w:val="24"/>
          <w:szCs w:val="24"/>
        </w:rPr>
        <w:t xml:space="preserve">       </w:t>
      </w:r>
      <w:r>
        <w:rPr>
          <w:rFonts w:hint="eastAsia" w:ascii="仿宋" w:hAnsi="仿宋" w:eastAsia="仿宋" w:cs="仿宋"/>
          <w:color w:val="000000"/>
          <w:spacing w:val="9"/>
          <w:sz w:val="24"/>
          <w:szCs w:val="24"/>
          <w:lang w:val="en-US" w:eastAsia="zh-CN"/>
        </w:rPr>
        <w:t xml:space="preserve">  </w:t>
      </w:r>
      <w:r>
        <w:rPr>
          <w:rFonts w:hint="eastAsia" w:ascii="仿宋" w:hAnsi="仿宋" w:eastAsia="仿宋" w:cs="仿宋"/>
          <w:color w:val="000000"/>
          <w:spacing w:val="9"/>
          <w:sz w:val="24"/>
          <w:szCs w:val="24"/>
        </w:rPr>
        <w:t xml:space="preserve"> </w:t>
      </w:r>
      <w:r>
        <w:rPr>
          <w:rFonts w:hint="eastAsia" w:ascii="仿宋" w:hAnsi="仿宋" w:eastAsia="仿宋" w:cs="仿宋"/>
          <w:color w:val="000000"/>
          <w:spacing w:val="-3"/>
          <w:sz w:val="24"/>
          <w:szCs w:val="24"/>
        </w:rPr>
        <w:t>委托代理人：</w:t>
      </w:r>
      <w:r>
        <w:rPr>
          <w:rFonts w:hint="eastAsia" w:ascii="仿宋" w:hAnsi="仿宋" w:eastAsia="仿宋" w:cs="仿宋"/>
          <w:color w:val="000000"/>
          <w:spacing w:val="-3"/>
          <w:sz w:val="24"/>
          <w:szCs w:val="24"/>
          <w:u w:val="single" w:color="auto"/>
        </w:rPr>
        <w:t xml:space="preserve">       </w:t>
      </w:r>
      <w:r>
        <w:rPr>
          <w:rFonts w:hint="eastAsia" w:ascii="仿宋" w:hAnsi="仿宋" w:eastAsia="仿宋" w:cs="仿宋"/>
          <w:color w:val="000000"/>
          <w:spacing w:val="-4"/>
          <w:sz w:val="24"/>
          <w:szCs w:val="24"/>
          <w:u w:val="single" w:color="auto"/>
        </w:rPr>
        <w:t xml:space="preserve">           </w:t>
      </w:r>
    </w:p>
    <w:p w14:paraId="5DF3344C">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3"/>
          <w:sz w:val="24"/>
          <w:szCs w:val="24"/>
        </w:rPr>
        <w:t>联系方式：</w:t>
      </w:r>
      <w:r>
        <w:rPr>
          <w:rFonts w:hint="eastAsia" w:ascii="仿宋" w:hAnsi="仿宋" w:eastAsia="仿宋" w:cs="仿宋"/>
          <w:color w:val="000000"/>
          <w:spacing w:val="2"/>
          <w:sz w:val="24"/>
          <w:szCs w:val="24"/>
          <w:u w:val="single" w:color="auto"/>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8"/>
          <w:sz w:val="24"/>
          <w:szCs w:val="24"/>
          <w:lang w:val="en-US" w:eastAsia="zh-CN"/>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3"/>
          <w:sz w:val="24"/>
          <w:szCs w:val="24"/>
        </w:rPr>
        <w:t>联系方式：</w:t>
      </w:r>
      <w:r>
        <w:rPr>
          <w:rFonts w:hint="eastAsia" w:ascii="仿宋" w:hAnsi="仿宋" w:eastAsia="仿宋" w:cs="仿宋"/>
          <w:color w:val="000000"/>
          <w:sz w:val="24"/>
          <w:szCs w:val="24"/>
          <w:u w:val="single" w:color="auto"/>
        </w:rPr>
        <w:t xml:space="preserve">                     </w:t>
      </w:r>
    </w:p>
    <w:p w14:paraId="75975F28">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6"/>
          <w:sz w:val="24"/>
          <w:szCs w:val="24"/>
        </w:rPr>
        <w:t>账户：</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1"/>
          <w:sz w:val="24"/>
          <w:szCs w:val="24"/>
          <w:u w:val="single" w:color="auto"/>
          <w:lang w:val="en-US" w:eastAsia="zh-CN"/>
        </w:rPr>
        <w:t xml:space="preserve">    </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8"/>
          <w:sz w:val="24"/>
          <w:szCs w:val="24"/>
          <w:lang w:val="en-US" w:eastAsia="zh-CN"/>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6"/>
          <w:sz w:val="24"/>
          <w:szCs w:val="24"/>
        </w:rPr>
        <w:t>账户：</w:t>
      </w:r>
      <w:r>
        <w:rPr>
          <w:rFonts w:hint="eastAsia" w:ascii="仿宋" w:hAnsi="仿宋" w:eastAsia="仿宋" w:cs="仿宋"/>
          <w:color w:val="000000"/>
          <w:sz w:val="24"/>
          <w:szCs w:val="24"/>
          <w:u w:val="single" w:color="auto"/>
        </w:rPr>
        <w:t xml:space="preserve">                            </w:t>
      </w:r>
    </w:p>
    <w:p w14:paraId="20B19724">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3"/>
          <w:sz w:val="24"/>
          <w:szCs w:val="24"/>
        </w:rPr>
        <w:t>开户行：</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8"/>
          <w:sz w:val="24"/>
          <w:szCs w:val="24"/>
          <w:lang w:val="en-US" w:eastAsia="zh-CN"/>
        </w:rPr>
        <w:t xml:space="preserve">      </w:t>
      </w:r>
      <w:r>
        <w:rPr>
          <w:rFonts w:hint="eastAsia" w:ascii="仿宋" w:hAnsi="仿宋" w:eastAsia="仿宋" w:cs="仿宋"/>
          <w:color w:val="000000"/>
          <w:spacing w:val="-3"/>
          <w:sz w:val="24"/>
          <w:szCs w:val="24"/>
        </w:rPr>
        <w:t>开户行：</w:t>
      </w:r>
      <w:r>
        <w:rPr>
          <w:rFonts w:hint="eastAsia" w:ascii="仿宋" w:hAnsi="仿宋" w:eastAsia="仿宋" w:cs="仿宋"/>
          <w:color w:val="000000"/>
          <w:spacing w:val="-3"/>
          <w:sz w:val="24"/>
          <w:szCs w:val="24"/>
          <w:u w:val="single" w:color="auto"/>
        </w:rPr>
        <w:t xml:space="preserve">                </w:t>
      </w:r>
      <w:r>
        <w:rPr>
          <w:rFonts w:hint="eastAsia" w:ascii="仿宋" w:hAnsi="仿宋" w:eastAsia="仿宋" w:cs="仿宋"/>
          <w:color w:val="000000"/>
          <w:spacing w:val="-4"/>
          <w:sz w:val="24"/>
          <w:szCs w:val="24"/>
          <w:u w:val="single" w:color="auto"/>
        </w:rPr>
        <w:t xml:space="preserve">         </w:t>
      </w:r>
    </w:p>
    <w:p w14:paraId="5421ACF7">
      <w:pPr>
        <w:keepNext w:val="0"/>
        <w:keepLines w:val="0"/>
        <w:pageBreakBefore w:val="0"/>
        <w:widowControl/>
        <w:kinsoku w:val="0"/>
        <w:wordWrap/>
        <w:overflowPunct/>
        <w:topLinePunct w:val="0"/>
        <w:autoSpaceDE w:val="0"/>
        <w:autoSpaceDN w:val="0"/>
        <w:bidi w:val="0"/>
        <w:adjustRightInd w:val="0"/>
        <w:snapToGrid w:val="0"/>
        <w:spacing w:line="420" w:lineRule="exact"/>
        <w:ind w:left="162"/>
        <w:jc w:val="both"/>
        <w:textAlignment w:val="baseline"/>
        <w:rPr>
          <w:rFonts w:hint="eastAsia" w:ascii="仿宋" w:hAnsi="仿宋" w:eastAsia="仿宋" w:cs="仿宋"/>
          <w:color w:val="000000"/>
          <w:sz w:val="24"/>
          <w:szCs w:val="24"/>
          <w:lang w:eastAsia="zh-CN"/>
        </w:rPr>
      </w:pPr>
      <w:r>
        <w:rPr>
          <w:rFonts w:hint="eastAsia" w:ascii="仿宋" w:hAnsi="仿宋" w:eastAsia="仿宋" w:cs="仿宋"/>
          <w:color w:val="000000"/>
          <w:spacing w:val="-6"/>
          <w:w w:val="98"/>
          <w:sz w:val="24"/>
          <w:szCs w:val="24"/>
        </w:rPr>
        <w:t>附件</w:t>
      </w:r>
    </w:p>
    <w:p w14:paraId="300BB51E">
      <w:pPr>
        <w:keepNext w:val="0"/>
        <w:keepLines w:val="0"/>
        <w:pageBreakBefore w:val="0"/>
        <w:widowControl/>
        <w:kinsoku w:val="0"/>
        <w:wordWrap/>
        <w:overflowPunct/>
        <w:topLinePunct w:val="0"/>
        <w:autoSpaceDE w:val="0"/>
        <w:autoSpaceDN w:val="0"/>
        <w:bidi w:val="0"/>
        <w:adjustRightInd w:val="0"/>
        <w:snapToGrid w:val="0"/>
        <w:spacing w:line="420" w:lineRule="exact"/>
        <w:ind w:left="953"/>
        <w:jc w:val="both"/>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11"/>
          <w:kern w:val="2"/>
          <w:sz w:val="24"/>
          <w:szCs w:val="24"/>
          <w:lang w:val="en-US" w:eastAsia="zh-CN" w:bidi="ar-SA"/>
        </w:rPr>
        <w:t>附件 1：</w:t>
      </w:r>
      <w:r>
        <w:rPr>
          <w:rFonts w:hint="eastAsia" w:ascii="仿宋" w:hAnsi="仿宋" w:eastAsia="仿宋" w:cs="仿宋"/>
          <w:color w:val="000000"/>
          <w:spacing w:val="-28"/>
          <w:kern w:val="2"/>
          <w:sz w:val="24"/>
          <w:szCs w:val="24"/>
          <w:lang w:val="en-US" w:eastAsia="zh-CN" w:bidi="ar-SA"/>
        </w:rPr>
        <w:t xml:space="preserve"> </w:t>
      </w:r>
      <w:r>
        <w:rPr>
          <w:rFonts w:hint="eastAsia" w:ascii="仿宋" w:hAnsi="仿宋" w:eastAsia="仿宋" w:cs="仿宋"/>
          <w:color w:val="000000"/>
          <w:spacing w:val="-11"/>
          <w:kern w:val="2"/>
          <w:sz w:val="24"/>
          <w:szCs w:val="24"/>
          <w:lang w:val="en-US" w:eastAsia="zh-CN" w:bidi="ar-SA"/>
        </w:rPr>
        <w:t>固定资产移交表</w:t>
      </w:r>
    </w:p>
    <w:p w14:paraId="70BD407A">
      <w:pPr>
        <w:keepNext w:val="0"/>
        <w:keepLines w:val="0"/>
        <w:pageBreakBefore w:val="0"/>
        <w:widowControl/>
        <w:kinsoku w:val="0"/>
        <w:wordWrap/>
        <w:overflowPunct/>
        <w:topLinePunct w:val="0"/>
        <w:autoSpaceDE w:val="0"/>
        <w:autoSpaceDN w:val="0"/>
        <w:bidi w:val="0"/>
        <w:adjustRightInd w:val="0"/>
        <w:snapToGrid w:val="0"/>
        <w:spacing w:line="420" w:lineRule="exact"/>
        <w:ind w:left="953"/>
        <w:jc w:val="both"/>
        <w:textAlignment w:val="baseline"/>
        <w:rPr>
          <w:rFonts w:hint="eastAsia" w:ascii="仿宋" w:hAnsi="仿宋" w:eastAsia="仿宋" w:cs="仿宋"/>
          <w:color w:val="000000"/>
          <w:sz w:val="24"/>
          <w:szCs w:val="24"/>
        </w:rPr>
        <w:sectPr>
          <w:footerReference r:id="rId8" w:type="default"/>
          <w:pgSz w:w="11906" w:h="16839"/>
          <w:pgMar w:top="2098" w:right="1531" w:bottom="1984" w:left="1531" w:header="0" w:footer="1531" w:gutter="0"/>
          <w:pgNumType w:fmt="decimal"/>
          <w:cols w:space="720" w:num="1"/>
        </w:sectPr>
      </w:pPr>
      <w:r>
        <w:rPr>
          <w:rFonts w:hint="eastAsia" w:ascii="仿宋" w:hAnsi="仿宋" w:eastAsia="仿宋" w:cs="仿宋"/>
          <w:color w:val="000000"/>
          <w:spacing w:val="-7"/>
          <w:kern w:val="2"/>
          <w:sz w:val="24"/>
          <w:szCs w:val="24"/>
          <w:lang w:val="en-US" w:eastAsia="zh-CN" w:bidi="ar-SA"/>
        </w:rPr>
        <w:t>附件 2：食堂考核办</w:t>
      </w:r>
    </w:p>
    <w:p w14:paraId="343DD93D">
      <w:pPr>
        <w:widowControl w:val="0"/>
        <w:spacing w:line="287" w:lineRule="auto"/>
        <w:jc w:val="both"/>
        <w:rPr>
          <w:rFonts w:hint="eastAsia" w:ascii="仿宋" w:hAnsi="仿宋" w:eastAsia="仿宋" w:cs="仿宋"/>
          <w:color w:val="000000"/>
          <w:kern w:val="2"/>
          <w:sz w:val="21"/>
          <w:szCs w:val="24"/>
          <w:lang w:val="en-US" w:eastAsia="zh-CN" w:bidi="ar-SA"/>
        </w:rPr>
      </w:pPr>
    </w:p>
    <w:p w14:paraId="66619D9C">
      <w:pPr>
        <w:widowControl w:val="0"/>
        <w:spacing w:before="101" w:line="417" w:lineRule="exact"/>
        <w:jc w:val="both"/>
        <w:rPr>
          <w:rFonts w:hint="eastAsia" w:ascii="仿宋" w:hAnsi="仿宋" w:eastAsia="仿宋" w:cs="仿宋"/>
          <w:color w:val="000000"/>
          <w:kern w:val="2"/>
          <w:sz w:val="31"/>
          <w:szCs w:val="31"/>
          <w:lang w:val="en-US" w:eastAsia="zh-CN" w:bidi="ar-SA"/>
        </w:rPr>
      </w:pPr>
      <w:r>
        <w:rPr>
          <w:rFonts w:hint="eastAsia" w:ascii="仿宋" w:hAnsi="仿宋" w:eastAsia="仿宋" w:cs="仿宋"/>
          <w:color w:val="000000"/>
          <w:spacing w:val="-5"/>
          <w:kern w:val="2"/>
          <w:position w:val="1"/>
          <w:sz w:val="31"/>
          <w:szCs w:val="31"/>
          <w:lang w:val="en-US" w:eastAsia="zh-CN" w:bidi="ar-SA"/>
        </w:rPr>
        <w:t>附件</w:t>
      </w:r>
      <w:r>
        <w:rPr>
          <w:rFonts w:hint="eastAsia" w:ascii="仿宋" w:hAnsi="仿宋" w:eastAsia="仿宋" w:cs="仿宋"/>
          <w:color w:val="000000"/>
          <w:spacing w:val="-53"/>
          <w:kern w:val="2"/>
          <w:position w:val="1"/>
          <w:sz w:val="31"/>
          <w:szCs w:val="31"/>
          <w:lang w:val="en-US" w:eastAsia="zh-CN" w:bidi="ar-SA"/>
        </w:rPr>
        <w:t xml:space="preserve"> </w:t>
      </w:r>
      <w:r>
        <w:rPr>
          <w:rFonts w:hint="eastAsia" w:ascii="仿宋" w:hAnsi="仿宋" w:eastAsia="仿宋" w:cs="仿宋"/>
          <w:color w:val="000000"/>
          <w:spacing w:val="-5"/>
          <w:kern w:val="2"/>
          <w:position w:val="1"/>
          <w:sz w:val="32"/>
          <w:szCs w:val="32"/>
          <w:lang w:val="en-US" w:eastAsia="zh-CN" w:bidi="ar-SA"/>
        </w:rPr>
        <w:t>1</w:t>
      </w:r>
    </w:p>
    <w:p w14:paraId="4C6FA4DB">
      <w:pPr>
        <w:spacing w:before="222" w:line="595" w:lineRule="exact"/>
        <w:ind w:left="5434"/>
        <w:rPr>
          <w:rFonts w:hint="eastAsia" w:ascii="仿宋" w:hAnsi="仿宋" w:eastAsia="仿宋" w:cs="仿宋"/>
          <w:color w:val="000000"/>
          <w:sz w:val="43"/>
          <w:szCs w:val="43"/>
        </w:rPr>
      </w:pPr>
      <w:r>
        <w:rPr>
          <w:rFonts w:hint="eastAsia" w:ascii="仿宋" w:hAnsi="仿宋" w:eastAsia="仿宋" w:cs="仿宋"/>
          <w:color w:val="000000"/>
          <w:spacing w:val="5"/>
          <w:position w:val="2"/>
          <w:sz w:val="43"/>
          <w:szCs w:val="43"/>
        </w:rPr>
        <w:t>固定资产移交表</w:t>
      </w:r>
    </w:p>
    <w:p w14:paraId="495DCB69">
      <w:pPr>
        <w:spacing w:line="58" w:lineRule="exact"/>
        <w:rPr>
          <w:rFonts w:hint="eastAsia" w:ascii="仿宋" w:hAnsi="仿宋" w:eastAsia="仿宋" w:cs="仿宋"/>
          <w:color w:val="000000"/>
        </w:rPr>
      </w:pPr>
    </w:p>
    <w:tbl>
      <w:tblPr>
        <w:tblStyle w:val="49"/>
        <w:tblW w:w="13761"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7"/>
        <w:gridCol w:w="1713"/>
        <w:gridCol w:w="1999"/>
        <w:gridCol w:w="2247"/>
        <w:gridCol w:w="1009"/>
        <w:gridCol w:w="1429"/>
        <w:gridCol w:w="1503"/>
        <w:gridCol w:w="1614"/>
      </w:tblGrid>
      <w:tr w14:paraId="353EE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761" w:type="dxa"/>
            <w:gridSpan w:val="8"/>
            <w:noWrap w:val="0"/>
            <w:vAlign w:val="top"/>
          </w:tcPr>
          <w:p w14:paraId="63723263">
            <w:pPr>
              <w:spacing w:before="277" w:line="200" w:lineRule="auto"/>
              <w:ind w:left="5253"/>
              <w:rPr>
                <w:rFonts w:hint="eastAsia" w:ascii="仿宋" w:hAnsi="仿宋" w:eastAsia="仿宋" w:cs="仿宋"/>
                <w:color w:val="000000"/>
                <w:sz w:val="28"/>
                <w:szCs w:val="28"/>
              </w:rPr>
            </w:pPr>
            <w:r>
              <w:rPr>
                <w:rFonts w:hint="eastAsia" w:ascii="仿宋" w:hAnsi="仿宋" w:eastAsia="仿宋" w:cs="仿宋"/>
                <w:color w:val="000000"/>
                <w:spacing w:val="-5"/>
                <w:sz w:val="28"/>
                <w:szCs w:val="28"/>
              </w:rPr>
              <w:t>甲方相关食堂设施、设备等</w:t>
            </w:r>
          </w:p>
        </w:tc>
      </w:tr>
      <w:tr w14:paraId="71BF1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47" w:type="dxa"/>
            <w:noWrap w:val="0"/>
            <w:vAlign w:val="top"/>
          </w:tcPr>
          <w:p w14:paraId="2BC5AD5F">
            <w:pPr>
              <w:spacing w:before="272" w:line="200" w:lineRule="auto"/>
              <w:ind w:left="860"/>
              <w:rPr>
                <w:rFonts w:hint="eastAsia" w:ascii="仿宋" w:hAnsi="仿宋" w:eastAsia="仿宋" w:cs="仿宋"/>
                <w:color w:val="000000"/>
                <w:sz w:val="28"/>
                <w:szCs w:val="28"/>
              </w:rPr>
            </w:pPr>
            <w:r>
              <w:rPr>
                <w:rFonts w:hint="eastAsia" w:ascii="仿宋" w:hAnsi="仿宋" w:eastAsia="仿宋" w:cs="仿宋"/>
                <w:color w:val="000000"/>
                <w:spacing w:val="-5"/>
                <w:w w:val="98"/>
                <w:sz w:val="28"/>
                <w:szCs w:val="28"/>
              </w:rPr>
              <w:t>序号</w:t>
            </w:r>
          </w:p>
        </w:tc>
        <w:tc>
          <w:tcPr>
            <w:tcW w:w="1713" w:type="dxa"/>
            <w:noWrap w:val="0"/>
            <w:vAlign w:val="top"/>
          </w:tcPr>
          <w:p w14:paraId="1A65D7D2">
            <w:pPr>
              <w:spacing w:before="272" w:line="200" w:lineRule="auto"/>
              <w:ind w:left="593"/>
              <w:rPr>
                <w:rFonts w:hint="eastAsia" w:ascii="仿宋" w:hAnsi="仿宋" w:eastAsia="仿宋" w:cs="仿宋"/>
                <w:color w:val="000000"/>
                <w:sz w:val="28"/>
                <w:szCs w:val="28"/>
              </w:rPr>
            </w:pPr>
            <w:r>
              <w:rPr>
                <w:rFonts w:hint="eastAsia" w:ascii="仿宋" w:hAnsi="仿宋" w:eastAsia="仿宋" w:cs="仿宋"/>
                <w:color w:val="000000"/>
                <w:spacing w:val="-5"/>
                <w:w w:val="98"/>
                <w:sz w:val="28"/>
                <w:szCs w:val="28"/>
              </w:rPr>
              <w:t>名称</w:t>
            </w:r>
          </w:p>
        </w:tc>
        <w:tc>
          <w:tcPr>
            <w:tcW w:w="1999" w:type="dxa"/>
            <w:noWrap w:val="0"/>
            <w:vAlign w:val="top"/>
          </w:tcPr>
          <w:p w14:paraId="115AE7A1">
            <w:pPr>
              <w:spacing w:before="273" w:line="200" w:lineRule="auto"/>
              <w:ind w:left="744"/>
              <w:rPr>
                <w:rFonts w:hint="eastAsia" w:ascii="仿宋" w:hAnsi="仿宋" w:eastAsia="仿宋" w:cs="仿宋"/>
                <w:color w:val="000000"/>
                <w:sz w:val="28"/>
                <w:szCs w:val="28"/>
              </w:rPr>
            </w:pPr>
            <w:r>
              <w:rPr>
                <w:rFonts w:hint="eastAsia" w:ascii="仿宋" w:hAnsi="仿宋" w:eastAsia="仿宋" w:cs="仿宋"/>
                <w:color w:val="000000"/>
                <w:spacing w:val="-9"/>
                <w:w w:val="98"/>
                <w:sz w:val="28"/>
                <w:szCs w:val="28"/>
              </w:rPr>
              <w:t>型号</w:t>
            </w:r>
          </w:p>
        </w:tc>
        <w:tc>
          <w:tcPr>
            <w:tcW w:w="2247" w:type="dxa"/>
            <w:noWrap w:val="0"/>
            <w:vAlign w:val="top"/>
          </w:tcPr>
          <w:p w14:paraId="7BF7AFD5">
            <w:pPr>
              <w:spacing w:before="273" w:line="200" w:lineRule="auto"/>
              <w:ind w:left="614"/>
              <w:rPr>
                <w:rFonts w:hint="eastAsia" w:ascii="仿宋" w:hAnsi="仿宋" w:eastAsia="仿宋" w:cs="仿宋"/>
                <w:color w:val="000000"/>
                <w:sz w:val="28"/>
                <w:szCs w:val="28"/>
              </w:rPr>
            </w:pPr>
            <w:r>
              <w:rPr>
                <w:rFonts w:hint="eastAsia" w:ascii="仿宋" w:hAnsi="仿宋" w:eastAsia="仿宋" w:cs="仿宋"/>
                <w:color w:val="000000"/>
                <w:spacing w:val="-13"/>
                <w:sz w:val="28"/>
                <w:szCs w:val="28"/>
              </w:rPr>
              <w:t>出厂编号</w:t>
            </w:r>
          </w:p>
        </w:tc>
        <w:tc>
          <w:tcPr>
            <w:tcW w:w="1009" w:type="dxa"/>
            <w:noWrap w:val="0"/>
            <w:vAlign w:val="top"/>
          </w:tcPr>
          <w:p w14:paraId="6DE604D8">
            <w:pPr>
              <w:spacing w:before="272" w:line="199" w:lineRule="auto"/>
              <w:ind w:left="245"/>
              <w:rPr>
                <w:rFonts w:hint="eastAsia" w:ascii="仿宋" w:hAnsi="仿宋" w:eastAsia="仿宋" w:cs="仿宋"/>
                <w:color w:val="000000"/>
                <w:sz w:val="28"/>
                <w:szCs w:val="28"/>
              </w:rPr>
            </w:pPr>
            <w:r>
              <w:rPr>
                <w:rFonts w:hint="eastAsia" w:ascii="仿宋" w:hAnsi="仿宋" w:eastAsia="仿宋" w:cs="仿宋"/>
                <w:color w:val="000000"/>
                <w:spacing w:val="-5"/>
                <w:w w:val="98"/>
                <w:sz w:val="28"/>
                <w:szCs w:val="28"/>
              </w:rPr>
              <w:t>数量</w:t>
            </w:r>
          </w:p>
        </w:tc>
        <w:tc>
          <w:tcPr>
            <w:tcW w:w="1429" w:type="dxa"/>
            <w:noWrap w:val="0"/>
            <w:vAlign w:val="top"/>
          </w:tcPr>
          <w:p w14:paraId="5D862036">
            <w:pPr>
              <w:spacing w:before="272" w:line="195" w:lineRule="auto"/>
              <w:jc w:val="right"/>
              <w:rPr>
                <w:rFonts w:hint="eastAsia" w:ascii="仿宋" w:hAnsi="仿宋" w:eastAsia="仿宋" w:cs="仿宋"/>
                <w:color w:val="000000"/>
                <w:sz w:val="28"/>
                <w:szCs w:val="28"/>
              </w:rPr>
            </w:pPr>
            <w:r>
              <w:rPr>
                <w:rFonts w:hint="eastAsia" w:ascii="仿宋" w:hAnsi="仿宋" w:eastAsia="仿宋" w:cs="仿宋"/>
                <w:color w:val="000000"/>
                <w:spacing w:val="-17"/>
                <w:sz w:val="28"/>
                <w:szCs w:val="28"/>
              </w:rPr>
              <w:t>单价（元）</w:t>
            </w:r>
          </w:p>
        </w:tc>
        <w:tc>
          <w:tcPr>
            <w:tcW w:w="1503" w:type="dxa"/>
            <w:noWrap w:val="0"/>
            <w:vAlign w:val="top"/>
          </w:tcPr>
          <w:p w14:paraId="595A912B">
            <w:pPr>
              <w:spacing w:before="272" w:line="195" w:lineRule="auto"/>
              <w:ind w:right="2"/>
              <w:jc w:val="right"/>
              <w:rPr>
                <w:rFonts w:hint="eastAsia" w:ascii="仿宋" w:hAnsi="仿宋" w:eastAsia="仿宋" w:cs="仿宋"/>
                <w:color w:val="000000"/>
                <w:sz w:val="28"/>
                <w:szCs w:val="28"/>
              </w:rPr>
            </w:pPr>
            <w:r>
              <w:rPr>
                <w:rFonts w:hint="eastAsia" w:ascii="仿宋" w:hAnsi="仿宋" w:eastAsia="仿宋" w:cs="仿宋"/>
                <w:color w:val="000000"/>
                <w:spacing w:val="-2"/>
                <w:sz w:val="28"/>
                <w:szCs w:val="28"/>
              </w:rPr>
              <w:t>金额（元）</w:t>
            </w:r>
          </w:p>
        </w:tc>
        <w:tc>
          <w:tcPr>
            <w:tcW w:w="1614" w:type="dxa"/>
            <w:noWrap w:val="0"/>
            <w:vAlign w:val="top"/>
          </w:tcPr>
          <w:p w14:paraId="0E8F7597">
            <w:pPr>
              <w:spacing w:before="273" w:line="200" w:lineRule="auto"/>
              <w:ind w:left="539"/>
              <w:rPr>
                <w:rFonts w:hint="eastAsia" w:ascii="仿宋" w:hAnsi="仿宋" w:eastAsia="仿宋" w:cs="仿宋"/>
                <w:color w:val="000000"/>
                <w:sz w:val="28"/>
                <w:szCs w:val="28"/>
              </w:rPr>
            </w:pPr>
            <w:r>
              <w:rPr>
                <w:rFonts w:hint="eastAsia" w:ascii="仿宋" w:hAnsi="仿宋" w:eastAsia="仿宋" w:cs="仿宋"/>
                <w:color w:val="000000"/>
                <w:spacing w:val="-3"/>
                <w:w w:val="98"/>
                <w:sz w:val="28"/>
                <w:szCs w:val="28"/>
              </w:rPr>
              <w:t>备注</w:t>
            </w:r>
          </w:p>
        </w:tc>
      </w:tr>
      <w:tr w14:paraId="4BB3F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47" w:type="dxa"/>
            <w:noWrap w:val="0"/>
            <w:vAlign w:val="top"/>
          </w:tcPr>
          <w:p w14:paraId="02599706">
            <w:pPr>
              <w:pStyle w:val="62"/>
              <w:rPr>
                <w:rFonts w:hint="eastAsia" w:ascii="仿宋" w:hAnsi="仿宋" w:eastAsia="仿宋" w:cs="仿宋"/>
                <w:color w:val="000000"/>
              </w:rPr>
            </w:pPr>
          </w:p>
        </w:tc>
        <w:tc>
          <w:tcPr>
            <w:tcW w:w="1713" w:type="dxa"/>
            <w:noWrap w:val="0"/>
            <w:vAlign w:val="top"/>
          </w:tcPr>
          <w:p w14:paraId="4D600654">
            <w:pPr>
              <w:pStyle w:val="62"/>
              <w:rPr>
                <w:rFonts w:hint="eastAsia" w:ascii="仿宋" w:hAnsi="仿宋" w:eastAsia="仿宋" w:cs="仿宋"/>
                <w:color w:val="000000"/>
              </w:rPr>
            </w:pPr>
          </w:p>
        </w:tc>
        <w:tc>
          <w:tcPr>
            <w:tcW w:w="1999" w:type="dxa"/>
            <w:noWrap w:val="0"/>
            <w:vAlign w:val="top"/>
          </w:tcPr>
          <w:p w14:paraId="4EB7BD96">
            <w:pPr>
              <w:pStyle w:val="62"/>
              <w:rPr>
                <w:rFonts w:hint="eastAsia" w:ascii="仿宋" w:hAnsi="仿宋" w:eastAsia="仿宋" w:cs="仿宋"/>
                <w:color w:val="000000"/>
              </w:rPr>
            </w:pPr>
          </w:p>
        </w:tc>
        <w:tc>
          <w:tcPr>
            <w:tcW w:w="2247" w:type="dxa"/>
            <w:noWrap w:val="0"/>
            <w:vAlign w:val="top"/>
          </w:tcPr>
          <w:p w14:paraId="520FCBBE">
            <w:pPr>
              <w:pStyle w:val="62"/>
              <w:rPr>
                <w:rFonts w:hint="eastAsia" w:ascii="仿宋" w:hAnsi="仿宋" w:eastAsia="仿宋" w:cs="仿宋"/>
                <w:color w:val="000000"/>
              </w:rPr>
            </w:pPr>
          </w:p>
        </w:tc>
        <w:tc>
          <w:tcPr>
            <w:tcW w:w="1009" w:type="dxa"/>
            <w:noWrap w:val="0"/>
            <w:vAlign w:val="top"/>
          </w:tcPr>
          <w:p w14:paraId="42E7E930">
            <w:pPr>
              <w:pStyle w:val="62"/>
              <w:rPr>
                <w:rFonts w:hint="eastAsia" w:ascii="仿宋" w:hAnsi="仿宋" w:eastAsia="仿宋" w:cs="仿宋"/>
                <w:color w:val="000000"/>
              </w:rPr>
            </w:pPr>
          </w:p>
        </w:tc>
        <w:tc>
          <w:tcPr>
            <w:tcW w:w="1429" w:type="dxa"/>
            <w:noWrap w:val="0"/>
            <w:vAlign w:val="top"/>
          </w:tcPr>
          <w:p w14:paraId="35BEE667">
            <w:pPr>
              <w:pStyle w:val="62"/>
              <w:rPr>
                <w:rFonts w:hint="eastAsia" w:ascii="仿宋" w:hAnsi="仿宋" w:eastAsia="仿宋" w:cs="仿宋"/>
                <w:color w:val="000000"/>
              </w:rPr>
            </w:pPr>
          </w:p>
        </w:tc>
        <w:tc>
          <w:tcPr>
            <w:tcW w:w="1503" w:type="dxa"/>
            <w:noWrap w:val="0"/>
            <w:vAlign w:val="top"/>
          </w:tcPr>
          <w:p w14:paraId="6D22252B">
            <w:pPr>
              <w:pStyle w:val="62"/>
              <w:rPr>
                <w:rFonts w:hint="eastAsia" w:ascii="仿宋" w:hAnsi="仿宋" w:eastAsia="仿宋" w:cs="仿宋"/>
                <w:color w:val="000000"/>
              </w:rPr>
            </w:pPr>
          </w:p>
        </w:tc>
        <w:tc>
          <w:tcPr>
            <w:tcW w:w="1614" w:type="dxa"/>
            <w:noWrap w:val="0"/>
            <w:vAlign w:val="top"/>
          </w:tcPr>
          <w:p w14:paraId="4767DED2">
            <w:pPr>
              <w:pStyle w:val="62"/>
              <w:rPr>
                <w:rFonts w:hint="eastAsia" w:ascii="仿宋" w:hAnsi="仿宋" w:eastAsia="仿宋" w:cs="仿宋"/>
                <w:color w:val="000000"/>
              </w:rPr>
            </w:pPr>
          </w:p>
        </w:tc>
      </w:tr>
      <w:tr w14:paraId="14F44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47" w:type="dxa"/>
            <w:noWrap w:val="0"/>
            <w:vAlign w:val="top"/>
          </w:tcPr>
          <w:p w14:paraId="0A8C5FF5">
            <w:pPr>
              <w:pStyle w:val="62"/>
              <w:rPr>
                <w:rFonts w:hint="eastAsia" w:ascii="仿宋" w:hAnsi="仿宋" w:eastAsia="仿宋" w:cs="仿宋"/>
                <w:color w:val="000000"/>
              </w:rPr>
            </w:pPr>
          </w:p>
        </w:tc>
        <w:tc>
          <w:tcPr>
            <w:tcW w:w="1713" w:type="dxa"/>
            <w:noWrap w:val="0"/>
            <w:vAlign w:val="top"/>
          </w:tcPr>
          <w:p w14:paraId="22BDD5CE">
            <w:pPr>
              <w:pStyle w:val="62"/>
              <w:rPr>
                <w:rFonts w:hint="eastAsia" w:ascii="仿宋" w:hAnsi="仿宋" w:eastAsia="仿宋" w:cs="仿宋"/>
                <w:color w:val="000000"/>
              </w:rPr>
            </w:pPr>
          </w:p>
        </w:tc>
        <w:tc>
          <w:tcPr>
            <w:tcW w:w="1999" w:type="dxa"/>
            <w:noWrap w:val="0"/>
            <w:vAlign w:val="top"/>
          </w:tcPr>
          <w:p w14:paraId="3BA016E5">
            <w:pPr>
              <w:pStyle w:val="62"/>
              <w:rPr>
                <w:rFonts w:hint="eastAsia" w:ascii="仿宋" w:hAnsi="仿宋" w:eastAsia="仿宋" w:cs="仿宋"/>
                <w:color w:val="000000"/>
              </w:rPr>
            </w:pPr>
          </w:p>
        </w:tc>
        <w:tc>
          <w:tcPr>
            <w:tcW w:w="2247" w:type="dxa"/>
            <w:noWrap w:val="0"/>
            <w:vAlign w:val="top"/>
          </w:tcPr>
          <w:p w14:paraId="6C3492A8">
            <w:pPr>
              <w:pStyle w:val="62"/>
              <w:rPr>
                <w:rFonts w:hint="eastAsia" w:ascii="仿宋" w:hAnsi="仿宋" w:eastAsia="仿宋" w:cs="仿宋"/>
                <w:color w:val="000000"/>
              </w:rPr>
            </w:pPr>
          </w:p>
        </w:tc>
        <w:tc>
          <w:tcPr>
            <w:tcW w:w="1009" w:type="dxa"/>
            <w:noWrap w:val="0"/>
            <w:vAlign w:val="top"/>
          </w:tcPr>
          <w:p w14:paraId="39997FC4">
            <w:pPr>
              <w:pStyle w:val="62"/>
              <w:rPr>
                <w:rFonts w:hint="eastAsia" w:ascii="仿宋" w:hAnsi="仿宋" w:eastAsia="仿宋" w:cs="仿宋"/>
                <w:color w:val="000000"/>
              </w:rPr>
            </w:pPr>
          </w:p>
        </w:tc>
        <w:tc>
          <w:tcPr>
            <w:tcW w:w="1429" w:type="dxa"/>
            <w:noWrap w:val="0"/>
            <w:vAlign w:val="top"/>
          </w:tcPr>
          <w:p w14:paraId="27F2A10D">
            <w:pPr>
              <w:pStyle w:val="62"/>
              <w:rPr>
                <w:rFonts w:hint="eastAsia" w:ascii="仿宋" w:hAnsi="仿宋" w:eastAsia="仿宋" w:cs="仿宋"/>
                <w:color w:val="000000"/>
              </w:rPr>
            </w:pPr>
          </w:p>
        </w:tc>
        <w:tc>
          <w:tcPr>
            <w:tcW w:w="1503" w:type="dxa"/>
            <w:noWrap w:val="0"/>
            <w:vAlign w:val="top"/>
          </w:tcPr>
          <w:p w14:paraId="73B8663A">
            <w:pPr>
              <w:pStyle w:val="62"/>
              <w:rPr>
                <w:rFonts w:hint="eastAsia" w:ascii="仿宋" w:hAnsi="仿宋" w:eastAsia="仿宋" w:cs="仿宋"/>
                <w:color w:val="000000"/>
              </w:rPr>
            </w:pPr>
          </w:p>
        </w:tc>
        <w:tc>
          <w:tcPr>
            <w:tcW w:w="1614" w:type="dxa"/>
            <w:noWrap w:val="0"/>
            <w:vAlign w:val="top"/>
          </w:tcPr>
          <w:p w14:paraId="2A5311E1">
            <w:pPr>
              <w:pStyle w:val="62"/>
              <w:rPr>
                <w:rFonts w:hint="eastAsia" w:ascii="仿宋" w:hAnsi="仿宋" w:eastAsia="仿宋" w:cs="仿宋"/>
                <w:color w:val="000000"/>
              </w:rPr>
            </w:pPr>
          </w:p>
        </w:tc>
      </w:tr>
      <w:tr w14:paraId="2743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47" w:type="dxa"/>
            <w:noWrap w:val="0"/>
            <w:vAlign w:val="top"/>
          </w:tcPr>
          <w:p w14:paraId="47DA38EF">
            <w:pPr>
              <w:pStyle w:val="62"/>
              <w:rPr>
                <w:rFonts w:hint="eastAsia" w:ascii="仿宋" w:hAnsi="仿宋" w:eastAsia="仿宋" w:cs="仿宋"/>
                <w:color w:val="000000"/>
              </w:rPr>
            </w:pPr>
          </w:p>
        </w:tc>
        <w:tc>
          <w:tcPr>
            <w:tcW w:w="1713" w:type="dxa"/>
            <w:noWrap w:val="0"/>
            <w:vAlign w:val="top"/>
          </w:tcPr>
          <w:p w14:paraId="02517079">
            <w:pPr>
              <w:pStyle w:val="62"/>
              <w:rPr>
                <w:rFonts w:hint="eastAsia" w:ascii="仿宋" w:hAnsi="仿宋" w:eastAsia="仿宋" w:cs="仿宋"/>
                <w:color w:val="000000"/>
              </w:rPr>
            </w:pPr>
          </w:p>
        </w:tc>
        <w:tc>
          <w:tcPr>
            <w:tcW w:w="1999" w:type="dxa"/>
            <w:noWrap w:val="0"/>
            <w:vAlign w:val="top"/>
          </w:tcPr>
          <w:p w14:paraId="28A56A2A">
            <w:pPr>
              <w:pStyle w:val="62"/>
              <w:rPr>
                <w:rFonts w:hint="eastAsia" w:ascii="仿宋" w:hAnsi="仿宋" w:eastAsia="仿宋" w:cs="仿宋"/>
                <w:color w:val="000000"/>
              </w:rPr>
            </w:pPr>
          </w:p>
        </w:tc>
        <w:tc>
          <w:tcPr>
            <w:tcW w:w="2247" w:type="dxa"/>
            <w:noWrap w:val="0"/>
            <w:vAlign w:val="top"/>
          </w:tcPr>
          <w:p w14:paraId="714B9D05">
            <w:pPr>
              <w:pStyle w:val="62"/>
              <w:rPr>
                <w:rFonts w:hint="eastAsia" w:ascii="仿宋" w:hAnsi="仿宋" w:eastAsia="仿宋" w:cs="仿宋"/>
                <w:color w:val="000000"/>
              </w:rPr>
            </w:pPr>
          </w:p>
        </w:tc>
        <w:tc>
          <w:tcPr>
            <w:tcW w:w="1009" w:type="dxa"/>
            <w:noWrap w:val="0"/>
            <w:vAlign w:val="top"/>
          </w:tcPr>
          <w:p w14:paraId="130DB915">
            <w:pPr>
              <w:pStyle w:val="62"/>
              <w:rPr>
                <w:rFonts w:hint="eastAsia" w:ascii="仿宋" w:hAnsi="仿宋" w:eastAsia="仿宋" w:cs="仿宋"/>
                <w:color w:val="000000"/>
              </w:rPr>
            </w:pPr>
          </w:p>
        </w:tc>
        <w:tc>
          <w:tcPr>
            <w:tcW w:w="1429" w:type="dxa"/>
            <w:noWrap w:val="0"/>
            <w:vAlign w:val="top"/>
          </w:tcPr>
          <w:p w14:paraId="72E00CA8">
            <w:pPr>
              <w:pStyle w:val="62"/>
              <w:rPr>
                <w:rFonts w:hint="eastAsia" w:ascii="仿宋" w:hAnsi="仿宋" w:eastAsia="仿宋" w:cs="仿宋"/>
                <w:color w:val="000000"/>
              </w:rPr>
            </w:pPr>
          </w:p>
        </w:tc>
        <w:tc>
          <w:tcPr>
            <w:tcW w:w="1503" w:type="dxa"/>
            <w:noWrap w:val="0"/>
            <w:vAlign w:val="top"/>
          </w:tcPr>
          <w:p w14:paraId="14CB158D">
            <w:pPr>
              <w:pStyle w:val="62"/>
              <w:rPr>
                <w:rFonts w:hint="eastAsia" w:ascii="仿宋" w:hAnsi="仿宋" w:eastAsia="仿宋" w:cs="仿宋"/>
                <w:color w:val="000000"/>
              </w:rPr>
            </w:pPr>
          </w:p>
        </w:tc>
        <w:tc>
          <w:tcPr>
            <w:tcW w:w="1614" w:type="dxa"/>
            <w:noWrap w:val="0"/>
            <w:vAlign w:val="top"/>
          </w:tcPr>
          <w:p w14:paraId="79D0A67B">
            <w:pPr>
              <w:pStyle w:val="62"/>
              <w:rPr>
                <w:rFonts w:hint="eastAsia" w:ascii="仿宋" w:hAnsi="仿宋" w:eastAsia="仿宋" w:cs="仿宋"/>
                <w:color w:val="000000"/>
              </w:rPr>
            </w:pPr>
          </w:p>
        </w:tc>
      </w:tr>
      <w:tr w14:paraId="610C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47" w:type="dxa"/>
            <w:noWrap w:val="0"/>
            <w:vAlign w:val="top"/>
          </w:tcPr>
          <w:p w14:paraId="5DB4E010">
            <w:pPr>
              <w:pStyle w:val="62"/>
              <w:rPr>
                <w:rFonts w:hint="eastAsia" w:ascii="仿宋" w:hAnsi="仿宋" w:eastAsia="仿宋" w:cs="仿宋"/>
                <w:color w:val="000000"/>
              </w:rPr>
            </w:pPr>
          </w:p>
        </w:tc>
        <w:tc>
          <w:tcPr>
            <w:tcW w:w="1713" w:type="dxa"/>
            <w:noWrap w:val="0"/>
            <w:vAlign w:val="top"/>
          </w:tcPr>
          <w:p w14:paraId="00D3B36D">
            <w:pPr>
              <w:pStyle w:val="62"/>
              <w:rPr>
                <w:rFonts w:hint="eastAsia" w:ascii="仿宋" w:hAnsi="仿宋" w:eastAsia="仿宋" w:cs="仿宋"/>
                <w:color w:val="000000"/>
              </w:rPr>
            </w:pPr>
          </w:p>
        </w:tc>
        <w:tc>
          <w:tcPr>
            <w:tcW w:w="1999" w:type="dxa"/>
            <w:noWrap w:val="0"/>
            <w:vAlign w:val="top"/>
          </w:tcPr>
          <w:p w14:paraId="4A221B54">
            <w:pPr>
              <w:pStyle w:val="62"/>
              <w:rPr>
                <w:rFonts w:hint="eastAsia" w:ascii="仿宋" w:hAnsi="仿宋" w:eastAsia="仿宋" w:cs="仿宋"/>
                <w:color w:val="000000"/>
              </w:rPr>
            </w:pPr>
          </w:p>
        </w:tc>
        <w:tc>
          <w:tcPr>
            <w:tcW w:w="2247" w:type="dxa"/>
            <w:noWrap w:val="0"/>
            <w:vAlign w:val="top"/>
          </w:tcPr>
          <w:p w14:paraId="0EBADA3E">
            <w:pPr>
              <w:pStyle w:val="62"/>
              <w:rPr>
                <w:rFonts w:hint="eastAsia" w:ascii="仿宋" w:hAnsi="仿宋" w:eastAsia="仿宋" w:cs="仿宋"/>
                <w:color w:val="000000"/>
              </w:rPr>
            </w:pPr>
          </w:p>
        </w:tc>
        <w:tc>
          <w:tcPr>
            <w:tcW w:w="1009" w:type="dxa"/>
            <w:noWrap w:val="0"/>
            <w:vAlign w:val="top"/>
          </w:tcPr>
          <w:p w14:paraId="2ED8E3EC">
            <w:pPr>
              <w:pStyle w:val="62"/>
              <w:rPr>
                <w:rFonts w:hint="eastAsia" w:ascii="仿宋" w:hAnsi="仿宋" w:eastAsia="仿宋" w:cs="仿宋"/>
                <w:color w:val="000000"/>
              </w:rPr>
            </w:pPr>
          </w:p>
        </w:tc>
        <w:tc>
          <w:tcPr>
            <w:tcW w:w="1429" w:type="dxa"/>
            <w:noWrap w:val="0"/>
            <w:vAlign w:val="top"/>
          </w:tcPr>
          <w:p w14:paraId="011C7DFF">
            <w:pPr>
              <w:pStyle w:val="62"/>
              <w:rPr>
                <w:rFonts w:hint="eastAsia" w:ascii="仿宋" w:hAnsi="仿宋" w:eastAsia="仿宋" w:cs="仿宋"/>
                <w:color w:val="000000"/>
              </w:rPr>
            </w:pPr>
          </w:p>
        </w:tc>
        <w:tc>
          <w:tcPr>
            <w:tcW w:w="1503" w:type="dxa"/>
            <w:noWrap w:val="0"/>
            <w:vAlign w:val="top"/>
          </w:tcPr>
          <w:p w14:paraId="7D87DCB1">
            <w:pPr>
              <w:pStyle w:val="62"/>
              <w:rPr>
                <w:rFonts w:hint="eastAsia" w:ascii="仿宋" w:hAnsi="仿宋" w:eastAsia="仿宋" w:cs="仿宋"/>
                <w:color w:val="000000"/>
              </w:rPr>
            </w:pPr>
          </w:p>
        </w:tc>
        <w:tc>
          <w:tcPr>
            <w:tcW w:w="1614" w:type="dxa"/>
            <w:noWrap w:val="0"/>
            <w:vAlign w:val="top"/>
          </w:tcPr>
          <w:p w14:paraId="7B96556F">
            <w:pPr>
              <w:pStyle w:val="62"/>
              <w:rPr>
                <w:rFonts w:hint="eastAsia" w:ascii="仿宋" w:hAnsi="仿宋" w:eastAsia="仿宋" w:cs="仿宋"/>
                <w:color w:val="000000"/>
              </w:rPr>
            </w:pPr>
          </w:p>
        </w:tc>
      </w:tr>
      <w:tr w14:paraId="0E1E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47" w:type="dxa"/>
            <w:noWrap w:val="0"/>
            <w:vAlign w:val="top"/>
          </w:tcPr>
          <w:p w14:paraId="2E6649D1">
            <w:pPr>
              <w:pStyle w:val="62"/>
              <w:rPr>
                <w:rFonts w:hint="eastAsia" w:ascii="仿宋" w:hAnsi="仿宋" w:eastAsia="仿宋" w:cs="仿宋"/>
                <w:color w:val="000000"/>
              </w:rPr>
            </w:pPr>
          </w:p>
        </w:tc>
        <w:tc>
          <w:tcPr>
            <w:tcW w:w="1713" w:type="dxa"/>
            <w:noWrap w:val="0"/>
            <w:vAlign w:val="top"/>
          </w:tcPr>
          <w:p w14:paraId="4F66D92B">
            <w:pPr>
              <w:pStyle w:val="62"/>
              <w:rPr>
                <w:rFonts w:hint="eastAsia" w:ascii="仿宋" w:hAnsi="仿宋" w:eastAsia="仿宋" w:cs="仿宋"/>
                <w:color w:val="000000"/>
              </w:rPr>
            </w:pPr>
          </w:p>
        </w:tc>
        <w:tc>
          <w:tcPr>
            <w:tcW w:w="1999" w:type="dxa"/>
            <w:noWrap w:val="0"/>
            <w:vAlign w:val="top"/>
          </w:tcPr>
          <w:p w14:paraId="60849F86">
            <w:pPr>
              <w:pStyle w:val="62"/>
              <w:rPr>
                <w:rFonts w:hint="eastAsia" w:ascii="仿宋" w:hAnsi="仿宋" w:eastAsia="仿宋" w:cs="仿宋"/>
                <w:color w:val="000000"/>
              </w:rPr>
            </w:pPr>
          </w:p>
        </w:tc>
        <w:tc>
          <w:tcPr>
            <w:tcW w:w="2247" w:type="dxa"/>
            <w:noWrap w:val="0"/>
            <w:vAlign w:val="top"/>
          </w:tcPr>
          <w:p w14:paraId="09C05AAA">
            <w:pPr>
              <w:pStyle w:val="62"/>
              <w:rPr>
                <w:rFonts w:hint="eastAsia" w:ascii="仿宋" w:hAnsi="仿宋" w:eastAsia="仿宋" w:cs="仿宋"/>
                <w:color w:val="000000"/>
              </w:rPr>
            </w:pPr>
          </w:p>
        </w:tc>
        <w:tc>
          <w:tcPr>
            <w:tcW w:w="1009" w:type="dxa"/>
            <w:noWrap w:val="0"/>
            <w:vAlign w:val="top"/>
          </w:tcPr>
          <w:p w14:paraId="318DD60E">
            <w:pPr>
              <w:pStyle w:val="62"/>
              <w:rPr>
                <w:rFonts w:hint="eastAsia" w:ascii="仿宋" w:hAnsi="仿宋" w:eastAsia="仿宋" w:cs="仿宋"/>
                <w:color w:val="000000"/>
              </w:rPr>
            </w:pPr>
          </w:p>
        </w:tc>
        <w:tc>
          <w:tcPr>
            <w:tcW w:w="1429" w:type="dxa"/>
            <w:noWrap w:val="0"/>
            <w:vAlign w:val="top"/>
          </w:tcPr>
          <w:p w14:paraId="320A5E8F">
            <w:pPr>
              <w:pStyle w:val="62"/>
              <w:rPr>
                <w:rFonts w:hint="eastAsia" w:ascii="仿宋" w:hAnsi="仿宋" w:eastAsia="仿宋" w:cs="仿宋"/>
                <w:color w:val="000000"/>
              </w:rPr>
            </w:pPr>
          </w:p>
        </w:tc>
        <w:tc>
          <w:tcPr>
            <w:tcW w:w="1503" w:type="dxa"/>
            <w:noWrap w:val="0"/>
            <w:vAlign w:val="top"/>
          </w:tcPr>
          <w:p w14:paraId="24CA9224">
            <w:pPr>
              <w:pStyle w:val="62"/>
              <w:rPr>
                <w:rFonts w:hint="eastAsia" w:ascii="仿宋" w:hAnsi="仿宋" w:eastAsia="仿宋" w:cs="仿宋"/>
                <w:color w:val="000000"/>
              </w:rPr>
            </w:pPr>
          </w:p>
        </w:tc>
        <w:tc>
          <w:tcPr>
            <w:tcW w:w="1614" w:type="dxa"/>
            <w:noWrap w:val="0"/>
            <w:vAlign w:val="top"/>
          </w:tcPr>
          <w:p w14:paraId="0E313D59">
            <w:pPr>
              <w:pStyle w:val="62"/>
              <w:rPr>
                <w:rFonts w:hint="eastAsia" w:ascii="仿宋" w:hAnsi="仿宋" w:eastAsia="仿宋" w:cs="仿宋"/>
                <w:color w:val="000000"/>
              </w:rPr>
            </w:pPr>
          </w:p>
        </w:tc>
      </w:tr>
      <w:tr w14:paraId="3F4A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247" w:type="dxa"/>
            <w:noWrap w:val="0"/>
            <w:vAlign w:val="top"/>
          </w:tcPr>
          <w:p w14:paraId="756104A8">
            <w:pPr>
              <w:pStyle w:val="62"/>
              <w:rPr>
                <w:rFonts w:hint="eastAsia" w:ascii="仿宋" w:hAnsi="仿宋" w:eastAsia="仿宋" w:cs="仿宋"/>
                <w:color w:val="000000"/>
              </w:rPr>
            </w:pPr>
          </w:p>
        </w:tc>
        <w:tc>
          <w:tcPr>
            <w:tcW w:w="1713" w:type="dxa"/>
            <w:noWrap w:val="0"/>
            <w:vAlign w:val="top"/>
          </w:tcPr>
          <w:p w14:paraId="42817DAC">
            <w:pPr>
              <w:pStyle w:val="62"/>
              <w:rPr>
                <w:rFonts w:hint="eastAsia" w:ascii="仿宋" w:hAnsi="仿宋" w:eastAsia="仿宋" w:cs="仿宋"/>
                <w:color w:val="000000"/>
              </w:rPr>
            </w:pPr>
          </w:p>
        </w:tc>
        <w:tc>
          <w:tcPr>
            <w:tcW w:w="1999" w:type="dxa"/>
            <w:noWrap w:val="0"/>
            <w:vAlign w:val="top"/>
          </w:tcPr>
          <w:p w14:paraId="5C025C33">
            <w:pPr>
              <w:pStyle w:val="62"/>
              <w:rPr>
                <w:rFonts w:hint="eastAsia" w:ascii="仿宋" w:hAnsi="仿宋" w:eastAsia="仿宋" w:cs="仿宋"/>
                <w:color w:val="000000"/>
              </w:rPr>
            </w:pPr>
          </w:p>
        </w:tc>
        <w:tc>
          <w:tcPr>
            <w:tcW w:w="2247" w:type="dxa"/>
            <w:noWrap w:val="0"/>
            <w:vAlign w:val="top"/>
          </w:tcPr>
          <w:p w14:paraId="1EBA669C">
            <w:pPr>
              <w:pStyle w:val="62"/>
              <w:rPr>
                <w:rFonts w:hint="eastAsia" w:ascii="仿宋" w:hAnsi="仿宋" w:eastAsia="仿宋" w:cs="仿宋"/>
                <w:color w:val="000000"/>
              </w:rPr>
            </w:pPr>
          </w:p>
        </w:tc>
        <w:tc>
          <w:tcPr>
            <w:tcW w:w="1009" w:type="dxa"/>
            <w:noWrap w:val="0"/>
            <w:vAlign w:val="top"/>
          </w:tcPr>
          <w:p w14:paraId="7B8B115E">
            <w:pPr>
              <w:pStyle w:val="62"/>
              <w:rPr>
                <w:rFonts w:hint="eastAsia" w:ascii="仿宋" w:hAnsi="仿宋" w:eastAsia="仿宋" w:cs="仿宋"/>
                <w:color w:val="000000"/>
              </w:rPr>
            </w:pPr>
          </w:p>
        </w:tc>
        <w:tc>
          <w:tcPr>
            <w:tcW w:w="1429" w:type="dxa"/>
            <w:noWrap w:val="0"/>
            <w:vAlign w:val="top"/>
          </w:tcPr>
          <w:p w14:paraId="71A000F2">
            <w:pPr>
              <w:pStyle w:val="62"/>
              <w:rPr>
                <w:rFonts w:hint="eastAsia" w:ascii="仿宋" w:hAnsi="仿宋" w:eastAsia="仿宋" w:cs="仿宋"/>
                <w:color w:val="000000"/>
              </w:rPr>
            </w:pPr>
          </w:p>
        </w:tc>
        <w:tc>
          <w:tcPr>
            <w:tcW w:w="1503" w:type="dxa"/>
            <w:noWrap w:val="0"/>
            <w:vAlign w:val="top"/>
          </w:tcPr>
          <w:p w14:paraId="35EA4796">
            <w:pPr>
              <w:pStyle w:val="62"/>
              <w:rPr>
                <w:rFonts w:hint="eastAsia" w:ascii="仿宋" w:hAnsi="仿宋" w:eastAsia="仿宋" w:cs="仿宋"/>
                <w:color w:val="000000"/>
              </w:rPr>
            </w:pPr>
          </w:p>
        </w:tc>
        <w:tc>
          <w:tcPr>
            <w:tcW w:w="1614" w:type="dxa"/>
            <w:noWrap w:val="0"/>
            <w:vAlign w:val="top"/>
          </w:tcPr>
          <w:p w14:paraId="4A5EBA0E">
            <w:pPr>
              <w:pStyle w:val="62"/>
              <w:rPr>
                <w:rFonts w:hint="eastAsia" w:ascii="仿宋" w:hAnsi="仿宋" w:eastAsia="仿宋" w:cs="仿宋"/>
                <w:color w:val="000000"/>
              </w:rPr>
            </w:pPr>
          </w:p>
        </w:tc>
      </w:tr>
    </w:tbl>
    <w:p w14:paraId="191B71D9">
      <w:pPr>
        <w:widowControl w:val="0"/>
        <w:jc w:val="both"/>
        <w:rPr>
          <w:rFonts w:hint="eastAsia" w:ascii="仿宋" w:hAnsi="仿宋" w:eastAsia="仿宋" w:cs="仿宋"/>
          <w:color w:val="000000"/>
          <w:kern w:val="2"/>
          <w:sz w:val="21"/>
          <w:szCs w:val="24"/>
          <w:lang w:val="en-US" w:eastAsia="zh-CN" w:bidi="ar-SA"/>
        </w:rPr>
      </w:pPr>
    </w:p>
    <w:p w14:paraId="6F76E180">
      <w:pPr>
        <w:rPr>
          <w:rFonts w:hint="eastAsia" w:ascii="仿宋" w:hAnsi="仿宋" w:eastAsia="仿宋" w:cs="仿宋"/>
          <w:color w:val="000000"/>
        </w:rPr>
        <w:sectPr>
          <w:footerReference r:id="rId9" w:type="default"/>
          <w:pgSz w:w="16839" w:h="11906"/>
          <w:pgMar w:top="1012" w:right="1536" w:bottom="1170" w:left="1472" w:header="0" w:footer="1247" w:gutter="0"/>
          <w:pgNumType w:fmt="decimal"/>
          <w:cols w:space="720" w:num="1"/>
        </w:sectPr>
      </w:pPr>
    </w:p>
    <w:p w14:paraId="5AC0CEAF">
      <w:pPr>
        <w:widowControl w:val="0"/>
        <w:spacing w:before="187" w:line="417" w:lineRule="exact"/>
        <w:ind w:left="46"/>
        <w:jc w:val="both"/>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position w:val="1"/>
          <w:sz w:val="32"/>
          <w:szCs w:val="32"/>
          <w:lang w:val="en-US" w:eastAsia="zh-CN" w:bidi="ar-SA"/>
        </w:rPr>
        <w:t>附件2</w:t>
      </w:r>
    </w:p>
    <w:p w14:paraId="33FEC96E">
      <w:pPr>
        <w:spacing w:before="66" w:line="593" w:lineRule="exact"/>
        <w:ind w:left="2201"/>
        <w:rPr>
          <w:rFonts w:hint="eastAsia" w:ascii="仿宋" w:hAnsi="仿宋" w:eastAsia="仿宋" w:cs="仿宋"/>
          <w:color w:val="000000"/>
          <w:sz w:val="43"/>
          <w:szCs w:val="43"/>
        </w:rPr>
      </w:pPr>
      <w:r>
        <w:rPr>
          <w:rFonts w:hint="eastAsia" w:ascii="仿宋" w:hAnsi="仿宋" w:eastAsia="仿宋" w:cs="仿宋"/>
          <w:b/>
          <w:bCs/>
          <w:color w:val="000000"/>
          <w:spacing w:val="10"/>
          <w:position w:val="2"/>
          <w:sz w:val="43"/>
          <w:szCs w:val="43"/>
        </w:rPr>
        <w:t>食堂考核办法（仅供参考）</w:t>
      </w:r>
    </w:p>
    <w:p w14:paraId="78F7B2F0">
      <w:pPr>
        <w:keepNext w:val="0"/>
        <w:keepLines w:val="0"/>
        <w:pageBreakBefore w:val="0"/>
        <w:widowControl w:val="0"/>
        <w:kinsoku/>
        <w:wordWrap/>
        <w:overflowPunct/>
        <w:topLinePunct w:val="0"/>
        <w:autoSpaceDN/>
        <w:bidi w:val="0"/>
        <w:spacing w:line="390" w:lineRule="exact"/>
        <w:jc w:val="both"/>
        <w:rPr>
          <w:rFonts w:hint="eastAsia" w:ascii="仿宋" w:hAnsi="仿宋" w:eastAsia="仿宋" w:cs="仿宋"/>
          <w:color w:val="000000"/>
          <w:kern w:val="2"/>
          <w:sz w:val="21"/>
          <w:szCs w:val="24"/>
          <w:lang w:val="en-US" w:eastAsia="zh-CN" w:bidi="ar-SA"/>
        </w:rPr>
      </w:pPr>
    </w:p>
    <w:p w14:paraId="3EF90D32">
      <w:pPr>
        <w:keepNext w:val="0"/>
        <w:keepLines w:val="0"/>
        <w:pageBreakBefore w:val="0"/>
        <w:widowControl w:val="0"/>
        <w:kinsoku/>
        <w:wordWrap/>
        <w:overflowPunct/>
        <w:topLinePunct w:val="0"/>
        <w:autoSpaceDE w:val="0"/>
        <w:autoSpaceDN/>
        <w:bidi w:val="0"/>
        <w:adjustRightInd w:val="0"/>
        <w:snapToGrid w:val="0"/>
        <w:spacing w:line="390" w:lineRule="exact"/>
        <w:ind w:right="0" w:firstLine="486" w:firstLineChars="200"/>
        <w:jc w:val="both"/>
        <w:textAlignment w:val="baseline"/>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一、考核内容</w:t>
      </w:r>
    </w:p>
    <w:p w14:paraId="2B87BE56">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1.每月提取当月服务费用的</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%作为考核经费 ，根据每学期测评结果返还：</w:t>
      </w:r>
    </w:p>
    <w:p w14:paraId="6C29B66D">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1.1 师生的满意度达到</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及以上的 ，付清学期服务费用；</w:t>
      </w:r>
    </w:p>
    <w:p w14:paraId="49335B59">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1.2 师生的满意度在</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（含</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的 ，支付剩余保证金；</w:t>
      </w:r>
    </w:p>
    <w:p w14:paraId="7CF0A598">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1.3 师生满意度在</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以下的，不予支付学期剩余服务费用；</w:t>
      </w:r>
    </w:p>
    <w:p w14:paraId="49F56461">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1.4 师生满意度在</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以下的， 甲方有权单方终止合同并没收履约保证金。</w:t>
      </w:r>
    </w:p>
    <w:p w14:paraId="5C58311C">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w:t>
      </w:r>
      <w:r>
        <w:rPr>
          <w:rFonts w:hint="eastAsia" w:ascii="仿宋" w:hAnsi="仿宋" w:eastAsia="仿宋" w:cs="仿宋"/>
          <w:color w:val="000000"/>
          <w:spacing w:val="0"/>
          <w:kern w:val="2"/>
          <w:sz w:val="24"/>
          <w:szCs w:val="24"/>
          <w:u w:val="single" w:color="auto"/>
          <w:lang w:val="en-US" w:eastAsia="zh-CN" w:bidi="ar-SA"/>
        </w:rPr>
        <w:t xml:space="preserve">                                                                                                                           </w:t>
      </w:r>
    </w:p>
    <w:p w14:paraId="21393FB9">
      <w:pPr>
        <w:keepNext w:val="0"/>
        <w:keepLines w:val="0"/>
        <w:pageBreakBefore w:val="0"/>
        <w:widowControl w:val="0"/>
        <w:tabs>
          <w:tab w:val="left" w:pos="8320"/>
        </w:tabs>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u w:val="single" w:color="auto"/>
          <w:lang w:val="en-US" w:eastAsia="zh-CN" w:bidi="ar-SA"/>
        </w:rPr>
        <w:tab/>
      </w:r>
    </w:p>
    <w:p w14:paraId="583DFB91">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二、考核细则</w:t>
      </w:r>
    </w:p>
    <w:p w14:paraId="693A6949">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1. 甲方有权终止合同的情形</w:t>
      </w:r>
    </w:p>
    <w:p w14:paraId="1504E40A">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1.1 乙方未取得含食品经营管理类项目的《食品经营许可证》。</w:t>
      </w:r>
    </w:p>
    <w:p w14:paraId="1F656EFA">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1.2 乙方未开具正式票据结算的或使用私人账户及其他方式进行结算的。</w:t>
      </w:r>
    </w:p>
    <w:p w14:paraId="69D4CD02">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1.3 在日常经营过程中因人为原因造成一般食品安全事故及以上等级的（经相关部门认定）。</w:t>
      </w:r>
    </w:p>
    <w:p w14:paraId="69E4A870">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1.4 日常经营过程中出现窗 口分包、转包情况的。</w:t>
      </w:r>
    </w:p>
    <w:p w14:paraId="3ED057D8">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2.规范经营</w:t>
      </w:r>
    </w:p>
    <w:p w14:paraId="0387B843">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2.1 乙方需实行“4D ”“五常法”“6T ”等管理模式的。</w:t>
      </w:r>
    </w:p>
    <w:p w14:paraId="0C17F001">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2.2 在相关部门检查过程中，不存在因乙方管理或其他责任，被行政处罚、通报或点名批评的。</w:t>
      </w:r>
    </w:p>
    <w:p w14:paraId="1E2D453E">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2.3 食堂人员配置符合招投标规定人数，满足甲方实际需求。</w:t>
      </w:r>
    </w:p>
    <w:p w14:paraId="7307DBF8">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 xml:space="preserve"> 2.4 对甲方提出的整改意见或建议在      日内出具整改报告。</w:t>
      </w:r>
    </w:p>
    <w:p w14:paraId="3C5BA181">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2.5 乙方需依法配备食品安全总监/食品安全管理员的。</w:t>
      </w:r>
    </w:p>
    <w:p w14:paraId="44C90672">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3</w:t>
      </w:r>
      <w:r>
        <w:rPr>
          <w:rFonts w:hint="eastAsia" w:ascii="仿宋" w:hAnsi="仿宋" w:eastAsia="仿宋" w:cs="仿宋"/>
          <w:color w:val="000000"/>
          <w:spacing w:val="0"/>
          <w:sz w:val="24"/>
          <w:szCs w:val="24"/>
          <w:lang w:eastAsia="zh-CN"/>
        </w:rPr>
        <w:t>.</w:t>
      </w:r>
      <w:r>
        <w:rPr>
          <w:rFonts w:hint="eastAsia" w:ascii="仿宋" w:hAnsi="仿宋" w:eastAsia="仿宋" w:cs="仿宋"/>
          <w:color w:val="000000"/>
          <w:spacing w:val="0"/>
          <w:sz w:val="24"/>
          <w:szCs w:val="24"/>
        </w:rPr>
        <w:t>场所环境</w:t>
      </w:r>
    </w:p>
    <w:p w14:paraId="342549E7">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3.1 保持场所干净卫生，无积尘、蛛网、无残渣、无污迹、油迹、无积水、不湿滑，无烟头等杂物。</w:t>
      </w:r>
    </w:p>
    <w:p w14:paraId="58ABAC5D">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3.2 室内外环境要做到清洁，无蚊蝇、老鼠、蟑螂孳生地，落实有效防范措施。日常有灭蝇、灭鼠、灭蟑螂工作记录，纱门、纱窗应随时关闭。</w:t>
      </w:r>
    </w:p>
    <w:p w14:paraId="451C1805">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3.3 食堂餐厅、餐桌椅无残渣、无污迹、油迹、不湿滑， 泔水、垃圾应盖好存放及时处理。</w:t>
      </w:r>
    </w:p>
    <w:p w14:paraId="335A2780">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4</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人员卫生</w:t>
      </w:r>
    </w:p>
    <w:p w14:paraId="37978254">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4.1 食品从业人员应保持个人卫生，做到四勤：勤洗手、勤剪指甲、勤理发洗澡、勤换工作服帽，从事食品加工时，应穿戴清洁的工作衣、帽、口罩。</w:t>
      </w:r>
    </w:p>
    <w:p w14:paraId="4991BD8D">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4.2 食品从业人员不得留长指甲、涂指甲油、佩戴首饰 ，要勤洗手消毒、不随地吐痰、不乱扔废弃物。</w:t>
      </w:r>
    </w:p>
    <w:p w14:paraId="6C279E77">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4.3 加工食品时不吸烟、不挖鼻孔、不捣耳朵、不对着食品打喷嚏。</w:t>
      </w:r>
    </w:p>
    <w:p w14:paraId="2643F681">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5</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食材采购</w:t>
      </w:r>
    </w:p>
    <w:p w14:paraId="7FDF178A">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5.1 采购的食品、原料质量严格把关 ，严格落实进货验收、 索证、索票等制度，不得购入腐败变质、霉变及其它不符合卫生标准食品，建立食材供货商档案。</w:t>
      </w:r>
    </w:p>
    <w:p w14:paraId="49EBA486">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5.2 食品贮存有专人负责 ，做到先进先出。定期清库检查， 防止食品腐败变质、霉变生虫、超保质期限，及时清理不符合食品安全标准的食品原料，物品摆放整齐 ，并做好出入库记录。</w:t>
      </w:r>
    </w:p>
    <w:p w14:paraId="5D0481B6">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5.3 节约合理使用食材，不人为造成食材浪费。</w:t>
      </w:r>
    </w:p>
    <w:p w14:paraId="480E0C9E">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6</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餐饮具消毒</w:t>
      </w:r>
    </w:p>
    <w:p w14:paraId="778D6CAB">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6.1 食堂餐饮具要严格执行消毒规定，餐饮具、食品容器餐 后应及时清洗消毒，按照一刮、二洗、三冲、四消毒、五保洁顺 序操作。消毒后的餐饮具、食品容器应立即存放于清洁的保洁柜内， 防止再次受到污染。</w:t>
      </w:r>
    </w:p>
    <w:p w14:paraId="4BB1A4B4">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6.2 建立餐饮具消毒台账，做好消毒记录。</w:t>
      </w:r>
    </w:p>
    <w:p w14:paraId="64616E70">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6.3 不重复使用一次性餐饮具。</w:t>
      </w:r>
    </w:p>
    <w:p w14:paraId="5BECD088">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7</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菜品质量</w:t>
      </w:r>
    </w:p>
    <w:p w14:paraId="083EA67E">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7.1 供餐品种按合同约定提供。</w:t>
      </w:r>
    </w:p>
    <w:p w14:paraId="59C2C428">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7.2 饭菜内不存在异物、杂物 ，不提供未烧熟煮透、变质菜品。</w:t>
      </w:r>
    </w:p>
    <w:p w14:paraId="077DEF28">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7.3 菜品色泽味满足大众口味。</w:t>
      </w:r>
    </w:p>
    <w:p w14:paraId="3F5F6566">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8</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餐厅服务</w:t>
      </w:r>
    </w:p>
    <w:p w14:paraId="018FD5A3">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8.1 文明礼貌、热情服务，耐心细致，不得与师生发生争执。</w:t>
      </w:r>
    </w:p>
    <w:p w14:paraId="1F781153">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8.2 按规定标准供应饭菜，应一视同仁，应做到按时开饭，不得无故无饭菜供应，无故不能按时开饭等。</w:t>
      </w:r>
    </w:p>
    <w:p w14:paraId="318954CE">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9</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 xml:space="preserve"> 生产安全</w:t>
      </w:r>
    </w:p>
    <w:p w14:paraId="2D3D6AFC">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color w:val="000000"/>
          <w:spacing w:val="0"/>
          <w:sz w:val="24"/>
          <w:szCs w:val="24"/>
        </w:rPr>
        <w:t>做好电器、设备、液化气、蒸汽及防火、防盗、防毒的安全 管理</w:t>
      </w:r>
      <w:r>
        <w:rPr>
          <w:rFonts w:hint="eastAsia" w:ascii="仿宋" w:hAnsi="仿宋" w:eastAsia="仿宋" w:cs="仿宋"/>
          <w:color w:val="000000"/>
          <w:spacing w:val="0"/>
          <w:sz w:val="24"/>
          <w:szCs w:val="24"/>
          <w:lang w:eastAsia="zh-CN"/>
        </w:rPr>
        <w:t>，</w:t>
      </w:r>
      <w:r>
        <w:rPr>
          <w:rFonts w:hint="eastAsia" w:ascii="仿宋" w:hAnsi="仿宋" w:eastAsia="仿宋" w:cs="仿宋"/>
          <w:color w:val="000000"/>
          <w:spacing w:val="0"/>
          <w:sz w:val="24"/>
          <w:szCs w:val="24"/>
        </w:rPr>
        <w:t>制定安全操作规程</w:t>
      </w:r>
      <w:r>
        <w:rPr>
          <w:rFonts w:hint="eastAsia" w:ascii="仿宋" w:hAnsi="仿宋" w:eastAsia="仿宋" w:cs="仿宋"/>
          <w:color w:val="000000"/>
          <w:spacing w:val="0"/>
          <w:sz w:val="24"/>
          <w:szCs w:val="24"/>
          <w:lang w:eastAsia="zh-CN"/>
        </w:rPr>
        <w:t>，</w:t>
      </w:r>
      <w:r>
        <w:rPr>
          <w:rFonts w:hint="eastAsia" w:ascii="仿宋" w:hAnsi="仿宋" w:eastAsia="仿宋" w:cs="仿宋"/>
          <w:color w:val="000000"/>
          <w:spacing w:val="0"/>
          <w:sz w:val="24"/>
          <w:szCs w:val="24"/>
        </w:rPr>
        <w:t>定期对员工进行培训</w:t>
      </w:r>
      <w:r>
        <w:rPr>
          <w:rFonts w:hint="eastAsia" w:ascii="仿宋" w:hAnsi="仿宋" w:eastAsia="仿宋" w:cs="仿宋"/>
          <w:color w:val="000000"/>
          <w:spacing w:val="0"/>
          <w:sz w:val="24"/>
          <w:szCs w:val="24"/>
          <w:lang w:eastAsia="zh-CN"/>
        </w:rPr>
        <w:t>，</w:t>
      </w:r>
      <w:r>
        <w:rPr>
          <w:rFonts w:hint="eastAsia" w:ascii="仿宋" w:hAnsi="仿宋" w:eastAsia="仿宋" w:cs="仿宋"/>
          <w:color w:val="000000"/>
          <w:spacing w:val="0"/>
          <w:sz w:val="24"/>
          <w:szCs w:val="24"/>
        </w:rPr>
        <w:t>认真做好食堂</w:t>
      </w:r>
      <w:r>
        <w:rPr>
          <w:rFonts w:hint="eastAsia" w:ascii="仿宋" w:hAnsi="仿宋" w:eastAsia="仿宋" w:cs="仿宋"/>
          <w:snapToGrid w:val="0"/>
          <w:color w:val="000000"/>
          <w:spacing w:val="0"/>
          <w:kern w:val="0"/>
          <w:sz w:val="24"/>
          <w:szCs w:val="24"/>
          <w:lang w:val="en-US" w:eastAsia="en-US" w:bidi="ar-SA"/>
        </w:rPr>
        <w:t>安全教育</w:t>
      </w:r>
      <w:r>
        <w:rPr>
          <w:rFonts w:hint="eastAsia" w:ascii="仿宋" w:hAnsi="仿宋" w:eastAsia="仿宋"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en-US" w:bidi="ar-SA"/>
        </w:rPr>
        <w:t>每月召开安全会议</w:t>
      </w:r>
      <w:r>
        <w:rPr>
          <w:rFonts w:hint="eastAsia" w:ascii="仿宋" w:hAnsi="仿宋" w:eastAsia="仿宋"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en-US" w:bidi="ar-SA"/>
        </w:rPr>
        <w:t>并做好记录。</w:t>
      </w:r>
    </w:p>
    <w:p w14:paraId="51A497D0">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10</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工作纪律</w:t>
      </w:r>
    </w:p>
    <w:p w14:paraId="06AC5E2B">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10.1 乙方人员遵守规范，不私拿食品原材料（含熟食）与其他物品的。</w:t>
      </w:r>
    </w:p>
    <w:p w14:paraId="5A844C2E">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10.2 下班后及时关灯，离开岗位时关煤气、燃气、水龙头等设备设施。</w:t>
      </w:r>
    </w:p>
    <w:p w14:paraId="68C8EC27">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10.3 乙方人员不接受供货商等相关人员礼品、 回扣等。</w:t>
      </w:r>
    </w:p>
    <w:p w14:paraId="709D17FA">
      <w:pPr>
        <w:keepNext w:val="0"/>
        <w:keepLines w:val="0"/>
        <w:pageBreakBefore w:val="0"/>
        <w:widowControl w:val="0"/>
        <w:tabs>
          <w:tab w:val="left" w:pos="3481"/>
        </w:tabs>
        <w:kinsoku/>
        <w:wordWrap/>
        <w:overflowPunct/>
        <w:topLinePunct w:val="0"/>
        <w:autoSpaceDN/>
        <w:bidi w:val="0"/>
        <w:spacing w:line="390" w:lineRule="exact"/>
        <w:ind w:left="0" w:right="0" w:firstLine="486" w:firstLineChars="200"/>
        <w:jc w:val="both"/>
        <w:rPr>
          <w:rFonts w:hint="eastAsia" w:ascii="仿宋" w:hAnsi="仿宋" w:eastAsia="仿宋" w:cs="仿宋"/>
          <w:b/>
          <w:bCs/>
          <w:color w:val="auto"/>
          <w:highlight w:val="none"/>
        </w:rPr>
      </w:pPr>
      <w:r>
        <w:rPr>
          <w:rFonts w:hint="eastAsia" w:ascii="仿宋" w:hAnsi="仿宋" w:eastAsia="仿宋" w:cs="仿宋"/>
          <w:b/>
          <w:bCs/>
          <w:color w:val="000000"/>
          <w:spacing w:val="0"/>
          <w:sz w:val="24"/>
          <w:szCs w:val="24"/>
          <w:lang w:val="en-US" w:eastAsia="en-US"/>
        </w:rPr>
        <w:t>11</w:t>
      </w:r>
      <w:r>
        <w:rPr>
          <w:rFonts w:hint="eastAsia" w:ascii="仿宋" w:hAnsi="仿宋" w:eastAsia="仿宋" w:cs="仿宋"/>
          <w:b/>
          <w:bCs/>
          <w:color w:val="000000"/>
          <w:spacing w:val="0"/>
          <w:sz w:val="24"/>
          <w:szCs w:val="24"/>
          <w:lang w:val="en-US" w:eastAsia="zh-CN"/>
        </w:rPr>
        <w:t>.</w:t>
      </w:r>
      <w:r>
        <w:rPr>
          <w:rFonts w:hint="eastAsia" w:ascii="仿宋" w:hAnsi="仿宋" w:eastAsia="仿宋" w:cs="仿宋"/>
          <w:b/>
          <w:bCs/>
          <w:color w:val="000000"/>
          <w:spacing w:val="0"/>
          <w:sz w:val="24"/>
          <w:szCs w:val="24"/>
          <w:lang w:val="en-US" w:eastAsia="en-US"/>
        </w:rPr>
        <w:t>其他</w:t>
      </w:r>
    </w:p>
    <w:p w14:paraId="2AD549A0">
      <w:pPr>
        <w:pStyle w:val="36"/>
        <w:keepNext/>
        <w:keepLines/>
        <w:spacing w:before="0" w:after="1160"/>
        <w:jc w:val="center"/>
        <w:rPr>
          <w:rFonts w:ascii="仿宋" w:hAnsi="仿宋" w:eastAsia="仿宋" w:cs="仿宋"/>
          <w:b/>
          <w:bCs/>
          <w:color w:val="auto"/>
          <w:highlight w:val="none"/>
        </w:rPr>
      </w:pPr>
      <w:r>
        <w:rPr>
          <w:rFonts w:hint="eastAsia" w:ascii="仿宋" w:hAnsi="仿宋" w:eastAsia="仿宋" w:cs="仿宋"/>
          <w:b/>
          <w:bCs/>
          <w:color w:val="auto"/>
          <w:highlight w:val="none"/>
        </w:rPr>
        <w:t>第</w:t>
      </w:r>
      <w:r>
        <w:rPr>
          <w:rFonts w:hint="eastAsia" w:ascii="仿宋" w:hAnsi="仿宋" w:eastAsia="仿宋" w:cs="仿宋"/>
          <w:b/>
          <w:bCs/>
          <w:color w:val="auto"/>
          <w:highlight w:val="none"/>
          <w:lang w:eastAsia="zh-CN"/>
        </w:rPr>
        <w:t>六</w:t>
      </w:r>
      <w:r>
        <w:rPr>
          <w:rFonts w:hint="eastAsia" w:ascii="仿宋" w:hAnsi="仿宋" w:eastAsia="仿宋" w:cs="仿宋"/>
          <w:b/>
          <w:bCs/>
          <w:color w:val="auto"/>
          <w:highlight w:val="none"/>
          <w:lang w:val="en-US" w:eastAsia="zh-CN"/>
        </w:rPr>
        <w:t xml:space="preserve">章  </w:t>
      </w:r>
      <w:r>
        <w:rPr>
          <w:rFonts w:hint="eastAsia" w:ascii="仿宋" w:hAnsi="仿宋" w:eastAsia="仿宋" w:cs="仿宋"/>
          <w:b/>
          <w:bCs/>
          <w:color w:val="auto"/>
          <w:highlight w:val="none"/>
        </w:rPr>
        <w:t>投标文件格式</w:t>
      </w:r>
    </w:p>
    <w:p w14:paraId="5B2AB19E">
      <w:pPr>
        <w:adjustRightInd w:val="0"/>
        <w:snapToGrid w:val="0"/>
        <w:spacing w:line="360" w:lineRule="auto"/>
        <w:ind w:left="602" w:right="70" w:hanging="602"/>
        <w:jc w:val="right"/>
        <w:rPr>
          <w:rFonts w:ascii="仿宋" w:hAnsi="仿宋" w:eastAsia="仿宋" w:cs="仿宋"/>
          <w:b/>
          <w:bCs/>
          <w:color w:val="auto"/>
          <w:sz w:val="28"/>
          <w:szCs w:val="28"/>
          <w:highlight w:val="none"/>
          <w:bdr w:val="single" w:color="auto" w:sz="4" w:space="0"/>
          <w:lang w:eastAsia="zh-CN"/>
        </w:rPr>
      </w:pPr>
      <w:bookmarkStart w:id="51" w:name="bookmark196"/>
      <w:r>
        <w:rPr>
          <w:rFonts w:hint="eastAsia" w:ascii="仿宋" w:hAnsi="仿宋" w:eastAsia="仿宋" w:cs="仿宋"/>
          <w:b/>
          <w:bCs/>
          <w:color w:val="auto"/>
          <w:sz w:val="28"/>
          <w:szCs w:val="28"/>
          <w:highlight w:val="none"/>
          <w:bdr w:val="single" w:color="auto" w:sz="4" w:space="0"/>
          <w:lang w:eastAsia="zh-CN"/>
        </w:rPr>
        <w:t>正/副 本</w:t>
      </w:r>
    </w:p>
    <w:p w14:paraId="33767027">
      <w:pPr>
        <w:adjustRightInd w:val="0"/>
        <w:snapToGrid w:val="0"/>
        <w:spacing w:line="360" w:lineRule="auto"/>
        <w:jc w:val="center"/>
        <w:rPr>
          <w:rFonts w:ascii="仿宋" w:hAnsi="仿宋" w:eastAsia="仿宋" w:cs="仿宋"/>
          <w:b/>
          <w:caps/>
          <w:color w:val="auto"/>
          <w:highlight w:val="none"/>
          <w:lang w:eastAsia="zh-CN"/>
        </w:rPr>
      </w:pPr>
    </w:p>
    <w:p w14:paraId="6B13944D">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caps/>
          <w:color w:val="auto"/>
          <w:sz w:val="32"/>
          <w:szCs w:val="32"/>
          <w:highlight w:val="none"/>
          <w:lang w:eastAsia="zh-CN"/>
        </w:rPr>
        <w:t>（项目名称）</w:t>
      </w:r>
    </w:p>
    <w:p w14:paraId="0C82CE2B">
      <w:pPr>
        <w:adjustRightInd w:val="0"/>
        <w:snapToGrid w:val="0"/>
        <w:spacing w:line="360" w:lineRule="auto"/>
        <w:jc w:val="both"/>
        <w:rPr>
          <w:rFonts w:ascii="仿宋" w:hAnsi="仿宋" w:eastAsia="仿宋" w:cs="仿宋"/>
          <w:bCs/>
          <w:color w:val="auto"/>
          <w:sz w:val="32"/>
          <w:szCs w:val="32"/>
          <w:highlight w:val="none"/>
          <w:lang w:eastAsia="zh-CN"/>
        </w:rPr>
      </w:pPr>
    </w:p>
    <w:p w14:paraId="2070EAF3">
      <w:pPr>
        <w:adjustRightInd w:val="0"/>
        <w:snapToGrid w:val="0"/>
        <w:spacing w:line="360" w:lineRule="auto"/>
        <w:jc w:val="center"/>
        <w:rPr>
          <w:rFonts w:ascii="仿宋" w:hAnsi="仿宋" w:eastAsia="仿宋" w:cs="仿宋"/>
          <w:bCs/>
          <w:color w:val="auto"/>
          <w:sz w:val="32"/>
          <w:szCs w:val="32"/>
          <w:highlight w:val="none"/>
          <w:lang w:eastAsia="zh-CN"/>
        </w:rPr>
      </w:pPr>
    </w:p>
    <w:p w14:paraId="1E61B057">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14:paraId="22754E4D">
      <w:pPr>
        <w:adjustRightInd w:val="0"/>
        <w:snapToGrid w:val="0"/>
        <w:spacing w:line="360" w:lineRule="auto"/>
        <w:jc w:val="center"/>
        <w:rPr>
          <w:rFonts w:ascii="仿宋" w:hAnsi="仿宋" w:eastAsia="仿宋" w:cs="仿宋"/>
          <w:bCs/>
          <w:color w:val="auto"/>
          <w:sz w:val="32"/>
          <w:szCs w:val="32"/>
          <w:highlight w:val="none"/>
          <w:lang w:eastAsia="zh-CN"/>
        </w:rPr>
      </w:pPr>
    </w:p>
    <w:p w14:paraId="4F726C93">
      <w:pPr>
        <w:adjustRightInd w:val="0"/>
        <w:snapToGrid w:val="0"/>
        <w:spacing w:line="360" w:lineRule="auto"/>
        <w:jc w:val="both"/>
        <w:rPr>
          <w:rFonts w:ascii="仿宋" w:hAnsi="仿宋" w:eastAsia="仿宋" w:cs="仿宋"/>
          <w:bCs/>
          <w:color w:val="auto"/>
          <w:sz w:val="32"/>
          <w:szCs w:val="32"/>
          <w:highlight w:val="none"/>
          <w:lang w:eastAsia="zh-CN"/>
        </w:rPr>
      </w:pPr>
    </w:p>
    <w:p w14:paraId="1F699750">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kern w:val="0"/>
          <w:sz w:val="28"/>
          <w:szCs w:val="28"/>
          <w:highlight w:val="none"/>
          <w:fitText w:val="2810" w:id="1470909418"/>
          <w:lang w:eastAsia="zh-CN"/>
        </w:rPr>
        <w:t>供应商名称（公章）：</w:t>
      </w:r>
    </w:p>
    <w:p w14:paraId="7FA2DB36">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2BEDFDC2">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77"/>
          <w:kern w:val="0"/>
          <w:sz w:val="28"/>
          <w:szCs w:val="28"/>
          <w:highlight w:val="none"/>
          <w:fitText w:val="2810" w:id="1"/>
          <w:lang w:eastAsia="zh-CN"/>
        </w:rPr>
        <w:t>法定代表人（签章或盖章）</w:t>
      </w:r>
      <w:r>
        <w:rPr>
          <w:rFonts w:hint="eastAsia" w:ascii="仿宋" w:hAnsi="仿宋" w:eastAsia="仿宋" w:cs="仿宋"/>
          <w:b/>
          <w:caps/>
          <w:color w:val="auto"/>
          <w:spacing w:val="-1"/>
          <w:w w:val="77"/>
          <w:kern w:val="0"/>
          <w:sz w:val="28"/>
          <w:szCs w:val="28"/>
          <w:highlight w:val="none"/>
          <w:fitText w:val="2810" w:id="1"/>
          <w:lang w:eastAsia="zh-CN"/>
        </w:rPr>
        <w:t>：</w:t>
      </w:r>
    </w:p>
    <w:p w14:paraId="49CF27CE">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4D72BFEE">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13"/>
          <w:kern w:val="0"/>
          <w:sz w:val="28"/>
          <w:szCs w:val="28"/>
          <w:highlight w:val="none"/>
          <w:fitText w:val="2810" w:id="2"/>
          <w:lang w:eastAsia="zh-CN"/>
        </w:rPr>
        <w:t>供应商地址</w:t>
      </w:r>
      <w:r>
        <w:rPr>
          <w:rFonts w:hint="eastAsia" w:ascii="仿宋" w:hAnsi="仿宋" w:eastAsia="仿宋" w:cs="仿宋"/>
          <w:b/>
          <w:caps/>
          <w:color w:val="auto"/>
          <w:spacing w:val="0"/>
          <w:kern w:val="0"/>
          <w:sz w:val="28"/>
          <w:szCs w:val="28"/>
          <w:highlight w:val="none"/>
          <w:fitText w:val="2810" w:id="2"/>
          <w:lang w:eastAsia="zh-CN"/>
        </w:rPr>
        <w:t>：</w:t>
      </w:r>
    </w:p>
    <w:p w14:paraId="01DCD0CA">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05245268">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281"/>
          <w:kern w:val="0"/>
          <w:sz w:val="28"/>
          <w:szCs w:val="28"/>
          <w:highlight w:val="none"/>
          <w:fitText w:val="2810" w:id="3"/>
          <w:lang w:eastAsia="zh-CN"/>
        </w:rPr>
        <w:t>联系人</w:t>
      </w:r>
      <w:r>
        <w:rPr>
          <w:rFonts w:hint="eastAsia" w:ascii="仿宋" w:hAnsi="仿宋" w:eastAsia="仿宋" w:cs="仿宋"/>
          <w:b/>
          <w:caps/>
          <w:color w:val="auto"/>
          <w:spacing w:val="2"/>
          <w:kern w:val="0"/>
          <w:sz w:val="28"/>
          <w:szCs w:val="28"/>
          <w:highlight w:val="none"/>
          <w:fitText w:val="2810" w:id="3"/>
          <w:lang w:eastAsia="zh-CN"/>
        </w:rPr>
        <w:t>：</w:t>
      </w:r>
    </w:p>
    <w:p w14:paraId="30447909">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49E41E0A">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76"/>
          <w:kern w:val="0"/>
          <w:sz w:val="28"/>
          <w:szCs w:val="28"/>
          <w:highlight w:val="none"/>
          <w:fitText w:val="2810" w:id="4"/>
          <w:lang w:eastAsia="zh-CN"/>
        </w:rPr>
        <w:t>联系电话</w:t>
      </w:r>
      <w:r>
        <w:rPr>
          <w:rFonts w:hint="eastAsia" w:ascii="仿宋" w:hAnsi="仿宋" w:eastAsia="仿宋" w:cs="仿宋"/>
          <w:b/>
          <w:caps/>
          <w:color w:val="auto"/>
          <w:spacing w:val="1"/>
          <w:kern w:val="0"/>
          <w:sz w:val="28"/>
          <w:szCs w:val="28"/>
          <w:highlight w:val="none"/>
          <w:fitText w:val="2810" w:id="4"/>
          <w:lang w:eastAsia="zh-CN"/>
        </w:rPr>
        <w:t>：</w:t>
      </w:r>
    </w:p>
    <w:p w14:paraId="3FF57EF7">
      <w:pPr>
        <w:adjustRightInd w:val="0"/>
        <w:snapToGrid w:val="0"/>
        <w:spacing w:line="360" w:lineRule="auto"/>
        <w:jc w:val="center"/>
        <w:rPr>
          <w:rFonts w:ascii="仿宋" w:hAnsi="仿宋" w:eastAsia="仿宋" w:cs="仿宋"/>
          <w:b/>
          <w:caps/>
          <w:color w:val="auto"/>
          <w:sz w:val="28"/>
          <w:szCs w:val="28"/>
          <w:highlight w:val="none"/>
          <w:lang w:eastAsia="zh-CN"/>
        </w:rPr>
      </w:pPr>
    </w:p>
    <w:p w14:paraId="0B11A730">
      <w:pPr>
        <w:adjustRightInd w:val="0"/>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_年__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_月__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_日</w:t>
      </w:r>
    </w:p>
    <w:p w14:paraId="6E3BBDF5">
      <w:pPr>
        <w:pStyle w:val="38"/>
        <w:spacing w:after="340" w:line="240" w:lineRule="auto"/>
        <w:ind w:firstLine="0"/>
        <w:rPr>
          <w:rFonts w:ascii="仿宋" w:hAnsi="仿宋" w:eastAsia="仿宋" w:cs="仿宋"/>
          <w:color w:val="auto"/>
          <w:highlight w:val="none"/>
        </w:rPr>
      </w:pPr>
    </w:p>
    <w:p w14:paraId="57375F84">
      <w:pPr>
        <w:pStyle w:val="38"/>
        <w:spacing w:after="340" w:line="240" w:lineRule="auto"/>
        <w:ind w:firstLine="0"/>
        <w:rPr>
          <w:rFonts w:ascii="仿宋" w:hAnsi="仿宋" w:eastAsia="仿宋" w:cs="仿宋"/>
          <w:color w:val="auto"/>
          <w:highlight w:val="none"/>
        </w:rPr>
      </w:pPr>
    </w:p>
    <w:bookmarkEnd w:id="51"/>
    <w:p w14:paraId="75E568D5">
      <w:pPr>
        <w:pStyle w:val="4"/>
        <w:spacing w:line="240" w:lineRule="atLeast"/>
        <w:rPr>
          <w:rFonts w:ascii="仿宋" w:hAnsi="仿宋" w:eastAsia="仿宋" w:cs="仿宋"/>
          <w:color w:val="auto"/>
          <w:szCs w:val="21"/>
          <w:highlight w:val="none"/>
          <w:lang w:eastAsia="zh-CN"/>
        </w:rPr>
      </w:pPr>
      <w:bookmarkStart w:id="52" w:name="_Toc8919"/>
      <w:bookmarkStart w:id="53" w:name="_Toc18694"/>
      <w:bookmarkStart w:id="54" w:name="_Toc18974"/>
      <w:bookmarkStart w:id="55" w:name="_Toc515647803"/>
      <w:r>
        <w:rPr>
          <w:rFonts w:hint="eastAsia" w:ascii="仿宋" w:hAnsi="仿宋" w:eastAsia="仿宋" w:cs="仿宋"/>
          <w:bCs/>
          <w:color w:val="auto"/>
          <w:szCs w:val="21"/>
          <w:highlight w:val="none"/>
          <w:lang w:eastAsia="zh-CN"/>
        </w:rPr>
        <w:t>第一部分 资格证明文件</w:t>
      </w:r>
      <w:bookmarkEnd w:id="52"/>
      <w:bookmarkEnd w:id="53"/>
      <w:bookmarkEnd w:id="54"/>
      <w:bookmarkEnd w:id="55"/>
    </w:p>
    <w:p w14:paraId="6F019E24">
      <w:pPr>
        <w:spacing w:line="240" w:lineRule="atLeast"/>
        <w:ind w:left="717" w:hanging="716" w:hangingChars="295"/>
        <w:jc w:val="center"/>
        <w:rPr>
          <w:rFonts w:ascii="仿宋" w:hAnsi="仿宋" w:eastAsia="仿宋" w:cs="仿宋"/>
          <w:color w:val="auto"/>
          <w:highlight w:val="none"/>
          <w:lang w:eastAsia="zh-CN"/>
        </w:rPr>
      </w:pPr>
    </w:p>
    <w:p w14:paraId="6D1C1663">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1、法人或者非法人组织的营业执照等证明文件复印件（须加盖本单位章）或自然人的身份证明复印件;</w:t>
      </w:r>
    </w:p>
    <w:p w14:paraId="4215ECE0">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2、法定代表人资格证明书；</w:t>
      </w:r>
    </w:p>
    <w:p w14:paraId="03198A5A">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3、法定代表人授权书；</w:t>
      </w:r>
    </w:p>
    <w:p w14:paraId="198C179F">
      <w:pPr>
        <w:tabs>
          <w:tab w:val="left" w:pos="5580"/>
        </w:tabs>
        <w:spacing w:line="500" w:lineRule="atLeast"/>
        <w:ind w:left="1" w:firstLine="571" w:firstLineChars="235"/>
        <w:rPr>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60104248">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、投标保证金缴纳凭证或投标担保函；</w:t>
      </w:r>
    </w:p>
    <w:p w14:paraId="73638F65">
      <w:pPr>
        <w:tabs>
          <w:tab w:val="left" w:pos="5580"/>
        </w:tabs>
        <w:spacing w:line="500" w:lineRule="atLeast"/>
        <w:ind w:left="1" w:firstLine="571" w:firstLineChars="235"/>
        <w:rPr>
          <w:color w:val="auto"/>
          <w:highlight w:val="none"/>
          <w:lang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、投标企业须提供投标人（被授权在职人员）近6个月内任意一个月有效的社保证明；</w:t>
      </w:r>
    </w:p>
    <w:p w14:paraId="480F4A61">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color w:val="auto"/>
          <w:highlight w:val="none"/>
          <w:lang w:eastAsia="zh-CN"/>
        </w:rPr>
        <w:t>。</w:t>
      </w:r>
    </w:p>
    <w:p w14:paraId="0E9BDE8C">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供应商须知前附表要求的其他资格证明文件;</w:t>
      </w:r>
    </w:p>
    <w:p w14:paraId="54701E83">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p>
    <w:p w14:paraId="3CB89B75">
      <w:pPr>
        <w:pStyle w:val="33"/>
        <w:rPr>
          <w:rFonts w:ascii="仿宋" w:hAnsi="仿宋" w:eastAsia="仿宋" w:cs="仿宋"/>
          <w:b/>
          <w:bCs/>
          <w:color w:val="auto"/>
          <w:sz w:val="36"/>
          <w:szCs w:val="36"/>
          <w:highlight w:val="none"/>
          <w:lang w:eastAsia="zh-CN"/>
        </w:rPr>
      </w:pPr>
    </w:p>
    <w:p w14:paraId="5B681D2A">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bookmarkStart w:id="56" w:name="_Toc515647805"/>
      <w:bookmarkStart w:id="57" w:name="_Toc29899"/>
      <w:bookmarkStart w:id="58" w:name="_Toc4844"/>
      <w:bookmarkStart w:id="59" w:name="_Toc17577"/>
    </w:p>
    <w:p w14:paraId="152CDB60">
      <w:pPr>
        <w:rPr>
          <w:rFonts w:hint="eastAsia" w:ascii="仿宋" w:hAnsi="仿宋" w:eastAsia="仿宋" w:cs="仿宋"/>
          <w:b/>
          <w:bCs/>
          <w:color w:val="auto"/>
          <w:sz w:val="36"/>
          <w:szCs w:val="36"/>
          <w:highlight w:val="none"/>
          <w:lang w:eastAsia="zh-CN"/>
        </w:rPr>
      </w:pPr>
    </w:p>
    <w:p w14:paraId="5FAB7399">
      <w:pPr>
        <w:pStyle w:val="7"/>
        <w:rPr>
          <w:rFonts w:hint="eastAsia" w:ascii="仿宋" w:hAnsi="仿宋" w:eastAsia="仿宋" w:cs="仿宋"/>
          <w:b/>
          <w:bCs/>
          <w:color w:val="auto"/>
          <w:sz w:val="36"/>
          <w:szCs w:val="36"/>
          <w:highlight w:val="none"/>
          <w:lang w:eastAsia="zh-CN"/>
        </w:rPr>
      </w:pPr>
    </w:p>
    <w:p w14:paraId="553E4C86">
      <w:pPr>
        <w:pStyle w:val="8"/>
        <w:rPr>
          <w:rFonts w:hint="eastAsia" w:ascii="仿宋" w:hAnsi="仿宋" w:eastAsia="仿宋" w:cs="仿宋"/>
          <w:b/>
          <w:bCs/>
          <w:color w:val="auto"/>
          <w:sz w:val="36"/>
          <w:szCs w:val="36"/>
          <w:highlight w:val="none"/>
          <w:lang w:eastAsia="zh-CN"/>
        </w:rPr>
      </w:pPr>
    </w:p>
    <w:p w14:paraId="2C671347">
      <w:pPr>
        <w:rPr>
          <w:rFonts w:hint="eastAsia" w:ascii="仿宋" w:hAnsi="仿宋" w:eastAsia="仿宋" w:cs="仿宋"/>
          <w:b/>
          <w:bCs/>
          <w:color w:val="auto"/>
          <w:sz w:val="36"/>
          <w:szCs w:val="36"/>
          <w:highlight w:val="none"/>
          <w:lang w:eastAsia="zh-CN"/>
        </w:rPr>
      </w:pPr>
    </w:p>
    <w:p w14:paraId="2D627452">
      <w:pPr>
        <w:pStyle w:val="7"/>
        <w:rPr>
          <w:rFonts w:hint="eastAsia" w:ascii="仿宋" w:hAnsi="仿宋" w:eastAsia="仿宋" w:cs="仿宋"/>
          <w:b/>
          <w:bCs/>
          <w:color w:val="auto"/>
          <w:sz w:val="36"/>
          <w:szCs w:val="36"/>
          <w:highlight w:val="none"/>
          <w:lang w:eastAsia="zh-CN"/>
        </w:rPr>
      </w:pPr>
    </w:p>
    <w:p w14:paraId="20FD9B10">
      <w:pPr>
        <w:pStyle w:val="8"/>
        <w:rPr>
          <w:rFonts w:hint="eastAsia" w:ascii="仿宋" w:hAnsi="仿宋" w:eastAsia="仿宋" w:cs="仿宋"/>
          <w:b/>
          <w:bCs/>
          <w:color w:val="auto"/>
          <w:sz w:val="36"/>
          <w:szCs w:val="36"/>
          <w:highlight w:val="none"/>
          <w:lang w:eastAsia="zh-CN"/>
        </w:rPr>
      </w:pPr>
    </w:p>
    <w:p w14:paraId="1AC0040E">
      <w:pPr>
        <w:rPr>
          <w:rFonts w:hint="eastAsia" w:ascii="仿宋" w:hAnsi="仿宋" w:eastAsia="仿宋" w:cs="仿宋"/>
          <w:b/>
          <w:bCs/>
          <w:color w:val="auto"/>
          <w:sz w:val="36"/>
          <w:szCs w:val="36"/>
          <w:highlight w:val="none"/>
          <w:lang w:eastAsia="zh-CN"/>
        </w:rPr>
      </w:pPr>
    </w:p>
    <w:p w14:paraId="357029DD">
      <w:pPr>
        <w:pStyle w:val="7"/>
        <w:rPr>
          <w:rFonts w:hint="eastAsia"/>
          <w:color w:val="auto"/>
          <w:highlight w:val="none"/>
          <w:lang w:eastAsia="zh-CN"/>
        </w:rPr>
      </w:pPr>
    </w:p>
    <w:p w14:paraId="309D9F5D">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1EEBCAFD">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 法人或者非法人组织的营业执照等证明文件</w:t>
      </w:r>
      <w:bookmarkEnd w:id="56"/>
      <w:bookmarkStart w:id="60" w:name="_Toc515647806"/>
      <w:r>
        <w:rPr>
          <w:rFonts w:hint="eastAsia" w:ascii="仿宋" w:hAnsi="仿宋" w:eastAsia="仿宋" w:cs="仿宋"/>
          <w:b/>
          <w:bCs/>
          <w:color w:val="auto"/>
          <w:sz w:val="36"/>
          <w:szCs w:val="36"/>
          <w:highlight w:val="none"/>
          <w:lang w:eastAsia="zh-CN"/>
        </w:rPr>
        <w:t>或自然人的身份证明</w:t>
      </w:r>
      <w:bookmarkEnd w:id="57"/>
      <w:bookmarkEnd w:id="58"/>
      <w:bookmarkEnd w:id="59"/>
      <w:bookmarkEnd w:id="60"/>
    </w:p>
    <w:p w14:paraId="0D3763E8">
      <w:pPr>
        <w:pStyle w:val="13"/>
        <w:tabs>
          <w:tab w:val="left" w:pos="5580"/>
        </w:tabs>
        <w:spacing w:line="400" w:lineRule="exact"/>
        <w:ind w:left="1164" w:leftChars="257" w:hanging="540"/>
        <w:jc w:val="center"/>
        <w:rPr>
          <w:rFonts w:ascii="仿宋" w:hAnsi="仿宋" w:eastAsia="仿宋" w:cs="仿宋"/>
          <w:b/>
          <w:color w:val="auto"/>
          <w:highlight w:val="none"/>
          <w:lang w:eastAsia="zh-CN"/>
        </w:rPr>
      </w:pPr>
    </w:p>
    <w:p w14:paraId="415ACD44">
      <w:pPr>
        <w:pStyle w:val="13"/>
        <w:tabs>
          <w:tab w:val="left" w:pos="5580"/>
        </w:tabs>
        <w:spacing w:line="400" w:lineRule="exact"/>
        <w:ind w:left="1164" w:leftChars="257" w:hanging="540"/>
        <w:rPr>
          <w:rFonts w:ascii="仿宋" w:hAnsi="仿宋" w:eastAsia="仿宋" w:cs="仿宋"/>
          <w:b/>
          <w:color w:val="auto"/>
          <w:highlight w:val="none"/>
          <w:lang w:eastAsia="zh-CN"/>
        </w:rPr>
      </w:pPr>
    </w:p>
    <w:p w14:paraId="70A327F1">
      <w:pPr>
        <w:pStyle w:val="13"/>
        <w:tabs>
          <w:tab w:val="left" w:pos="5580"/>
        </w:tabs>
        <w:spacing w:line="400" w:lineRule="exact"/>
        <w:ind w:left="1164" w:leftChars="257" w:hanging="540"/>
        <w:rPr>
          <w:rFonts w:ascii="仿宋" w:hAnsi="仿宋" w:eastAsia="仿宋" w:cs="仿宋"/>
          <w:b/>
          <w:color w:val="auto"/>
          <w:highlight w:val="none"/>
          <w:lang w:eastAsia="zh-CN"/>
        </w:rPr>
      </w:pPr>
    </w:p>
    <w:p w14:paraId="0C9CFD9C">
      <w:pPr>
        <w:pStyle w:val="13"/>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说明：1.提供有效的营业执照等证明文件复印件，复印件上应加盖本单位章。</w:t>
      </w:r>
    </w:p>
    <w:p w14:paraId="1A45A539">
      <w:pPr>
        <w:pStyle w:val="13"/>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2.供应商为自然人的，应提供身份证明的复印件。</w:t>
      </w:r>
    </w:p>
    <w:p w14:paraId="709897E8">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59F2872C">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13D8161C">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5BA440E7">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4B420C42">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1E62D8B1">
      <w:pPr>
        <w:pStyle w:val="10"/>
        <w:numPr>
          <w:ilvl w:val="0"/>
          <w:numId w:val="0"/>
        </w:numPr>
        <w:kinsoku w:val="0"/>
        <w:overflowPunct w:val="0"/>
        <w:spacing w:before="34" w:line="440" w:lineRule="exact"/>
        <w:ind w:right="126"/>
        <w:jc w:val="both"/>
        <w:rPr>
          <w:rFonts w:ascii="仿宋" w:hAnsi="仿宋" w:eastAsia="仿宋" w:cs="仿宋"/>
          <w:b/>
          <w:bCs/>
          <w:color w:val="auto"/>
          <w:sz w:val="36"/>
          <w:szCs w:val="36"/>
          <w:highlight w:val="none"/>
          <w:lang w:eastAsia="zh-CN"/>
        </w:rPr>
      </w:pPr>
    </w:p>
    <w:p w14:paraId="200B8479">
      <w:pPr>
        <w:rPr>
          <w:rFonts w:ascii="仿宋" w:hAnsi="仿宋" w:eastAsia="仿宋" w:cs="仿宋"/>
          <w:b/>
          <w:bCs/>
          <w:color w:val="auto"/>
          <w:sz w:val="36"/>
          <w:szCs w:val="36"/>
          <w:highlight w:val="none"/>
          <w:lang w:eastAsia="zh-CN"/>
        </w:rPr>
      </w:pPr>
    </w:p>
    <w:p w14:paraId="1E101CDC">
      <w:pPr>
        <w:pStyle w:val="33"/>
        <w:rPr>
          <w:rFonts w:ascii="仿宋" w:hAnsi="仿宋" w:eastAsia="仿宋" w:cs="仿宋"/>
          <w:b/>
          <w:bCs/>
          <w:color w:val="auto"/>
          <w:sz w:val="36"/>
          <w:szCs w:val="36"/>
          <w:highlight w:val="none"/>
          <w:lang w:eastAsia="zh-CN"/>
        </w:rPr>
      </w:pPr>
    </w:p>
    <w:p w14:paraId="0F1FD131">
      <w:pPr>
        <w:pStyle w:val="33"/>
        <w:rPr>
          <w:rFonts w:ascii="仿宋" w:hAnsi="仿宋" w:eastAsia="仿宋" w:cs="仿宋"/>
          <w:b/>
          <w:bCs/>
          <w:color w:val="auto"/>
          <w:sz w:val="36"/>
          <w:szCs w:val="36"/>
          <w:highlight w:val="none"/>
          <w:lang w:eastAsia="zh-CN"/>
        </w:rPr>
      </w:pPr>
    </w:p>
    <w:p w14:paraId="5D53AE0E">
      <w:pPr>
        <w:pStyle w:val="33"/>
        <w:rPr>
          <w:rFonts w:ascii="仿宋" w:hAnsi="仿宋" w:eastAsia="仿宋" w:cs="仿宋"/>
          <w:b/>
          <w:bCs/>
          <w:color w:val="auto"/>
          <w:sz w:val="36"/>
          <w:szCs w:val="36"/>
          <w:highlight w:val="none"/>
          <w:lang w:eastAsia="zh-CN"/>
        </w:rPr>
      </w:pPr>
    </w:p>
    <w:p w14:paraId="741B7B37">
      <w:pPr>
        <w:pStyle w:val="33"/>
        <w:rPr>
          <w:rFonts w:ascii="仿宋" w:hAnsi="仿宋" w:eastAsia="仿宋" w:cs="仿宋"/>
          <w:b/>
          <w:bCs/>
          <w:color w:val="auto"/>
          <w:sz w:val="36"/>
          <w:szCs w:val="36"/>
          <w:highlight w:val="none"/>
          <w:lang w:eastAsia="zh-CN"/>
        </w:rPr>
      </w:pPr>
    </w:p>
    <w:p w14:paraId="2653750F">
      <w:pPr>
        <w:pStyle w:val="33"/>
        <w:rPr>
          <w:rFonts w:ascii="仿宋" w:hAnsi="仿宋" w:eastAsia="仿宋" w:cs="仿宋"/>
          <w:b/>
          <w:bCs/>
          <w:color w:val="auto"/>
          <w:sz w:val="36"/>
          <w:szCs w:val="36"/>
          <w:highlight w:val="none"/>
          <w:lang w:eastAsia="zh-CN"/>
        </w:rPr>
      </w:pPr>
    </w:p>
    <w:p w14:paraId="4F177220">
      <w:pPr>
        <w:pStyle w:val="33"/>
        <w:rPr>
          <w:rFonts w:ascii="仿宋" w:hAnsi="仿宋" w:eastAsia="仿宋" w:cs="仿宋"/>
          <w:b/>
          <w:bCs/>
          <w:color w:val="auto"/>
          <w:sz w:val="36"/>
          <w:szCs w:val="36"/>
          <w:highlight w:val="none"/>
          <w:lang w:eastAsia="zh-CN"/>
        </w:rPr>
      </w:pPr>
    </w:p>
    <w:p w14:paraId="3D546BD7">
      <w:pPr>
        <w:pStyle w:val="33"/>
        <w:rPr>
          <w:rFonts w:ascii="仿宋" w:hAnsi="仿宋" w:eastAsia="仿宋" w:cs="仿宋"/>
          <w:b/>
          <w:bCs/>
          <w:color w:val="auto"/>
          <w:sz w:val="36"/>
          <w:szCs w:val="36"/>
          <w:highlight w:val="none"/>
          <w:lang w:eastAsia="zh-CN"/>
        </w:rPr>
      </w:pPr>
    </w:p>
    <w:p w14:paraId="4BD349D8">
      <w:pPr>
        <w:pStyle w:val="33"/>
        <w:rPr>
          <w:rFonts w:ascii="仿宋" w:hAnsi="仿宋" w:eastAsia="仿宋" w:cs="仿宋"/>
          <w:b/>
          <w:bCs/>
          <w:color w:val="auto"/>
          <w:sz w:val="36"/>
          <w:szCs w:val="36"/>
          <w:highlight w:val="none"/>
          <w:lang w:eastAsia="zh-CN"/>
        </w:rPr>
      </w:pPr>
    </w:p>
    <w:p w14:paraId="1F084852">
      <w:pPr>
        <w:pStyle w:val="33"/>
        <w:rPr>
          <w:rFonts w:ascii="仿宋" w:hAnsi="仿宋" w:eastAsia="仿宋" w:cs="仿宋"/>
          <w:b/>
          <w:bCs/>
          <w:color w:val="auto"/>
          <w:sz w:val="36"/>
          <w:szCs w:val="36"/>
          <w:highlight w:val="none"/>
          <w:lang w:eastAsia="zh-CN"/>
        </w:rPr>
      </w:pPr>
    </w:p>
    <w:p w14:paraId="4047F846">
      <w:pPr>
        <w:pStyle w:val="33"/>
        <w:rPr>
          <w:rFonts w:ascii="仿宋" w:hAnsi="仿宋" w:eastAsia="仿宋" w:cs="仿宋"/>
          <w:b/>
          <w:bCs/>
          <w:color w:val="auto"/>
          <w:sz w:val="36"/>
          <w:szCs w:val="36"/>
          <w:highlight w:val="none"/>
          <w:lang w:eastAsia="zh-CN"/>
        </w:rPr>
      </w:pPr>
    </w:p>
    <w:p w14:paraId="5DB28B79">
      <w:pPr>
        <w:pStyle w:val="33"/>
        <w:rPr>
          <w:rFonts w:ascii="仿宋" w:hAnsi="仿宋" w:eastAsia="仿宋" w:cs="仿宋"/>
          <w:b/>
          <w:bCs/>
          <w:color w:val="auto"/>
          <w:sz w:val="36"/>
          <w:szCs w:val="36"/>
          <w:highlight w:val="none"/>
          <w:lang w:eastAsia="zh-CN"/>
        </w:rPr>
      </w:pPr>
    </w:p>
    <w:p w14:paraId="5E78A968">
      <w:pPr>
        <w:pStyle w:val="33"/>
        <w:rPr>
          <w:rFonts w:ascii="仿宋" w:hAnsi="仿宋" w:eastAsia="仿宋" w:cs="仿宋"/>
          <w:b/>
          <w:bCs/>
          <w:color w:val="auto"/>
          <w:sz w:val="36"/>
          <w:szCs w:val="36"/>
          <w:highlight w:val="none"/>
          <w:lang w:eastAsia="zh-CN"/>
        </w:rPr>
      </w:pPr>
    </w:p>
    <w:p w14:paraId="773B3906">
      <w:pPr>
        <w:pStyle w:val="33"/>
        <w:rPr>
          <w:rFonts w:ascii="仿宋" w:hAnsi="仿宋" w:eastAsia="仿宋" w:cs="仿宋"/>
          <w:b/>
          <w:bCs/>
          <w:color w:val="auto"/>
          <w:sz w:val="36"/>
          <w:szCs w:val="36"/>
          <w:highlight w:val="none"/>
          <w:lang w:eastAsia="zh-CN"/>
        </w:rPr>
      </w:pPr>
    </w:p>
    <w:p w14:paraId="29ADFA94">
      <w:pPr>
        <w:pStyle w:val="33"/>
        <w:rPr>
          <w:rFonts w:ascii="仿宋" w:hAnsi="仿宋" w:eastAsia="仿宋" w:cs="仿宋"/>
          <w:b/>
          <w:bCs/>
          <w:color w:val="auto"/>
          <w:sz w:val="36"/>
          <w:szCs w:val="36"/>
          <w:highlight w:val="none"/>
          <w:lang w:eastAsia="zh-CN"/>
        </w:rPr>
      </w:pPr>
    </w:p>
    <w:p w14:paraId="0AEFDE7B">
      <w:pPr>
        <w:pStyle w:val="33"/>
        <w:rPr>
          <w:rFonts w:ascii="仿宋" w:hAnsi="仿宋" w:eastAsia="仿宋" w:cs="仿宋"/>
          <w:b/>
          <w:bCs/>
          <w:color w:val="auto"/>
          <w:sz w:val="36"/>
          <w:szCs w:val="36"/>
          <w:highlight w:val="none"/>
          <w:lang w:eastAsia="zh-CN"/>
        </w:rPr>
      </w:pPr>
    </w:p>
    <w:p w14:paraId="7E4234BF">
      <w:pPr>
        <w:pStyle w:val="33"/>
        <w:ind w:firstLine="0"/>
        <w:rPr>
          <w:rFonts w:ascii="仿宋" w:hAnsi="仿宋" w:eastAsia="仿宋" w:cs="仿宋"/>
          <w:b/>
          <w:bCs/>
          <w:color w:val="auto"/>
          <w:sz w:val="36"/>
          <w:szCs w:val="36"/>
          <w:highlight w:val="none"/>
          <w:lang w:eastAsia="zh-CN"/>
        </w:rPr>
      </w:pPr>
    </w:p>
    <w:p w14:paraId="53AECDEB">
      <w:pPr>
        <w:pStyle w:val="10"/>
        <w:numPr>
          <w:ilvl w:val="0"/>
          <w:numId w:val="0"/>
        </w:numPr>
        <w:kinsoku w:val="0"/>
        <w:overflowPunct w:val="0"/>
        <w:spacing w:before="34" w:line="440" w:lineRule="exact"/>
        <w:ind w:left="480" w:right="126"/>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2、法定代表人身份证明</w:t>
      </w:r>
    </w:p>
    <w:p w14:paraId="69DCC223">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投标单位名称：</w:t>
      </w:r>
      <w:r>
        <w:rPr>
          <w:rFonts w:hint="eastAsia" w:ascii="仿宋" w:hAnsi="仿宋" w:eastAsia="仿宋" w:cs="仿宋"/>
          <w:color w:val="auto"/>
          <w:highlight w:val="none"/>
          <w:u w:val="single"/>
          <w:lang w:eastAsia="zh-CN"/>
        </w:rPr>
        <w:t xml:space="preserve">                       </w:t>
      </w:r>
    </w:p>
    <w:p w14:paraId="2D5CAA42">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单位性质：</w:t>
      </w:r>
      <w:r>
        <w:rPr>
          <w:rFonts w:hint="eastAsia" w:ascii="仿宋" w:hAnsi="仿宋" w:eastAsia="仿宋" w:cs="仿宋"/>
          <w:color w:val="auto"/>
          <w:highlight w:val="none"/>
          <w:u w:val="single"/>
          <w:lang w:eastAsia="zh-CN"/>
        </w:rPr>
        <w:t xml:space="preserve">                           </w:t>
      </w:r>
    </w:p>
    <w:p w14:paraId="791C897B">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p>
    <w:p w14:paraId="4ED75CB7">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成立时间：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5BF9F932">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经营期限：</w:t>
      </w:r>
      <w:r>
        <w:rPr>
          <w:rFonts w:hint="eastAsia" w:ascii="仿宋" w:hAnsi="仿宋" w:eastAsia="仿宋" w:cs="仿宋"/>
          <w:color w:val="auto"/>
          <w:highlight w:val="none"/>
          <w:u w:val="single"/>
          <w:lang w:eastAsia="zh-CN"/>
        </w:rPr>
        <w:t xml:space="preserve">             </w:t>
      </w:r>
    </w:p>
    <w:p w14:paraId="01F0904C">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性别：</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年龄：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1491D05">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身份证号码：</w:t>
      </w:r>
      <w:r>
        <w:rPr>
          <w:rFonts w:hint="eastAsia" w:ascii="仿宋" w:hAnsi="仿宋" w:eastAsia="仿宋" w:cs="仿宋"/>
          <w:color w:val="auto"/>
          <w:highlight w:val="none"/>
          <w:u w:val="single"/>
          <w:lang w:eastAsia="zh-CN"/>
        </w:rPr>
        <w:t xml:space="preserve">                                                     </w:t>
      </w:r>
    </w:p>
    <w:p w14:paraId="799A0817">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系</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（投标单位名称）的法定代表人。</w:t>
      </w:r>
    </w:p>
    <w:p w14:paraId="0B48FA96">
      <w:pPr>
        <w:spacing w:line="420" w:lineRule="exact"/>
        <w:ind w:firstLine="972" w:firstLineChars="400"/>
        <w:rPr>
          <w:rFonts w:ascii="仿宋" w:hAnsi="仿宋" w:eastAsia="仿宋" w:cs="仿宋"/>
          <w:color w:val="auto"/>
          <w:highlight w:val="none"/>
        </w:rPr>
      </w:pPr>
      <w:r>
        <w:rPr>
          <w:rFonts w:hint="eastAsia" w:ascii="仿宋" w:hAnsi="仿宋" w:eastAsia="仿宋" w:cs="仿宋"/>
          <w:color w:val="auto"/>
          <w:highlight w:val="none"/>
        </w:rPr>
        <w:t>特此证明。</w:t>
      </w:r>
    </w:p>
    <w:p w14:paraId="25DDF678">
      <w:pPr>
        <w:pStyle w:val="10"/>
        <w:numPr>
          <w:ilvl w:val="0"/>
          <w:numId w:val="0"/>
        </w:numPr>
        <w:kinsoku w:val="0"/>
        <w:overflowPunct w:val="0"/>
        <w:rPr>
          <w:rFonts w:ascii="仿宋" w:hAnsi="仿宋" w:eastAsia="仿宋" w:cs="仿宋"/>
          <w:color w:val="auto"/>
          <w:sz w:val="20"/>
          <w:szCs w:val="20"/>
          <w:highlight w:val="none"/>
        </w:rPr>
      </w:pPr>
      <w:r>
        <w:rPr>
          <w:color w:val="auto"/>
          <w:sz w:val="25"/>
          <w:highlight w:val="none"/>
        </w:rPr>
        <mc:AlternateContent>
          <mc:Choice Requires="wps">
            <w:drawing>
              <wp:anchor distT="0" distB="0" distL="114300" distR="114300" simplePos="0" relativeHeight="251661312"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1"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EFF94A2">
                            <w:pPr>
                              <w:jc w:val="center"/>
                              <w:rPr>
                                <w:rFonts w:hint="eastAsia" w:ascii="仿宋" w:hAnsi="仿宋" w:eastAsia="仿宋" w:cs="仿宋"/>
                                <w:sz w:val="24"/>
                                <w:szCs w:val="24"/>
                              </w:rPr>
                            </w:pPr>
                          </w:p>
                          <w:p w14:paraId="54206ECF">
                            <w:pPr>
                              <w:jc w:val="center"/>
                              <w:rPr>
                                <w:rFonts w:hint="eastAsia" w:ascii="仿宋" w:hAnsi="仿宋" w:eastAsia="仿宋" w:cs="仿宋"/>
                                <w:sz w:val="24"/>
                                <w:szCs w:val="24"/>
                              </w:rPr>
                            </w:pPr>
                          </w:p>
                          <w:p w14:paraId="30B791B0">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7B018025"/>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1312;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5g+w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5g+wJAIAAFgEAAAOAAAAAAAAAAEAIAAAACYBAABkcnMvZTJvRG9jLnhtbFBLBQYAAAAABgAG&#10;AFkBAAC8BQAAAAA=&#10;">
                <v:fill on="t" focussize="0,0"/>
                <v:stroke color="#000000" joinstyle="round"/>
                <v:imagedata o:title=""/>
                <o:lock v:ext="edit" aspectratio="f"/>
                <v:textbox>
                  <w:txbxContent>
                    <w:p w14:paraId="4EFF94A2">
                      <w:pPr>
                        <w:jc w:val="center"/>
                        <w:rPr>
                          <w:rFonts w:hint="eastAsia" w:ascii="仿宋" w:hAnsi="仿宋" w:eastAsia="仿宋" w:cs="仿宋"/>
                          <w:sz w:val="24"/>
                          <w:szCs w:val="24"/>
                        </w:rPr>
                      </w:pPr>
                    </w:p>
                    <w:p w14:paraId="54206ECF">
                      <w:pPr>
                        <w:jc w:val="center"/>
                        <w:rPr>
                          <w:rFonts w:hint="eastAsia" w:ascii="仿宋" w:hAnsi="仿宋" w:eastAsia="仿宋" w:cs="仿宋"/>
                          <w:sz w:val="24"/>
                          <w:szCs w:val="24"/>
                        </w:rPr>
                      </w:pPr>
                    </w:p>
                    <w:p w14:paraId="30B791B0">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7B018025"/>
                  </w:txbxContent>
                </v:textbox>
                <w10:wrap type="square"/>
              </v:roundrect>
            </w:pict>
          </mc:Fallback>
        </mc:AlternateContent>
      </w:r>
    </w:p>
    <w:p w14:paraId="311F19C6">
      <w:pPr>
        <w:pStyle w:val="10"/>
        <w:numPr>
          <w:ilvl w:val="0"/>
          <w:numId w:val="0"/>
        </w:numPr>
        <w:kinsoku w:val="0"/>
        <w:overflowPunct w:val="0"/>
        <w:spacing w:before="7"/>
        <w:rPr>
          <w:rFonts w:ascii="仿宋" w:hAnsi="仿宋" w:eastAsia="仿宋" w:cs="仿宋"/>
          <w:color w:val="auto"/>
          <w:sz w:val="25"/>
          <w:szCs w:val="25"/>
          <w:highlight w:val="none"/>
        </w:rPr>
      </w:pPr>
      <w:r>
        <w:rPr>
          <w:color w:val="auto"/>
          <w:sz w:val="25"/>
          <w:highlight w:val="none"/>
        </w:rPr>
        <mc:AlternateContent>
          <mc:Choice Requires="wps">
            <w:drawing>
              <wp:anchor distT="0" distB="0" distL="114300" distR="114300" simplePos="0" relativeHeight="251666432"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5"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208FB4">
                            <w:pPr>
                              <w:jc w:val="center"/>
                              <w:rPr>
                                <w:rFonts w:hint="eastAsia" w:ascii="仿宋" w:hAnsi="仿宋" w:eastAsia="仿宋" w:cs="仿宋"/>
                                <w:sz w:val="24"/>
                                <w:szCs w:val="24"/>
                              </w:rPr>
                            </w:pPr>
                          </w:p>
                          <w:p w14:paraId="372EDD08">
                            <w:pPr>
                              <w:jc w:val="center"/>
                              <w:rPr>
                                <w:rFonts w:hint="eastAsia" w:ascii="仿宋" w:hAnsi="仿宋" w:eastAsia="仿宋" w:cs="仿宋"/>
                                <w:sz w:val="24"/>
                                <w:szCs w:val="24"/>
                              </w:rPr>
                            </w:pPr>
                          </w:p>
                          <w:p w14:paraId="62EA092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629C37FD"/>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0048;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SC8aCI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2rcKNUA&#10;AAAIAQAADwAAAAAAAAABACAAAAAiAAAAZHJzL2Rvd25yZXYueG1sUEsBAhQAFAAAAAgAh07iQM0g&#10;vGgiAgAAWAQAAA4AAAAAAAAAAQAgAAAAJAEAAGRycy9lMm9Eb2MueG1sUEsFBgAAAAAGAAYAWQEA&#10;ALgFAAAAAA==&#10;">
                <v:fill on="t" focussize="0,0"/>
                <v:stroke color="#000000" joinstyle="round"/>
                <v:imagedata o:title=""/>
                <o:lock v:ext="edit" aspectratio="f"/>
                <v:textbox>
                  <w:txbxContent>
                    <w:p w14:paraId="19208FB4">
                      <w:pPr>
                        <w:jc w:val="center"/>
                        <w:rPr>
                          <w:rFonts w:hint="eastAsia" w:ascii="仿宋" w:hAnsi="仿宋" w:eastAsia="仿宋" w:cs="仿宋"/>
                          <w:sz w:val="24"/>
                          <w:szCs w:val="24"/>
                        </w:rPr>
                      </w:pPr>
                    </w:p>
                    <w:p w14:paraId="372EDD08">
                      <w:pPr>
                        <w:jc w:val="center"/>
                        <w:rPr>
                          <w:rFonts w:hint="eastAsia" w:ascii="仿宋" w:hAnsi="仿宋" w:eastAsia="仿宋" w:cs="仿宋"/>
                          <w:sz w:val="24"/>
                          <w:szCs w:val="24"/>
                        </w:rPr>
                      </w:pPr>
                    </w:p>
                    <w:p w14:paraId="62EA092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629C37FD"/>
                  </w:txbxContent>
                </v:textbox>
                <w10:wrap type="tight"/>
              </v:roundrect>
            </w:pict>
          </mc:Fallback>
        </mc:AlternateContent>
      </w:r>
    </w:p>
    <w:p w14:paraId="7EEC94B3">
      <w:pPr>
        <w:pStyle w:val="10"/>
        <w:numPr>
          <w:ilvl w:val="0"/>
          <w:numId w:val="0"/>
        </w:numPr>
        <w:kinsoku w:val="0"/>
        <w:overflowPunct w:val="0"/>
        <w:spacing w:line="200" w:lineRule="atLeast"/>
        <w:rPr>
          <w:rFonts w:ascii="仿宋" w:hAnsi="仿宋" w:eastAsia="仿宋" w:cs="仿宋"/>
          <w:color w:val="auto"/>
          <w:sz w:val="20"/>
          <w:szCs w:val="20"/>
          <w:highlight w:val="none"/>
        </w:rPr>
      </w:pPr>
    </w:p>
    <w:p w14:paraId="49FFE7ED">
      <w:pPr>
        <w:wordWrap w:val="0"/>
        <w:spacing w:line="420" w:lineRule="exact"/>
        <w:ind w:firstLine="486" w:firstLineChars="200"/>
        <w:jc w:val="right"/>
        <w:rPr>
          <w:rFonts w:ascii="仿宋" w:hAnsi="仿宋" w:eastAsia="仿宋" w:cs="仿宋"/>
          <w:color w:val="auto"/>
          <w:highlight w:val="none"/>
        </w:rPr>
      </w:pPr>
    </w:p>
    <w:p w14:paraId="7C6EFEFB">
      <w:pPr>
        <w:pStyle w:val="10"/>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7F9E3402">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3F6EE8DC">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79AF4A78">
      <w:pPr>
        <w:pStyle w:val="10"/>
        <w:numPr>
          <w:ilvl w:val="0"/>
          <w:numId w:val="0"/>
        </w:numPr>
        <w:kinsoku w:val="0"/>
        <w:overflowPunct w:val="0"/>
        <w:spacing w:before="34" w:line="357" w:lineRule="auto"/>
        <w:ind w:right="126"/>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投标单位名称：                       （公章）</w:t>
      </w:r>
    </w:p>
    <w:p w14:paraId="08ABE130">
      <w:pPr>
        <w:pStyle w:val="10"/>
        <w:numPr>
          <w:ilvl w:val="0"/>
          <w:numId w:val="0"/>
        </w:numPr>
        <w:kinsoku w:val="0"/>
        <w:overflowPunct w:val="0"/>
        <w:spacing w:before="34" w:line="357" w:lineRule="auto"/>
        <w:ind w:right="126"/>
        <w:jc w:val="both"/>
        <w:rPr>
          <w:rFonts w:ascii="仿宋" w:hAnsi="仿宋" w:eastAsia="仿宋" w:cs="仿宋"/>
          <w:color w:val="auto"/>
          <w:highlight w:val="none"/>
          <w:lang w:eastAsia="zh-CN"/>
        </w:rPr>
      </w:pPr>
      <w:r>
        <w:rPr>
          <w:rFonts w:hint="eastAsia" w:ascii="仿宋" w:hAnsi="仿宋" w:eastAsia="仿宋" w:cs="仿宋"/>
          <w:color w:val="auto"/>
          <w:sz w:val="24"/>
          <w:highlight w:val="none"/>
          <w:lang w:eastAsia="zh-CN"/>
        </w:rPr>
        <w:t xml:space="preserve">法定代表人（签字或盖章）：           </w:t>
      </w:r>
      <w:r>
        <w:rPr>
          <w:rFonts w:hint="eastAsia" w:ascii="仿宋" w:hAnsi="仿宋" w:eastAsia="仿宋" w:cs="仿宋"/>
          <w:color w:val="auto"/>
          <w:highlight w:val="none"/>
          <w:lang w:eastAsia="zh-CN"/>
        </w:rPr>
        <w:t xml:space="preserve">      </w:t>
      </w:r>
    </w:p>
    <w:p w14:paraId="79C817FF">
      <w:pPr>
        <w:pStyle w:val="10"/>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750D653C">
      <w:pPr>
        <w:pStyle w:val="10"/>
        <w:numPr>
          <w:ilvl w:val="0"/>
          <w:numId w:val="0"/>
        </w:numPr>
        <w:kinsoku w:val="0"/>
        <w:overflowPunct w:val="0"/>
        <w:spacing w:before="34" w:line="357" w:lineRule="auto"/>
        <w:ind w:right="126"/>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日  期：   年  月  日</w:t>
      </w:r>
    </w:p>
    <w:p w14:paraId="2309FCCA">
      <w:pPr>
        <w:pStyle w:val="10"/>
        <w:numPr>
          <w:ilvl w:val="0"/>
          <w:numId w:val="0"/>
        </w:numPr>
        <w:kinsoku w:val="0"/>
        <w:overflowPunct w:val="0"/>
        <w:spacing w:before="34" w:line="357" w:lineRule="auto"/>
        <w:ind w:left="480" w:right="126"/>
        <w:jc w:val="center"/>
        <w:rPr>
          <w:rFonts w:ascii="仿宋" w:hAnsi="仿宋" w:eastAsia="仿宋" w:cs="仿宋"/>
          <w:b/>
          <w:bCs/>
          <w:color w:val="auto"/>
          <w:szCs w:val="21"/>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b/>
          <w:bCs/>
          <w:color w:val="auto"/>
          <w:sz w:val="36"/>
          <w:szCs w:val="36"/>
          <w:highlight w:val="none"/>
          <w:lang w:eastAsia="zh-CN"/>
        </w:rPr>
        <w:t>3、授权委托书</w:t>
      </w:r>
    </w:p>
    <w:p w14:paraId="79413EF3">
      <w:pPr>
        <w:spacing w:line="42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致：采购人名称 </w:t>
      </w:r>
    </w:p>
    <w:p w14:paraId="74C6ACCE">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本授权书声明：注册于</w:t>
      </w:r>
      <w:r>
        <w:rPr>
          <w:rFonts w:hint="eastAsia" w:ascii="仿宋" w:hAnsi="仿宋" w:eastAsia="仿宋" w:cs="仿宋"/>
          <w:color w:val="auto"/>
          <w:highlight w:val="none"/>
          <w:u w:val="single"/>
          <w:lang w:eastAsia="zh-CN"/>
        </w:rPr>
        <w:t>（供应商地址）</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eastAsia="zh-CN"/>
        </w:rPr>
        <w:t>法定代表人（负责人）</w:t>
      </w:r>
      <w:r>
        <w:rPr>
          <w:rFonts w:hint="eastAsia" w:ascii="仿宋" w:hAnsi="仿宋" w:eastAsia="仿宋" w:cs="仿宋"/>
          <w:color w:val="auto"/>
          <w:highlight w:val="none"/>
          <w:u w:val="single"/>
          <w:lang w:eastAsia="zh-CN"/>
        </w:rPr>
        <w:t>姓名、职务或职称）</w:t>
      </w:r>
      <w:r>
        <w:rPr>
          <w:rFonts w:hint="eastAsia" w:ascii="仿宋" w:hAnsi="仿宋" w:eastAsia="仿宋" w:cs="仿宋"/>
          <w:color w:val="auto"/>
          <w:highlight w:val="none"/>
          <w:lang w:eastAsia="zh-CN"/>
        </w:rPr>
        <w:t>代表本公司授权</w:t>
      </w:r>
      <w:r>
        <w:rPr>
          <w:rFonts w:hint="eastAsia" w:ascii="仿宋" w:hAnsi="仿宋" w:eastAsia="仿宋" w:cs="仿宋"/>
          <w:color w:val="auto"/>
          <w:highlight w:val="none"/>
          <w:u w:val="single"/>
          <w:lang w:eastAsia="zh-CN"/>
        </w:rPr>
        <w:t>（姓名）</w:t>
      </w:r>
      <w:r>
        <w:rPr>
          <w:rFonts w:hint="eastAsia" w:ascii="仿宋" w:hAnsi="仿宋" w:eastAsia="仿宋" w:cs="仿宋"/>
          <w:color w:val="auto"/>
          <w:highlight w:val="none"/>
          <w:lang w:eastAsia="zh-CN"/>
        </w:rPr>
        <w:t>为本单位的合法代理人，参与贵方组织的</w:t>
      </w:r>
      <w:r>
        <w:rPr>
          <w:rFonts w:hint="eastAsia" w:ascii="仿宋" w:hAnsi="仿宋" w:eastAsia="仿宋" w:cs="仿宋"/>
          <w:color w:val="auto"/>
          <w:highlight w:val="none"/>
          <w:u w:val="single"/>
          <w:lang w:eastAsia="zh-CN"/>
        </w:rPr>
        <w:t>（项目名称及项目编号）</w:t>
      </w:r>
      <w:r>
        <w:rPr>
          <w:rFonts w:hint="eastAsia" w:ascii="仿宋" w:hAnsi="仿宋" w:eastAsia="仿宋" w:cs="仿宋"/>
          <w:color w:val="auto"/>
          <w:highlight w:val="none"/>
          <w:lang w:eastAsia="zh-CN"/>
        </w:rPr>
        <w:t xml:space="preserve"> 的投标、谈判、签约等具体工作，并签署全部有关文件、协议及合同。</w:t>
      </w:r>
    </w:p>
    <w:p w14:paraId="11F4611A">
      <w:pPr>
        <w:adjustRightInd w:val="0"/>
        <w:snapToGrid w:val="0"/>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我单位对被授权人的上述经济活动负全部责任。在撤销授权的书面通知前，本授权书一直有效。被授权人在授权书有效期内签署的所有文件不因授权的撤消而失效。</w:t>
      </w:r>
    </w:p>
    <w:p w14:paraId="533BC368">
      <w:pPr>
        <w:pStyle w:val="10"/>
        <w:tabs>
          <w:tab w:val="left" w:pos="780"/>
        </w:tabs>
        <w:kinsoku w:val="0"/>
        <w:overflowPunct w:val="0"/>
        <w:adjustRightInd w:val="0"/>
        <w:snapToGrid w:val="0"/>
        <w:spacing w:before="12"/>
        <w:rPr>
          <w:rFonts w:ascii="仿宋" w:hAnsi="仿宋" w:eastAsia="仿宋" w:cs="仿宋"/>
          <w:color w:val="auto"/>
          <w:sz w:val="4"/>
          <w:szCs w:val="4"/>
          <w:highlight w:val="none"/>
          <w:lang w:eastAsia="zh-CN"/>
        </w:rPr>
      </w:pPr>
    </w:p>
    <w:p w14:paraId="00AE4533">
      <w:pPr>
        <w:pStyle w:val="10"/>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highlight w:val="none"/>
        </w:rPr>
      </w:pPr>
      <w:r>
        <w:rPr>
          <w:color w:val="auto"/>
          <w:sz w:val="18"/>
          <w:highlight w:val="none"/>
        </w:rPr>
        <mc:AlternateContent>
          <mc:Choice Requires="wps">
            <w:drawing>
              <wp:anchor distT="0" distB="0" distL="114300" distR="114300" simplePos="0" relativeHeight="251665408"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4"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0DA0264">
                            <w:pPr>
                              <w:jc w:val="center"/>
                              <w:rPr>
                                <w:rFonts w:hint="eastAsia" w:ascii="仿宋" w:hAnsi="仿宋" w:eastAsia="仿宋" w:cs="仿宋"/>
                                <w:sz w:val="24"/>
                                <w:szCs w:val="24"/>
                              </w:rPr>
                            </w:pPr>
                          </w:p>
                          <w:p w14:paraId="54E24B9D">
                            <w:pPr>
                              <w:jc w:val="center"/>
                              <w:rPr>
                                <w:rFonts w:hint="eastAsia" w:ascii="仿宋" w:hAnsi="仿宋" w:eastAsia="仿宋" w:cs="仿宋"/>
                                <w:sz w:val="24"/>
                                <w:szCs w:val="24"/>
                              </w:rPr>
                            </w:pPr>
                          </w:p>
                          <w:p w14:paraId="2A72D6A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6B941AA7"/>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yItc7JAIAAFgEAAAOAAAAAAAAAAEAIAAAACYBAABkcnMvZTJvRG9jLnhtbFBLBQYAAAAABgAG&#10;AFkBAAC8BQAAAAA=&#10;">
                <v:fill on="t" focussize="0,0"/>
                <v:stroke color="#000000" joinstyle="round"/>
                <v:imagedata o:title=""/>
                <o:lock v:ext="edit" aspectratio="f"/>
                <v:textbox>
                  <w:txbxContent>
                    <w:p w14:paraId="10DA0264">
                      <w:pPr>
                        <w:jc w:val="center"/>
                        <w:rPr>
                          <w:rFonts w:hint="eastAsia" w:ascii="仿宋" w:hAnsi="仿宋" w:eastAsia="仿宋" w:cs="仿宋"/>
                          <w:sz w:val="24"/>
                          <w:szCs w:val="24"/>
                        </w:rPr>
                      </w:pPr>
                    </w:p>
                    <w:p w14:paraId="54E24B9D">
                      <w:pPr>
                        <w:jc w:val="center"/>
                        <w:rPr>
                          <w:rFonts w:hint="eastAsia" w:ascii="仿宋" w:hAnsi="仿宋" w:eastAsia="仿宋" w:cs="仿宋"/>
                          <w:sz w:val="24"/>
                          <w:szCs w:val="24"/>
                        </w:rPr>
                      </w:pPr>
                    </w:p>
                    <w:p w14:paraId="2A72D6A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6B941AA7"/>
                  </w:txbxContent>
                </v:textbox>
                <w10:wrap type="square"/>
              </v:roundrect>
            </w:pict>
          </mc:Fallback>
        </mc:AlternateContent>
      </w:r>
      <w:r>
        <w:rPr>
          <w:rFonts w:hint="default"/>
          <w:color w:val="auto"/>
          <w:sz w:val="18"/>
          <w:highlight w:val="none"/>
          <w:lang w:val="en-US"/>
        </w:rPr>
        <mc:AlternateContent>
          <mc:Choice Requires="wps">
            <w:drawing>
              <wp:anchor distT="0" distB="0" distL="114300" distR="114300" simplePos="0" relativeHeight="251662336"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2"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50E490">
                            <w:pPr>
                              <w:jc w:val="center"/>
                              <w:rPr>
                                <w:rFonts w:hint="eastAsia" w:ascii="仿宋" w:hAnsi="仿宋" w:eastAsia="仿宋" w:cs="仿宋"/>
                                <w:sz w:val="24"/>
                                <w:szCs w:val="24"/>
                              </w:rPr>
                            </w:pPr>
                          </w:p>
                          <w:p w14:paraId="3E1F1BE5">
                            <w:pPr>
                              <w:jc w:val="center"/>
                              <w:rPr>
                                <w:rFonts w:hint="eastAsia" w:ascii="仿宋" w:hAnsi="仿宋" w:eastAsia="仿宋" w:cs="仿宋"/>
                                <w:sz w:val="24"/>
                                <w:szCs w:val="24"/>
                              </w:rPr>
                            </w:pPr>
                          </w:p>
                          <w:p w14:paraId="72941D88">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51C2C7D2">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4144;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A&#10;QakHIwIAAFgEAAAOAAAAAAAAAAEAIAAAACQBAABkcnMvZTJvRG9jLnhtbFBLBQYAAAAABgAGAFkB&#10;AAC5BQAAAAA=&#10;">
                <v:fill on="t" focussize="0,0"/>
                <v:stroke color="#000000" joinstyle="round"/>
                <v:imagedata o:title=""/>
                <o:lock v:ext="edit" aspectratio="f"/>
                <v:textbox>
                  <w:txbxContent>
                    <w:p w14:paraId="7F50E490">
                      <w:pPr>
                        <w:jc w:val="center"/>
                        <w:rPr>
                          <w:rFonts w:hint="eastAsia" w:ascii="仿宋" w:hAnsi="仿宋" w:eastAsia="仿宋" w:cs="仿宋"/>
                          <w:sz w:val="24"/>
                          <w:szCs w:val="24"/>
                        </w:rPr>
                      </w:pPr>
                    </w:p>
                    <w:p w14:paraId="3E1F1BE5">
                      <w:pPr>
                        <w:jc w:val="center"/>
                        <w:rPr>
                          <w:rFonts w:hint="eastAsia" w:ascii="仿宋" w:hAnsi="仿宋" w:eastAsia="仿宋" w:cs="仿宋"/>
                          <w:sz w:val="24"/>
                          <w:szCs w:val="24"/>
                        </w:rPr>
                      </w:pPr>
                    </w:p>
                    <w:p w14:paraId="72941D88">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51C2C7D2">
                      <w:pPr>
                        <w:rPr>
                          <w:rFonts w:hint="eastAsia"/>
                          <w:lang w:val="en-US" w:eastAsia="zh-CN"/>
                        </w:rPr>
                      </w:pPr>
                    </w:p>
                  </w:txbxContent>
                </v:textbox>
                <w10:wrap type="tight"/>
              </v:roundrect>
            </w:pict>
          </mc:Fallback>
        </mc:AlternateContent>
      </w:r>
      <w:r>
        <w:rPr>
          <w:color w:val="auto"/>
          <w:sz w:val="18"/>
          <w:highlight w:val="none"/>
        </w:rPr>
        <mc:AlternateContent>
          <mc:Choice Requires="wps">
            <w:drawing>
              <wp:anchor distT="0" distB="0" distL="114300" distR="114300" simplePos="0" relativeHeight="251666432"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6"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54BE561">
                            <w:pPr>
                              <w:jc w:val="center"/>
                              <w:rPr>
                                <w:rFonts w:hint="eastAsia" w:ascii="仿宋" w:hAnsi="仿宋" w:eastAsia="仿宋" w:cs="仿宋"/>
                                <w:sz w:val="24"/>
                                <w:szCs w:val="24"/>
                              </w:rPr>
                            </w:pPr>
                          </w:p>
                          <w:p w14:paraId="3104982D">
                            <w:pPr>
                              <w:jc w:val="center"/>
                              <w:rPr>
                                <w:rFonts w:hint="eastAsia" w:ascii="仿宋" w:hAnsi="仿宋" w:eastAsia="仿宋" w:cs="仿宋"/>
                                <w:sz w:val="24"/>
                                <w:szCs w:val="24"/>
                              </w:rPr>
                            </w:pPr>
                          </w:p>
                          <w:p w14:paraId="47DA5110">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45B9CF73"/>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6432;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uewFBiMCAABYBAAADgAAAAAAAAABACAAAAAlAQAAZHJzL2Uyb0RvYy54bWxQSwUGAAAAAAYABgBZ&#10;AQAAugUAAAAA&#10;">
                <v:fill on="t" focussize="0,0"/>
                <v:stroke color="#000000" joinstyle="round"/>
                <v:imagedata o:title=""/>
                <o:lock v:ext="edit" aspectratio="f"/>
                <v:textbox>
                  <w:txbxContent>
                    <w:p w14:paraId="754BE561">
                      <w:pPr>
                        <w:jc w:val="center"/>
                        <w:rPr>
                          <w:rFonts w:hint="eastAsia" w:ascii="仿宋" w:hAnsi="仿宋" w:eastAsia="仿宋" w:cs="仿宋"/>
                          <w:sz w:val="24"/>
                          <w:szCs w:val="24"/>
                        </w:rPr>
                      </w:pPr>
                    </w:p>
                    <w:p w14:paraId="3104982D">
                      <w:pPr>
                        <w:jc w:val="center"/>
                        <w:rPr>
                          <w:rFonts w:hint="eastAsia" w:ascii="仿宋" w:hAnsi="仿宋" w:eastAsia="仿宋" w:cs="仿宋"/>
                          <w:sz w:val="24"/>
                          <w:szCs w:val="24"/>
                        </w:rPr>
                      </w:pPr>
                    </w:p>
                    <w:p w14:paraId="47DA5110">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45B9CF73"/>
                  </w:txbxContent>
                </v:textbox>
                <w10:wrap type="square"/>
              </v:roundrect>
            </w:pict>
          </mc:Fallback>
        </mc:AlternateContent>
      </w:r>
      <w:r>
        <w:rPr>
          <w:color w:val="auto"/>
          <w:sz w:val="18"/>
          <w:highlight w:val="none"/>
        </w:rPr>
        <mc:AlternateContent>
          <mc:Choice Requires="wps">
            <w:drawing>
              <wp:anchor distT="0" distB="0" distL="114300" distR="114300" simplePos="0" relativeHeight="251664384"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3"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FC81C54">
                            <w:pPr>
                              <w:jc w:val="center"/>
                              <w:rPr>
                                <w:rFonts w:hint="eastAsia" w:ascii="仿宋" w:hAnsi="仿宋" w:eastAsia="仿宋" w:cs="仿宋"/>
                                <w:sz w:val="24"/>
                                <w:szCs w:val="24"/>
                              </w:rPr>
                            </w:pPr>
                          </w:p>
                          <w:p w14:paraId="11CBC0C2">
                            <w:pPr>
                              <w:jc w:val="center"/>
                              <w:rPr>
                                <w:rFonts w:hint="eastAsia" w:ascii="仿宋" w:hAnsi="仿宋" w:eastAsia="仿宋" w:cs="仿宋"/>
                                <w:sz w:val="24"/>
                                <w:szCs w:val="24"/>
                              </w:rPr>
                            </w:pPr>
                          </w:p>
                          <w:p w14:paraId="57B6774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1718A326"/>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Ap&#10;Gsm9IwIAAFgEAAAOAAAAAAAAAAEAIAAAACQBAABkcnMvZTJvRG9jLnhtbFBLBQYAAAAABgAGAFkB&#10;AAC5BQAAAAA=&#10;">
                <v:fill on="t" focussize="0,0"/>
                <v:stroke color="#000000" joinstyle="round"/>
                <v:imagedata o:title=""/>
                <o:lock v:ext="edit" aspectratio="f"/>
                <v:textbox>
                  <w:txbxContent>
                    <w:p w14:paraId="2FC81C54">
                      <w:pPr>
                        <w:jc w:val="center"/>
                        <w:rPr>
                          <w:rFonts w:hint="eastAsia" w:ascii="仿宋" w:hAnsi="仿宋" w:eastAsia="仿宋" w:cs="仿宋"/>
                          <w:sz w:val="24"/>
                          <w:szCs w:val="24"/>
                        </w:rPr>
                      </w:pPr>
                    </w:p>
                    <w:p w14:paraId="11CBC0C2">
                      <w:pPr>
                        <w:jc w:val="center"/>
                        <w:rPr>
                          <w:rFonts w:hint="eastAsia" w:ascii="仿宋" w:hAnsi="仿宋" w:eastAsia="仿宋" w:cs="仿宋"/>
                          <w:sz w:val="24"/>
                          <w:szCs w:val="24"/>
                        </w:rPr>
                      </w:pPr>
                    </w:p>
                    <w:p w14:paraId="57B6774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1718A326"/>
                  </w:txbxContent>
                </v:textbox>
                <w10:wrap type="square"/>
              </v:roundrect>
            </w:pict>
          </mc:Fallback>
        </mc:AlternateContent>
      </w:r>
    </w:p>
    <w:p w14:paraId="05776F77">
      <w:pPr>
        <w:pStyle w:val="10"/>
        <w:numPr>
          <w:ilvl w:val="0"/>
          <w:numId w:val="0"/>
        </w:numPr>
        <w:kinsoku w:val="0"/>
        <w:overflowPunct w:val="0"/>
        <w:adjustRightInd w:val="0"/>
        <w:snapToGrid w:val="0"/>
        <w:spacing w:line="200" w:lineRule="atLeast"/>
        <w:rPr>
          <w:rFonts w:ascii="仿宋" w:hAnsi="仿宋" w:eastAsia="仿宋" w:cs="仿宋"/>
          <w:color w:val="auto"/>
          <w:sz w:val="18"/>
          <w:szCs w:val="20"/>
          <w:highlight w:val="none"/>
        </w:rPr>
      </w:pPr>
    </w:p>
    <w:p w14:paraId="0697AB37">
      <w:pPr>
        <w:rPr>
          <w:rFonts w:ascii="仿宋" w:hAnsi="仿宋" w:eastAsia="仿宋" w:cs="仿宋"/>
          <w:color w:val="auto"/>
          <w:sz w:val="18"/>
          <w:szCs w:val="20"/>
          <w:highlight w:val="none"/>
        </w:rPr>
      </w:pPr>
    </w:p>
    <w:p w14:paraId="5FFBBF75">
      <w:pPr>
        <w:pStyle w:val="33"/>
        <w:rPr>
          <w:rFonts w:ascii="仿宋" w:hAnsi="仿宋" w:eastAsia="仿宋" w:cs="仿宋"/>
          <w:color w:val="auto"/>
          <w:sz w:val="18"/>
          <w:szCs w:val="20"/>
          <w:highlight w:val="none"/>
        </w:rPr>
      </w:pPr>
    </w:p>
    <w:p w14:paraId="3CED405B">
      <w:pPr>
        <w:pStyle w:val="33"/>
        <w:rPr>
          <w:rFonts w:ascii="仿宋" w:hAnsi="仿宋" w:eastAsia="仿宋" w:cs="仿宋"/>
          <w:color w:val="auto"/>
          <w:sz w:val="18"/>
          <w:szCs w:val="20"/>
          <w:highlight w:val="none"/>
        </w:rPr>
      </w:pPr>
    </w:p>
    <w:p w14:paraId="3DBB9145">
      <w:pPr>
        <w:pStyle w:val="33"/>
        <w:rPr>
          <w:rFonts w:ascii="仿宋" w:hAnsi="仿宋" w:eastAsia="仿宋" w:cs="仿宋"/>
          <w:color w:val="auto"/>
          <w:sz w:val="18"/>
          <w:szCs w:val="20"/>
          <w:highlight w:val="none"/>
        </w:rPr>
      </w:pPr>
    </w:p>
    <w:p w14:paraId="651715C6">
      <w:pPr>
        <w:pStyle w:val="33"/>
        <w:rPr>
          <w:rFonts w:ascii="仿宋" w:hAnsi="仿宋" w:eastAsia="仿宋" w:cs="仿宋"/>
          <w:color w:val="auto"/>
          <w:sz w:val="18"/>
          <w:szCs w:val="20"/>
          <w:highlight w:val="none"/>
        </w:rPr>
      </w:pPr>
    </w:p>
    <w:p w14:paraId="5A855EEC">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088ADD4D">
      <w:pPr>
        <w:pStyle w:val="10"/>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被授权代表（签章）：          供应商法定代表人（签章）：</w:t>
      </w:r>
    </w:p>
    <w:p w14:paraId="70976BB9">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p>
    <w:p w14:paraId="6B62C577">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p>
    <w:p w14:paraId="4473BC0E">
      <w:pPr>
        <w:pStyle w:val="10"/>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（盖章）</w:t>
      </w:r>
    </w:p>
    <w:p w14:paraId="326CE1AB">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highlight w:val="none"/>
          <w:lang w:eastAsia="zh-CN"/>
        </w:rPr>
      </w:pPr>
      <w:r>
        <w:rPr>
          <w:rFonts w:hint="eastAsia" w:ascii="仿宋" w:hAnsi="仿宋" w:eastAsia="仿宋" w:cs="仿宋"/>
          <w:color w:val="auto"/>
          <w:sz w:val="24"/>
          <w:highlight w:val="none"/>
          <w:lang w:eastAsia="zh-CN"/>
        </w:rPr>
        <w:t xml:space="preserve"> 日期：</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 xml:space="preserve">日 </w:t>
      </w:r>
      <w:r>
        <w:rPr>
          <w:rFonts w:hint="eastAsia" w:ascii="仿宋" w:hAnsi="仿宋" w:eastAsia="仿宋" w:cs="仿宋"/>
          <w:color w:val="auto"/>
          <w:sz w:val="20"/>
          <w:highlight w:val="none"/>
          <w:lang w:eastAsia="zh-CN"/>
        </w:rPr>
        <w:t xml:space="preserve">               </w:t>
      </w:r>
    </w:p>
    <w:p w14:paraId="6EFE5AC2">
      <w:pPr>
        <w:pStyle w:val="33"/>
        <w:rPr>
          <w:rFonts w:ascii="仿宋" w:hAnsi="仿宋" w:eastAsia="仿宋" w:cs="仿宋"/>
          <w:b/>
          <w:bCs/>
          <w:color w:val="auto"/>
          <w:sz w:val="36"/>
          <w:szCs w:val="36"/>
          <w:highlight w:val="none"/>
          <w:lang w:eastAsia="zh-CN"/>
        </w:rPr>
      </w:pPr>
      <w:r>
        <w:rPr>
          <w:rFonts w:hint="eastAsia" w:ascii="仿宋" w:hAnsi="仿宋" w:eastAsia="仿宋" w:cs="仿宋"/>
          <w:color w:val="auto"/>
          <w:highlight w:val="none"/>
          <w:lang w:eastAsia="zh-CN"/>
        </w:rPr>
        <w:br w:type="page"/>
      </w:r>
    </w:p>
    <w:p w14:paraId="7A08488C">
      <w:pPr>
        <w:pStyle w:val="4"/>
        <w:spacing w:line="240" w:lineRule="atLeas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4、参加政府采购活动前3年内</w:t>
      </w:r>
      <w:bookmarkStart w:id="61" w:name="_Toc1137"/>
      <w:bookmarkStart w:id="62" w:name="_Toc6008"/>
      <w:bookmarkStart w:id="63" w:name="_Toc515647812"/>
      <w:r>
        <w:rPr>
          <w:rFonts w:hint="eastAsia" w:ascii="仿宋" w:hAnsi="仿宋" w:eastAsia="仿宋" w:cs="仿宋"/>
          <w:color w:val="auto"/>
          <w:sz w:val="24"/>
          <w:highlight w:val="none"/>
          <w:lang w:eastAsia="zh-CN"/>
        </w:rPr>
        <w:t>在经营活动中没有重大违法记录的书面声明</w:t>
      </w:r>
      <w:bookmarkEnd w:id="61"/>
      <w:bookmarkEnd w:id="62"/>
      <w:bookmarkEnd w:id="63"/>
    </w:p>
    <w:p w14:paraId="097C2532">
      <w:pPr>
        <w:pStyle w:val="13"/>
        <w:tabs>
          <w:tab w:val="left" w:pos="5580"/>
        </w:tabs>
        <w:spacing w:line="240" w:lineRule="atLeast"/>
        <w:ind w:left="1164" w:leftChars="257" w:hanging="540"/>
        <w:jc w:val="center"/>
        <w:rPr>
          <w:rFonts w:ascii="仿宋" w:hAnsi="仿宋" w:eastAsia="仿宋" w:cs="仿宋"/>
          <w:b/>
          <w:color w:val="auto"/>
          <w:highlight w:val="none"/>
          <w:lang w:eastAsia="zh-CN"/>
        </w:rPr>
      </w:pPr>
    </w:p>
    <w:p w14:paraId="76C3E0E1">
      <w:pPr>
        <w:pStyle w:val="13"/>
        <w:tabs>
          <w:tab w:val="left" w:pos="5580"/>
        </w:tabs>
        <w:spacing w:line="240" w:lineRule="atLeast"/>
        <w:ind w:left="1164" w:leftChars="257" w:hanging="540"/>
        <w:rPr>
          <w:rFonts w:ascii="仿宋" w:hAnsi="仿宋" w:eastAsia="仿宋" w:cs="仿宋"/>
          <w:color w:val="auto"/>
          <w:highlight w:val="none"/>
          <w:lang w:eastAsia="zh-CN"/>
        </w:rPr>
      </w:pPr>
    </w:p>
    <w:p w14:paraId="2E50CCE1">
      <w:pPr>
        <w:pStyle w:val="13"/>
        <w:tabs>
          <w:tab w:val="left" w:pos="5580"/>
        </w:tabs>
        <w:spacing w:line="240" w:lineRule="atLeast"/>
        <w:ind w:left="1164" w:leftChars="257" w:hanging="540"/>
        <w:rPr>
          <w:rFonts w:ascii="仿宋" w:hAnsi="仿宋" w:eastAsia="仿宋" w:cs="仿宋"/>
          <w:color w:val="auto"/>
          <w:highlight w:val="none"/>
          <w:lang w:eastAsia="zh-CN"/>
        </w:rPr>
      </w:pPr>
    </w:p>
    <w:p w14:paraId="59058A0B">
      <w:pPr>
        <w:pStyle w:val="13"/>
        <w:tabs>
          <w:tab w:val="left" w:pos="5580"/>
        </w:tabs>
        <w:spacing w:line="360" w:lineRule="auto"/>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说明：1.供应商应按照相关法规规定如实作出说明。</w:t>
      </w:r>
    </w:p>
    <w:p w14:paraId="08A7C329">
      <w:pPr>
        <w:pStyle w:val="13"/>
        <w:tabs>
          <w:tab w:val="left" w:pos="5580"/>
        </w:tabs>
        <w:spacing w:line="360" w:lineRule="auto"/>
        <w:ind w:left="746" w:leftChars="307" w:firstLine="607" w:firstLineChars="25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2．按照招标文件的规定加盖单位章（自然人投标的无需盖章，需要签字）。</w:t>
      </w:r>
    </w:p>
    <w:p w14:paraId="2314E650">
      <w:pPr>
        <w:pStyle w:val="13"/>
        <w:tabs>
          <w:tab w:val="left" w:pos="5580"/>
        </w:tabs>
        <w:spacing w:line="360" w:lineRule="auto"/>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3125C523">
      <w:pPr>
        <w:pStyle w:val="5"/>
        <w:rPr>
          <w:rFonts w:ascii="仿宋" w:hAnsi="仿宋" w:eastAsia="仿宋" w:cs="仿宋"/>
          <w:color w:val="auto"/>
          <w:sz w:val="36"/>
          <w:szCs w:val="36"/>
          <w:highlight w:val="none"/>
          <w:lang w:eastAsia="zh-CN"/>
        </w:rPr>
      </w:pPr>
    </w:p>
    <w:p w14:paraId="2FD0F8DC">
      <w:pPr>
        <w:rPr>
          <w:rFonts w:ascii="仿宋" w:hAnsi="仿宋" w:eastAsia="仿宋" w:cs="仿宋"/>
          <w:b/>
          <w:bCs/>
          <w:color w:val="auto"/>
          <w:sz w:val="36"/>
          <w:szCs w:val="36"/>
          <w:highlight w:val="none"/>
          <w:lang w:eastAsia="zh-CN"/>
        </w:rPr>
      </w:pPr>
    </w:p>
    <w:p w14:paraId="61BBA94B">
      <w:pPr>
        <w:pStyle w:val="5"/>
        <w:rPr>
          <w:rFonts w:ascii="仿宋" w:hAnsi="仿宋" w:eastAsia="仿宋" w:cs="仿宋"/>
          <w:color w:val="auto"/>
          <w:sz w:val="36"/>
          <w:szCs w:val="36"/>
          <w:highlight w:val="none"/>
          <w:lang w:eastAsia="zh-CN"/>
        </w:rPr>
      </w:pPr>
    </w:p>
    <w:p w14:paraId="197CC8FD">
      <w:pPr>
        <w:rPr>
          <w:rFonts w:ascii="仿宋" w:hAnsi="仿宋" w:eastAsia="仿宋" w:cs="仿宋"/>
          <w:b/>
          <w:bCs/>
          <w:color w:val="auto"/>
          <w:sz w:val="36"/>
          <w:szCs w:val="36"/>
          <w:highlight w:val="none"/>
          <w:lang w:eastAsia="zh-CN"/>
        </w:rPr>
      </w:pPr>
    </w:p>
    <w:p w14:paraId="3BE58557">
      <w:pPr>
        <w:pStyle w:val="5"/>
        <w:rPr>
          <w:rFonts w:ascii="仿宋" w:hAnsi="仿宋" w:eastAsia="仿宋" w:cs="仿宋"/>
          <w:color w:val="auto"/>
          <w:sz w:val="36"/>
          <w:szCs w:val="36"/>
          <w:highlight w:val="none"/>
          <w:lang w:eastAsia="zh-CN"/>
        </w:rPr>
      </w:pPr>
    </w:p>
    <w:p w14:paraId="4E260135">
      <w:pPr>
        <w:rPr>
          <w:rFonts w:ascii="仿宋" w:hAnsi="仿宋" w:eastAsia="仿宋" w:cs="仿宋"/>
          <w:b/>
          <w:bCs/>
          <w:color w:val="auto"/>
          <w:sz w:val="36"/>
          <w:szCs w:val="36"/>
          <w:highlight w:val="none"/>
          <w:lang w:eastAsia="zh-CN"/>
        </w:rPr>
      </w:pPr>
    </w:p>
    <w:p w14:paraId="6DA22275">
      <w:pPr>
        <w:pStyle w:val="5"/>
        <w:rPr>
          <w:rFonts w:ascii="仿宋" w:hAnsi="仿宋" w:eastAsia="仿宋" w:cs="仿宋"/>
          <w:color w:val="auto"/>
          <w:sz w:val="36"/>
          <w:szCs w:val="36"/>
          <w:highlight w:val="none"/>
          <w:lang w:eastAsia="zh-CN"/>
        </w:rPr>
      </w:pPr>
    </w:p>
    <w:p w14:paraId="070850BE">
      <w:pPr>
        <w:rPr>
          <w:rFonts w:ascii="仿宋" w:hAnsi="仿宋" w:eastAsia="仿宋" w:cs="仿宋"/>
          <w:b/>
          <w:bCs/>
          <w:color w:val="auto"/>
          <w:sz w:val="36"/>
          <w:szCs w:val="36"/>
          <w:highlight w:val="none"/>
          <w:lang w:eastAsia="zh-CN"/>
        </w:rPr>
      </w:pPr>
    </w:p>
    <w:p w14:paraId="7F8F011D">
      <w:pPr>
        <w:pStyle w:val="5"/>
        <w:rPr>
          <w:rFonts w:ascii="仿宋" w:hAnsi="仿宋" w:eastAsia="仿宋" w:cs="仿宋"/>
          <w:color w:val="auto"/>
          <w:sz w:val="36"/>
          <w:szCs w:val="36"/>
          <w:highlight w:val="none"/>
          <w:lang w:eastAsia="zh-CN"/>
        </w:rPr>
      </w:pPr>
    </w:p>
    <w:p w14:paraId="4A2AC0D4">
      <w:pPr>
        <w:rPr>
          <w:rFonts w:ascii="仿宋" w:hAnsi="仿宋" w:eastAsia="仿宋" w:cs="仿宋"/>
          <w:b/>
          <w:bCs/>
          <w:color w:val="auto"/>
          <w:sz w:val="36"/>
          <w:szCs w:val="36"/>
          <w:highlight w:val="none"/>
          <w:lang w:eastAsia="zh-CN"/>
        </w:rPr>
      </w:pPr>
    </w:p>
    <w:p w14:paraId="5143B49D">
      <w:pPr>
        <w:pStyle w:val="5"/>
        <w:rPr>
          <w:rFonts w:ascii="仿宋" w:hAnsi="仿宋" w:eastAsia="仿宋" w:cs="仿宋"/>
          <w:color w:val="auto"/>
          <w:sz w:val="36"/>
          <w:szCs w:val="36"/>
          <w:highlight w:val="none"/>
          <w:lang w:eastAsia="zh-CN"/>
        </w:rPr>
      </w:pPr>
    </w:p>
    <w:p w14:paraId="72890F08">
      <w:pPr>
        <w:rPr>
          <w:rFonts w:ascii="仿宋" w:hAnsi="仿宋" w:eastAsia="仿宋" w:cs="仿宋"/>
          <w:b/>
          <w:bCs/>
          <w:color w:val="auto"/>
          <w:sz w:val="36"/>
          <w:szCs w:val="36"/>
          <w:highlight w:val="none"/>
          <w:lang w:eastAsia="zh-CN"/>
        </w:rPr>
      </w:pPr>
    </w:p>
    <w:p w14:paraId="19985C0D">
      <w:pPr>
        <w:pStyle w:val="4"/>
        <w:spacing w:line="240" w:lineRule="atLeast"/>
        <w:rPr>
          <w:rFonts w:ascii="仿宋" w:hAnsi="仿宋" w:eastAsia="仿宋" w:cs="仿宋"/>
          <w:bCs/>
          <w:color w:val="auto"/>
          <w:sz w:val="36"/>
          <w:szCs w:val="36"/>
          <w:highlight w:val="none"/>
          <w:lang w:eastAsia="zh-CN"/>
        </w:rPr>
      </w:pPr>
    </w:p>
    <w:p w14:paraId="21B04D2C">
      <w:pPr>
        <w:pStyle w:val="4"/>
        <w:spacing w:line="240" w:lineRule="atLeast"/>
        <w:rPr>
          <w:rFonts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lang w:eastAsia="zh-CN"/>
        </w:rPr>
        <w:t>5、投标保证金缴纳凭证或投标担保函</w:t>
      </w:r>
    </w:p>
    <w:p w14:paraId="3AAF5CDC">
      <w:pPr>
        <w:ind w:firstLine="486" w:firstLineChars="200"/>
        <w:rPr>
          <w:rFonts w:ascii="仿宋" w:hAnsi="仿宋" w:eastAsia="仿宋" w:cs="仿宋"/>
          <w:color w:val="auto"/>
          <w:highlight w:val="none"/>
          <w:lang w:eastAsia="zh-CN"/>
        </w:rPr>
      </w:pPr>
      <w:bookmarkStart w:id="64" w:name="_Toc494296665"/>
      <w:bookmarkStart w:id="65" w:name="_Toc494296991"/>
    </w:p>
    <w:bookmarkEnd w:id="64"/>
    <w:bookmarkEnd w:id="65"/>
    <w:p w14:paraId="6721554F">
      <w:pPr>
        <w:pStyle w:val="7"/>
        <w:rPr>
          <w:rFonts w:ascii="仿宋" w:hAnsi="仿宋" w:eastAsia="仿宋" w:cs="仿宋"/>
          <w:color w:val="auto"/>
          <w:highlight w:val="none"/>
          <w:lang w:eastAsia="zh-CN"/>
        </w:rPr>
      </w:pPr>
    </w:p>
    <w:p w14:paraId="76E41337">
      <w:pPr>
        <w:pStyle w:val="7"/>
        <w:rPr>
          <w:rFonts w:ascii="仿宋" w:hAnsi="仿宋" w:eastAsia="仿宋" w:cs="仿宋"/>
          <w:color w:val="auto"/>
          <w:highlight w:val="none"/>
        </w:rPr>
      </w:pPr>
    </w:p>
    <w:p w14:paraId="1EFC25C5">
      <w:pPr>
        <w:spacing w:line="240" w:lineRule="atLeast"/>
        <w:ind w:left="1164" w:leftChars="257" w:hanging="540"/>
        <w:jc w:val="center"/>
        <w:rPr>
          <w:rFonts w:ascii="仿宋" w:hAnsi="仿宋" w:eastAsia="仿宋" w:cs="仿宋"/>
          <w:color w:val="auto"/>
          <w:highlight w:val="none"/>
        </w:rPr>
      </w:pPr>
    </w:p>
    <w:p w14:paraId="072EB626">
      <w:pPr>
        <w:rPr>
          <w:rFonts w:ascii="仿宋" w:hAnsi="仿宋" w:eastAsia="仿宋" w:cs="仿宋"/>
          <w:color w:val="auto"/>
          <w:sz w:val="28"/>
          <w:szCs w:val="28"/>
          <w:highlight w:val="none"/>
        </w:rPr>
      </w:pPr>
    </w:p>
    <w:tbl>
      <w:tblPr>
        <w:tblStyle w:val="25"/>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4B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3087AEC8">
            <w:pPr>
              <w:rPr>
                <w:rFonts w:ascii="仿宋" w:hAnsi="仿宋" w:eastAsia="仿宋" w:cs="仿宋"/>
                <w:b/>
                <w:bCs/>
                <w:color w:val="auto"/>
                <w:sz w:val="30"/>
                <w:szCs w:val="30"/>
                <w:highlight w:val="none"/>
              </w:rPr>
            </w:pPr>
          </w:p>
          <w:p w14:paraId="2FFE529B">
            <w:pPr>
              <w:jc w:val="center"/>
              <w:rPr>
                <w:rFonts w:ascii="仿宋" w:hAnsi="仿宋" w:eastAsia="仿宋" w:cs="仿宋"/>
                <w:b/>
                <w:bCs/>
                <w:color w:val="auto"/>
                <w:sz w:val="30"/>
                <w:szCs w:val="30"/>
                <w:highlight w:val="none"/>
              </w:rPr>
            </w:pPr>
          </w:p>
          <w:p w14:paraId="2DDBFC07">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2C5236C6">
      <w:pPr>
        <w:pStyle w:val="7"/>
        <w:rPr>
          <w:rFonts w:ascii="仿宋" w:hAnsi="仿宋" w:eastAsia="仿宋" w:cs="仿宋"/>
          <w:color w:val="auto"/>
          <w:highlight w:val="none"/>
        </w:rPr>
      </w:pPr>
    </w:p>
    <w:p w14:paraId="6A7A0252">
      <w:pPr>
        <w:pStyle w:val="7"/>
        <w:rPr>
          <w:rFonts w:ascii="仿宋" w:hAnsi="仿宋" w:eastAsia="仿宋" w:cs="仿宋"/>
          <w:color w:val="auto"/>
          <w:highlight w:val="none"/>
        </w:rPr>
      </w:pPr>
    </w:p>
    <w:p w14:paraId="29ACA63C">
      <w:pPr>
        <w:pStyle w:val="7"/>
        <w:rPr>
          <w:rFonts w:ascii="仿宋" w:hAnsi="仿宋" w:eastAsia="仿宋" w:cs="仿宋"/>
          <w:color w:val="auto"/>
          <w:highlight w:val="none"/>
        </w:rPr>
      </w:pPr>
    </w:p>
    <w:p w14:paraId="2C6E1F8E">
      <w:pPr>
        <w:pStyle w:val="7"/>
        <w:rPr>
          <w:rFonts w:ascii="仿宋" w:hAnsi="仿宋" w:eastAsia="仿宋" w:cs="仿宋"/>
          <w:color w:val="auto"/>
          <w:highlight w:val="none"/>
        </w:rPr>
      </w:pPr>
    </w:p>
    <w:p w14:paraId="655EF17C">
      <w:pPr>
        <w:pStyle w:val="7"/>
        <w:rPr>
          <w:rFonts w:ascii="仿宋" w:hAnsi="仿宋" w:eastAsia="仿宋" w:cs="仿宋"/>
          <w:color w:val="auto"/>
          <w:highlight w:val="none"/>
        </w:rPr>
      </w:pPr>
    </w:p>
    <w:p w14:paraId="1E6586CD">
      <w:pPr>
        <w:pStyle w:val="7"/>
        <w:rPr>
          <w:rFonts w:ascii="仿宋" w:hAnsi="仿宋" w:eastAsia="仿宋" w:cs="仿宋"/>
          <w:color w:val="auto"/>
          <w:highlight w:val="none"/>
        </w:rPr>
      </w:pPr>
    </w:p>
    <w:p w14:paraId="49D039D0">
      <w:pPr>
        <w:rPr>
          <w:rFonts w:ascii="仿宋" w:hAnsi="仿宋" w:eastAsia="仿宋" w:cs="仿宋"/>
          <w:color w:val="auto"/>
          <w:highlight w:val="none"/>
        </w:rPr>
      </w:pPr>
    </w:p>
    <w:p w14:paraId="29B1AD09">
      <w:pPr>
        <w:pStyle w:val="5"/>
        <w:rPr>
          <w:rFonts w:ascii="仿宋" w:hAnsi="仿宋" w:eastAsia="仿宋" w:cs="仿宋"/>
          <w:color w:val="auto"/>
          <w:highlight w:val="none"/>
        </w:rPr>
      </w:pPr>
    </w:p>
    <w:p w14:paraId="194C8A4B">
      <w:pPr>
        <w:rPr>
          <w:rFonts w:ascii="仿宋" w:hAnsi="仿宋" w:eastAsia="仿宋" w:cs="仿宋"/>
          <w:color w:val="auto"/>
          <w:highlight w:val="none"/>
        </w:rPr>
      </w:pPr>
    </w:p>
    <w:p w14:paraId="00EA080D">
      <w:pPr>
        <w:rPr>
          <w:rFonts w:ascii="仿宋" w:hAnsi="仿宋" w:eastAsia="仿宋" w:cs="仿宋"/>
          <w:color w:val="auto"/>
          <w:highlight w:val="none"/>
        </w:rPr>
      </w:pPr>
    </w:p>
    <w:p w14:paraId="494C61CE">
      <w:pPr>
        <w:rPr>
          <w:rFonts w:ascii="仿宋" w:hAnsi="仿宋" w:eastAsia="仿宋" w:cs="仿宋"/>
          <w:color w:val="auto"/>
          <w:highlight w:val="none"/>
        </w:rPr>
      </w:pPr>
    </w:p>
    <w:p w14:paraId="3FEDBDA6">
      <w:pPr>
        <w:jc w:val="center"/>
        <w:rPr>
          <w:rFonts w:ascii="仿宋" w:hAnsi="仿宋" w:eastAsia="仿宋" w:cs="仿宋"/>
          <w:color w:val="auto"/>
          <w:sz w:val="28"/>
          <w:szCs w:val="28"/>
          <w:highlight w:val="none"/>
        </w:rPr>
      </w:pPr>
    </w:p>
    <w:p w14:paraId="6EA57D96">
      <w:pPr>
        <w:jc w:val="center"/>
        <w:rPr>
          <w:rFonts w:ascii="仿宋" w:hAnsi="仿宋" w:eastAsia="仿宋" w:cs="仿宋"/>
          <w:color w:val="auto"/>
          <w:sz w:val="28"/>
          <w:szCs w:val="28"/>
          <w:highlight w:val="none"/>
        </w:rPr>
      </w:pPr>
    </w:p>
    <w:p w14:paraId="11C16F3C">
      <w:pPr>
        <w:jc w:val="center"/>
        <w:rPr>
          <w:rFonts w:ascii="仿宋" w:hAnsi="仿宋" w:eastAsia="仿宋" w:cs="仿宋"/>
          <w:color w:val="auto"/>
          <w:sz w:val="28"/>
          <w:szCs w:val="28"/>
          <w:highlight w:val="none"/>
        </w:rPr>
      </w:pPr>
    </w:p>
    <w:p w14:paraId="1B0293F0">
      <w:pPr>
        <w:jc w:val="center"/>
        <w:rPr>
          <w:rFonts w:ascii="仿宋" w:hAnsi="仿宋" w:eastAsia="仿宋" w:cs="仿宋"/>
          <w:color w:val="auto"/>
          <w:sz w:val="28"/>
          <w:szCs w:val="28"/>
          <w:highlight w:val="none"/>
        </w:rPr>
      </w:pPr>
    </w:p>
    <w:p w14:paraId="62960618">
      <w:pPr>
        <w:jc w:val="center"/>
        <w:rPr>
          <w:rFonts w:ascii="仿宋" w:hAnsi="仿宋" w:eastAsia="仿宋" w:cs="仿宋"/>
          <w:color w:val="auto"/>
          <w:sz w:val="28"/>
          <w:szCs w:val="28"/>
          <w:highlight w:val="none"/>
        </w:rPr>
      </w:pPr>
    </w:p>
    <w:p w14:paraId="775A05A6">
      <w:pPr>
        <w:jc w:val="center"/>
        <w:rPr>
          <w:rFonts w:ascii="仿宋" w:hAnsi="仿宋" w:eastAsia="仿宋" w:cs="仿宋"/>
          <w:color w:val="auto"/>
          <w:sz w:val="28"/>
          <w:szCs w:val="28"/>
          <w:highlight w:val="none"/>
        </w:rPr>
      </w:pPr>
    </w:p>
    <w:p w14:paraId="55E8E337">
      <w:pPr>
        <w:jc w:val="center"/>
        <w:rPr>
          <w:rFonts w:ascii="仿宋" w:hAnsi="仿宋" w:eastAsia="仿宋" w:cs="仿宋"/>
          <w:color w:val="auto"/>
          <w:sz w:val="28"/>
          <w:szCs w:val="28"/>
          <w:highlight w:val="none"/>
        </w:rPr>
      </w:pPr>
    </w:p>
    <w:p w14:paraId="70BB8758">
      <w:pPr>
        <w:jc w:val="center"/>
        <w:rPr>
          <w:rFonts w:ascii="仿宋" w:hAnsi="仿宋" w:eastAsia="仿宋" w:cs="仿宋"/>
          <w:color w:val="auto"/>
          <w:sz w:val="28"/>
          <w:szCs w:val="28"/>
          <w:highlight w:val="none"/>
        </w:rPr>
      </w:pPr>
    </w:p>
    <w:p w14:paraId="5149A105">
      <w:pPr>
        <w:spacing w:line="360" w:lineRule="auto"/>
        <w:jc w:val="both"/>
        <w:rPr>
          <w:rFonts w:ascii="仿宋" w:hAnsi="仿宋" w:eastAsia="仿宋" w:cs="仿宋"/>
          <w:b/>
          <w:bCs/>
          <w:color w:val="auto"/>
          <w:sz w:val="28"/>
          <w:szCs w:val="28"/>
          <w:highlight w:val="none"/>
          <w:lang w:eastAsia="zh-CN"/>
        </w:rPr>
      </w:pPr>
    </w:p>
    <w:p w14:paraId="1F9C44D7">
      <w:pPr>
        <w:spacing w:line="360" w:lineRule="auto"/>
        <w:jc w:val="center"/>
        <w:rPr>
          <w:rFonts w:hint="eastAsia" w:ascii="仿宋" w:hAnsi="仿宋" w:eastAsia="仿宋" w:cs="仿宋"/>
          <w:b/>
          <w:bCs/>
          <w:color w:val="auto"/>
          <w:sz w:val="28"/>
          <w:szCs w:val="28"/>
          <w:highlight w:val="none"/>
          <w:lang w:eastAsia="zh-CN"/>
        </w:rPr>
      </w:pPr>
    </w:p>
    <w:p w14:paraId="1524C9A9">
      <w:pPr>
        <w:spacing w:line="360" w:lineRule="auto"/>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政府采购投标担保函 （项目用）</w:t>
      </w:r>
    </w:p>
    <w:p w14:paraId="33860CE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编号：</w:t>
      </w:r>
    </w:p>
    <w:p w14:paraId="131A48D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（采购人或采购代理机构）：</w:t>
      </w:r>
    </w:p>
    <w:p w14:paraId="78A36C7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鉴于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（以下简称“供应商”）拟参加编号为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292E68E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14:paraId="14111692">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一、保证责任的情形及保证金额</w:t>
      </w:r>
    </w:p>
    <w:p w14:paraId="7FACF7C9">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（一）在供应商出现下列情形之一时，我方承担保证责任：</w:t>
      </w:r>
    </w:p>
    <w:p w14:paraId="45C1B69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1．中标后供应商无正当理由不与采购人或者采购代理机构签订《政府采购合同》；</w:t>
      </w:r>
    </w:p>
    <w:p w14:paraId="6531E8C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2．询价通知书规定的供应商应当缴纳保证金的其他情形。</w:t>
      </w:r>
    </w:p>
    <w:p w14:paraId="2E9D2AA0">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（二）我方承担保证责任的最高金额为人民币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元（大写</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），即本项目的投标保证金金额。</w:t>
      </w:r>
    </w:p>
    <w:p w14:paraId="23C53D6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二、保证的方式及保证期间</w:t>
      </w:r>
    </w:p>
    <w:p w14:paraId="61AAEF3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我方保证的方式为：连带责任保证。</w:t>
      </w:r>
    </w:p>
    <w:p w14:paraId="67CC6543">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我方的保证期间为：自本保函生效之日起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个月止。</w:t>
      </w:r>
    </w:p>
    <w:p w14:paraId="6FAFA64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三、承担保证责任的程序</w:t>
      </w:r>
    </w:p>
    <w:p w14:paraId="13C291B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2EBBA0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2．我方在收到索赔通知及相关证明材料后，在</w:t>
      </w:r>
      <w:r>
        <w:rPr>
          <w:rFonts w:hint="eastAsia" w:ascii="仿宋" w:hAnsi="仿宋" w:eastAsia="仿宋" w:cs="仿宋"/>
          <w:color w:val="auto"/>
          <w:highlight w:val="none"/>
          <w:u w:val="single"/>
          <w:lang w:eastAsia="zh-CN"/>
        </w:rPr>
        <w:t>　　　</w:t>
      </w:r>
      <w:r>
        <w:rPr>
          <w:rFonts w:hint="eastAsia" w:ascii="仿宋" w:hAnsi="仿宋" w:eastAsia="仿宋" w:cs="仿宋"/>
          <w:color w:val="auto"/>
          <w:highlight w:val="none"/>
          <w:lang w:eastAsia="zh-CN"/>
        </w:rPr>
        <w:t>个工作日内进行审查，符合应承担保证责任情形的，我方应按照你方的要求代供应商向你方支付投标保证金。</w:t>
      </w:r>
    </w:p>
    <w:p w14:paraId="252980D6">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四、保证责任的终止</w:t>
      </w:r>
    </w:p>
    <w:p w14:paraId="2A44999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1．保证期间届满你方未向我方书面主张保证责任的，自保证期间届满次日起，我方保证责任自动终止。</w:t>
      </w:r>
    </w:p>
    <w:p w14:paraId="4BE8461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2．我方按照本保函向你贵方履行了保证责任后，自我方向你贵方支付款项（支付款项从我方账户划出）之日起，保证责任终止。</w:t>
      </w:r>
    </w:p>
    <w:p w14:paraId="395B2AA4">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3．按照法律法规的规定或出现我方保证责任终止的其它情形的，我方在本保函项下的保证责任亦终止。</w:t>
      </w:r>
    </w:p>
    <w:p w14:paraId="6BE3990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五、免责条款</w:t>
      </w:r>
    </w:p>
    <w:p w14:paraId="5AD1FF3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1．依照法律规定或你方与供应商的另行约定，全部或者部分免除供应商投标保证金义务时，我方亦免除相应的保证责任。</w:t>
      </w:r>
    </w:p>
    <w:p w14:paraId="3C72B54E">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2．因你方原因致使供应商发生本保函第一条第（一）款约定情形的，我方不承担保证责任。</w:t>
      </w:r>
    </w:p>
    <w:p w14:paraId="5057386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3．因不可抗力造成供应商发生本保函第一条约定情形的，我方不承担保证责任。</w:t>
      </w:r>
    </w:p>
    <w:p w14:paraId="2E3BE53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4．你方或其他有权机关对询价通知书进行任何澄清或修改，加重我方保证责任的，我方对加重部分不承担保证责任，但该澄清或修改经我方事先书面同意的除外。</w:t>
      </w:r>
    </w:p>
    <w:p w14:paraId="6FBB891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六、争议的解决</w:t>
      </w:r>
    </w:p>
    <w:p w14:paraId="44F3564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因本保函发生的纠纷，由你我双方协商解决，协商不成的，通过诉讼程序解决，诉讼管辖地法院为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法院。</w:t>
      </w:r>
    </w:p>
    <w:p w14:paraId="638E9E8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七、保函的生效</w:t>
      </w:r>
    </w:p>
    <w:p w14:paraId="659FDDF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本保函自我方加盖公章之日起生效。</w:t>
      </w:r>
    </w:p>
    <w:p w14:paraId="42F40C9F">
      <w:pPr>
        <w:spacing w:line="360" w:lineRule="auto"/>
        <w:ind w:firstLine="6439" w:firstLineChars="2650"/>
        <w:rPr>
          <w:rFonts w:ascii="仿宋" w:hAnsi="仿宋" w:eastAsia="仿宋" w:cs="仿宋"/>
          <w:color w:val="auto"/>
          <w:highlight w:val="none"/>
          <w:lang w:eastAsia="zh-CN"/>
        </w:rPr>
      </w:pPr>
    </w:p>
    <w:p w14:paraId="26333AB0">
      <w:pPr>
        <w:spacing w:line="360" w:lineRule="auto"/>
        <w:ind w:firstLine="6439" w:firstLineChars="2650"/>
        <w:rPr>
          <w:rFonts w:ascii="仿宋" w:hAnsi="仿宋" w:eastAsia="仿宋" w:cs="仿宋"/>
          <w:color w:val="auto"/>
          <w:highlight w:val="none"/>
          <w:lang w:eastAsia="zh-CN"/>
        </w:rPr>
      </w:pPr>
    </w:p>
    <w:p w14:paraId="376582C0">
      <w:pPr>
        <w:spacing w:line="360" w:lineRule="auto"/>
        <w:ind w:firstLine="6439" w:firstLineChars="2650"/>
        <w:rPr>
          <w:rFonts w:ascii="仿宋" w:hAnsi="仿宋" w:eastAsia="仿宋" w:cs="仿宋"/>
          <w:color w:val="auto"/>
          <w:highlight w:val="none"/>
          <w:lang w:eastAsia="zh-CN"/>
        </w:rPr>
      </w:pPr>
      <w:r>
        <w:rPr>
          <w:rFonts w:hint="eastAsia" w:ascii="仿宋" w:hAnsi="仿宋" w:eastAsia="仿宋" w:cs="仿宋"/>
          <w:color w:val="auto"/>
          <w:highlight w:val="none"/>
          <w:lang w:eastAsia="zh-CN"/>
        </w:rPr>
        <w:t>保证人：（公章）</w:t>
      </w:r>
    </w:p>
    <w:p w14:paraId="4868BB2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63A13C3D">
      <w:pPr>
        <w:spacing w:line="360" w:lineRule="auto"/>
        <w:ind w:firstLine="6318" w:firstLineChars="2600"/>
        <w:rPr>
          <w:rFonts w:ascii="仿宋" w:hAnsi="仿宋" w:eastAsia="仿宋" w:cs="仿宋"/>
          <w:color w:val="auto"/>
          <w:highlight w:val="none"/>
          <w:lang w:eastAsia="zh-CN"/>
        </w:rPr>
        <w:sectPr>
          <w:headerReference r:id="rId10" w:type="default"/>
          <w:footerReference r:id="rId11" w:type="default"/>
          <w:pgSz w:w="11905" w:h="16838"/>
          <w:pgMar w:top="1440" w:right="1417" w:bottom="1440" w:left="1417" w:header="850" w:footer="992" w:gutter="0"/>
          <w:pgNumType w:fmt="decimal"/>
          <w:cols w:space="0" w:num="1"/>
          <w:docGrid w:type="linesAndChars" w:linePitch="325" w:charSpace="635"/>
        </w:sectPr>
      </w:pPr>
      <w:r>
        <w:rPr>
          <w:rFonts w:hint="eastAsia" w:ascii="仿宋" w:hAnsi="仿宋" w:eastAsia="仿宋" w:cs="仿宋"/>
          <w:color w:val="auto"/>
          <w:highlight w:val="none"/>
          <w:lang w:eastAsia="zh-CN"/>
        </w:rPr>
        <w:t>年     月      日</w:t>
      </w:r>
    </w:p>
    <w:p w14:paraId="0D048B70">
      <w:pPr>
        <w:spacing w:line="400" w:lineRule="exact"/>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、投标企业须提供投标人（被授权在职人员）近6个月内任意一个月有效的社保证明</w:t>
      </w:r>
    </w:p>
    <w:p w14:paraId="64F1DB4D">
      <w:pPr>
        <w:spacing w:line="400" w:lineRule="exact"/>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说明：复印件上应加盖本单位章</w:t>
      </w:r>
    </w:p>
    <w:p w14:paraId="549985C9">
      <w:pPr>
        <w:pStyle w:val="33"/>
        <w:ind w:firstLine="0"/>
        <w:rPr>
          <w:rFonts w:ascii="仿宋" w:hAnsi="仿宋" w:eastAsia="仿宋" w:cs="仿宋"/>
          <w:color w:val="auto"/>
          <w:highlight w:val="none"/>
          <w:lang w:eastAsia="zh-CN"/>
        </w:rPr>
      </w:pPr>
    </w:p>
    <w:p w14:paraId="72A54409">
      <w:pPr>
        <w:pStyle w:val="33"/>
        <w:rPr>
          <w:rFonts w:ascii="仿宋" w:hAnsi="仿宋" w:eastAsia="仿宋" w:cs="仿宋"/>
          <w:color w:val="auto"/>
          <w:highlight w:val="none"/>
          <w:lang w:eastAsia="zh-CN"/>
        </w:rPr>
      </w:pPr>
    </w:p>
    <w:p w14:paraId="36E8160C">
      <w:pPr>
        <w:pStyle w:val="33"/>
        <w:rPr>
          <w:rFonts w:ascii="仿宋" w:hAnsi="仿宋" w:eastAsia="仿宋" w:cs="仿宋"/>
          <w:color w:val="auto"/>
          <w:highlight w:val="none"/>
          <w:lang w:eastAsia="zh-CN"/>
        </w:rPr>
      </w:pPr>
    </w:p>
    <w:p w14:paraId="16A0CEFC">
      <w:pPr>
        <w:pStyle w:val="33"/>
        <w:rPr>
          <w:rFonts w:ascii="仿宋" w:hAnsi="仿宋" w:eastAsia="仿宋" w:cs="仿宋"/>
          <w:color w:val="auto"/>
          <w:highlight w:val="none"/>
          <w:lang w:eastAsia="zh-CN"/>
        </w:rPr>
      </w:pPr>
    </w:p>
    <w:p w14:paraId="2CB5B5F1">
      <w:pPr>
        <w:pStyle w:val="33"/>
        <w:rPr>
          <w:rFonts w:ascii="仿宋" w:hAnsi="仿宋" w:eastAsia="仿宋" w:cs="仿宋"/>
          <w:color w:val="auto"/>
          <w:highlight w:val="none"/>
          <w:lang w:eastAsia="zh-CN"/>
        </w:rPr>
      </w:pPr>
    </w:p>
    <w:p w14:paraId="590CF22E">
      <w:pPr>
        <w:pStyle w:val="33"/>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bCs/>
          <w:color w:val="auto"/>
          <w:highlight w:val="none"/>
          <w:lang w:eastAsia="zh-CN"/>
        </w:rPr>
        <w:t>。</w:t>
      </w:r>
    </w:p>
    <w:p w14:paraId="2C08A956">
      <w:pPr>
        <w:pStyle w:val="33"/>
        <w:rPr>
          <w:rFonts w:ascii="仿宋" w:hAnsi="仿宋" w:eastAsia="仿宋" w:cs="仿宋"/>
          <w:b/>
          <w:bCs/>
          <w:color w:val="auto"/>
          <w:highlight w:val="none"/>
          <w:lang w:eastAsia="zh-CN"/>
        </w:rPr>
      </w:pPr>
    </w:p>
    <w:p w14:paraId="0E137A0F">
      <w:pPr>
        <w:rPr>
          <w:rFonts w:ascii="仿宋" w:hAnsi="仿宋" w:eastAsia="仿宋" w:cs="仿宋"/>
          <w:color w:val="auto"/>
          <w:highlight w:val="none"/>
          <w:lang w:eastAsia="zh-CN"/>
        </w:rPr>
      </w:pPr>
    </w:p>
    <w:p w14:paraId="42CE38D3">
      <w:pPr>
        <w:spacing w:line="400" w:lineRule="exact"/>
        <w:ind w:firstLine="486" w:firstLineChars="200"/>
        <w:rPr>
          <w:rFonts w:ascii="仿宋" w:hAnsi="仿宋" w:eastAsia="仿宋" w:cs="仿宋"/>
          <w:b/>
          <w:bCs/>
          <w:color w:val="auto"/>
          <w:highlight w:val="none"/>
          <w:lang w:eastAsia="zh-CN"/>
        </w:rPr>
      </w:pPr>
    </w:p>
    <w:p w14:paraId="69D09A38">
      <w:pPr>
        <w:spacing w:line="400" w:lineRule="exact"/>
        <w:ind w:firstLine="486" w:firstLineChars="200"/>
        <w:rPr>
          <w:rFonts w:ascii="仿宋" w:hAnsi="仿宋" w:eastAsia="仿宋" w:cs="仿宋"/>
          <w:b/>
          <w:bCs/>
          <w:color w:val="auto"/>
          <w:highlight w:val="none"/>
          <w:lang w:eastAsia="zh-CN"/>
        </w:rPr>
      </w:pPr>
    </w:p>
    <w:p w14:paraId="278F6A82">
      <w:pPr>
        <w:spacing w:line="400" w:lineRule="exact"/>
        <w:ind w:firstLine="486" w:firstLineChars="200"/>
        <w:rPr>
          <w:rFonts w:ascii="仿宋" w:hAnsi="仿宋" w:eastAsia="仿宋" w:cs="仿宋"/>
          <w:b/>
          <w:bCs/>
          <w:color w:val="auto"/>
          <w:highlight w:val="none"/>
          <w:lang w:eastAsia="zh-CN"/>
        </w:rPr>
      </w:pPr>
    </w:p>
    <w:p w14:paraId="63A61BA4">
      <w:pPr>
        <w:spacing w:line="400" w:lineRule="exact"/>
        <w:ind w:firstLine="486" w:firstLineChars="20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供应商须知前附表要求的其他资格证明文件</w:t>
      </w:r>
    </w:p>
    <w:p w14:paraId="225C9077">
      <w:pPr>
        <w:pStyle w:val="3"/>
        <w:spacing w:before="40" w:after="40" w:line="579" w:lineRule="auto"/>
        <w:jc w:val="both"/>
        <w:rPr>
          <w:rFonts w:hint="eastAsia" w:ascii="仿宋" w:hAnsi="仿宋" w:eastAsia="仿宋" w:cs="仿宋"/>
          <w:color w:val="auto"/>
          <w:sz w:val="32"/>
          <w:szCs w:val="32"/>
          <w:highlight w:val="none"/>
          <w:lang w:eastAsia="zh-CN"/>
        </w:rPr>
      </w:pPr>
      <w:bookmarkStart w:id="66" w:name="_Toc22967"/>
      <w:bookmarkStart w:id="67" w:name="_Toc11180"/>
      <w:bookmarkStart w:id="68" w:name="_Toc515647816"/>
      <w:bookmarkStart w:id="69" w:name="_Toc5695"/>
    </w:p>
    <w:p w14:paraId="62CF5469">
      <w:pPr>
        <w:rPr>
          <w:rFonts w:hint="eastAsia" w:ascii="仿宋" w:hAnsi="仿宋" w:eastAsia="仿宋" w:cs="仿宋"/>
          <w:color w:val="auto"/>
          <w:sz w:val="32"/>
          <w:szCs w:val="32"/>
          <w:highlight w:val="none"/>
          <w:lang w:eastAsia="zh-CN"/>
        </w:rPr>
      </w:pPr>
    </w:p>
    <w:p w14:paraId="49D51DC8">
      <w:pPr>
        <w:pStyle w:val="5"/>
        <w:rPr>
          <w:rFonts w:hint="eastAsia" w:ascii="仿宋" w:hAnsi="仿宋" w:eastAsia="仿宋" w:cs="仿宋"/>
          <w:color w:val="auto"/>
          <w:sz w:val="32"/>
          <w:szCs w:val="32"/>
          <w:highlight w:val="none"/>
          <w:lang w:eastAsia="zh-CN"/>
        </w:rPr>
      </w:pPr>
    </w:p>
    <w:p w14:paraId="7A98B349">
      <w:pPr>
        <w:rPr>
          <w:rFonts w:hint="eastAsia"/>
          <w:color w:val="auto"/>
          <w:highlight w:val="none"/>
          <w:lang w:eastAsia="zh-CN"/>
        </w:rPr>
      </w:pPr>
    </w:p>
    <w:p w14:paraId="447AC397">
      <w:pPr>
        <w:pStyle w:val="3"/>
        <w:spacing w:before="40" w:after="40" w:line="579" w:lineRule="auto"/>
        <w:jc w:val="center"/>
        <w:rPr>
          <w:rFonts w:hint="eastAsia" w:ascii="仿宋" w:hAnsi="仿宋" w:eastAsia="仿宋" w:cs="仿宋"/>
          <w:color w:val="auto"/>
          <w:sz w:val="32"/>
          <w:szCs w:val="32"/>
          <w:highlight w:val="none"/>
          <w:lang w:eastAsia="zh-CN"/>
        </w:rPr>
      </w:pPr>
    </w:p>
    <w:p w14:paraId="7CB2BF79">
      <w:pPr>
        <w:rPr>
          <w:rFonts w:hint="eastAsia" w:ascii="仿宋" w:hAnsi="仿宋" w:eastAsia="仿宋" w:cs="仿宋"/>
          <w:color w:val="auto"/>
          <w:sz w:val="32"/>
          <w:szCs w:val="32"/>
          <w:highlight w:val="none"/>
          <w:lang w:eastAsia="zh-CN"/>
        </w:rPr>
      </w:pPr>
    </w:p>
    <w:p w14:paraId="6E9DD954">
      <w:pPr>
        <w:pStyle w:val="7"/>
        <w:rPr>
          <w:rFonts w:hint="eastAsia" w:ascii="仿宋" w:hAnsi="仿宋" w:eastAsia="仿宋" w:cs="仿宋"/>
          <w:color w:val="auto"/>
          <w:sz w:val="32"/>
          <w:szCs w:val="32"/>
          <w:highlight w:val="none"/>
          <w:lang w:eastAsia="zh-CN"/>
        </w:rPr>
      </w:pPr>
    </w:p>
    <w:bookmarkEnd w:id="66"/>
    <w:bookmarkEnd w:id="67"/>
    <w:bookmarkEnd w:id="68"/>
    <w:bookmarkEnd w:id="69"/>
    <w:p w14:paraId="4FC61841">
      <w:pPr>
        <w:pStyle w:val="3"/>
        <w:spacing w:before="40" w:after="40" w:line="579" w:lineRule="auto"/>
        <w:jc w:val="both"/>
        <w:rPr>
          <w:rFonts w:hint="eastAsia" w:ascii="仿宋" w:hAnsi="仿宋" w:eastAsia="仿宋" w:cs="仿宋"/>
          <w:color w:val="auto"/>
          <w:sz w:val="32"/>
          <w:szCs w:val="32"/>
          <w:lang w:eastAsia="zh-CN"/>
        </w:rPr>
      </w:pPr>
    </w:p>
    <w:p w14:paraId="38887C93">
      <w:pPr>
        <w:pStyle w:val="3"/>
        <w:spacing w:before="40" w:after="40" w:line="579" w:lineRule="auto"/>
        <w:jc w:val="cente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  商务及技术文件</w:t>
      </w:r>
    </w:p>
    <w:p w14:paraId="4A1C2459">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14:paraId="6BC4FADC">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2、开标一览表</w:t>
      </w:r>
    </w:p>
    <w:p w14:paraId="1C34ABC8">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3、服务说明一览表</w:t>
      </w:r>
    </w:p>
    <w:p w14:paraId="6017DF48">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4、投标分项报价表</w:t>
      </w:r>
    </w:p>
    <w:p w14:paraId="6DA854BB">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5、技术条款偏离表</w:t>
      </w:r>
    </w:p>
    <w:p w14:paraId="577BE562">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14:paraId="21F5AB6F">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7、供应商基本情况表</w:t>
      </w:r>
    </w:p>
    <w:p w14:paraId="2A41B46A">
      <w:pPr>
        <w:pStyle w:val="13"/>
        <w:spacing w:line="400" w:lineRule="exact"/>
        <w:ind w:left="359" w:leftChars="148" w:firstLine="228"/>
        <w:rPr>
          <w:rFonts w:hint="eastAsia" w:ascii="仿宋" w:hAnsi="仿宋" w:eastAsia="仿宋" w:cs="仿宋"/>
          <w:color w:val="auto"/>
          <w:lang w:eastAsia="zh-CN"/>
        </w:rPr>
      </w:pPr>
      <w:r>
        <w:rPr>
          <w:rFonts w:hint="eastAsia" w:ascii="仿宋" w:hAnsi="仿宋" w:eastAsia="仿宋" w:cs="仿宋"/>
          <w:color w:val="auto"/>
          <w:lang w:val="en-US" w:eastAsia="zh-CN"/>
        </w:rPr>
        <w:t>8、近三年内（2022年1月1日至今）类似业绩表</w:t>
      </w:r>
    </w:p>
    <w:p w14:paraId="193F5763">
      <w:pPr>
        <w:pStyle w:val="13"/>
        <w:spacing w:line="400" w:lineRule="exact"/>
        <w:ind w:left="359" w:leftChars="148" w:firstLine="228"/>
        <w:rPr>
          <w:rFonts w:hint="eastAsia" w:ascii="仿宋" w:hAnsi="仿宋" w:eastAsia="仿宋" w:cs="仿宋"/>
          <w:color w:val="auto"/>
          <w:lang w:val="en-US" w:eastAsia="zh-CN"/>
        </w:rPr>
      </w:pPr>
      <w:r>
        <w:rPr>
          <w:rFonts w:hint="eastAsia" w:ascii="仿宋" w:hAnsi="仿宋" w:eastAsia="仿宋" w:cs="仿宋"/>
          <w:color w:val="auto"/>
          <w:lang w:val="en-US" w:eastAsia="zh-CN"/>
        </w:rPr>
        <w:t>9、中标服务费支付承诺书</w:t>
      </w:r>
    </w:p>
    <w:p w14:paraId="43592812">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10</w:t>
      </w:r>
      <w:r>
        <w:rPr>
          <w:rFonts w:hint="eastAsia" w:ascii="仿宋" w:hAnsi="仿宋" w:eastAsia="仿宋" w:cs="仿宋"/>
          <w:color w:val="auto"/>
          <w:lang w:eastAsia="zh-CN"/>
        </w:rPr>
        <w:t>、中小企业声明函(服务)</w:t>
      </w:r>
    </w:p>
    <w:p w14:paraId="0B31E086">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11</w:t>
      </w:r>
      <w:r>
        <w:rPr>
          <w:rFonts w:hint="eastAsia" w:ascii="仿宋" w:hAnsi="仿宋" w:eastAsia="仿宋" w:cs="仿宋"/>
          <w:color w:val="auto"/>
          <w:lang w:eastAsia="zh-CN"/>
        </w:rPr>
        <w:t>、《残疾人福利性单位声明函》</w:t>
      </w:r>
    </w:p>
    <w:p w14:paraId="602A38E8">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12</w:t>
      </w:r>
      <w:r>
        <w:rPr>
          <w:rFonts w:hint="eastAsia" w:ascii="仿宋" w:hAnsi="仿宋" w:eastAsia="仿宋" w:cs="仿宋"/>
          <w:color w:val="auto"/>
          <w:lang w:eastAsia="zh-CN"/>
        </w:rPr>
        <w:t>、评分标准和细则中技术、商务部分证明材料（格式自拟）</w:t>
      </w:r>
    </w:p>
    <w:p w14:paraId="756F5339">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13</w:t>
      </w:r>
      <w:r>
        <w:rPr>
          <w:rFonts w:hint="eastAsia" w:ascii="仿宋" w:hAnsi="仿宋" w:eastAsia="仿宋" w:cs="仿宋"/>
          <w:color w:val="auto"/>
          <w:lang w:eastAsia="zh-CN"/>
        </w:rPr>
        <w:t>、供应商认为有必要提供的其他证明材料（格式自拟）</w:t>
      </w:r>
    </w:p>
    <w:p w14:paraId="44A17FE1">
      <w:pPr>
        <w:pStyle w:val="13"/>
        <w:tabs>
          <w:tab w:val="left" w:pos="5580"/>
        </w:tabs>
        <w:spacing w:line="400" w:lineRule="exact"/>
        <w:ind w:left="648" w:leftChars="267"/>
        <w:rPr>
          <w:rFonts w:ascii="仿宋" w:hAnsi="仿宋" w:eastAsia="仿宋" w:cs="仿宋"/>
          <w:color w:val="auto"/>
          <w:sz w:val="21"/>
          <w:szCs w:val="21"/>
          <w:lang w:eastAsia="zh-CN"/>
        </w:rPr>
      </w:pPr>
      <w:r>
        <w:rPr>
          <w:rFonts w:hint="eastAsia" w:ascii="仿宋" w:hAnsi="仿宋" w:eastAsia="仿宋" w:cs="仿宋"/>
          <w:color w:val="auto"/>
          <w:lang w:eastAsia="zh-CN"/>
        </w:rPr>
        <w:br w:type="page"/>
      </w:r>
    </w:p>
    <w:p w14:paraId="4E92A315">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14:paraId="64A7D40C">
      <w:pPr>
        <w:spacing w:line="440" w:lineRule="exact"/>
        <w:rPr>
          <w:rFonts w:ascii="仿宋" w:hAnsi="仿宋" w:eastAsia="仿宋" w:cs="仿宋"/>
          <w:color w:val="auto"/>
          <w:u w:val="single"/>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 xml:space="preserve">                     </w:t>
      </w:r>
    </w:p>
    <w:p w14:paraId="71BB67AA">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为响应你方组织的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项目的招标[项目编号为：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]，我方愿参与投标。</w:t>
      </w:r>
    </w:p>
    <w:p w14:paraId="6739AE7A">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我方确认收到贵方提供的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招标文件的全部内容。</w:t>
      </w:r>
    </w:p>
    <w:p w14:paraId="256D5800">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4AE446BF">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 xml:space="preserve">  (授权代表全名, 职务)  </w:t>
      </w:r>
      <w:r>
        <w:rPr>
          <w:rFonts w:hint="eastAsia" w:ascii="仿宋" w:hAnsi="仿宋" w:eastAsia="仿宋" w:cs="仿宋"/>
          <w:color w:val="auto"/>
          <w:lang w:eastAsia="zh-CN"/>
        </w:rPr>
        <w:t>代表我方全权处理有关本报价的一切事宜。</w:t>
      </w:r>
    </w:p>
    <w:p w14:paraId="41EF966F">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我方已完全明白招标文件的所有条款要求，并申明如下：</w:t>
      </w:r>
    </w:p>
    <w:p w14:paraId="0C0F20D1">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（一）按招标文件提供的全部货物与相关服务的投标总价详见《报价一览表》。</w:t>
      </w:r>
    </w:p>
    <w:p w14:paraId="013E047B">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（二）本投标文件的有效期为投标截止时间起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334AAEF">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14:paraId="67FDE8D4">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14:paraId="1EBED58F">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（五）我方如果中标，将保证履行招标文件及其澄清、修改文件（如果有）中的全部责任和义务，按质、按量、按期完成《招标内容》及《合同书》中的全部任务。</w:t>
      </w:r>
    </w:p>
    <w:p w14:paraId="332C0800">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（六）如我方被授予合同，我方承诺支付就本次招标应支付或将支付的中标服务费（详见按招标文件要求格式填写的《中标服务费支付承诺书》）。</w:t>
      </w:r>
    </w:p>
    <w:p w14:paraId="7D0896CE">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14:paraId="2DD55BEB">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14:paraId="2D566EDE">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14:paraId="7A956D34">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14:paraId="3EA37AC9">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14:paraId="6946B7E2">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14:paraId="14872AC0">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14:paraId="31E7D6C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14:paraId="04BD729F">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14:paraId="45F1EF4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14:paraId="34B0B56D">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14:paraId="269DDC93">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（十三）我方对在本函及投标文件中所作的所有承诺承担法律责任。</w:t>
      </w:r>
    </w:p>
    <w:p w14:paraId="068D3DC9">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14:paraId="37AE53B8">
      <w:pPr>
        <w:spacing w:line="440" w:lineRule="exact"/>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.邮政编码：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7382B61B">
      <w:pPr>
        <w:spacing w:line="440" w:lineRule="exact"/>
        <w:rPr>
          <w:rFonts w:ascii="仿宋" w:hAnsi="仿宋" w:eastAsia="仿宋" w:cs="仿宋"/>
          <w:color w:val="auto"/>
          <w:lang w:eastAsia="zh-CN"/>
        </w:rPr>
      </w:pPr>
      <w:r>
        <w:rPr>
          <w:rFonts w:hint="eastAsia" w:ascii="仿宋" w:hAnsi="仿宋" w:eastAsia="仿宋" w:cs="仿宋"/>
          <w:color w:val="auto"/>
          <w:lang w:eastAsia="zh-CN"/>
        </w:rPr>
        <w:t>电    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296BA310">
      <w:pPr>
        <w:spacing w:line="440" w:lineRule="exact"/>
        <w:rPr>
          <w:rFonts w:ascii="仿宋" w:hAnsi="仿宋" w:eastAsia="仿宋" w:cs="仿宋"/>
          <w:color w:val="auto"/>
          <w:lang w:eastAsia="zh-CN"/>
        </w:rPr>
      </w:pPr>
      <w:r>
        <w:rPr>
          <w:rFonts w:hint="eastAsia" w:ascii="仿宋" w:hAnsi="仿宋" w:eastAsia="仿宋" w:cs="仿宋"/>
          <w:color w:val="auto"/>
          <w:lang w:eastAsia="zh-CN"/>
        </w:rPr>
        <w:t>传    真：</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017CD5F0">
      <w:pPr>
        <w:spacing w:line="440" w:lineRule="exact"/>
        <w:rPr>
          <w:rFonts w:ascii="仿宋" w:hAnsi="仿宋" w:eastAsia="仿宋" w:cs="仿宋"/>
          <w:color w:val="auto"/>
          <w:lang w:eastAsia="zh-CN"/>
        </w:rPr>
      </w:pPr>
      <w:r>
        <w:rPr>
          <w:rFonts w:hint="eastAsia" w:ascii="仿宋" w:hAnsi="仿宋" w:eastAsia="仿宋" w:cs="仿宋"/>
          <w:color w:val="auto"/>
          <w:lang w:eastAsia="zh-CN"/>
        </w:rPr>
        <w:t>代表姓名：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    务：</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4EEBAC47">
      <w:pPr>
        <w:spacing w:line="440" w:lineRule="exact"/>
        <w:ind w:right="480"/>
        <w:jc w:val="right"/>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（公章） </w:t>
      </w:r>
    </w:p>
    <w:p w14:paraId="699FA23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（签章）  </w:t>
      </w:r>
    </w:p>
    <w:p w14:paraId="3E6D1C89">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00FCE2A9">
      <w:pPr>
        <w:pStyle w:val="33"/>
        <w:rPr>
          <w:rFonts w:ascii="仿宋" w:hAnsi="仿宋" w:eastAsia="仿宋" w:cs="仿宋"/>
          <w:color w:val="auto"/>
          <w:lang w:eastAsia="zh-CN"/>
        </w:rPr>
      </w:pPr>
      <w:r>
        <w:rPr>
          <w:rFonts w:hint="eastAsia" w:ascii="仿宋" w:hAnsi="仿宋" w:eastAsia="仿宋" w:cs="仿宋"/>
          <w:color w:val="auto"/>
          <w:lang w:eastAsia="zh-CN"/>
        </w:rPr>
        <w:br w:type="page"/>
      </w:r>
    </w:p>
    <w:p w14:paraId="24AEBC51">
      <w:pPr>
        <w:pStyle w:val="7"/>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14:paraId="7C111C6B">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14:paraId="3526D195">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14:paraId="579581BC">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单位：元（人民币）</w:t>
      </w:r>
    </w:p>
    <w:tbl>
      <w:tblPr>
        <w:tblStyle w:val="25"/>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0FA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34E895AB">
            <w:pPr>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185" w:type="dxa"/>
            <w:vAlign w:val="center"/>
          </w:tcPr>
          <w:p w14:paraId="5F4443D3">
            <w:pPr>
              <w:rPr>
                <w:rFonts w:ascii="仿宋" w:hAnsi="仿宋" w:eastAsia="仿宋" w:cs="仿宋"/>
                <w:color w:val="auto"/>
                <w:szCs w:val="21"/>
              </w:rPr>
            </w:pPr>
          </w:p>
        </w:tc>
      </w:tr>
      <w:tr w14:paraId="7E8C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4C85D17C">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服务期</w:t>
            </w:r>
          </w:p>
        </w:tc>
        <w:tc>
          <w:tcPr>
            <w:tcW w:w="6185" w:type="dxa"/>
            <w:vAlign w:val="center"/>
          </w:tcPr>
          <w:p w14:paraId="7F9C8F74">
            <w:pPr>
              <w:jc w:val="center"/>
              <w:rPr>
                <w:rFonts w:ascii="仿宋" w:hAnsi="仿宋" w:eastAsia="仿宋" w:cs="仿宋"/>
                <w:color w:val="auto"/>
                <w:szCs w:val="21"/>
                <w:lang w:eastAsia="zh-CN"/>
              </w:rPr>
            </w:pPr>
          </w:p>
        </w:tc>
      </w:tr>
      <w:tr w14:paraId="1F32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7D098296">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6185" w:type="dxa"/>
            <w:vAlign w:val="center"/>
          </w:tcPr>
          <w:p w14:paraId="7301C94B">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60天</w:t>
            </w:r>
          </w:p>
        </w:tc>
      </w:tr>
      <w:tr w14:paraId="552D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18007ED1">
            <w:pPr>
              <w:jc w:val="center"/>
              <w:rPr>
                <w:rFonts w:ascii="仿宋" w:hAnsi="仿宋" w:eastAsia="仿宋" w:cs="仿宋"/>
                <w:color w:val="auto"/>
                <w:szCs w:val="21"/>
              </w:rPr>
            </w:pPr>
            <w:r>
              <w:rPr>
                <w:rFonts w:hint="eastAsia" w:ascii="仿宋" w:hAnsi="仿宋" w:eastAsia="仿宋" w:cs="仿宋"/>
                <w:color w:val="auto"/>
                <w:szCs w:val="21"/>
              </w:rPr>
              <w:t>投标报价</w:t>
            </w:r>
          </w:p>
          <w:p w14:paraId="35463C65">
            <w:pPr>
              <w:jc w:val="center"/>
              <w:rPr>
                <w:rFonts w:ascii="仿宋" w:hAnsi="仿宋" w:eastAsia="仿宋" w:cs="仿宋"/>
                <w:color w:val="auto"/>
                <w:szCs w:val="21"/>
              </w:rPr>
            </w:pPr>
            <w:r>
              <w:rPr>
                <w:rFonts w:hint="eastAsia" w:ascii="仿宋" w:hAnsi="仿宋" w:eastAsia="仿宋" w:cs="仿宋"/>
                <w:color w:val="auto"/>
                <w:szCs w:val="21"/>
              </w:rPr>
              <w:t>（人民币）</w:t>
            </w:r>
          </w:p>
        </w:tc>
        <w:tc>
          <w:tcPr>
            <w:tcW w:w="974" w:type="dxa"/>
            <w:tcBorders>
              <w:top w:val="single" w:color="auto" w:sz="4" w:space="0"/>
              <w:bottom w:val="single" w:color="auto" w:sz="4" w:space="0"/>
            </w:tcBorders>
            <w:vAlign w:val="center"/>
          </w:tcPr>
          <w:p w14:paraId="715B51AF">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6185" w:type="dxa"/>
            <w:vAlign w:val="center"/>
          </w:tcPr>
          <w:p w14:paraId="70F6E45E">
            <w:pPr>
              <w:jc w:val="center"/>
              <w:rPr>
                <w:rFonts w:ascii="仿宋" w:hAnsi="仿宋" w:eastAsia="仿宋" w:cs="仿宋"/>
                <w:color w:val="auto"/>
                <w:szCs w:val="21"/>
              </w:rPr>
            </w:pPr>
          </w:p>
        </w:tc>
      </w:tr>
      <w:tr w14:paraId="54A9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0107C1F6">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14:paraId="2AD21D90">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6185" w:type="dxa"/>
            <w:vAlign w:val="center"/>
          </w:tcPr>
          <w:p w14:paraId="716C5A47">
            <w:pPr>
              <w:jc w:val="center"/>
              <w:rPr>
                <w:rFonts w:ascii="仿宋" w:hAnsi="仿宋" w:eastAsia="仿宋" w:cs="仿宋"/>
                <w:color w:val="auto"/>
                <w:szCs w:val="21"/>
              </w:rPr>
            </w:pPr>
          </w:p>
        </w:tc>
      </w:tr>
    </w:tbl>
    <w:p w14:paraId="143934F1">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14:paraId="3CA4556C">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投标文件中的投标函、服务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0B52E870">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.投标总价为招标范围所列全部招标项目的报价总和，并应与投标报价明细表及分项价格表保持一致。</w:t>
      </w:r>
    </w:p>
    <w:p w14:paraId="7E51C986">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.必须在投标文件中装订。</w:t>
      </w:r>
    </w:p>
    <w:p w14:paraId="205E7CF7">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.投标报价不得填报选择性报价。</w:t>
      </w:r>
    </w:p>
    <w:p w14:paraId="70E599C4">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14:paraId="7EAB7EA1">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43E6990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0F0972BC">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14:paraId="23DF4FDB">
      <w:pPr>
        <w:pStyle w:val="4"/>
        <w:spacing w:line="240" w:lineRule="atLeast"/>
        <w:rPr>
          <w:rFonts w:ascii="宋体" w:hAnsi="宋体" w:eastAsia="宋体" w:cs="宋体"/>
          <w:bCs/>
          <w:color w:val="auto"/>
          <w:sz w:val="24"/>
          <w:lang w:eastAsia="zh-CN"/>
        </w:rPr>
      </w:pPr>
    </w:p>
    <w:p w14:paraId="62002BCC">
      <w:pPr>
        <w:pStyle w:val="4"/>
        <w:spacing w:line="240" w:lineRule="atLeast"/>
        <w:rPr>
          <w:rFonts w:ascii="宋体" w:hAnsi="宋体" w:eastAsia="宋体" w:cs="宋体"/>
          <w:bCs/>
          <w:color w:val="auto"/>
          <w:sz w:val="24"/>
          <w:lang w:eastAsia="zh-CN"/>
        </w:rPr>
      </w:pPr>
    </w:p>
    <w:p w14:paraId="431622A0">
      <w:pPr>
        <w:pStyle w:val="36"/>
        <w:keepNext/>
        <w:keepLines/>
        <w:spacing w:before="0" w:after="220"/>
        <w:rPr>
          <w:rFonts w:ascii="仿宋" w:hAnsi="仿宋" w:eastAsia="仿宋" w:cs="仿宋"/>
          <w:color w:val="auto"/>
          <w:lang w:val="en-US" w:eastAsia="zh-CN"/>
        </w:rPr>
      </w:pPr>
      <w:r>
        <w:rPr>
          <w:rFonts w:hint="eastAsia" w:ascii="仿宋" w:hAnsi="仿宋" w:eastAsia="仿宋" w:cs="仿宋"/>
          <w:b/>
          <w:bCs/>
          <w:color w:val="auto"/>
          <w:lang w:val="en-US" w:eastAsia="zh-CN"/>
        </w:rPr>
        <w:t>3、服务说明一览表</w:t>
      </w:r>
    </w:p>
    <w:p w14:paraId="5ECF7C2A">
      <w:pPr>
        <w:pStyle w:val="13"/>
        <w:spacing w:line="240" w:lineRule="atLeast"/>
        <w:ind w:left="1164" w:leftChars="257" w:hanging="540"/>
        <w:rPr>
          <w:rFonts w:ascii="仿宋" w:hAnsi="仿宋" w:eastAsia="仿宋" w:cs="仿宋"/>
          <w:color w:val="auto"/>
          <w:lang w:eastAsia="zh-CN"/>
        </w:rPr>
      </w:pPr>
    </w:p>
    <w:p w14:paraId="781EAA7F">
      <w:pPr>
        <w:pStyle w:val="13"/>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14:paraId="3D90B483">
      <w:pPr>
        <w:pStyle w:val="13"/>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14:paraId="2E5D761C">
      <w:pPr>
        <w:pStyle w:val="13"/>
        <w:spacing w:line="240" w:lineRule="atLeast"/>
        <w:ind w:left="1164" w:leftChars="257" w:hanging="540"/>
        <w:rPr>
          <w:rFonts w:ascii="仿宋" w:hAnsi="仿宋" w:eastAsia="仿宋" w:cs="仿宋"/>
          <w:color w:val="auto"/>
          <w:lang w:eastAsia="zh-CN"/>
        </w:rPr>
      </w:pPr>
    </w:p>
    <w:tbl>
      <w:tblPr>
        <w:tblStyle w:val="25"/>
        <w:tblW w:w="7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370"/>
        <w:gridCol w:w="1420"/>
        <w:gridCol w:w="1101"/>
      </w:tblGrid>
      <w:tr w14:paraId="6CC6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3761C5C7">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序号</w:t>
            </w:r>
          </w:p>
        </w:tc>
        <w:tc>
          <w:tcPr>
            <w:tcW w:w="1400" w:type="dxa"/>
            <w:vAlign w:val="center"/>
          </w:tcPr>
          <w:p w14:paraId="7CE3B0F4">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服务名称</w:t>
            </w:r>
          </w:p>
        </w:tc>
        <w:tc>
          <w:tcPr>
            <w:tcW w:w="1410" w:type="dxa"/>
            <w:vAlign w:val="center"/>
          </w:tcPr>
          <w:p w14:paraId="0F500B09">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服务要求</w:t>
            </w:r>
          </w:p>
        </w:tc>
        <w:tc>
          <w:tcPr>
            <w:tcW w:w="1370" w:type="dxa"/>
            <w:vAlign w:val="center"/>
          </w:tcPr>
          <w:p w14:paraId="1A40A9F9">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服务期</w:t>
            </w:r>
          </w:p>
        </w:tc>
        <w:tc>
          <w:tcPr>
            <w:tcW w:w="1420" w:type="dxa"/>
            <w:vAlign w:val="center"/>
          </w:tcPr>
          <w:p w14:paraId="67C9908B">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服务地点</w:t>
            </w:r>
          </w:p>
        </w:tc>
        <w:tc>
          <w:tcPr>
            <w:tcW w:w="1101" w:type="dxa"/>
            <w:vAlign w:val="center"/>
          </w:tcPr>
          <w:p w14:paraId="4CA0A6F3">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其它</w:t>
            </w:r>
          </w:p>
        </w:tc>
      </w:tr>
      <w:tr w14:paraId="4425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20CEA90B">
            <w:pPr>
              <w:pStyle w:val="13"/>
              <w:spacing w:line="240" w:lineRule="atLeast"/>
              <w:ind w:left="1164" w:leftChars="257" w:hanging="540"/>
              <w:rPr>
                <w:rFonts w:ascii="仿宋" w:hAnsi="仿宋" w:eastAsia="仿宋" w:cs="仿宋"/>
                <w:color w:val="auto"/>
                <w:lang w:eastAsia="zh-CN"/>
              </w:rPr>
            </w:pPr>
          </w:p>
        </w:tc>
        <w:tc>
          <w:tcPr>
            <w:tcW w:w="1400" w:type="dxa"/>
          </w:tcPr>
          <w:p w14:paraId="61B0CA32">
            <w:pPr>
              <w:pStyle w:val="13"/>
              <w:spacing w:line="240" w:lineRule="atLeast"/>
              <w:ind w:left="1164" w:leftChars="257" w:hanging="540"/>
              <w:rPr>
                <w:rFonts w:ascii="仿宋" w:hAnsi="仿宋" w:eastAsia="仿宋" w:cs="仿宋"/>
                <w:color w:val="auto"/>
                <w:lang w:eastAsia="zh-CN"/>
              </w:rPr>
            </w:pPr>
          </w:p>
        </w:tc>
        <w:tc>
          <w:tcPr>
            <w:tcW w:w="1410" w:type="dxa"/>
          </w:tcPr>
          <w:p w14:paraId="40A5332F">
            <w:pPr>
              <w:pStyle w:val="13"/>
              <w:spacing w:line="240" w:lineRule="atLeast"/>
              <w:ind w:left="1164" w:leftChars="257" w:hanging="540"/>
              <w:rPr>
                <w:rFonts w:ascii="仿宋" w:hAnsi="仿宋" w:eastAsia="仿宋" w:cs="仿宋"/>
                <w:color w:val="auto"/>
                <w:lang w:eastAsia="zh-CN"/>
              </w:rPr>
            </w:pPr>
          </w:p>
        </w:tc>
        <w:tc>
          <w:tcPr>
            <w:tcW w:w="1370" w:type="dxa"/>
          </w:tcPr>
          <w:p w14:paraId="1E645EE9">
            <w:pPr>
              <w:pStyle w:val="13"/>
              <w:spacing w:line="240" w:lineRule="atLeast"/>
              <w:ind w:left="1164" w:leftChars="257" w:hanging="540"/>
              <w:rPr>
                <w:rFonts w:ascii="仿宋" w:hAnsi="仿宋" w:eastAsia="仿宋" w:cs="仿宋"/>
                <w:color w:val="auto"/>
                <w:lang w:eastAsia="zh-CN"/>
              </w:rPr>
            </w:pPr>
          </w:p>
        </w:tc>
        <w:tc>
          <w:tcPr>
            <w:tcW w:w="1420" w:type="dxa"/>
          </w:tcPr>
          <w:p w14:paraId="11ED78B9">
            <w:pPr>
              <w:pStyle w:val="13"/>
              <w:spacing w:line="240" w:lineRule="atLeast"/>
              <w:ind w:left="1164" w:leftChars="257" w:hanging="540"/>
              <w:rPr>
                <w:rFonts w:ascii="仿宋" w:hAnsi="仿宋" w:eastAsia="仿宋" w:cs="仿宋"/>
                <w:color w:val="auto"/>
                <w:lang w:eastAsia="zh-CN"/>
              </w:rPr>
            </w:pPr>
          </w:p>
        </w:tc>
        <w:tc>
          <w:tcPr>
            <w:tcW w:w="1101" w:type="dxa"/>
          </w:tcPr>
          <w:p w14:paraId="20BBC352">
            <w:pPr>
              <w:pStyle w:val="13"/>
              <w:spacing w:line="240" w:lineRule="atLeast"/>
              <w:ind w:left="1164" w:leftChars="257" w:hanging="540"/>
              <w:rPr>
                <w:rFonts w:ascii="仿宋" w:hAnsi="仿宋" w:eastAsia="仿宋" w:cs="仿宋"/>
                <w:color w:val="auto"/>
                <w:lang w:eastAsia="zh-CN"/>
              </w:rPr>
            </w:pPr>
          </w:p>
        </w:tc>
      </w:tr>
      <w:tr w14:paraId="1FC6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3E2A7089">
            <w:pPr>
              <w:pStyle w:val="13"/>
              <w:spacing w:line="240" w:lineRule="atLeast"/>
              <w:ind w:left="1164" w:leftChars="257" w:hanging="540"/>
              <w:rPr>
                <w:rFonts w:ascii="仿宋" w:hAnsi="仿宋" w:eastAsia="仿宋" w:cs="仿宋"/>
                <w:color w:val="auto"/>
                <w:lang w:eastAsia="zh-CN"/>
              </w:rPr>
            </w:pPr>
          </w:p>
        </w:tc>
        <w:tc>
          <w:tcPr>
            <w:tcW w:w="1400" w:type="dxa"/>
          </w:tcPr>
          <w:p w14:paraId="71F8A43A">
            <w:pPr>
              <w:pStyle w:val="13"/>
              <w:spacing w:line="240" w:lineRule="atLeast"/>
              <w:ind w:left="1164" w:leftChars="257" w:hanging="540"/>
              <w:rPr>
                <w:rFonts w:ascii="仿宋" w:hAnsi="仿宋" w:eastAsia="仿宋" w:cs="仿宋"/>
                <w:color w:val="auto"/>
                <w:lang w:eastAsia="zh-CN"/>
              </w:rPr>
            </w:pPr>
          </w:p>
        </w:tc>
        <w:tc>
          <w:tcPr>
            <w:tcW w:w="1410" w:type="dxa"/>
          </w:tcPr>
          <w:p w14:paraId="36170EE7">
            <w:pPr>
              <w:pStyle w:val="13"/>
              <w:spacing w:line="240" w:lineRule="atLeast"/>
              <w:ind w:left="1164" w:leftChars="257" w:hanging="540"/>
              <w:rPr>
                <w:rFonts w:ascii="仿宋" w:hAnsi="仿宋" w:eastAsia="仿宋" w:cs="仿宋"/>
                <w:color w:val="auto"/>
                <w:lang w:eastAsia="zh-CN"/>
              </w:rPr>
            </w:pPr>
          </w:p>
        </w:tc>
        <w:tc>
          <w:tcPr>
            <w:tcW w:w="1370" w:type="dxa"/>
          </w:tcPr>
          <w:p w14:paraId="3CFB5DF8">
            <w:pPr>
              <w:pStyle w:val="13"/>
              <w:spacing w:line="240" w:lineRule="atLeast"/>
              <w:ind w:left="1164" w:leftChars="257" w:hanging="540"/>
              <w:rPr>
                <w:rFonts w:ascii="仿宋" w:hAnsi="仿宋" w:eastAsia="仿宋" w:cs="仿宋"/>
                <w:color w:val="auto"/>
                <w:lang w:eastAsia="zh-CN"/>
              </w:rPr>
            </w:pPr>
          </w:p>
        </w:tc>
        <w:tc>
          <w:tcPr>
            <w:tcW w:w="1420" w:type="dxa"/>
          </w:tcPr>
          <w:p w14:paraId="7779A705">
            <w:pPr>
              <w:pStyle w:val="13"/>
              <w:spacing w:line="240" w:lineRule="atLeast"/>
              <w:ind w:left="1164" w:leftChars="257" w:hanging="540"/>
              <w:rPr>
                <w:rFonts w:ascii="仿宋" w:hAnsi="仿宋" w:eastAsia="仿宋" w:cs="仿宋"/>
                <w:color w:val="auto"/>
                <w:lang w:eastAsia="zh-CN"/>
              </w:rPr>
            </w:pPr>
          </w:p>
        </w:tc>
        <w:tc>
          <w:tcPr>
            <w:tcW w:w="1101" w:type="dxa"/>
          </w:tcPr>
          <w:p w14:paraId="7B10423A">
            <w:pPr>
              <w:pStyle w:val="13"/>
              <w:spacing w:line="240" w:lineRule="atLeast"/>
              <w:ind w:left="1164" w:leftChars="257" w:hanging="540"/>
              <w:rPr>
                <w:rFonts w:ascii="仿宋" w:hAnsi="仿宋" w:eastAsia="仿宋" w:cs="仿宋"/>
                <w:color w:val="auto"/>
                <w:lang w:eastAsia="zh-CN"/>
              </w:rPr>
            </w:pPr>
          </w:p>
        </w:tc>
      </w:tr>
      <w:tr w14:paraId="2710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12E1438F">
            <w:pPr>
              <w:pStyle w:val="13"/>
              <w:spacing w:line="240" w:lineRule="atLeast"/>
              <w:ind w:left="1164" w:leftChars="257" w:hanging="540"/>
              <w:rPr>
                <w:rFonts w:ascii="仿宋" w:hAnsi="仿宋" w:eastAsia="仿宋" w:cs="仿宋"/>
                <w:color w:val="auto"/>
                <w:lang w:eastAsia="zh-CN"/>
              </w:rPr>
            </w:pPr>
          </w:p>
        </w:tc>
        <w:tc>
          <w:tcPr>
            <w:tcW w:w="1400" w:type="dxa"/>
          </w:tcPr>
          <w:p w14:paraId="10F8DDA8">
            <w:pPr>
              <w:pStyle w:val="13"/>
              <w:spacing w:line="240" w:lineRule="atLeast"/>
              <w:ind w:left="1164" w:leftChars="257" w:hanging="540"/>
              <w:rPr>
                <w:rFonts w:ascii="仿宋" w:hAnsi="仿宋" w:eastAsia="仿宋" w:cs="仿宋"/>
                <w:color w:val="auto"/>
                <w:lang w:eastAsia="zh-CN"/>
              </w:rPr>
            </w:pPr>
          </w:p>
        </w:tc>
        <w:tc>
          <w:tcPr>
            <w:tcW w:w="1410" w:type="dxa"/>
          </w:tcPr>
          <w:p w14:paraId="6DF2232E">
            <w:pPr>
              <w:pStyle w:val="13"/>
              <w:spacing w:line="240" w:lineRule="atLeast"/>
              <w:ind w:left="1164" w:leftChars="257" w:hanging="540"/>
              <w:rPr>
                <w:rFonts w:ascii="仿宋" w:hAnsi="仿宋" w:eastAsia="仿宋" w:cs="仿宋"/>
                <w:color w:val="auto"/>
                <w:lang w:eastAsia="zh-CN"/>
              </w:rPr>
            </w:pPr>
          </w:p>
        </w:tc>
        <w:tc>
          <w:tcPr>
            <w:tcW w:w="1370" w:type="dxa"/>
          </w:tcPr>
          <w:p w14:paraId="23843ECC">
            <w:pPr>
              <w:pStyle w:val="13"/>
              <w:spacing w:line="240" w:lineRule="atLeast"/>
              <w:ind w:left="1164" w:leftChars="257" w:hanging="540"/>
              <w:rPr>
                <w:rFonts w:ascii="仿宋" w:hAnsi="仿宋" w:eastAsia="仿宋" w:cs="仿宋"/>
                <w:color w:val="auto"/>
                <w:lang w:eastAsia="zh-CN"/>
              </w:rPr>
            </w:pPr>
          </w:p>
        </w:tc>
        <w:tc>
          <w:tcPr>
            <w:tcW w:w="1420" w:type="dxa"/>
          </w:tcPr>
          <w:p w14:paraId="573A5FE6">
            <w:pPr>
              <w:pStyle w:val="13"/>
              <w:spacing w:line="240" w:lineRule="atLeast"/>
              <w:ind w:left="1164" w:leftChars="257" w:hanging="540"/>
              <w:rPr>
                <w:rFonts w:ascii="仿宋" w:hAnsi="仿宋" w:eastAsia="仿宋" w:cs="仿宋"/>
                <w:color w:val="auto"/>
                <w:lang w:eastAsia="zh-CN"/>
              </w:rPr>
            </w:pPr>
          </w:p>
        </w:tc>
        <w:tc>
          <w:tcPr>
            <w:tcW w:w="1101" w:type="dxa"/>
          </w:tcPr>
          <w:p w14:paraId="2554B5DD">
            <w:pPr>
              <w:pStyle w:val="13"/>
              <w:spacing w:line="240" w:lineRule="atLeast"/>
              <w:ind w:left="1164" w:leftChars="257" w:hanging="540"/>
              <w:rPr>
                <w:rFonts w:ascii="仿宋" w:hAnsi="仿宋" w:eastAsia="仿宋" w:cs="仿宋"/>
                <w:color w:val="auto"/>
                <w:lang w:eastAsia="zh-CN"/>
              </w:rPr>
            </w:pPr>
          </w:p>
        </w:tc>
      </w:tr>
      <w:tr w14:paraId="494F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4DCD20C8">
            <w:pPr>
              <w:pStyle w:val="13"/>
              <w:spacing w:line="240" w:lineRule="atLeast"/>
              <w:ind w:left="1164" w:leftChars="257" w:hanging="540"/>
              <w:rPr>
                <w:rFonts w:ascii="仿宋" w:hAnsi="仿宋" w:eastAsia="仿宋" w:cs="仿宋"/>
                <w:color w:val="auto"/>
                <w:lang w:eastAsia="zh-CN"/>
              </w:rPr>
            </w:pPr>
          </w:p>
        </w:tc>
        <w:tc>
          <w:tcPr>
            <w:tcW w:w="1400" w:type="dxa"/>
          </w:tcPr>
          <w:p w14:paraId="6D059571">
            <w:pPr>
              <w:pStyle w:val="13"/>
              <w:spacing w:line="240" w:lineRule="atLeast"/>
              <w:ind w:left="1164" w:leftChars="257" w:hanging="540"/>
              <w:rPr>
                <w:rFonts w:ascii="仿宋" w:hAnsi="仿宋" w:eastAsia="仿宋" w:cs="仿宋"/>
                <w:color w:val="auto"/>
                <w:lang w:eastAsia="zh-CN"/>
              </w:rPr>
            </w:pPr>
          </w:p>
        </w:tc>
        <w:tc>
          <w:tcPr>
            <w:tcW w:w="1410" w:type="dxa"/>
          </w:tcPr>
          <w:p w14:paraId="76572BB6">
            <w:pPr>
              <w:pStyle w:val="13"/>
              <w:spacing w:line="240" w:lineRule="atLeast"/>
              <w:ind w:left="1164" w:leftChars="257" w:hanging="540"/>
              <w:rPr>
                <w:rFonts w:ascii="仿宋" w:hAnsi="仿宋" w:eastAsia="仿宋" w:cs="仿宋"/>
                <w:color w:val="auto"/>
                <w:lang w:eastAsia="zh-CN"/>
              </w:rPr>
            </w:pPr>
          </w:p>
        </w:tc>
        <w:tc>
          <w:tcPr>
            <w:tcW w:w="1370" w:type="dxa"/>
          </w:tcPr>
          <w:p w14:paraId="3490880E">
            <w:pPr>
              <w:pStyle w:val="13"/>
              <w:spacing w:line="240" w:lineRule="atLeast"/>
              <w:ind w:left="1164" w:leftChars="257" w:hanging="540"/>
              <w:rPr>
                <w:rFonts w:ascii="仿宋" w:hAnsi="仿宋" w:eastAsia="仿宋" w:cs="仿宋"/>
                <w:color w:val="auto"/>
                <w:lang w:eastAsia="zh-CN"/>
              </w:rPr>
            </w:pPr>
          </w:p>
        </w:tc>
        <w:tc>
          <w:tcPr>
            <w:tcW w:w="1420" w:type="dxa"/>
          </w:tcPr>
          <w:p w14:paraId="7C2FB8E8">
            <w:pPr>
              <w:pStyle w:val="13"/>
              <w:spacing w:line="240" w:lineRule="atLeast"/>
              <w:ind w:left="1164" w:leftChars="257" w:hanging="540"/>
              <w:rPr>
                <w:rFonts w:ascii="仿宋" w:hAnsi="仿宋" w:eastAsia="仿宋" w:cs="仿宋"/>
                <w:color w:val="auto"/>
                <w:lang w:eastAsia="zh-CN"/>
              </w:rPr>
            </w:pPr>
          </w:p>
        </w:tc>
        <w:tc>
          <w:tcPr>
            <w:tcW w:w="1101" w:type="dxa"/>
          </w:tcPr>
          <w:p w14:paraId="5F786437">
            <w:pPr>
              <w:pStyle w:val="13"/>
              <w:spacing w:line="240" w:lineRule="atLeast"/>
              <w:ind w:left="1164" w:leftChars="257" w:hanging="540"/>
              <w:rPr>
                <w:rFonts w:ascii="仿宋" w:hAnsi="仿宋" w:eastAsia="仿宋" w:cs="仿宋"/>
                <w:color w:val="auto"/>
                <w:lang w:eastAsia="zh-CN"/>
              </w:rPr>
            </w:pPr>
          </w:p>
        </w:tc>
      </w:tr>
      <w:tr w14:paraId="5136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641A5FE0">
            <w:pPr>
              <w:pStyle w:val="13"/>
              <w:spacing w:line="240" w:lineRule="atLeast"/>
              <w:ind w:left="1164" w:leftChars="257" w:hanging="540"/>
              <w:rPr>
                <w:rFonts w:ascii="仿宋" w:hAnsi="仿宋" w:eastAsia="仿宋" w:cs="仿宋"/>
                <w:color w:val="auto"/>
                <w:lang w:eastAsia="zh-CN"/>
              </w:rPr>
            </w:pPr>
          </w:p>
        </w:tc>
        <w:tc>
          <w:tcPr>
            <w:tcW w:w="1400" w:type="dxa"/>
          </w:tcPr>
          <w:p w14:paraId="14217E77">
            <w:pPr>
              <w:pStyle w:val="13"/>
              <w:spacing w:line="240" w:lineRule="atLeast"/>
              <w:ind w:left="1164" w:leftChars="257" w:hanging="540"/>
              <w:rPr>
                <w:rFonts w:ascii="仿宋" w:hAnsi="仿宋" w:eastAsia="仿宋" w:cs="仿宋"/>
                <w:color w:val="auto"/>
                <w:lang w:eastAsia="zh-CN"/>
              </w:rPr>
            </w:pPr>
          </w:p>
        </w:tc>
        <w:tc>
          <w:tcPr>
            <w:tcW w:w="1410" w:type="dxa"/>
          </w:tcPr>
          <w:p w14:paraId="31CF4402">
            <w:pPr>
              <w:pStyle w:val="13"/>
              <w:spacing w:line="240" w:lineRule="atLeast"/>
              <w:ind w:left="1164" w:leftChars="257" w:hanging="540"/>
              <w:rPr>
                <w:rFonts w:ascii="仿宋" w:hAnsi="仿宋" w:eastAsia="仿宋" w:cs="仿宋"/>
                <w:color w:val="auto"/>
                <w:lang w:eastAsia="zh-CN"/>
              </w:rPr>
            </w:pPr>
          </w:p>
        </w:tc>
        <w:tc>
          <w:tcPr>
            <w:tcW w:w="1370" w:type="dxa"/>
          </w:tcPr>
          <w:p w14:paraId="6EE7006F">
            <w:pPr>
              <w:pStyle w:val="13"/>
              <w:spacing w:line="240" w:lineRule="atLeast"/>
              <w:ind w:left="1164" w:leftChars="257" w:hanging="540"/>
              <w:rPr>
                <w:rFonts w:ascii="仿宋" w:hAnsi="仿宋" w:eastAsia="仿宋" w:cs="仿宋"/>
                <w:color w:val="auto"/>
                <w:lang w:eastAsia="zh-CN"/>
              </w:rPr>
            </w:pPr>
          </w:p>
        </w:tc>
        <w:tc>
          <w:tcPr>
            <w:tcW w:w="1420" w:type="dxa"/>
          </w:tcPr>
          <w:p w14:paraId="581A5F98">
            <w:pPr>
              <w:pStyle w:val="13"/>
              <w:spacing w:line="240" w:lineRule="atLeast"/>
              <w:ind w:left="1164" w:leftChars="257" w:hanging="540"/>
              <w:rPr>
                <w:rFonts w:ascii="仿宋" w:hAnsi="仿宋" w:eastAsia="仿宋" w:cs="仿宋"/>
                <w:color w:val="auto"/>
                <w:lang w:eastAsia="zh-CN"/>
              </w:rPr>
            </w:pPr>
          </w:p>
        </w:tc>
        <w:tc>
          <w:tcPr>
            <w:tcW w:w="1101" w:type="dxa"/>
          </w:tcPr>
          <w:p w14:paraId="4F47FD4A">
            <w:pPr>
              <w:pStyle w:val="13"/>
              <w:spacing w:line="240" w:lineRule="atLeast"/>
              <w:ind w:left="1164" w:leftChars="257" w:hanging="540"/>
              <w:rPr>
                <w:rFonts w:ascii="仿宋" w:hAnsi="仿宋" w:eastAsia="仿宋" w:cs="仿宋"/>
                <w:color w:val="auto"/>
                <w:lang w:eastAsia="zh-CN"/>
              </w:rPr>
            </w:pPr>
          </w:p>
        </w:tc>
      </w:tr>
      <w:tr w14:paraId="09BE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6E934C9F">
            <w:pPr>
              <w:pStyle w:val="13"/>
              <w:spacing w:line="240" w:lineRule="atLeast"/>
              <w:ind w:left="1164" w:leftChars="257" w:hanging="540"/>
              <w:rPr>
                <w:rFonts w:ascii="仿宋" w:hAnsi="仿宋" w:eastAsia="仿宋" w:cs="仿宋"/>
                <w:color w:val="auto"/>
                <w:lang w:eastAsia="zh-CN"/>
              </w:rPr>
            </w:pPr>
          </w:p>
        </w:tc>
        <w:tc>
          <w:tcPr>
            <w:tcW w:w="1400" w:type="dxa"/>
          </w:tcPr>
          <w:p w14:paraId="6B4F6A7A">
            <w:pPr>
              <w:pStyle w:val="13"/>
              <w:spacing w:line="240" w:lineRule="atLeast"/>
              <w:ind w:left="1164" w:leftChars="257" w:hanging="540"/>
              <w:rPr>
                <w:rFonts w:ascii="仿宋" w:hAnsi="仿宋" w:eastAsia="仿宋" w:cs="仿宋"/>
                <w:color w:val="auto"/>
                <w:lang w:eastAsia="zh-CN"/>
              </w:rPr>
            </w:pPr>
          </w:p>
        </w:tc>
        <w:tc>
          <w:tcPr>
            <w:tcW w:w="1410" w:type="dxa"/>
          </w:tcPr>
          <w:p w14:paraId="7BF78D7C">
            <w:pPr>
              <w:pStyle w:val="13"/>
              <w:spacing w:line="240" w:lineRule="atLeast"/>
              <w:ind w:left="1164" w:leftChars="257" w:hanging="540"/>
              <w:rPr>
                <w:rFonts w:ascii="仿宋" w:hAnsi="仿宋" w:eastAsia="仿宋" w:cs="仿宋"/>
                <w:color w:val="auto"/>
                <w:lang w:eastAsia="zh-CN"/>
              </w:rPr>
            </w:pPr>
          </w:p>
        </w:tc>
        <w:tc>
          <w:tcPr>
            <w:tcW w:w="1370" w:type="dxa"/>
          </w:tcPr>
          <w:p w14:paraId="14652265">
            <w:pPr>
              <w:pStyle w:val="13"/>
              <w:spacing w:line="240" w:lineRule="atLeast"/>
              <w:ind w:left="1164" w:leftChars="257" w:hanging="540"/>
              <w:rPr>
                <w:rFonts w:ascii="仿宋" w:hAnsi="仿宋" w:eastAsia="仿宋" w:cs="仿宋"/>
                <w:color w:val="auto"/>
                <w:lang w:eastAsia="zh-CN"/>
              </w:rPr>
            </w:pPr>
          </w:p>
        </w:tc>
        <w:tc>
          <w:tcPr>
            <w:tcW w:w="1420" w:type="dxa"/>
          </w:tcPr>
          <w:p w14:paraId="4FB813CB">
            <w:pPr>
              <w:pStyle w:val="13"/>
              <w:spacing w:line="240" w:lineRule="atLeast"/>
              <w:ind w:left="1164" w:leftChars="257" w:hanging="540"/>
              <w:rPr>
                <w:rFonts w:ascii="仿宋" w:hAnsi="仿宋" w:eastAsia="仿宋" w:cs="仿宋"/>
                <w:color w:val="auto"/>
                <w:lang w:eastAsia="zh-CN"/>
              </w:rPr>
            </w:pPr>
          </w:p>
        </w:tc>
        <w:tc>
          <w:tcPr>
            <w:tcW w:w="1101" w:type="dxa"/>
          </w:tcPr>
          <w:p w14:paraId="39517000">
            <w:pPr>
              <w:pStyle w:val="13"/>
              <w:spacing w:line="240" w:lineRule="atLeast"/>
              <w:ind w:left="1164" w:leftChars="257" w:hanging="540"/>
              <w:rPr>
                <w:rFonts w:ascii="仿宋" w:hAnsi="仿宋" w:eastAsia="仿宋" w:cs="仿宋"/>
                <w:color w:val="auto"/>
                <w:lang w:eastAsia="zh-CN"/>
              </w:rPr>
            </w:pPr>
          </w:p>
        </w:tc>
      </w:tr>
      <w:tr w14:paraId="4DBF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67B5EEDF">
            <w:pPr>
              <w:pStyle w:val="13"/>
              <w:spacing w:line="240" w:lineRule="atLeast"/>
              <w:ind w:left="1164" w:leftChars="257" w:hanging="540"/>
              <w:rPr>
                <w:rFonts w:ascii="仿宋" w:hAnsi="仿宋" w:eastAsia="仿宋" w:cs="仿宋"/>
                <w:color w:val="auto"/>
                <w:lang w:eastAsia="zh-CN"/>
              </w:rPr>
            </w:pPr>
          </w:p>
        </w:tc>
        <w:tc>
          <w:tcPr>
            <w:tcW w:w="1400" w:type="dxa"/>
          </w:tcPr>
          <w:p w14:paraId="13CEF770">
            <w:pPr>
              <w:pStyle w:val="13"/>
              <w:spacing w:line="240" w:lineRule="atLeast"/>
              <w:ind w:left="1164" w:leftChars="257" w:hanging="540"/>
              <w:rPr>
                <w:rFonts w:ascii="仿宋" w:hAnsi="仿宋" w:eastAsia="仿宋" w:cs="仿宋"/>
                <w:color w:val="auto"/>
                <w:lang w:eastAsia="zh-CN"/>
              </w:rPr>
            </w:pPr>
          </w:p>
        </w:tc>
        <w:tc>
          <w:tcPr>
            <w:tcW w:w="1410" w:type="dxa"/>
          </w:tcPr>
          <w:p w14:paraId="55E244ED">
            <w:pPr>
              <w:pStyle w:val="13"/>
              <w:spacing w:line="240" w:lineRule="atLeast"/>
              <w:ind w:left="1164" w:leftChars="257" w:hanging="540"/>
              <w:rPr>
                <w:rFonts w:ascii="仿宋" w:hAnsi="仿宋" w:eastAsia="仿宋" w:cs="仿宋"/>
                <w:color w:val="auto"/>
                <w:lang w:eastAsia="zh-CN"/>
              </w:rPr>
            </w:pPr>
          </w:p>
        </w:tc>
        <w:tc>
          <w:tcPr>
            <w:tcW w:w="1370" w:type="dxa"/>
          </w:tcPr>
          <w:p w14:paraId="126F656A">
            <w:pPr>
              <w:pStyle w:val="13"/>
              <w:spacing w:line="240" w:lineRule="atLeast"/>
              <w:ind w:left="1164" w:leftChars="257" w:hanging="540"/>
              <w:rPr>
                <w:rFonts w:ascii="仿宋" w:hAnsi="仿宋" w:eastAsia="仿宋" w:cs="仿宋"/>
                <w:color w:val="auto"/>
                <w:lang w:eastAsia="zh-CN"/>
              </w:rPr>
            </w:pPr>
          </w:p>
        </w:tc>
        <w:tc>
          <w:tcPr>
            <w:tcW w:w="1420" w:type="dxa"/>
          </w:tcPr>
          <w:p w14:paraId="5495001D">
            <w:pPr>
              <w:pStyle w:val="13"/>
              <w:spacing w:line="240" w:lineRule="atLeast"/>
              <w:ind w:left="1164" w:leftChars="257" w:hanging="540"/>
              <w:rPr>
                <w:rFonts w:ascii="仿宋" w:hAnsi="仿宋" w:eastAsia="仿宋" w:cs="仿宋"/>
                <w:color w:val="auto"/>
                <w:lang w:eastAsia="zh-CN"/>
              </w:rPr>
            </w:pPr>
          </w:p>
        </w:tc>
        <w:tc>
          <w:tcPr>
            <w:tcW w:w="1101" w:type="dxa"/>
          </w:tcPr>
          <w:p w14:paraId="4AD09EC9">
            <w:pPr>
              <w:pStyle w:val="13"/>
              <w:spacing w:line="240" w:lineRule="atLeast"/>
              <w:ind w:left="1164" w:leftChars="257" w:hanging="540"/>
              <w:rPr>
                <w:rFonts w:ascii="仿宋" w:hAnsi="仿宋" w:eastAsia="仿宋" w:cs="仿宋"/>
                <w:color w:val="auto"/>
                <w:lang w:eastAsia="zh-CN"/>
              </w:rPr>
            </w:pPr>
          </w:p>
        </w:tc>
      </w:tr>
      <w:tr w14:paraId="46C5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43A9727D">
            <w:pPr>
              <w:pStyle w:val="13"/>
              <w:spacing w:line="240" w:lineRule="atLeast"/>
              <w:ind w:left="1164" w:leftChars="257" w:hanging="540"/>
              <w:rPr>
                <w:rFonts w:ascii="仿宋" w:hAnsi="仿宋" w:eastAsia="仿宋" w:cs="仿宋"/>
                <w:color w:val="auto"/>
                <w:lang w:eastAsia="zh-CN"/>
              </w:rPr>
            </w:pPr>
          </w:p>
        </w:tc>
        <w:tc>
          <w:tcPr>
            <w:tcW w:w="1400" w:type="dxa"/>
          </w:tcPr>
          <w:p w14:paraId="208FF5EF">
            <w:pPr>
              <w:pStyle w:val="13"/>
              <w:spacing w:line="240" w:lineRule="atLeast"/>
              <w:ind w:left="1164" w:leftChars="257" w:hanging="540"/>
              <w:rPr>
                <w:rFonts w:ascii="仿宋" w:hAnsi="仿宋" w:eastAsia="仿宋" w:cs="仿宋"/>
                <w:color w:val="auto"/>
                <w:lang w:eastAsia="zh-CN"/>
              </w:rPr>
            </w:pPr>
          </w:p>
        </w:tc>
        <w:tc>
          <w:tcPr>
            <w:tcW w:w="1410" w:type="dxa"/>
          </w:tcPr>
          <w:p w14:paraId="5115E536">
            <w:pPr>
              <w:pStyle w:val="13"/>
              <w:spacing w:line="240" w:lineRule="atLeast"/>
              <w:ind w:left="1164" w:leftChars="257" w:hanging="540"/>
              <w:rPr>
                <w:rFonts w:ascii="仿宋" w:hAnsi="仿宋" w:eastAsia="仿宋" w:cs="仿宋"/>
                <w:color w:val="auto"/>
                <w:lang w:eastAsia="zh-CN"/>
              </w:rPr>
            </w:pPr>
          </w:p>
        </w:tc>
        <w:tc>
          <w:tcPr>
            <w:tcW w:w="1370" w:type="dxa"/>
          </w:tcPr>
          <w:p w14:paraId="3D03958E">
            <w:pPr>
              <w:pStyle w:val="13"/>
              <w:spacing w:line="240" w:lineRule="atLeast"/>
              <w:ind w:left="1164" w:leftChars="257" w:hanging="540"/>
              <w:rPr>
                <w:rFonts w:ascii="仿宋" w:hAnsi="仿宋" w:eastAsia="仿宋" w:cs="仿宋"/>
                <w:color w:val="auto"/>
                <w:lang w:eastAsia="zh-CN"/>
              </w:rPr>
            </w:pPr>
          </w:p>
        </w:tc>
        <w:tc>
          <w:tcPr>
            <w:tcW w:w="1420" w:type="dxa"/>
          </w:tcPr>
          <w:p w14:paraId="1F183BC9">
            <w:pPr>
              <w:pStyle w:val="13"/>
              <w:spacing w:line="240" w:lineRule="atLeast"/>
              <w:ind w:left="1164" w:leftChars="257" w:hanging="540"/>
              <w:rPr>
                <w:rFonts w:ascii="仿宋" w:hAnsi="仿宋" w:eastAsia="仿宋" w:cs="仿宋"/>
                <w:color w:val="auto"/>
                <w:lang w:eastAsia="zh-CN"/>
              </w:rPr>
            </w:pPr>
          </w:p>
        </w:tc>
        <w:tc>
          <w:tcPr>
            <w:tcW w:w="1101" w:type="dxa"/>
          </w:tcPr>
          <w:p w14:paraId="7344268F">
            <w:pPr>
              <w:pStyle w:val="13"/>
              <w:spacing w:line="240" w:lineRule="atLeast"/>
              <w:ind w:left="1164" w:leftChars="257" w:hanging="540"/>
              <w:rPr>
                <w:rFonts w:ascii="仿宋" w:hAnsi="仿宋" w:eastAsia="仿宋" w:cs="仿宋"/>
                <w:color w:val="auto"/>
                <w:lang w:eastAsia="zh-CN"/>
              </w:rPr>
            </w:pPr>
          </w:p>
        </w:tc>
      </w:tr>
    </w:tbl>
    <w:p w14:paraId="3926B118">
      <w:pPr>
        <w:pStyle w:val="13"/>
        <w:spacing w:line="240" w:lineRule="atLeast"/>
        <w:ind w:left="1164" w:leftChars="257" w:hanging="540"/>
        <w:rPr>
          <w:rFonts w:ascii="仿宋" w:hAnsi="仿宋" w:eastAsia="仿宋" w:cs="仿宋"/>
          <w:color w:val="auto"/>
        </w:rPr>
      </w:pPr>
    </w:p>
    <w:p w14:paraId="0CA6448F">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027A72B8">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1852E5FC">
      <w:pPr>
        <w:pStyle w:val="10"/>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3D4BEA35">
      <w:pPr>
        <w:pStyle w:val="13"/>
        <w:spacing w:line="240" w:lineRule="atLeast"/>
        <w:ind w:left="1164" w:leftChars="257" w:hanging="540"/>
        <w:rPr>
          <w:rFonts w:ascii="仿宋" w:hAnsi="仿宋" w:eastAsia="仿宋" w:cs="仿宋"/>
          <w:color w:val="auto"/>
          <w:lang w:eastAsia="zh-CN"/>
        </w:rPr>
      </w:pPr>
    </w:p>
    <w:p w14:paraId="354E5E2A">
      <w:pPr>
        <w:pStyle w:val="13"/>
        <w:spacing w:line="240" w:lineRule="atLeast"/>
        <w:ind w:left="1164" w:leftChars="257" w:hanging="540"/>
        <w:jc w:val="center"/>
        <w:rPr>
          <w:rFonts w:hAnsi="宋体" w:eastAsia="宋体" w:cs="宋体"/>
          <w:color w:val="auto"/>
          <w:lang w:eastAsia="zh-CN"/>
        </w:rPr>
      </w:pPr>
    </w:p>
    <w:p w14:paraId="1BA20B32">
      <w:pPr>
        <w:pStyle w:val="13"/>
        <w:spacing w:line="240" w:lineRule="atLeast"/>
        <w:ind w:left="1164" w:leftChars="257" w:hanging="540"/>
        <w:jc w:val="center"/>
        <w:rPr>
          <w:rFonts w:hAnsi="宋体" w:eastAsia="宋体" w:cs="宋体"/>
          <w:color w:val="auto"/>
          <w:lang w:eastAsia="zh-CN"/>
        </w:rPr>
        <w:sectPr>
          <w:footerReference r:id="rId12" w:type="default"/>
          <w:pgSz w:w="11905" w:h="16838"/>
          <w:pgMar w:top="1440" w:right="1797" w:bottom="1440" w:left="1797" w:header="850" w:footer="992" w:gutter="0"/>
          <w:pgNumType w:fmt="decimal"/>
          <w:cols w:space="720" w:num="1"/>
          <w:docGrid w:type="linesAndChars" w:linePitch="325" w:charSpace="635"/>
        </w:sectPr>
      </w:pPr>
    </w:p>
    <w:p w14:paraId="6D33CADC">
      <w:pPr>
        <w:pStyle w:val="36"/>
        <w:keepNext/>
        <w:keepLines/>
        <w:spacing w:before="0" w:after="220"/>
        <w:rPr>
          <w:rFonts w:ascii="仿宋" w:hAnsi="仿宋" w:eastAsia="仿宋" w:cs="仿宋"/>
          <w:b/>
          <w:bCs/>
          <w:color w:val="auto"/>
        </w:rPr>
      </w:pP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w:t>
      </w:r>
      <w:r>
        <w:rPr>
          <w:rFonts w:hint="eastAsia" w:ascii="仿宋" w:hAnsi="仿宋" w:eastAsia="仿宋" w:cs="仿宋"/>
          <w:b/>
          <w:bCs/>
          <w:color w:val="auto"/>
        </w:rPr>
        <w:t>投标报价明细表</w:t>
      </w:r>
    </w:p>
    <w:p w14:paraId="4D53E3EA">
      <w:pPr>
        <w:pStyle w:val="36"/>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项目名称:                      </w:t>
      </w:r>
    </w:p>
    <w:p w14:paraId="3016D55D">
      <w:pPr>
        <w:pStyle w:val="36"/>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包号: 　 </w:t>
      </w:r>
    </w:p>
    <w:p w14:paraId="22085303">
      <w:pPr>
        <w:pStyle w:val="13"/>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元（人民币）</w:t>
      </w:r>
    </w:p>
    <w:tbl>
      <w:tblPr>
        <w:tblStyle w:val="25"/>
        <w:tblW w:w="67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1"/>
        <w:gridCol w:w="1276"/>
        <w:gridCol w:w="1528"/>
        <w:gridCol w:w="709"/>
        <w:gridCol w:w="708"/>
        <w:gridCol w:w="709"/>
        <w:gridCol w:w="816"/>
      </w:tblGrid>
      <w:tr w14:paraId="195A7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063714DC">
            <w:pPr>
              <w:spacing w:line="500" w:lineRule="exact"/>
              <w:jc w:val="center"/>
              <w:rPr>
                <w:rFonts w:ascii="仿宋" w:hAnsi="仿宋" w:eastAsia="仿宋" w:cs="仿宋"/>
                <w:color w:val="auto"/>
                <w:szCs w:val="21"/>
              </w:rPr>
            </w:pPr>
            <w:r>
              <w:rPr>
                <w:rFonts w:hint="eastAsia" w:ascii="仿宋" w:hAnsi="仿宋" w:eastAsia="仿宋" w:cs="仿宋"/>
                <w:color w:val="auto"/>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B2691B1">
            <w:pPr>
              <w:spacing w:line="500" w:lineRule="exact"/>
              <w:jc w:val="center"/>
              <w:rPr>
                <w:rFonts w:ascii="仿宋" w:hAnsi="仿宋" w:eastAsia="仿宋" w:cs="仿宋"/>
                <w:color w:val="auto"/>
                <w:szCs w:val="21"/>
              </w:rPr>
            </w:pPr>
            <w:r>
              <w:rPr>
                <w:rFonts w:hint="eastAsia" w:ascii="仿宋" w:hAnsi="仿宋" w:eastAsia="仿宋" w:cs="仿宋"/>
                <w:color w:val="auto"/>
                <w:szCs w:val="21"/>
                <w:lang w:eastAsia="zh-CN"/>
              </w:rPr>
              <w:t>服务</w:t>
            </w:r>
            <w:r>
              <w:rPr>
                <w:rFonts w:hint="eastAsia" w:ascii="仿宋" w:hAnsi="仿宋" w:eastAsia="仿宋" w:cs="仿宋"/>
                <w:color w:val="auto"/>
                <w:szCs w:val="21"/>
              </w:rPr>
              <w:t>名称</w:t>
            </w:r>
          </w:p>
        </w:tc>
        <w:tc>
          <w:tcPr>
            <w:tcW w:w="1528" w:type="dxa"/>
            <w:tcBorders>
              <w:top w:val="single" w:color="auto" w:sz="4" w:space="0"/>
              <w:left w:val="single" w:color="auto" w:sz="4" w:space="0"/>
              <w:bottom w:val="single" w:color="auto" w:sz="4" w:space="0"/>
              <w:right w:val="single" w:color="auto" w:sz="4" w:space="0"/>
            </w:tcBorders>
            <w:vAlign w:val="center"/>
          </w:tcPr>
          <w:p w14:paraId="5C50D7BD">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服务要求</w:t>
            </w:r>
          </w:p>
        </w:tc>
        <w:tc>
          <w:tcPr>
            <w:tcW w:w="709" w:type="dxa"/>
            <w:tcBorders>
              <w:top w:val="single" w:color="auto" w:sz="4" w:space="0"/>
              <w:left w:val="single" w:color="auto" w:sz="4" w:space="0"/>
              <w:bottom w:val="single" w:color="auto" w:sz="4" w:space="0"/>
              <w:right w:val="single" w:color="auto" w:sz="4" w:space="0"/>
            </w:tcBorders>
            <w:vAlign w:val="center"/>
          </w:tcPr>
          <w:p w14:paraId="21B60241">
            <w:pPr>
              <w:spacing w:line="500" w:lineRule="exact"/>
              <w:jc w:val="center"/>
              <w:rPr>
                <w:rFonts w:ascii="仿宋" w:hAnsi="仿宋" w:eastAsia="仿宋" w:cs="仿宋"/>
                <w:color w:val="auto"/>
                <w:szCs w:val="21"/>
              </w:rPr>
            </w:pPr>
            <w:r>
              <w:rPr>
                <w:rFonts w:hint="eastAsia" w:ascii="仿宋" w:hAnsi="仿宋" w:eastAsia="仿宋" w:cs="仿宋"/>
                <w:color w:val="auto"/>
                <w:szCs w:val="21"/>
                <w:lang w:eastAsia="zh-CN"/>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67145B0C">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253C1FF2">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rPr>
              <w:t>总价</w:t>
            </w:r>
          </w:p>
        </w:tc>
        <w:tc>
          <w:tcPr>
            <w:tcW w:w="816" w:type="dxa"/>
            <w:tcBorders>
              <w:top w:val="single" w:color="auto" w:sz="4" w:space="0"/>
              <w:left w:val="single" w:color="auto" w:sz="4" w:space="0"/>
              <w:bottom w:val="single" w:color="auto" w:sz="4" w:space="0"/>
              <w:right w:val="single" w:color="auto" w:sz="4" w:space="0"/>
            </w:tcBorders>
            <w:vAlign w:val="center"/>
          </w:tcPr>
          <w:p w14:paraId="25634DF2">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备注</w:t>
            </w:r>
          </w:p>
        </w:tc>
      </w:tr>
      <w:tr w14:paraId="22C99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0452DE5F">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86FEA0A">
            <w:pPr>
              <w:spacing w:line="500" w:lineRule="exact"/>
              <w:jc w:val="center"/>
              <w:rPr>
                <w:rFonts w:ascii="仿宋" w:hAnsi="仿宋" w:eastAsia="仿宋" w:cs="仿宋"/>
                <w:color w:val="auto"/>
                <w:szCs w:val="21"/>
              </w:rPr>
            </w:pPr>
          </w:p>
        </w:tc>
        <w:tc>
          <w:tcPr>
            <w:tcW w:w="1528" w:type="dxa"/>
            <w:tcBorders>
              <w:top w:val="single" w:color="auto" w:sz="4" w:space="0"/>
              <w:left w:val="single" w:color="auto" w:sz="4" w:space="0"/>
              <w:bottom w:val="single" w:color="auto" w:sz="4" w:space="0"/>
              <w:right w:val="single" w:color="auto" w:sz="4" w:space="0"/>
            </w:tcBorders>
            <w:vAlign w:val="center"/>
          </w:tcPr>
          <w:p w14:paraId="70C87D1D">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EAF4892">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7715228">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306860F">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38978B5">
            <w:pPr>
              <w:spacing w:line="500" w:lineRule="exact"/>
              <w:jc w:val="center"/>
              <w:rPr>
                <w:rFonts w:ascii="仿宋" w:hAnsi="仿宋" w:eastAsia="仿宋" w:cs="仿宋"/>
                <w:color w:val="auto"/>
                <w:szCs w:val="21"/>
              </w:rPr>
            </w:pPr>
          </w:p>
        </w:tc>
      </w:tr>
      <w:tr w14:paraId="6315C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70C886C">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679F0B4">
            <w:pPr>
              <w:spacing w:line="500" w:lineRule="exact"/>
              <w:jc w:val="center"/>
              <w:rPr>
                <w:rFonts w:ascii="仿宋" w:hAnsi="仿宋" w:eastAsia="仿宋" w:cs="仿宋"/>
                <w:color w:val="auto"/>
                <w:szCs w:val="21"/>
              </w:rPr>
            </w:pPr>
          </w:p>
        </w:tc>
        <w:tc>
          <w:tcPr>
            <w:tcW w:w="1528" w:type="dxa"/>
            <w:tcBorders>
              <w:top w:val="single" w:color="auto" w:sz="4" w:space="0"/>
              <w:left w:val="single" w:color="auto" w:sz="4" w:space="0"/>
              <w:bottom w:val="single" w:color="auto" w:sz="4" w:space="0"/>
              <w:right w:val="single" w:color="auto" w:sz="4" w:space="0"/>
            </w:tcBorders>
            <w:vAlign w:val="center"/>
          </w:tcPr>
          <w:p w14:paraId="515CD090">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A9BA95C">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1988E1D">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8781B16">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7AFFCBA">
            <w:pPr>
              <w:spacing w:line="500" w:lineRule="exact"/>
              <w:jc w:val="center"/>
              <w:rPr>
                <w:rFonts w:ascii="仿宋" w:hAnsi="仿宋" w:eastAsia="仿宋" w:cs="仿宋"/>
                <w:color w:val="auto"/>
                <w:szCs w:val="21"/>
              </w:rPr>
            </w:pPr>
          </w:p>
        </w:tc>
      </w:tr>
      <w:tr w14:paraId="6BB9F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7BF65FB">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0D336C4">
            <w:pPr>
              <w:spacing w:line="500" w:lineRule="exact"/>
              <w:jc w:val="center"/>
              <w:rPr>
                <w:rFonts w:ascii="仿宋" w:hAnsi="仿宋" w:eastAsia="仿宋" w:cs="仿宋"/>
                <w:color w:val="auto"/>
                <w:szCs w:val="21"/>
              </w:rPr>
            </w:pPr>
          </w:p>
        </w:tc>
        <w:tc>
          <w:tcPr>
            <w:tcW w:w="1528" w:type="dxa"/>
            <w:tcBorders>
              <w:top w:val="single" w:color="auto" w:sz="4" w:space="0"/>
              <w:left w:val="single" w:color="auto" w:sz="4" w:space="0"/>
              <w:bottom w:val="single" w:color="auto" w:sz="4" w:space="0"/>
              <w:right w:val="single" w:color="auto" w:sz="4" w:space="0"/>
            </w:tcBorders>
            <w:vAlign w:val="center"/>
          </w:tcPr>
          <w:p w14:paraId="0C338128">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DA6B677">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0BCC1B4">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1EF3ABA">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EF29B78">
            <w:pPr>
              <w:spacing w:line="500" w:lineRule="exact"/>
              <w:jc w:val="center"/>
              <w:rPr>
                <w:rFonts w:ascii="仿宋" w:hAnsi="仿宋" w:eastAsia="仿宋" w:cs="仿宋"/>
                <w:color w:val="auto"/>
                <w:szCs w:val="21"/>
              </w:rPr>
            </w:pPr>
          </w:p>
        </w:tc>
      </w:tr>
      <w:tr w14:paraId="31CAC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1C14C03">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80D9BA9">
            <w:pPr>
              <w:spacing w:line="500" w:lineRule="exact"/>
              <w:jc w:val="center"/>
              <w:rPr>
                <w:rFonts w:ascii="仿宋" w:hAnsi="仿宋" w:eastAsia="仿宋" w:cs="仿宋"/>
                <w:color w:val="auto"/>
                <w:szCs w:val="21"/>
              </w:rPr>
            </w:pPr>
          </w:p>
        </w:tc>
        <w:tc>
          <w:tcPr>
            <w:tcW w:w="1528" w:type="dxa"/>
            <w:tcBorders>
              <w:top w:val="single" w:color="auto" w:sz="4" w:space="0"/>
              <w:left w:val="single" w:color="auto" w:sz="4" w:space="0"/>
              <w:bottom w:val="single" w:color="auto" w:sz="4" w:space="0"/>
              <w:right w:val="single" w:color="auto" w:sz="4" w:space="0"/>
            </w:tcBorders>
            <w:vAlign w:val="center"/>
          </w:tcPr>
          <w:p w14:paraId="107BD364">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1F8F586">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50A284A">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9F8E00E">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68B9685">
            <w:pPr>
              <w:spacing w:line="500" w:lineRule="exact"/>
              <w:jc w:val="center"/>
              <w:rPr>
                <w:rFonts w:ascii="仿宋" w:hAnsi="仿宋" w:eastAsia="仿宋" w:cs="仿宋"/>
                <w:color w:val="auto"/>
                <w:szCs w:val="21"/>
              </w:rPr>
            </w:pPr>
          </w:p>
        </w:tc>
      </w:tr>
      <w:tr w14:paraId="03806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182C5E6">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6DAD96A">
            <w:pPr>
              <w:spacing w:line="500" w:lineRule="exact"/>
              <w:jc w:val="center"/>
              <w:rPr>
                <w:rFonts w:ascii="仿宋" w:hAnsi="仿宋" w:eastAsia="仿宋" w:cs="仿宋"/>
                <w:color w:val="auto"/>
                <w:szCs w:val="21"/>
              </w:rPr>
            </w:pPr>
          </w:p>
        </w:tc>
        <w:tc>
          <w:tcPr>
            <w:tcW w:w="1528" w:type="dxa"/>
            <w:tcBorders>
              <w:top w:val="single" w:color="auto" w:sz="4" w:space="0"/>
              <w:left w:val="single" w:color="auto" w:sz="4" w:space="0"/>
              <w:bottom w:val="single" w:color="auto" w:sz="4" w:space="0"/>
              <w:right w:val="single" w:color="auto" w:sz="4" w:space="0"/>
            </w:tcBorders>
            <w:vAlign w:val="center"/>
          </w:tcPr>
          <w:p w14:paraId="533FC2DB">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70A70C1">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16D48605">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4399978">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267B406D">
            <w:pPr>
              <w:spacing w:line="500" w:lineRule="exact"/>
              <w:jc w:val="center"/>
              <w:rPr>
                <w:rFonts w:ascii="仿宋" w:hAnsi="仿宋" w:eastAsia="仿宋" w:cs="仿宋"/>
                <w:color w:val="auto"/>
                <w:szCs w:val="21"/>
              </w:rPr>
            </w:pPr>
          </w:p>
        </w:tc>
      </w:tr>
      <w:tr w14:paraId="77573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60039C4">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C11000D">
            <w:pPr>
              <w:spacing w:line="500" w:lineRule="exact"/>
              <w:jc w:val="center"/>
              <w:rPr>
                <w:rFonts w:ascii="仿宋" w:hAnsi="仿宋" w:eastAsia="仿宋" w:cs="仿宋"/>
                <w:color w:val="auto"/>
                <w:szCs w:val="21"/>
              </w:rPr>
            </w:pPr>
          </w:p>
        </w:tc>
        <w:tc>
          <w:tcPr>
            <w:tcW w:w="1528" w:type="dxa"/>
            <w:tcBorders>
              <w:top w:val="single" w:color="auto" w:sz="4" w:space="0"/>
              <w:left w:val="single" w:color="auto" w:sz="4" w:space="0"/>
              <w:bottom w:val="single" w:color="auto" w:sz="4" w:space="0"/>
              <w:right w:val="single" w:color="auto" w:sz="4" w:space="0"/>
            </w:tcBorders>
            <w:vAlign w:val="center"/>
          </w:tcPr>
          <w:p w14:paraId="1CFA0149">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A1860FB">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12F70875">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8DECA2C">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EFF640C">
            <w:pPr>
              <w:spacing w:line="500" w:lineRule="exact"/>
              <w:jc w:val="center"/>
              <w:rPr>
                <w:rFonts w:ascii="仿宋" w:hAnsi="仿宋" w:eastAsia="仿宋" w:cs="仿宋"/>
                <w:color w:val="auto"/>
                <w:szCs w:val="21"/>
              </w:rPr>
            </w:pPr>
          </w:p>
        </w:tc>
      </w:tr>
      <w:tr w14:paraId="04547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F72978B">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3F3AEC6">
            <w:pPr>
              <w:spacing w:line="500" w:lineRule="exact"/>
              <w:jc w:val="center"/>
              <w:rPr>
                <w:rFonts w:ascii="仿宋" w:hAnsi="仿宋" w:eastAsia="仿宋" w:cs="仿宋"/>
                <w:color w:val="auto"/>
                <w:szCs w:val="21"/>
              </w:rPr>
            </w:pPr>
          </w:p>
        </w:tc>
        <w:tc>
          <w:tcPr>
            <w:tcW w:w="1528" w:type="dxa"/>
            <w:tcBorders>
              <w:top w:val="single" w:color="auto" w:sz="4" w:space="0"/>
              <w:left w:val="single" w:color="auto" w:sz="4" w:space="0"/>
              <w:bottom w:val="single" w:color="auto" w:sz="4" w:space="0"/>
              <w:right w:val="single" w:color="auto" w:sz="4" w:space="0"/>
            </w:tcBorders>
            <w:vAlign w:val="center"/>
          </w:tcPr>
          <w:p w14:paraId="19B2D51F">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F83BB3">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388F460">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B5F11AC">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09CD488">
            <w:pPr>
              <w:spacing w:line="500" w:lineRule="exact"/>
              <w:jc w:val="center"/>
              <w:rPr>
                <w:rFonts w:ascii="仿宋" w:hAnsi="仿宋" w:eastAsia="仿宋" w:cs="仿宋"/>
                <w:color w:val="auto"/>
                <w:szCs w:val="21"/>
              </w:rPr>
            </w:pPr>
          </w:p>
        </w:tc>
      </w:tr>
    </w:tbl>
    <w:p w14:paraId="0E3F5EFE">
      <w:pPr>
        <w:pStyle w:val="40"/>
        <w:spacing w:line="317" w:lineRule="exact"/>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所有价格均用人民币表示，单位为元。</w:t>
      </w:r>
    </w:p>
    <w:p w14:paraId="3696FFE6">
      <w:pPr>
        <w:pStyle w:val="40"/>
        <w:tabs>
          <w:tab w:val="left" w:pos="378"/>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投标报价单</w:t>
      </w:r>
      <w:r>
        <w:rPr>
          <w:rFonts w:hint="eastAsia" w:ascii="仿宋" w:hAnsi="仿宋" w:eastAsia="仿宋" w:cs="仿宋"/>
          <w:color w:val="auto"/>
          <w:sz w:val="24"/>
          <w:szCs w:val="24"/>
        </w:rPr>
        <w:t>》报价一致。</w:t>
      </w:r>
    </w:p>
    <w:p w14:paraId="39EB5AAC">
      <w:pPr>
        <w:pStyle w:val="40"/>
        <w:tabs>
          <w:tab w:val="left" w:pos="490"/>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如果不提供详细的分项报价表将被视为没有实质性</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w:t>
      </w:r>
    </w:p>
    <w:p w14:paraId="290A8E2A">
      <w:pPr>
        <w:pStyle w:val="40"/>
        <w:tabs>
          <w:tab w:val="left" w:pos="493"/>
        </w:tabs>
        <w:spacing w:line="317" w:lineRule="exact"/>
        <w:ind w:left="240" w:leftChars="100"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14:paraId="75FFCFCA">
      <w:pPr>
        <w:pStyle w:val="40"/>
        <w:tabs>
          <w:tab w:val="left" w:pos="493"/>
        </w:tabs>
        <w:spacing w:line="317" w:lineRule="exact"/>
        <w:ind w:left="176"/>
        <w:rPr>
          <w:rFonts w:ascii="仿宋" w:hAnsi="仿宋" w:eastAsia="仿宋" w:cs="仿宋"/>
          <w:color w:val="auto"/>
          <w:sz w:val="20"/>
          <w:szCs w:val="20"/>
        </w:rPr>
      </w:pPr>
    </w:p>
    <w:p w14:paraId="13BF55C8">
      <w:pPr>
        <w:pStyle w:val="40"/>
        <w:tabs>
          <w:tab w:val="left" w:pos="493"/>
        </w:tabs>
        <w:spacing w:line="317" w:lineRule="exact"/>
        <w:ind w:left="176"/>
        <w:rPr>
          <w:rFonts w:ascii="仿宋" w:hAnsi="仿宋" w:eastAsia="仿宋" w:cs="仿宋"/>
          <w:color w:val="auto"/>
          <w:sz w:val="20"/>
          <w:szCs w:val="20"/>
        </w:rPr>
      </w:pPr>
    </w:p>
    <w:p w14:paraId="7CEE1A0E">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7164B078">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30C4A08A">
      <w:pPr>
        <w:pStyle w:val="10"/>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2C1C57A2">
      <w:pPr>
        <w:pStyle w:val="10"/>
        <w:numPr>
          <w:ilvl w:val="0"/>
          <w:numId w:val="0"/>
        </w:numPr>
        <w:kinsoku w:val="0"/>
        <w:overflowPunct w:val="0"/>
        <w:spacing w:before="34" w:line="357" w:lineRule="auto"/>
        <w:ind w:left="480" w:right="126"/>
        <w:jc w:val="center"/>
        <w:rPr>
          <w:rFonts w:ascii="仿宋" w:hAnsi="仿宋" w:eastAsia="仿宋" w:cs="仿宋"/>
          <w:b/>
          <w:bCs/>
          <w:color w:val="auto"/>
          <w:sz w:val="36"/>
          <w:szCs w:val="36"/>
          <w:lang w:eastAsia="zh-CN"/>
        </w:rPr>
      </w:pPr>
    </w:p>
    <w:p w14:paraId="11ADB2A8">
      <w:pPr>
        <w:spacing w:line="360" w:lineRule="auto"/>
        <w:jc w:val="center"/>
        <w:rPr>
          <w:rFonts w:ascii="仿宋" w:hAnsi="仿宋" w:eastAsia="仿宋" w:cs="仿宋"/>
          <w:b/>
          <w:color w:val="auto"/>
          <w:sz w:val="36"/>
          <w:szCs w:val="36"/>
          <w:lang w:eastAsia="zh-CN"/>
        </w:rPr>
      </w:pPr>
    </w:p>
    <w:p w14:paraId="0411E06E">
      <w:pPr>
        <w:spacing w:line="360" w:lineRule="auto"/>
        <w:jc w:val="center"/>
        <w:rPr>
          <w:rFonts w:ascii="仿宋" w:hAnsi="仿宋" w:eastAsia="仿宋" w:cs="仿宋"/>
          <w:b/>
          <w:bCs/>
          <w:color w:val="auto"/>
          <w:sz w:val="32"/>
          <w:szCs w:val="32"/>
          <w:lang w:eastAsia="zh-CN"/>
        </w:rPr>
      </w:pPr>
      <w:r>
        <w:rPr>
          <w:rFonts w:hint="eastAsia" w:ascii="仿宋" w:hAnsi="仿宋" w:eastAsia="仿宋" w:cs="仿宋"/>
          <w:b/>
          <w:color w:val="auto"/>
          <w:sz w:val="36"/>
          <w:szCs w:val="36"/>
          <w:lang w:eastAsia="zh-CN"/>
        </w:rPr>
        <w:t>5、</w:t>
      </w:r>
      <w:r>
        <w:rPr>
          <w:rFonts w:hint="eastAsia" w:ascii="仿宋" w:hAnsi="仿宋" w:eastAsia="仿宋" w:cs="仿宋"/>
          <w:b/>
          <w:bCs/>
          <w:color w:val="auto"/>
          <w:sz w:val="32"/>
          <w:szCs w:val="32"/>
          <w:lang w:eastAsia="zh-CN"/>
        </w:rPr>
        <w:t>技术条款偏离表</w:t>
      </w:r>
    </w:p>
    <w:tbl>
      <w:tblPr>
        <w:tblStyle w:val="25"/>
        <w:tblW w:w="7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356"/>
        <w:gridCol w:w="1812"/>
        <w:gridCol w:w="1812"/>
        <w:gridCol w:w="1332"/>
        <w:gridCol w:w="872"/>
      </w:tblGrid>
      <w:tr w14:paraId="6ECFE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7EC3F2E">
            <w:pPr>
              <w:jc w:val="center"/>
              <w:rPr>
                <w:rFonts w:ascii="仿宋" w:hAnsi="仿宋" w:eastAsia="仿宋" w:cs="仿宋"/>
                <w:bCs/>
                <w:color w:val="auto"/>
              </w:rPr>
            </w:pPr>
            <w:r>
              <w:rPr>
                <w:rFonts w:hint="eastAsia" w:ascii="仿宋" w:hAnsi="仿宋" w:eastAsia="仿宋" w:cs="仿宋"/>
                <w:bCs/>
                <w:color w:val="auto"/>
              </w:rPr>
              <w:t>序号</w:t>
            </w:r>
          </w:p>
        </w:tc>
        <w:tc>
          <w:tcPr>
            <w:tcW w:w="1356" w:type="dxa"/>
            <w:vAlign w:val="center"/>
          </w:tcPr>
          <w:p w14:paraId="193EA70E">
            <w:pPr>
              <w:jc w:val="center"/>
              <w:rPr>
                <w:rFonts w:ascii="仿宋" w:hAnsi="仿宋" w:eastAsia="仿宋" w:cs="仿宋"/>
                <w:bCs/>
                <w:color w:val="auto"/>
              </w:rPr>
            </w:pPr>
            <w:r>
              <w:rPr>
                <w:rFonts w:hint="eastAsia" w:ascii="仿宋" w:hAnsi="仿宋" w:eastAsia="仿宋" w:cs="仿宋"/>
                <w:bCs/>
                <w:color w:val="auto"/>
                <w:lang w:eastAsia="zh-CN"/>
              </w:rPr>
              <w:t>服务</w:t>
            </w:r>
            <w:r>
              <w:rPr>
                <w:rFonts w:hint="eastAsia" w:ascii="仿宋" w:hAnsi="仿宋" w:eastAsia="仿宋" w:cs="仿宋"/>
                <w:bCs/>
                <w:color w:val="auto"/>
              </w:rPr>
              <w:t>名称</w:t>
            </w:r>
          </w:p>
        </w:tc>
        <w:tc>
          <w:tcPr>
            <w:tcW w:w="1812" w:type="dxa"/>
            <w:vAlign w:val="center"/>
          </w:tcPr>
          <w:p w14:paraId="6CE82472">
            <w:pPr>
              <w:jc w:val="center"/>
              <w:rPr>
                <w:rFonts w:ascii="仿宋" w:hAnsi="仿宋" w:eastAsia="仿宋" w:cs="仿宋"/>
                <w:bCs/>
                <w:color w:val="auto"/>
              </w:rPr>
            </w:pPr>
            <w:r>
              <w:rPr>
                <w:rFonts w:hint="eastAsia" w:ascii="仿宋" w:hAnsi="仿宋" w:eastAsia="仿宋" w:cs="仿宋"/>
                <w:bCs/>
                <w:color w:val="auto"/>
              </w:rPr>
              <w:t>招标文件要求</w:t>
            </w:r>
          </w:p>
        </w:tc>
        <w:tc>
          <w:tcPr>
            <w:tcW w:w="1812" w:type="dxa"/>
            <w:vAlign w:val="center"/>
          </w:tcPr>
          <w:p w14:paraId="311F2AEC">
            <w:pPr>
              <w:jc w:val="center"/>
              <w:rPr>
                <w:rFonts w:hint="default" w:ascii="仿宋" w:hAnsi="仿宋" w:eastAsia="仿宋" w:cs="仿宋"/>
                <w:bCs/>
                <w:color w:val="auto"/>
                <w:lang w:val="en-US" w:eastAsia="zh-CN"/>
              </w:rPr>
            </w:pPr>
            <w:r>
              <w:rPr>
                <w:rFonts w:hint="eastAsia" w:ascii="仿宋" w:hAnsi="仿宋" w:eastAsia="仿宋" w:cs="仿宋"/>
                <w:bCs/>
                <w:color w:val="auto"/>
              </w:rPr>
              <w:t>投标</w:t>
            </w:r>
            <w:r>
              <w:rPr>
                <w:rFonts w:hint="eastAsia" w:ascii="仿宋" w:hAnsi="仿宋" w:eastAsia="仿宋" w:cs="仿宋"/>
                <w:bCs/>
                <w:color w:val="auto"/>
                <w:lang w:val="en-US" w:eastAsia="zh-CN"/>
              </w:rPr>
              <w:t>文件要求</w:t>
            </w:r>
          </w:p>
        </w:tc>
        <w:tc>
          <w:tcPr>
            <w:tcW w:w="1332" w:type="dxa"/>
            <w:vAlign w:val="center"/>
          </w:tcPr>
          <w:p w14:paraId="4859EE4A">
            <w:pPr>
              <w:jc w:val="center"/>
              <w:rPr>
                <w:rFonts w:ascii="仿宋" w:hAnsi="仿宋" w:eastAsia="仿宋" w:cs="仿宋"/>
                <w:bCs/>
                <w:color w:val="auto"/>
              </w:rPr>
            </w:pPr>
            <w:r>
              <w:rPr>
                <w:rFonts w:hint="eastAsia" w:ascii="仿宋" w:hAnsi="仿宋" w:eastAsia="仿宋" w:cs="仿宋"/>
                <w:bCs/>
                <w:color w:val="auto"/>
                <w:lang w:eastAsia="zh-CN"/>
              </w:rPr>
              <w:t>是否偏离</w:t>
            </w:r>
          </w:p>
        </w:tc>
        <w:tc>
          <w:tcPr>
            <w:tcW w:w="872" w:type="dxa"/>
            <w:vAlign w:val="center"/>
          </w:tcPr>
          <w:p w14:paraId="198724FC">
            <w:pPr>
              <w:jc w:val="center"/>
              <w:rPr>
                <w:rFonts w:ascii="仿宋" w:hAnsi="仿宋" w:eastAsia="仿宋" w:cs="仿宋"/>
                <w:bCs/>
                <w:color w:val="auto"/>
              </w:rPr>
            </w:pPr>
            <w:r>
              <w:rPr>
                <w:rFonts w:hint="eastAsia" w:ascii="仿宋" w:hAnsi="仿宋" w:eastAsia="仿宋" w:cs="仿宋"/>
                <w:bCs/>
                <w:color w:val="auto"/>
              </w:rPr>
              <w:t>说明</w:t>
            </w:r>
          </w:p>
        </w:tc>
      </w:tr>
      <w:tr w14:paraId="7FAED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7435BA0A">
            <w:pPr>
              <w:jc w:val="center"/>
              <w:rPr>
                <w:rFonts w:ascii="仿宋" w:hAnsi="仿宋" w:eastAsia="仿宋" w:cs="仿宋"/>
                <w:b/>
                <w:bCs/>
                <w:color w:val="auto"/>
              </w:rPr>
            </w:pPr>
          </w:p>
        </w:tc>
        <w:tc>
          <w:tcPr>
            <w:tcW w:w="1356" w:type="dxa"/>
          </w:tcPr>
          <w:p w14:paraId="7148B958">
            <w:pPr>
              <w:jc w:val="center"/>
              <w:rPr>
                <w:rFonts w:ascii="仿宋" w:hAnsi="仿宋" w:eastAsia="仿宋" w:cs="仿宋"/>
                <w:b/>
                <w:bCs/>
                <w:color w:val="auto"/>
              </w:rPr>
            </w:pPr>
          </w:p>
        </w:tc>
        <w:tc>
          <w:tcPr>
            <w:tcW w:w="1812" w:type="dxa"/>
          </w:tcPr>
          <w:p w14:paraId="29ECA2D8">
            <w:pPr>
              <w:jc w:val="center"/>
              <w:rPr>
                <w:rFonts w:ascii="仿宋" w:hAnsi="仿宋" w:eastAsia="仿宋" w:cs="仿宋"/>
                <w:b/>
                <w:bCs/>
                <w:color w:val="auto"/>
              </w:rPr>
            </w:pPr>
          </w:p>
        </w:tc>
        <w:tc>
          <w:tcPr>
            <w:tcW w:w="1812" w:type="dxa"/>
          </w:tcPr>
          <w:p w14:paraId="0873325B">
            <w:pPr>
              <w:jc w:val="center"/>
              <w:rPr>
                <w:rFonts w:ascii="仿宋" w:hAnsi="仿宋" w:eastAsia="仿宋" w:cs="仿宋"/>
                <w:b/>
                <w:bCs/>
                <w:color w:val="auto"/>
              </w:rPr>
            </w:pPr>
          </w:p>
        </w:tc>
        <w:tc>
          <w:tcPr>
            <w:tcW w:w="1332" w:type="dxa"/>
          </w:tcPr>
          <w:p w14:paraId="1D8FF939">
            <w:pPr>
              <w:jc w:val="center"/>
              <w:rPr>
                <w:rFonts w:ascii="仿宋" w:hAnsi="仿宋" w:eastAsia="仿宋" w:cs="仿宋"/>
                <w:b/>
                <w:bCs/>
                <w:color w:val="auto"/>
                <w:lang w:eastAsia="zh-CN"/>
              </w:rPr>
            </w:pPr>
          </w:p>
        </w:tc>
        <w:tc>
          <w:tcPr>
            <w:tcW w:w="872" w:type="dxa"/>
          </w:tcPr>
          <w:p w14:paraId="51FD9CFE">
            <w:pPr>
              <w:jc w:val="center"/>
              <w:rPr>
                <w:rFonts w:ascii="仿宋" w:hAnsi="仿宋" w:eastAsia="仿宋" w:cs="仿宋"/>
                <w:b/>
                <w:bCs/>
                <w:color w:val="auto"/>
                <w:lang w:eastAsia="zh-CN"/>
              </w:rPr>
            </w:pPr>
          </w:p>
        </w:tc>
      </w:tr>
      <w:tr w14:paraId="6CE4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2AF62221">
            <w:pPr>
              <w:jc w:val="center"/>
              <w:rPr>
                <w:rFonts w:ascii="仿宋" w:hAnsi="仿宋" w:eastAsia="仿宋" w:cs="仿宋"/>
                <w:b/>
                <w:bCs/>
                <w:color w:val="auto"/>
                <w:lang w:eastAsia="zh-CN"/>
              </w:rPr>
            </w:pPr>
          </w:p>
        </w:tc>
        <w:tc>
          <w:tcPr>
            <w:tcW w:w="1356" w:type="dxa"/>
          </w:tcPr>
          <w:p w14:paraId="4683261B">
            <w:pPr>
              <w:jc w:val="center"/>
              <w:rPr>
                <w:rFonts w:ascii="仿宋" w:hAnsi="仿宋" w:eastAsia="仿宋" w:cs="仿宋"/>
                <w:b/>
                <w:bCs/>
                <w:color w:val="auto"/>
                <w:lang w:eastAsia="zh-CN"/>
              </w:rPr>
            </w:pPr>
          </w:p>
        </w:tc>
        <w:tc>
          <w:tcPr>
            <w:tcW w:w="1812" w:type="dxa"/>
          </w:tcPr>
          <w:p w14:paraId="5D109150">
            <w:pPr>
              <w:jc w:val="center"/>
              <w:rPr>
                <w:rFonts w:ascii="仿宋" w:hAnsi="仿宋" w:eastAsia="仿宋" w:cs="仿宋"/>
                <w:b/>
                <w:bCs/>
                <w:color w:val="auto"/>
                <w:lang w:eastAsia="zh-CN"/>
              </w:rPr>
            </w:pPr>
          </w:p>
        </w:tc>
        <w:tc>
          <w:tcPr>
            <w:tcW w:w="1812" w:type="dxa"/>
          </w:tcPr>
          <w:p w14:paraId="78D35BBE">
            <w:pPr>
              <w:jc w:val="center"/>
              <w:rPr>
                <w:rFonts w:ascii="仿宋" w:hAnsi="仿宋" w:eastAsia="仿宋" w:cs="仿宋"/>
                <w:b/>
                <w:bCs/>
                <w:color w:val="auto"/>
                <w:lang w:eastAsia="zh-CN"/>
              </w:rPr>
            </w:pPr>
          </w:p>
        </w:tc>
        <w:tc>
          <w:tcPr>
            <w:tcW w:w="1332" w:type="dxa"/>
          </w:tcPr>
          <w:p w14:paraId="6549A762">
            <w:pPr>
              <w:jc w:val="center"/>
              <w:rPr>
                <w:rFonts w:ascii="仿宋" w:hAnsi="仿宋" w:eastAsia="仿宋" w:cs="仿宋"/>
                <w:b/>
                <w:bCs/>
                <w:color w:val="auto"/>
                <w:lang w:eastAsia="zh-CN"/>
              </w:rPr>
            </w:pPr>
          </w:p>
        </w:tc>
        <w:tc>
          <w:tcPr>
            <w:tcW w:w="872" w:type="dxa"/>
          </w:tcPr>
          <w:p w14:paraId="5607ED9E">
            <w:pPr>
              <w:jc w:val="center"/>
              <w:rPr>
                <w:rFonts w:ascii="仿宋" w:hAnsi="仿宋" w:eastAsia="仿宋" w:cs="仿宋"/>
                <w:b/>
                <w:bCs/>
                <w:color w:val="auto"/>
                <w:lang w:eastAsia="zh-CN"/>
              </w:rPr>
            </w:pPr>
          </w:p>
        </w:tc>
      </w:tr>
      <w:tr w14:paraId="32B1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4BBE26DE">
            <w:pPr>
              <w:jc w:val="center"/>
              <w:rPr>
                <w:rFonts w:ascii="仿宋" w:hAnsi="仿宋" w:eastAsia="仿宋" w:cs="仿宋"/>
                <w:b/>
                <w:bCs/>
                <w:color w:val="auto"/>
                <w:lang w:eastAsia="zh-CN"/>
              </w:rPr>
            </w:pPr>
          </w:p>
        </w:tc>
        <w:tc>
          <w:tcPr>
            <w:tcW w:w="1356" w:type="dxa"/>
          </w:tcPr>
          <w:p w14:paraId="1018EAD6">
            <w:pPr>
              <w:jc w:val="center"/>
              <w:rPr>
                <w:rFonts w:ascii="仿宋" w:hAnsi="仿宋" w:eastAsia="仿宋" w:cs="仿宋"/>
                <w:b/>
                <w:bCs/>
                <w:color w:val="auto"/>
                <w:lang w:eastAsia="zh-CN"/>
              </w:rPr>
            </w:pPr>
          </w:p>
        </w:tc>
        <w:tc>
          <w:tcPr>
            <w:tcW w:w="1812" w:type="dxa"/>
          </w:tcPr>
          <w:p w14:paraId="3CECAE4F">
            <w:pPr>
              <w:jc w:val="center"/>
              <w:rPr>
                <w:rFonts w:ascii="仿宋" w:hAnsi="仿宋" w:eastAsia="仿宋" w:cs="仿宋"/>
                <w:b/>
                <w:bCs/>
                <w:color w:val="auto"/>
                <w:lang w:eastAsia="zh-CN"/>
              </w:rPr>
            </w:pPr>
          </w:p>
        </w:tc>
        <w:tc>
          <w:tcPr>
            <w:tcW w:w="1812" w:type="dxa"/>
          </w:tcPr>
          <w:p w14:paraId="5FFD1843">
            <w:pPr>
              <w:jc w:val="center"/>
              <w:rPr>
                <w:rFonts w:ascii="仿宋" w:hAnsi="仿宋" w:eastAsia="仿宋" w:cs="仿宋"/>
                <w:b/>
                <w:bCs/>
                <w:color w:val="auto"/>
                <w:lang w:eastAsia="zh-CN"/>
              </w:rPr>
            </w:pPr>
          </w:p>
        </w:tc>
        <w:tc>
          <w:tcPr>
            <w:tcW w:w="1332" w:type="dxa"/>
          </w:tcPr>
          <w:p w14:paraId="22A129B1">
            <w:pPr>
              <w:jc w:val="center"/>
              <w:rPr>
                <w:rFonts w:ascii="仿宋" w:hAnsi="仿宋" w:eastAsia="仿宋" w:cs="仿宋"/>
                <w:b/>
                <w:bCs/>
                <w:color w:val="auto"/>
                <w:lang w:eastAsia="zh-CN"/>
              </w:rPr>
            </w:pPr>
          </w:p>
        </w:tc>
        <w:tc>
          <w:tcPr>
            <w:tcW w:w="872" w:type="dxa"/>
          </w:tcPr>
          <w:p w14:paraId="4DE2A3E6">
            <w:pPr>
              <w:jc w:val="center"/>
              <w:rPr>
                <w:rFonts w:ascii="仿宋" w:hAnsi="仿宋" w:eastAsia="仿宋" w:cs="仿宋"/>
                <w:b/>
                <w:bCs/>
                <w:color w:val="auto"/>
                <w:lang w:eastAsia="zh-CN"/>
              </w:rPr>
            </w:pPr>
          </w:p>
        </w:tc>
      </w:tr>
      <w:tr w14:paraId="7AC1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7EF85BEA">
            <w:pPr>
              <w:jc w:val="center"/>
              <w:rPr>
                <w:rFonts w:ascii="仿宋" w:hAnsi="仿宋" w:eastAsia="仿宋" w:cs="仿宋"/>
                <w:b/>
                <w:bCs/>
                <w:color w:val="auto"/>
                <w:lang w:eastAsia="zh-CN"/>
              </w:rPr>
            </w:pPr>
          </w:p>
        </w:tc>
        <w:tc>
          <w:tcPr>
            <w:tcW w:w="1356" w:type="dxa"/>
          </w:tcPr>
          <w:p w14:paraId="2BC3F716">
            <w:pPr>
              <w:jc w:val="center"/>
              <w:rPr>
                <w:rFonts w:ascii="仿宋" w:hAnsi="仿宋" w:eastAsia="仿宋" w:cs="仿宋"/>
                <w:b/>
                <w:bCs/>
                <w:color w:val="auto"/>
                <w:lang w:eastAsia="zh-CN"/>
              </w:rPr>
            </w:pPr>
          </w:p>
        </w:tc>
        <w:tc>
          <w:tcPr>
            <w:tcW w:w="1812" w:type="dxa"/>
          </w:tcPr>
          <w:p w14:paraId="5380351B">
            <w:pPr>
              <w:jc w:val="center"/>
              <w:rPr>
                <w:rFonts w:ascii="仿宋" w:hAnsi="仿宋" w:eastAsia="仿宋" w:cs="仿宋"/>
                <w:b/>
                <w:bCs/>
                <w:color w:val="auto"/>
                <w:lang w:eastAsia="zh-CN"/>
              </w:rPr>
            </w:pPr>
          </w:p>
        </w:tc>
        <w:tc>
          <w:tcPr>
            <w:tcW w:w="1812" w:type="dxa"/>
          </w:tcPr>
          <w:p w14:paraId="1C2B62BF">
            <w:pPr>
              <w:jc w:val="center"/>
              <w:rPr>
                <w:rFonts w:ascii="仿宋" w:hAnsi="仿宋" w:eastAsia="仿宋" w:cs="仿宋"/>
                <w:b/>
                <w:bCs/>
                <w:color w:val="auto"/>
                <w:lang w:eastAsia="zh-CN"/>
              </w:rPr>
            </w:pPr>
          </w:p>
        </w:tc>
        <w:tc>
          <w:tcPr>
            <w:tcW w:w="1332" w:type="dxa"/>
          </w:tcPr>
          <w:p w14:paraId="5BD865ED">
            <w:pPr>
              <w:jc w:val="center"/>
              <w:rPr>
                <w:rFonts w:ascii="仿宋" w:hAnsi="仿宋" w:eastAsia="仿宋" w:cs="仿宋"/>
                <w:b/>
                <w:bCs/>
                <w:color w:val="auto"/>
                <w:lang w:eastAsia="zh-CN"/>
              </w:rPr>
            </w:pPr>
          </w:p>
        </w:tc>
        <w:tc>
          <w:tcPr>
            <w:tcW w:w="872" w:type="dxa"/>
          </w:tcPr>
          <w:p w14:paraId="0AD29F7E">
            <w:pPr>
              <w:jc w:val="center"/>
              <w:rPr>
                <w:rFonts w:ascii="仿宋" w:hAnsi="仿宋" w:eastAsia="仿宋" w:cs="仿宋"/>
                <w:b/>
                <w:bCs/>
                <w:color w:val="auto"/>
                <w:lang w:eastAsia="zh-CN"/>
              </w:rPr>
            </w:pPr>
          </w:p>
        </w:tc>
      </w:tr>
      <w:tr w14:paraId="19F4B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0412BF78">
            <w:pPr>
              <w:jc w:val="center"/>
              <w:rPr>
                <w:rFonts w:ascii="仿宋" w:hAnsi="仿宋" w:eastAsia="仿宋" w:cs="仿宋"/>
                <w:b/>
                <w:bCs/>
                <w:color w:val="auto"/>
                <w:lang w:eastAsia="zh-CN"/>
              </w:rPr>
            </w:pPr>
          </w:p>
        </w:tc>
        <w:tc>
          <w:tcPr>
            <w:tcW w:w="1356" w:type="dxa"/>
          </w:tcPr>
          <w:p w14:paraId="1707D4BA">
            <w:pPr>
              <w:jc w:val="center"/>
              <w:rPr>
                <w:rFonts w:ascii="仿宋" w:hAnsi="仿宋" w:eastAsia="仿宋" w:cs="仿宋"/>
                <w:b/>
                <w:bCs/>
                <w:color w:val="auto"/>
                <w:lang w:eastAsia="zh-CN"/>
              </w:rPr>
            </w:pPr>
          </w:p>
        </w:tc>
        <w:tc>
          <w:tcPr>
            <w:tcW w:w="1812" w:type="dxa"/>
          </w:tcPr>
          <w:p w14:paraId="0ED9FCD0">
            <w:pPr>
              <w:jc w:val="center"/>
              <w:rPr>
                <w:rFonts w:ascii="仿宋" w:hAnsi="仿宋" w:eastAsia="仿宋" w:cs="仿宋"/>
                <w:b/>
                <w:bCs/>
                <w:color w:val="auto"/>
                <w:lang w:eastAsia="zh-CN"/>
              </w:rPr>
            </w:pPr>
          </w:p>
        </w:tc>
        <w:tc>
          <w:tcPr>
            <w:tcW w:w="1812" w:type="dxa"/>
          </w:tcPr>
          <w:p w14:paraId="1D02FF8F">
            <w:pPr>
              <w:jc w:val="center"/>
              <w:rPr>
                <w:rFonts w:ascii="仿宋" w:hAnsi="仿宋" w:eastAsia="仿宋" w:cs="仿宋"/>
                <w:b/>
                <w:bCs/>
                <w:color w:val="auto"/>
                <w:lang w:eastAsia="zh-CN"/>
              </w:rPr>
            </w:pPr>
          </w:p>
        </w:tc>
        <w:tc>
          <w:tcPr>
            <w:tcW w:w="1332" w:type="dxa"/>
          </w:tcPr>
          <w:p w14:paraId="4C1427DA">
            <w:pPr>
              <w:jc w:val="center"/>
              <w:rPr>
                <w:rFonts w:ascii="仿宋" w:hAnsi="仿宋" w:eastAsia="仿宋" w:cs="仿宋"/>
                <w:b/>
                <w:bCs/>
                <w:color w:val="auto"/>
                <w:lang w:eastAsia="zh-CN"/>
              </w:rPr>
            </w:pPr>
          </w:p>
        </w:tc>
        <w:tc>
          <w:tcPr>
            <w:tcW w:w="872" w:type="dxa"/>
          </w:tcPr>
          <w:p w14:paraId="4C87F6E7">
            <w:pPr>
              <w:jc w:val="center"/>
              <w:rPr>
                <w:rFonts w:ascii="仿宋" w:hAnsi="仿宋" w:eastAsia="仿宋" w:cs="仿宋"/>
                <w:b/>
                <w:bCs/>
                <w:color w:val="auto"/>
                <w:lang w:eastAsia="zh-CN"/>
              </w:rPr>
            </w:pPr>
          </w:p>
        </w:tc>
      </w:tr>
    </w:tbl>
    <w:p w14:paraId="69043F0F">
      <w:pPr>
        <w:spacing w:line="360" w:lineRule="auto"/>
        <w:ind w:firstLine="475" w:firstLineChars="198"/>
        <w:rPr>
          <w:rFonts w:ascii="仿宋" w:hAnsi="仿宋" w:eastAsia="仿宋" w:cs="仿宋"/>
          <w:color w:val="auto"/>
          <w:lang w:eastAsia="zh-CN"/>
        </w:rPr>
      </w:pPr>
      <w:r>
        <w:rPr>
          <w:rFonts w:hint="eastAsia" w:ascii="仿宋" w:hAnsi="仿宋" w:eastAsia="仿宋" w:cs="仿宋"/>
          <w:color w:val="auto"/>
          <w:lang w:eastAsia="zh-CN"/>
        </w:rPr>
        <w:t>备注：供应商应根据其提供的服务，对照招标文件第四</w:t>
      </w:r>
      <w:r>
        <w:rPr>
          <w:rFonts w:hint="eastAsia" w:ascii="仿宋" w:hAnsi="仿宋" w:eastAsia="仿宋" w:cs="仿宋"/>
          <w:color w:val="auto"/>
          <w:lang w:val="en-US" w:eastAsia="zh-CN"/>
        </w:rPr>
        <w:t>章</w:t>
      </w:r>
      <w:r>
        <w:rPr>
          <w:rFonts w:hint="eastAsia" w:ascii="仿宋" w:hAnsi="仿宋" w:eastAsia="仿宋" w:cs="仿宋"/>
          <w:color w:val="auto"/>
          <w:lang w:eastAsia="zh-CN"/>
        </w:rPr>
        <w:t>“ 服务标准及要求”中的要求，有差异的，则在此表中列明实际响应的内容提要并加以说明，以便查对。本表包括所有的技术响应及差异。无差异说明表示完全响应。</w:t>
      </w:r>
    </w:p>
    <w:p w14:paraId="3C0FB81E">
      <w:pPr>
        <w:pStyle w:val="13"/>
        <w:tabs>
          <w:tab w:val="left" w:pos="5580"/>
        </w:tabs>
        <w:spacing w:line="360" w:lineRule="auto"/>
        <w:ind w:firstLine="3120" w:firstLineChars="1300"/>
        <w:rPr>
          <w:rFonts w:ascii="仿宋" w:hAnsi="仿宋" w:eastAsia="仿宋" w:cs="仿宋"/>
          <w:color w:val="auto"/>
          <w:lang w:eastAsia="zh-CN"/>
        </w:rPr>
      </w:pPr>
    </w:p>
    <w:p w14:paraId="49BACCC9">
      <w:pPr>
        <w:pStyle w:val="13"/>
        <w:tabs>
          <w:tab w:val="left" w:pos="5580"/>
        </w:tabs>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供应商（盖章）：</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4AA18940">
      <w:pPr>
        <w:pStyle w:val="13"/>
        <w:tabs>
          <w:tab w:val="left" w:pos="5580"/>
        </w:tabs>
        <w:spacing w:line="360" w:lineRule="auto"/>
        <w:ind w:firstLine="3120" w:firstLineChars="1300"/>
        <w:rPr>
          <w:rFonts w:ascii="仿宋" w:hAnsi="仿宋" w:eastAsia="仿宋" w:cs="仿宋"/>
          <w:color w:val="auto"/>
          <w:szCs w:val="24"/>
          <w:u w:val="single"/>
          <w:lang w:eastAsia="zh-CN"/>
        </w:rPr>
      </w:pPr>
      <w:r>
        <w:rPr>
          <w:rFonts w:hint="eastAsia" w:ascii="仿宋" w:hAnsi="仿宋" w:eastAsia="仿宋" w:cs="仿宋"/>
          <w:color w:val="auto"/>
          <w:lang w:eastAsia="zh-CN"/>
        </w:rPr>
        <w:t>法定代表人或</w:t>
      </w:r>
      <w:r>
        <w:rPr>
          <w:rFonts w:hint="eastAsia" w:ascii="仿宋" w:hAnsi="仿宋" w:eastAsia="仿宋" w:cs="仿宋"/>
          <w:color w:val="auto"/>
          <w:szCs w:val="24"/>
          <w:lang w:eastAsia="zh-CN"/>
        </w:rPr>
        <w:t>委托代理人</w:t>
      </w:r>
      <w:r>
        <w:rPr>
          <w:rFonts w:hint="eastAsia" w:ascii="仿宋" w:hAnsi="仿宋" w:eastAsia="仿宋" w:cs="仿宋"/>
          <w:color w:val="auto"/>
          <w:lang w:eastAsia="zh-CN"/>
        </w:rPr>
        <w:t>（签章）</w:t>
      </w:r>
      <w:r>
        <w:rPr>
          <w:rFonts w:hint="eastAsia" w:ascii="仿宋" w:hAnsi="仿宋" w:eastAsia="仿宋" w:cs="仿宋"/>
          <w:color w:val="auto"/>
          <w:szCs w:val="24"/>
          <w:lang w:eastAsia="zh-CN"/>
        </w:rPr>
        <w:t>：</w:t>
      </w:r>
      <w:r>
        <w:rPr>
          <w:rFonts w:hint="eastAsia" w:ascii="仿宋" w:hAnsi="仿宋" w:eastAsia="仿宋" w:cs="仿宋"/>
          <w:color w:val="auto"/>
          <w:szCs w:val="24"/>
          <w:u w:val="single"/>
          <w:lang w:eastAsia="zh-CN"/>
        </w:rPr>
        <w:t xml:space="preserve">             </w:t>
      </w:r>
    </w:p>
    <w:p w14:paraId="53AC8FDE">
      <w:pPr>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日期：       年   月   日</w:t>
      </w:r>
    </w:p>
    <w:p w14:paraId="5E122532">
      <w:pPr>
        <w:pStyle w:val="5"/>
        <w:rPr>
          <w:rFonts w:ascii="仿宋" w:hAnsi="仿宋" w:eastAsia="仿宋" w:cs="仿宋"/>
          <w:color w:val="auto"/>
          <w:sz w:val="36"/>
          <w:szCs w:val="36"/>
          <w:lang w:eastAsia="zh-CN"/>
        </w:rPr>
      </w:pPr>
    </w:p>
    <w:p w14:paraId="04DDDD3C">
      <w:pPr>
        <w:rPr>
          <w:rFonts w:ascii="仿宋" w:hAnsi="仿宋" w:eastAsia="仿宋" w:cs="仿宋"/>
          <w:color w:val="auto"/>
          <w:lang w:eastAsia="zh-CN"/>
        </w:rPr>
      </w:pPr>
    </w:p>
    <w:p w14:paraId="0C87A777">
      <w:pPr>
        <w:pStyle w:val="37"/>
        <w:spacing w:after="0"/>
        <w:ind w:firstLine="420"/>
        <w:jc w:val="center"/>
        <w:rPr>
          <w:rFonts w:ascii="仿宋" w:hAnsi="仿宋" w:eastAsia="仿宋" w:cs="仿宋"/>
          <w:color w:val="auto"/>
          <w:sz w:val="36"/>
          <w:szCs w:val="36"/>
          <w:lang w:eastAsia="zh-CN"/>
        </w:rPr>
      </w:pPr>
    </w:p>
    <w:p w14:paraId="42456726">
      <w:pPr>
        <w:pStyle w:val="37"/>
        <w:spacing w:after="0"/>
        <w:ind w:firstLine="420"/>
        <w:jc w:val="center"/>
        <w:rPr>
          <w:rFonts w:ascii="仿宋" w:hAnsi="仿宋" w:eastAsia="仿宋" w:cs="仿宋"/>
          <w:color w:val="auto"/>
          <w:sz w:val="36"/>
          <w:szCs w:val="36"/>
          <w:lang w:eastAsia="zh-CN"/>
        </w:rPr>
      </w:pPr>
    </w:p>
    <w:p w14:paraId="6F8FF317">
      <w:pPr>
        <w:pStyle w:val="37"/>
        <w:spacing w:after="0"/>
        <w:ind w:firstLine="420"/>
        <w:jc w:val="center"/>
        <w:rPr>
          <w:rFonts w:ascii="仿宋" w:hAnsi="仿宋" w:eastAsia="仿宋" w:cs="仿宋"/>
          <w:color w:val="auto"/>
          <w:sz w:val="36"/>
          <w:szCs w:val="36"/>
          <w:lang w:eastAsia="zh-CN"/>
        </w:rPr>
      </w:pPr>
    </w:p>
    <w:p w14:paraId="7E6E1368">
      <w:pPr>
        <w:pStyle w:val="37"/>
        <w:spacing w:after="0"/>
        <w:ind w:firstLine="420"/>
        <w:jc w:val="center"/>
        <w:rPr>
          <w:rFonts w:ascii="仿宋" w:hAnsi="仿宋" w:eastAsia="仿宋" w:cs="仿宋"/>
          <w:color w:val="auto"/>
          <w:sz w:val="36"/>
          <w:szCs w:val="36"/>
          <w:lang w:eastAsia="zh-CN"/>
        </w:rPr>
      </w:pPr>
    </w:p>
    <w:p w14:paraId="002415DE">
      <w:pPr>
        <w:pStyle w:val="37"/>
        <w:spacing w:after="0"/>
        <w:ind w:firstLine="420"/>
        <w:jc w:val="center"/>
        <w:rPr>
          <w:rFonts w:ascii="仿宋" w:hAnsi="仿宋" w:eastAsia="仿宋" w:cs="仿宋"/>
          <w:color w:val="auto"/>
          <w:sz w:val="36"/>
          <w:szCs w:val="36"/>
          <w:lang w:eastAsia="zh-CN"/>
        </w:rPr>
      </w:pPr>
    </w:p>
    <w:p w14:paraId="5A0433AF">
      <w:pPr>
        <w:pStyle w:val="37"/>
        <w:spacing w:after="0"/>
        <w:ind w:firstLine="420"/>
        <w:jc w:val="center"/>
        <w:rPr>
          <w:rFonts w:ascii="仿宋" w:hAnsi="仿宋" w:eastAsia="仿宋" w:cs="仿宋"/>
          <w:color w:val="auto"/>
          <w:sz w:val="36"/>
          <w:szCs w:val="36"/>
          <w:lang w:eastAsia="zh-CN"/>
        </w:rPr>
      </w:pPr>
    </w:p>
    <w:p w14:paraId="6911E871">
      <w:pPr>
        <w:pStyle w:val="37"/>
        <w:spacing w:after="0"/>
        <w:ind w:firstLine="420"/>
        <w:jc w:val="center"/>
        <w:rPr>
          <w:rFonts w:ascii="仿宋" w:hAnsi="仿宋" w:eastAsia="仿宋" w:cs="仿宋"/>
          <w:color w:val="auto"/>
          <w:sz w:val="36"/>
          <w:szCs w:val="36"/>
          <w:lang w:eastAsia="zh-CN"/>
        </w:rPr>
      </w:pPr>
    </w:p>
    <w:p w14:paraId="3D669FDB">
      <w:pPr>
        <w:jc w:val="center"/>
        <w:rPr>
          <w:rFonts w:hint="eastAsia" w:ascii="仿宋" w:hAnsi="仿宋" w:eastAsia="仿宋" w:cs="仿宋"/>
          <w:b/>
          <w:bCs/>
          <w:color w:val="auto"/>
          <w:sz w:val="30"/>
          <w:szCs w:val="30"/>
          <w:lang w:eastAsia="zh-CN"/>
        </w:rPr>
      </w:pPr>
    </w:p>
    <w:p w14:paraId="3C98CC4B">
      <w:pPr>
        <w:jc w:val="center"/>
        <w:rPr>
          <w:rFonts w:hint="eastAsia" w:ascii="仿宋" w:hAnsi="仿宋" w:eastAsia="仿宋" w:cs="仿宋"/>
          <w:b/>
          <w:bCs/>
          <w:color w:val="auto"/>
          <w:sz w:val="30"/>
          <w:szCs w:val="30"/>
          <w:lang w:eastAsia="zh-CN"/>
        </w:rPr>
      </w:pPr>
    </w:p>
    <w:p w14:paraId="39AEEE8F">
      <w:pPr>
        <w:jc w:val="center"/>
        <w:rPr>
          <w:rFonts w:hint="eastAsia" w:ascii="仿宋" w:hAnsi="仿宋" w:eastAsia="仿宋" w:cs="仿宋"/>
          <w:b/>
          <w:bCs/>
          <w:color w:val="auto"/>
          <w:sz w:val="30"/>
          <w:szCs w:val="30"/>
          <w:lang w:eastAsia="zh-CN"/>
        </w:rPr>
      </w:pPr>
    </w:p>
    <w:p w14:paraId="34D159EF">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6、商务条款偏离表</w:t>
      </w:r>
    </w:p>
    <w:tbl>
      <w:tblPr>
        <w:tblStyle w:val="25"/>
        <w:tblW w:w="7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477"/>
        <w:gridCol w:w="2454"/>
        <w:gridCol w:w="1423"/>
      </w:tblGrid>
      <w:tr w14:paraId="6BF8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E1CF092">
            <w:pPr>
              <w:rPr>
                <w:rFonts w:ascii="仿宋" w:hAnsi="仿宋" w:eastAsia="仿宋" w:cs="仿宋"/>
                <w:color w:val="auto"/>
                <w:spacing w:val="-1"/>
              </w:rPr>
            </w:pPr>
            <w:r>
              <w:rPr>
                <w:rFonts w:hint="eastAsia" w:ascii="仿宋" w:hAnsi="仿宋" w:eastAsia="仿宋" w:cs="仿宋"/>
                <w:color w:val="auto"/>
                <w:spacing w:val="-1"/>
              </w:rPr>
              <w:t>序号</w:t>
            </w:r>
          </w:p>
        </w:tc>
        <w:tc>
          <w:tcPr>
            <w:tcW w:w="2477" w:type="dxa"/>
          </w:tcPr>
          <w:p w14:paraId="26B4EAEF">
            <w:pPr>
              <w:pStyle w:val="13"/>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招标文件的商务条款</w:t>
            </w:r>
          </w:p>
        </w:tc>
        <w:tc>
          <w:tcPr>
            <w:tcW w:w="2454" w:type="dxa"/>
          </w:tcPr>
          <w:p w14:paraId="20DEA9A2">
            <w:pPr>
              <w:pStyle w:val="13"/>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投标文件的商务条款</w:t>
            </w:r>
          </w:p>
        </w:tc>
        <w:tc>
          <w:tcPr>
            <w:tcW w:w="1423" w:type="dxa"/>
          </w:tcPr>
          <w:p w14:paraId="3D064AAB">
            <w:pPr>
              <w:pStyle w:val="13"/>
              <w:spacing w:line="240" w:lineRule="atLeast"/>
              <w:jc w:val="center"/>
              <w:rPr>
                <w:rFonts w:ascii="仿宋" w:hAnsi="仿宋" w:eastAsia="仿宋" w:cs="仿宋"/>
                <w:color w:val="auto"/>
                <w:spacing w:val="-1"/>
              </w:rPr>
            </w:pPr>
            <w:r>
              <w:rPr>
                <w:rFonts w:hint="eastAsia" w:ascii="仿宋" w:hAnsi="仿宋" w:eastAsia="仿宋" w:cs="仿宋"/>
                <w:color w:val="auto"/>
                <w:spacing w:val="-1"/>
              </w:rPr>
              <w:t>是否偏离</w:t>
            </w:r>
          </w:p>
        </w:tc>
      </w:tr>
      <w:tr w14:paraId="64AA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70B3C53">
            <w:pPr>
              <w:rPr>
                <w:rFonts w:ascii="仿宋" w:hAnsi="仿宋" w:eastAsia="仿宋" w:cs="仿宋"/>
                <w:color w:val="auto"/>
                <w:spacing w:val="-1"/>
              </w:rPr>
            </w:pPr>
            <w:r>
              <w:rPr>
                <w:rFonts w:hint="eastAsia" w:ascii="仿宋" w:hAnsi="仿宋" w:eastAsia="仿宋" w:cs="仿宋"/>
                <w:color w:val="auto"/>
                <w:spacing w:val="-1"/>
              </w:rPr>
              <w:t>1</w:t>
            </w:r>
          </w:p>
        </w:tc>
        <w:tc>
          <w:tcPr>
            <w:tcW w:w="2477" w:type="dxa"/>
            <w:vAlign w:val="center"/>
          </w:tcPr>
          <w:p w14:paraId="71EE8847">
            <w:pPr>
              <w:rPr>
                <w:rFonts w:ascii="仿宋" w:hAnsi="仿宋" w:eastAsia="仿宋" w:cs="仿宋"/>
                <w:color w:val="auto"/>
                <w:spacing w:val="-1"/>
              </w:rPr>
            </w:pPr>
          </w:p>
        </w:tc>
        <w:tc>
          <w:tcPr>
            <w:tcW w:w="2454" w:type="dxa"/>
            <w:vAlign w:val="center"/>
          </w:tcPr>
          <w:p w14:paraId="4D3C1EC7">
            <w:pPr>
              <w:rPr>
                <w:rFonts w:ascii="仿宋" w:hAnsi="仿宋" w:eastAsia="仿宋" w:cs="仿宋"/>
                <w:color w:val="auto"/>
                <w:spacing w:val="-1"/>
              </w:rPr>
            </w:pPr>
          </w:p>
        </w:tc>
        <w:tc>
          <w:tcPr>
            <w:tcW w:w="1423" w:type="dxa"/>
            <w:vAlign w:val="center"/>
          </w:tcPr>
          <w:p w14:paraId="0CA48F8B">
            <w:pPr>
              <w:rPr>
                <w:rFonts w:ascii="仿宋" w:hAnsi="仿宋" w:eastAsia="仿宋" w:cs="仿宋"/>
                <w:color w:val="auto"/>
                <w:spacing w:val="-1"/>
              </w:rPr>
            </w:pPr>
          </w:p>
        </w:tc>
      </w:tr>
      <w:tr w14:paraId="707B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1CFCDD1">
            <w:pPr>
              <w:rPr>
                <w:rFonts w:ascii="仿宋" w:hAnsi="仿宋" w:eastAsia="仿宋" w:cs="仿宋"/>
                <w:color w:val="auto"/>
                <w:spacing w:val="-1"/>
              </w:rPr>
            </w:pPr>
            <w:r>
              <w:rPr>
                <w:rFonts w:hint="eastAsia" w:ascii="仿宋" w:hAnsi="仿宋" w:eastAsia="仿宋" w:cs="仿宋"/>
                <w:color w:val="auto"/>
                <w:spacing w:val="-1"/>
              </w:rPr>
              <w:t>2</w:t>
            </w:r>
          </w:p>
        </w:tc>
        <w:tc>
          <w:tcPr>
            <w:tcW w:w="2477" w:type="dxa"/>
            <w:vAlign w:val="center"/>
          </w:tcPr>
          <w:p w14:paraId="12BC1A98">
            <w:pPr>
              <w:rPr>
                <w:rFonts w:ascii="仿宋" w:hAnsi="仿宋" w:eastAsia="仿宋" w:cs="仿宋"/>
                <w:color w:val="auto"/>
                <w:spacing w:val="-1"/>
              </w:rPr>
            </w:pPr>
          </w:p>
        </w:tc>
        <w:tc>
          <w:tcPr>
            <w:tcW w:w="2454" w:type="dxa"/>
            <w:vAlign w:val="center"/>
          </w:tcPr>
          <w:p w14:paraId="496CBAC0">
            <w:pPr>
              <w:rPr>
                <w:rFonts w:ascii="仿宋" w:hAnsi="仿宋" w:eastAsia="仿宋" w:cs="仿宋"/>
                <w:color w:val="auto"/>
                <w:spacing w:val="-1"/>
              </w:rPr>
            </w:pPr>
          </w:p>
        </w:tc>
        <w:tc>
          <w:tcPr>
            <w:tcW w:w="1423" w:type="dxa"/>
            <w:vAlign w:val="center"/>
          </w:tcPr>
          <w:p w14:paraId="4F3F401E">
            <w:pPr>
              <w:rPr>
                <w:rFonts w:ascii="仿宋" w:hAnsi="仿宋" w:eastAsia="仿宋" w:cs="仿宋"/>
                <w:color w:val="auto"/>
                <w:spacing w:val="-1"/>
              </w:rPr>
            </w:pPr>
          </w:p>
        </w:tc>
      </w:tr>
      <w:tr w14:paraId="2461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7836EEF">
            <w:pPr>
              <w:rPr>
                <w:rFonts w:ascii="仿宋" w:hAnsi="仿宋" w:eastAsia="仿宋" w:cs="仿宋"/>
                <w:color w:val="auto"/>
                <w:spacing w:val="-1"/>
              </w:rPr>
            </w:pPr>
            <w:r>
              <w:rPr>
                <w:rFonts w:hint="eastAsia" w:ascii="仿宋" w:hAnsi="仿宋" w:eastAsia="仿宋" w:cs="仿宋"/>
                <w:color w:val="auto"/>
                <w:spacing w:val="-1"/>
              </w:rPr>
              <w:t>3</w:t>
            </w:r>
          </w:p>
        </w:tc>
        <w:tc>
          <w:tcPr>
            <w:tcW w:w="2477" w:type="dxa"/>
            <w:vAlign w:val="center"/>
          </w:tcPr>
          <w:p w14:paraId="20B4198F">
            <w:pPr>
              <w:rPr>
                <w:rFonts w:ascii="仿宋" w:hAnsi="仿宋" w:eastAsia="仿宋" w:cs="仿宋"/>
                <w:color w:val="auto"/>
                <w:spacing w:val="-1"/>
              </w:rPr>
            </w:pPr>
          </w:p>
        </w:tc>
        <w:tc>
          <w:tcPr>
            <w:tcW w:w="2454" w:type="dxa"/>
            <w:vAlign w:val="center"/>
          </w:tcPr>
          <w:p w14:paraId="2E30AFC2">
            <w:pPr>
              <w:rPr>
                <w:rFonts w:ascii="仿宋" w:hAnsi="仿宋" w:eastAsia="仿宋" w:cs="仿宋"/>
                <w:color w:val="auto"/>
                <w:spacing w:val="-1"/>
              </w:rPr>
            </w:pPr>
          </w:p>
        </w:tc>
        <w:tc>
          <w:tcPr>
            <w:tcW w:w="1423" w:type="dxa"/>
            <w:vAlign w:val="center"/>
          </w:tcPr>
          <w:p w14:paraId="3C4D438E">
            <w:pPr>
              <w:rPr>
                <w:rFonts w:ascii="仿宋" w:hAnsi="仿宋" w:eastAsia="仿宋" w:cs="仿宋"/>
                <w:color w:val="auto"/>
                <w:spacing w:val="-1"/>
              </w:rPr>
            </w:pPr>
          </w:p>
        </w:tc>
      </w:tr>
      <w:tr w14:paraId="0900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AE41801">
            <w:pPr>
              <w:rPr>
                <w:rFonts w:ascii="仿宋" w:hAnsi="仿宋" w:eastAsia="仿宋" w:cs="仿宋"/>
                <w:color w:val="auto"/>
                <w:spacing w:val="-1"/>
              </w:rPr>
            </w:pPr>
            <w:r>
              <w:rPr>
                <w:rFonts w:hint="eastAsia" w:ascii="仿宋" w:hAnsi="仿宋" w:eastAsia="仿宋" w:cs="仿宋"/>
                <w:color w:val="auto"/>
                <w:spacing w:val="-1"/>
              </w:rPr>
              <w:t>4</w:t>
            </w:r>
          </w:p>
        </w:tc>
        <w:tc>
          <w:tcPr>
            <w:tcW w:w="2477" w:type="dxa"/>
            <w:vAlign w:val="center"/>
          </w:tcPr>
          <w:p w14:paraId="17B4D352">
            <w:pPr>
              <w:rPr>
                <w:rFonts w:ascii="仿宋" w:hAnsi="仿宋" w:eastAsia="仿宋" w:cs="仿宋"/>
                <w:color w:val="auto"/>
                <w:spacing w:val="-1"/>
              </w:rPr>
            </w:pPr>
          </w:p>
        </w:tc>
        <w:tc>
          <w:tcPr>
            <w:tcW w:w="2454" w:type="dxa"/>
            <w:vAlign w:val="center"/>
          </w:tcPr>
          <w:p w14:paraId="4DA6CF90">
            <w:pPr>
              <w:rPr>
                <w:rFonts w:ascii="仿宋" w:hAnsi="仿宋" w:eastAsia="仿宋" w:cs="仿宋"/>
                <w:color w:val="auto"/>
                <w:spacing w:val="-1"/>
              </w:rPr>
            </w:pPr>
          </w:p>
        </w:tc>
        <w:tc>
          <w:tcPr>
            <w:tcW w:w="1423" w:type="dxa"/>
            <w:vAlign w:val="center"/>
          </w:tcPr>
          <w:p w14:paraId="1B891D99">
            <w:pPr>
              <w:rPr>
                <w:rFonts w:ascii="仿宋" w:hAnsi="仿宋" w:eastAsia="仿宋" w:cs="仿宋"/>
                <w:color w:val="auto"/>
                <w:spacing w:val="-1"/>
              </w:rPr>
            </w:pPr>
          </w:p>
        </w:tc>
      </w:tr>
      <w:tr w14:paraId="7488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B852BBC">
            <w:pPr>
              <w:rPr>
                <w:rFonts w:ascii="仿宋" w:hAnsi="仿宋" w:eastAsia="仿宋" w:cs="仿宋"/>
                <w:color w:val="auto"/>
                <w:spacing w:val="-1"/>
              </w:rPr>
            </w:pPr>
            <w:r>
              <w:rPr>
                <w:rFonts w:hint="eastAsia" w:ascii="仿宋" w:hAnsi="仿宋" w:eastAsia="仿宋" w:cs="仿宋"/>
                <w:color w:val="auto"/>
                <w:spacing w:val="-1"/>
              </w:rPr>
              <w:t>5</w:t>
            </w:r>
          </w:p>
        </w:tc>
        <w:tc>
          <w:tcPr>
            <w:tcW w:w="2477" w:type="dxa"/>
            <w:vAlign w:val="center"/>
          </w:tcPr>
          <w:p w14:paraId="27541289">
            <w:pPr>
              <w:rPr>
                <w:rFonts w:ascii="仿宋" w:hAnsi="仿宋" w:eastAsia="仿宋" w:cs="仿宋"/>
                <w:color w:val="auto"/>
                <w:spacing w:val="-1"/>
              </w:rPr>
            </w:pPr>
          </w:p>
        </w:tc>
        <w:tc>
          <w:tcPr>
            <w:tcW w:w="2454" w:type="dxa"/>
            <w:vAlign w:val="center"/>
          </w:tcPr>
          <w:p w14:paraId="13A17D63">
            <w:pPr>
              <w:rPr>
                <w:rFonts w:ascii="仿宋" w:hAnsi="仿宋" w:eastAsia="仿宋" w:cs="仿宋"/>
                <w:color w:val="auto"/>
                <w:spacing w:val="-1"/>
              </w:rPr>
            </w:pPr>
          </w:p>
        </w:tc>
        <w:tc>
          <w:tcPr>
            <w:tcW w:w="1423" w:type="dxa"/>
            <w:vAlign w:val="center"/>
          </w:tcPr>
          <w:p w14:paraId="50470365">
            <w:pPr>
              <w:rPr>
                <w:rFonts w:ascii="仿宋" w:hAnsi="仿宋" w:eastAsia="仿宋" w:cs="仿宋"/>
                <w:color w:val="auto"/>
                <w:spacing w:val="-1"/>
              </w:rPr>
            </w:pPr>
          </w:p>
        </w:tc>
      </w:tr>
      <w:tr w14:paraId="5996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F0CFD93">
            <w:pPr>
              <w:rPr>
                <w:rFonts w:ascii="仿宋" w:hAnsi="仿宋" w:eastAsia="仿宋" w:cs="仿宋"/>
                <w:color w:val="auto"/>
                <w:spacing w:val="-1"/>
              </w:rPr>
            </w:pPr>
            <w:r>
              <w:rPr>
                <w:rFonts w:hint="eastAsia" w:ascii="仿宋" w:hAnsi="仿宋" w:eastAsia="仿宋" w:cs="仿宋"/>
                <w:color w:val="auto"/>
                <w:spacing w:val="-1"/>
              </w:rPr>
              <w:t>6</w:t>
            </w:r>
          </w:p>
        </w:tc>
        <w:tc>
          <w:tcPr>
            <w:tcW w:w="2477" w:type="dxa"/>
            <w:vAlign w:val="center"/>
          </w:tcPr>
          <w:p w14:paraId="5696D3C0">
            <w:pPr>
              <w:rPr>
                <w:rFonts w:ascii="仿宋" w:hAnsi="仿宋" w:eastAsia="仿宋" w:cs="仿宋"/>
                <w:color w:val="auto"/>
                <w:spacing w:val="-1"/>
              </w:rPr>
            </w:pPr>
          </w:p>
        </w:tc>
        <w:tc>
          <w:tcPr>
            <w:tcW w:w="2454" w:type="dxa"/>
            <w:vAlign w:val="center"/>
          </w:tcPr>
          <w:p w14:paraId="14B483E5">
            <w:pPr>
              <w:rPr>
                <w:rFonts w:ascii="仿宋" w:hAnsi="仿宋" w:eastAsia="仿宋" w:cs="仿宋"/>
                <w:color w:val="auto"/>
                <w:spacing w:val="-1"/>
              </w:rPr>
            </w:pPr>
          </w:p>
        </w:tc>
        <w:tc>
          <w:tcPr>
            <w:tcW w:w="1423" w:type="dxa"/>
            <w:vAlign w:val="center"/>
          </w:tcPr>
          <w:p w14:paraId="6849408A">
            <w:pPr>
              <w:rPr>
                <w:rFonts w:ascii="仿宋" w:hAnsi="仿宋" w:eastAsia="仿宋" w:cs="仿宋"/>
                <w:color w:val="auto"/>
                <w:spacing w:val="-1"/>
              </w:rPr>
            </w:pPr>
          </w:p>
        </w:tc>
      </w:tr>
      <w:tr w14:paraId="3B2E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33A31E4">
            <w:pPr>
              <w:rPr>
                <w:rFonts w:ascii="仿宋" w:hAnsi="仿宋" w:eastAsia="仿宋" w:cs="仿宋"/>
                <w:color w:val="auto"/>
                <w:spacing w:val="-1"/>
              </w:rPr>
            </w:pPr>
            <w:r>
              <w:rPr>
                <w:rFonts w:hint="eastAsia" w:ascii="仿宋" w:hAnsi="仿宋" w:eastAsia="仿宋" w:cs="仿宋"/>
                <w:color w:val="auto"/>
                <w:spacing w:val="-1"/>
              </w:rPr>
              <w:t>7</w:t>
            </w:r>
          </w:p>
        </w:tc>
        <w:tc>
          <w:tcPr>
            <w:tcW w:w="2477" w:type="dxa"/>
            <w:vAlign w:val="center"/>
          </w:tcPr>
          <w:p w14:paraId="14AD32D5">
            <w:pPr>
              <w:rPr>
                <w:rFonts w:ascii="仿宋" w:hAnsi="仿宋" w:eastAsia="仿宋" w:cs="仿宋"/>
                <w:color w:val="auto"/>
                <w:spacing w:val="-1"/>
              </w:rPr>
            </w:pPr>
          </w:p>
        </w:tc>
        <w:tc>
          <w:tcPr>
            <w:tcW w:w="2454" w:type="dxa"/>
            <w:vAlign w:val="center"/>
          </w:tcPr>
          <w:p w14:paraId="27F1CE80">
            <w:pPr>
              <w:rPr>
                <w:rFonts w:ascii="仿宋" w:hAnsi="仿宋" w:eastAsia="仿宋" w:cs="仿宋"/>
                <w:color w:val="auto"/>
                <w:spacing w:val="-1"/>
              </w:rPr>
            </w:pPr>
          </w:p>
        </w:tc>
        <w:tc>
          <w:tcPr>
            <w:tcW w:w="1423" w:type="dxa"/>
            <w:vAlign w:val="center"/>
          </w:tcPr>
          <w:p w14:paraId="45279E77">
            <w:pPr>
              <w:rPr>
                <w:rFonts w:ascii="仿宋" w:hAnsi="仿宋" w:eastAsia="仿宋" w:cs="仿宋"/>
                <w:color w:val="auto"/>
                <w:spacing w:val="-1"/>
              </w:rPr>
            </w:pPr>
          </w:p>
        </w:tc>
      </w:tr>
      <w:tr w14:paraId="6204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1B6CF86">
            <w:pPr>
              <w:rPr>
                <w:rFonts w:ascii="仿宋" w:hAnsi="仿宋" w:eastAsia="仿宋" w:cs="仿宋"/>
                <w:color w:val="auto"/>
                <w:spacing w:val="-1"/>
              </w:rPr>
            </w:pPr>
            <w:r>
              <w:rPr>
                <w:rFonts w:hint="eastAsia" w:ascii="仿宋" w:hAnsi="仿宋" w:eastAsia="仿宋" w:cs="仿宋"/>
                <w:color w:val="auto"/>
                <w:spacing w:val="-1"/>
              </w:rPr>
              <w:t>8</w:t>
            </w:r>
          </w:p>
        </w:tc>
        <w:tc>
          <w:tcPr>
            <w:tcW w:w="2477" w:type="dxa"/>
            <w:vAlign w:val="center"/>
          </w:tcPr>
          <w:p w14:paraId="363BFDF7">
            <w:pPr>
              <w:rPr>
                <w:rFonts w:ascii="仿宋" w:hAnsi="仿宋" w:eastAsia="仿宋" w:cs="仿宋"/>
                <w:color w:val="auto"/>
                <w:spacing w:val="-1"/>
              </w:rPr>
            </w:pPr>
          </w:p>
        </w:tc>
        <w:tc>
          <w:tcPr>
            <w:tcW w:w="2454" w:type="dxa"/>
            <w:vAlign w:val="center"/>
          </w:tcPr>
          <w:p w14:paraId="3634BCBC">
            <w:pPr>
              <w:rPr>
                <w:rFonts w:ascii="仿宋" w:hAnsi="仿宋" w:eastAsia="仿宋" w:cs="仿宋"/>
                <w:color w:val="auto"/>
                <w:spacing w:val="-1"/>
              </w:rPr>
            </w:pPr>
          </w:p>
        </w:tc>
        <w:tc>
          <w:tcPr>
            <w:tcW w:w="1423" w:type="dxa"/>
            <w:vAlign w:val="center"/>
          </w:tcPr>
          <w:p w14:paraId="2DEBD022">
            <w:pPr>
              <w:rPr>
                <w:rFonts w:ascii="仿宋" w:hAnsi="仿宋" w:eastAsia="仿宋" w:cs="仿宋"/>
                <w:color w:val="auto"/>
                <w:spacing w:val="-1"/>
              </w:rPr>
            </w:pPr>
          </w:p>
        </w:tc>
      </w:tr>
      <w:tr w14:paraId="0AEF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BBC49C7">
            <w:pPr>
              <w:rPr>
                <w:rFonts w:ascii="仿宋" w:hAnsi="仿宋" w:eastAsia="仿宋" w:cs="仿宋"/>
                <w:color w:val="auto"/>
                <w:spacing w:val="-1"/>
              </w:rPr>
            </w:pPr>
            <w:r>
              <w:rPr>
                <w:rFonts w:hint="eastAsia" w:ascii="仿宋" w:hAnsi="仿宋" w:eastAsia="仿宋" w:cs="仿宋"/>
                <w:color w:val="auto"/>
                <w:spacing w:val="-1"/>
              </w:rPr>
              <w:t>9</w:t>
            </w:r>
          </w:p>
        </w:tc>
        <w:tc>
          <w:tcPr>
            <w:tcW w:w="2477" w:type="dxa"/>
            <w:vAlign w:val="center"/>
          </w:tcPr>
          <w:p w14:paraId="2F938B7C">
            <w:pPr>
              <w:rPr>
                <w:rFonts w:ascii="仿宋" w:hAnsi="仿宋" w:eastAsia="仿宋" w:cs="仿宋"/>
                <w:color w:val="auto"/>
                <w:spacing w:val="-1"/>
              </w:rPr>
            </w:pPr>
          </w:p>
        </w:tc>
        <w:tc>
          <w:tcPr>
            <w:tcW w:w="2454" w:type="dxa"/>
            <w:vAlign w:val="center"/>
          </w:tcPr>
          <w:p w14:paraId="3960F616">
            <w:pPr>
              <w:rPr>
                <w:rFonts w:ascii="仿宋" w:hAnsi="仿宋" w:eastAsia="仿宋" w:cs="仿宋"/>
                <w:color w:val="auto"/>
                <w:spacing w:val="-1"/>
              </w:rPr>
            </w:pPr>
          </w:p>
        </w:tc>
        <w:tc>
          <w:tcPr>
            <w:tcW w:w="1423" w:type="dxa"/>
            <w:vAlign w:val="center"/>
          </w:tcPr>
          <w:p w14:paraId="347CD25F">
            <w:pPr>
              <w:rPr>
                <w:rFonts w:ascii="仿宋" w:hAnsi="仿宋" w:eastAsia="仿宋" w:cs="仿宋"/>
                <w:color w:val="auto"/>
                <w:spacing w:val="-1"/>
              </w:rPr>
            </w:pPr>
          </w:p>
        </w:tc>
      </w:tr>
      <w:tr w14:paraId="761A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F0AC701">
            <w:pPr>
              <w:rPr>
                <w:rFonts w:ascii="仿宋" w:hAnsi="仿宋" w:eastAsia="仿宋" w:cs="仿宋"/>
                <w:color w:val="auto"/>
                <w:spacing w:val="-1"/>
              </w:rPr>
            </w:pPr>
            <w:r>
              <w:rPr>
                <w:rFonts w:hint="eastAsia" w:ascii="仿宋" w:hAnsi="仿宋" w:eastAsia="仿宋" w:cs="仿宋"/>
                <w:color w:val="auto"/>
                <w:spacing w:val="-1"/>
              </w:rPr>
              <w:t>10</w:t>
            </w:r>
          </w:p>
        </w:tc>
        <w:tc>
          <w:tcPr>
            <w:tcW w:w="2477" w:type="dxa"/>
            <w:vAlign w:val="center"/>
          </w:tcPr>
          <w:p w14:paraId="6CF6BF3A">
            <w:pPr>
              <w:rPr>
                <w:rFonts w:ascii="仿宋" w:hAnsi="仿宋" w:eastAsia="仿宋" w:cs="仿宋"/>
                <w:color w:val="auto"/>
                <w:spacing w:val="-1"/>
              </w:rPr>
            </w:pPr>
          </w:p>
        </w:tc>
        <w:tc>
          <w:tcPr>
            <w:tcW w:w="2454" w:type="dxa"/>
            <w:vAlign w:val="center"/>
          </w:tcPr>
          <w:p w14:paraId="7FC34400">
            <w:pPr>
              <w:rPr>
                <w:rFonts w:ascii="仿宋" w:hAnsi="仿宋" w:eastAsia="仿宋" w:cs="仿宋"/>
                <w:color w:val="auto"/>
                <w:spacing w:val="-1"/>
              </w:rPr>
            </w:pPr>
          </w:p>
        </w:tc>
        <w:tc>
          <w:tcPr>
            <w:tcW w:w="1423" w:type="dxa"/>
            <w:vAlign w:val="center"/>
          </w:tcPr>
          <w:p w14:paraId="302048B7">
            <w:pPr>
              <w:rPr>
                <w:rFonts w:ascii="仿宋" w:hAnsi="仿宋" w:eastAsia="仿宋" w:cs="仿宋"/>
                <w:color w:val="auto"/>
                <w:spacing w:val="-1"/>
              </w:rPr>
            </w:pPr>
          </w:p>
        </w:tc>
      </w:tr>
      <w:tr w14:paraId="587E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D223E1A">
            <w:pPr>
              <w:rPr>
                <w:rFonts w:ascii="仿宋" w:hAnsi="仿宋" w:eastAsia="仿宋" w:cs="仿宋"/>
                <w:color w:val="auto"/>
                <w:spacing w:val="-1"/>
              </w:rPr>
            </w:pPr>
            <w:r>
              <w:rPr>
                <w:rFonts w:hint="eastAsia" w:ascii="仿宋" w:hAnsi="仿宋" w:eastAsia="仿宋" w:cs="仿宋"/>
                <w:color w:val="auto"/>
                <w:spacing w:val="-1"/>
              </w:rPr>
              <w:t>11</w:t>
            </w:r>
          </w:p>
        </w:tc>
        <w:tc>
          <w:tcPr>
            <w:tcW w:w="2477" w:type="dxa"/>
            <w:vAlign w:val="center"/>
          </w:tcPr>
          <w:p w14:paraId="4782D1A3">
            <w:pPr>
              <w:rPr>
                <w:rFonts w:ascii="仿宋" w:hAnsi="仿宋" w:eastAsia="仿宋" w:cs="仿宋"/>
                <w:color w:val="auto"/>
                <w:spacing w:val="-1"/>
              </w:rPr>
            </w:pPr>
          </w:p>
        </w:tc>
        <w:tc>
          <w:tcPr>
            <w:tcW w:w="2454" w:type="dxa"/>
            <w:vAlign w:val="center"/>
          </w:tcPr>
          <w:p w14:paraId="7E7EB726">
            <w:pPr>
              <w:rPr>
                <w:rFonts w:ascii="仿宋" w:hAnsi="仿宋" w:eastAsia="仿宋" w:cs="仿宋"/>
                <w:color w:val="auto"/>
                <w:spacing w:val="-1"/>
              </w:rPr>
            </w:pPr>
          </w:p>
        </w:tc>
        <w:tc>
          <w:tcPr>
            <w:tcW w:w="1423" w:type="dxa"/>
            <w:vAlign w:val="center"/>
          </w:tcPr>
          <w:p w14:paraId="69921B24">
            <w:pPr>
              <w:rPr>
                <w:rFonts w:ascii="仿宋" w:hAnsi="仿宋" w:eastAsia="仿宋" w:cs="仿宋"/>
                <w:color w:val="auto"/>
                <w:spacing w:val="-1"/>
              </w:rPr>
            </w:pPr>
          </w:p>
        </w:tc>
      </w:tr>
      <w:tr w14:paraId="545B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736477C">
            <w:pPr>
              <w:rPr>
                <w:rFonts w:ascii="仿宋" w:hAnsi="仿宋" w:eastAsia="仿宋" w:cs="仿宋"/>
                <w:color w:val="auto"/>
                <w:spacing w:val="-1"/>
              </w:rPr>
            </w:pPr>
            <w:r>
              <w:rPr>
                <w:rFonts w:hint="eastAsia" w:ascii="仿宋" w:hAnsi="仿宋" w:eastAsia="仿宋" w:cs="仿宋"/>
                <w:color w:val="auto"/>
                <w:spacing w:val="-1"/>
              </w:rPr>
              <w:t>12</w:t>
            </w:r>
          </w:p>
        </w:tc>
        <w:tc>
          <w:tcPr>
            <w:tcW w:w="2477" w:type="dxa"/>
            <w:vAlign w:val="center"/>
          </w:tcPr>
          <w:p w14:paraId="0B4E9E18">
            <w:pPr>
              <w:rPr>
                <w:rFonts w:ascii="仿宋" w:hAnsi="仿宋" w:eastAsia="仿宋" w:cs="仿宋"/>
                <w:color w:val="auto"/>
                <w:spacing w:val="-1"/>
              </w:rPr>
            </w:pPr>
          </w:p>
        </w:tc>
        <w:tc>
          <w:tcPr>
            <w:tcW w:w="2454" w:type="dxa"/>
            <w:vAlign w:val="center"/>
          </w:tcPr>
          <w:p w14:paraId="509563BD">
            <w:pPr>
              <w:rPr>
                <w:rFonts w:ascii="仿宋" w:hAnsi="仿宋" w:eastAsia="仿宋" w:cs="仿宋"/>
                <w:color w:val="auto"/>
                <w:spacing w:val="-1"/>
              </w:rPr>
            </w:pPr>
          </w:p>
        </w:tc>
        <w:tc>
          <w:tcPr>
            <w:tcW w:w="1423" w:type="dxa"/>
            <w:vAlign w:val="center"/>
          </w:tcPr>
          <w:p w14:paraId="057C3CC6">
            <w:pPr>
              <w:rPr>
                <w:rFonts w:ascii="仿宋" w:hAnsi="仿宋" w:eastAsia="仿宋" w:cs="仿宋"/>
                <w:color w:val="auto"/>
                <w:spacing w:val="-1"/>
              </w:rPr>
            </w:pPr>
          </w:p>
        </w:tc>
      </w:tr>
      <w:tr w14:paraId="7E4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CAEAE4C">
            <w:pPr>
              <w:rPr>
                <w:rFonts w:ascii="仿宋" w:hAnsi="仿宋" w:eastAsia="仿宋" w:cs="仿宋"/>
                <w:color w:val="auto"/>
                <w:spacing w:val="-1"/>
              </w:rPr>
            </w:pPr>
            <w:r>
              <w:rPr>
                <w:rFonts w:hint="eastAsia" w:ascii="仿宋" w:hAnsi="仿宋" w:eastAsia="仿宋" w:cs="仿宋"/>
                <w:color w:val="auto"/>
                <w:spacing w:val="-1"/>
              </w:rPr>
              <w:t>13</w:t>
            </w:r>
          </w:p>
        </w:tc>
        <w:tc>
          <w:tcPr>
            <w:tcW w:w="2477" w:type="dxa"/>
            <w:vAlign w:val="center"/>
          </w:tcPr>
          <w:p w14:paraId="0AFEBD26">
            <w:pPr>
              <w:rPr>
                <w:rFonts w:ascii="仿宋" w:hAnsi="仿宋" w:eastAsia="仿宋" w:cs="仿宋"/>
                <w:color w:val="auto"/>
                <w:spacing w:val="-1"/>
              </w:rPr>
            </w:pPr>
          </w:p>
        </w:tc>
        <w:tc>
          <w:tcPr>
            <w:tcW w:w="2454" w:type="dxa"/>
            <w:vAlign w:val="center"/>
          </w:tcPr>
          <w:p w14:paraId="52C908B3">
            <w:pPr>
              <w:rPr>
                <w:rFonts w:ascii="仿宋" w:hAnsi="仿宋" w:eastAsia="仿宋" w:cs="仿宋"/>
                <w:color w:val="auto"/>
                <w:spacing w:val="-1"/>
              </w:rPr>
            </w:pPr>
          </w:p>
        </w:tc>
        <w:tc>
          <w:tcPr>
            <w:tcW w:w="1423" w:type="dxa"/>
            <w:vAlign w:val="center"/>
          </w:tcPr>
          <w:p w14:paraId="6509AC5E">
            <w:pPr>
              <w:rPr>
                <w:rFonts w:ascii="仿宋" w:hAnsi="仿宋" w:eastAsia="仿宋" w:cs="仿宋"/>
                <w:color w:val="auto"/>
                <w:spacing w:val="-1"/>
              </w:rPr>
            </w:pPr>
          </w:p>
        </w:tc>
      </w:tr>
      <w:tr w14:paraId="13F3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2C58230">
            <w:pPr>
              <w:rPr>
                <w:rFonts w:ascii="仿宋" w:hAnsi="仿宋" w:eastAsia="仿宋" w:cs="仿宋"/>
                <w:color w:val="auto"/>
                <w:spacing w:val="-1"/>
              </w:rPr>
            </w:pPr>
            <w:r>
              <w:rPr>
                <w:rFonts w:hint="eastAsia" w:ascii="仿宋" w:hAnsi="仿宋" w:eastAsia="仿宋" w:cs="仿宋"/>
                <w:color w:val="auto"/>
                <w:spacing w:val="-1"/>
              </w:rPr>
              <w:t>14</w:t>
            </w:r>
          </w:p>
        </w:tc>
        <w:tc>
          <w:tcPr>
            <w:tcW w:w="2477" w:type="dxa"/>
            <w:vAlign w:val="center"/>
          </w:tcPr>
          <w:p w14:paraId="3CA3F834">
            <w:pPr>
              <w:rPr>
                <w:rFonts w:ascii="仿宋" w:hAnsi="仿宋" w:eastAsia="仿宋" w:cs="仿宋"/>
                <w:color w:val="auto"/>
                <w:spacing w:val="-1"/>
              </w:rPr>
            </w:pPr>
          </w:p>
        </w:tc>
        <w:tc>
          <w:tcPr>
            <w:tcW w:w="2454" w:type="dxa"/>
            <w:vAlign w:val="center"/>
          </w:tcPr>
          <w:p w14:paraId="36C8B59F">
            <w:pPr>
              <w:rPr>
                <w:rFonts w:ascii="仿宋" w:hAnsi="仿宋" w:eastAsia="仿宋" w:cs="仿宋"/>
                <w:color w:val="auto"/>
                <w:spacing w:val="-1"/>
              </w:rPr>
            </w:pPr>
          </w:p>
        </w:tc>
        <w:tc>
          <w:tcPr>
            <w:tcW w:w="1423" w:type="dxa"/>
            <w:vAlign w:val="center"/>
          </w:tcPr>
          <w:p w14:paraId="28036034">
            <w:pPr>
              <w:rPr>
                <w:rFonts w:ascii="仿宋" w:hAnsi="仿宋" w:eastAsia="仿宋" w:cs="仿宋"/>
                <w:color w:val="auto"/>
                <w:spacing w:val="-1"/>
              </w:rPr>
            </w:pPr>
          </w:p>
        </w:tc>
      </w:tr>
      <w:tr w14:paraId="6990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B02288D">
            <w:pPr>
              <w:rPr>
                <w:rFonts w:ascii="仿宋" w:hAnsi="仿宋" w:eastAsia="仿宋" w:cs="仿宋"/>
                <w:color w:val="auto"/>
                <w:spacing w:val="-1"/>
              </w:rPr>
            </w:pPr>
            <w:r>
              <w:rPr>
                <w:rFonts w:hint="eastAsia" w:ascii="仿宋" w:hAnsi="仿宋" w:eastAsia="仿宋" w:cs="仿宋"/>
                <w:color w:val="auto"/>
                <w:spacing w:val="-1"/>
              </w:rPr>
              <w:t>15</w:t>
            </w:r>
          </w:p>
        </w:tc>
        <w:tc>
          <w:tcPr>
            <w:tcW w:w="2477" w:type="dxa"/>
            <w:vAlign w:val="center"/>
          </w:tcPr>
          <w:p w14:paraId="62394ADE">
            <w:pPr>
              <w:rPr>
                <w:rFonts w:ascii="仿宋" w:hAnsi="仿宋" w:eastAsia="仿宋" w:cs="仿宋"/>
                <w:color w:val="auto"/>
                <w:spacing w:val="-1"/>
              </w:rPr>
            </w:pPr>
          </w:p>
        </w:tc>
        <w:tc>
          <w:tcPr>
            <w:tcW w:w="2454" w:type="dxa"/>
            <w:vAlign w:val="center"/>
          </w:tcPr>
          <w:p w14:paraId="40B83890">
            <w:pPr>
              <w:rPr>
                <w:rFonts w:ascii="仿宋" w:hAnsi="仿宋" w:eastAsia="仿宋" w:cs="仿宋"/>
                <w:color w:val="auto"/>
                <w:spacing w:val="-1"/>
              </w:rPr>
            </w:pPr>
          </w:p>
        </w:tc>
        <w:tc>
          <w:tcPr>
            <w:tcW w:w="1423" w:type="dxa"/>
            <w:vAlign w:val="center"/>
          </w:tcPr>
          <w:p w14:paraId="21FA0C04">
            <w:pPr>
              <w:rPr>
                <w:rFonts w:ascii="仿宋" w:hAnsi="仿宋" w:eastAsia="仿宋" w:cs="仿宋"/>
                <w:color w:val="auto"/>
                <w:spacing w:val="-1"/>
              </w:rPr>
            </w:pPr>
          </w:p>
        </w:tc>
      </w:tr>
    </w:tbl>
    <w:p w14:paraId="5EE805E9">
      <w:pPr>
        <w:pStyle w:val="10"/>
        <w:numPr>
          <w:ilvl w:val="0"/>
          <w:numId w:val="0"/>
        </w:numPr>
        <w:tabs>
          <w:tab w:val="left" w:pos="8227"/>
        </w:tabs>
        <w:kinsoku w:val="0"/>
        <w:overflowPunct w:val="0"/>
        <w:spacing w:line="381" w:lineRule="auto"/>
        <w:ind w:right="118"/>
        <w:rPr>
          <w:rFonts w:ascii="仿宋" w:hAnsi="仿宋" w:eastAsia="仿宋" w:cs="仿宋"/>
          <w:color w:val="auto"/>
          <w:lang w:eastAsia="zh-CN"/>
        </w:rPr>
      </w:pPr>
      <w:r>
        <w:rPr>
          <w:rFonts w:hint="eastAsia" w:ascii="仿宋" w:hAnsi="仿宋" w:eastAsia="仿宋" w:cs="仿宋"/>
          <w:color w:val="auto"/>
          <w:lang w:eastAsia="zh-CN"/>
        </w:rPr>
        <w:t>注：凡投标文件中商务条款(包括服务期、付款方式、投标保证金以及其它所有商务内容）与招标文件存在正偏差的，均应在此表列出（不允许存在负偏离），未在此表中列出的视同完全满足招标文件要求</w:t>
      </w:r>
    </w:p>
    <w:p w14:paraId="4A21F2C6">
      <w:pPr>
        <w:pStyle w:val="10"/>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0857222E">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14:paraId="5003DEB6">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31A50912">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00009899">
      <w:pPr>
        <w:pStyle w:val="37"/>
        <w:spacing w:after="0"/>
        <w:ind w:firstLine="420"/>
        <w:jc w:val="center"/>
        <w:rPr>
          <w:rFonts w:ascii="仿宋" w:hAnsi="仿宋" w:eastAsia="仿宋" w:cs="仿宋"/>
          <w:color w:val="auto"/>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41FF06AD">
      <w:pPr>
        <w:pStyle w:val="37"/>
        <w:spacing w:after="0"/>
        <w:ind w:firstLine="420"/>
        <w:jc w:val="center"/>
        <w:rPr>
          <w:rFonts w:ascii="仿宋" w:hAnsi="仿宋" w:eastAsia="仿宋" w:cs="仿宋"/>
          <w:color w:val="auto"/>
          <w:sz w:val="36"/>
          <w:szCs w:val="36"/>
        </w:rPr>
      </w:pPr>
    </w:p>
    <w:p w14:paraId="1C424661">
      <w:pPr>
        <w:pStyle w:val="38"/>
        <w:tabs>
          <w:tab w:val="left" w:pos="826"/>
        </w:tabs>
        <w:spacing w:line="470" w:lineRule="exact"/>
        <w:ind w:firstLine="0"/>
        <w:jc w:val="center"/>
        <w:rPr>
          <w:rFonts w:ascii="仿宋" w:hAnsi="仿宋" w:eastAsia="仿宋" w:cs="仿宋"/>
          <w:color w:val="auto"/>
          <w:sz w:val="21"/>
          <w:szCs w:val="21"/>
        </w:rPr>
      </w:pPr>
    </w:p>
    <w:p w14:paraId="2C4A2B92">
      <w:pPr>
        <w:pStyle w:val="38"/>
        <w:tabs>
          <w:tab w:val="left" w:pos="826"/>
        </w:tabs>
        <w:spacing w:line="470" w:lineRule="exact"/>
        <w:ind w:firstLine="0"/>
        <w:jc w:val="center"/>
        <w:rPr>
          <w:rFonts w:ascii="仿宋" w:hAnsi="仿宋" w:eastAsia="仿宋" w:cs="仿宋"/>
          <w:color w:val="auto"/>
          <w:sz w:val="21"/>
          <w:szCs w:val="21"/>
        </w:rPr>
      </w:pPr>
    </w:p>
    <w:p w14:paraId="124C602D">
      <w:pPr>
        <w:pStyle w:val="38"/>
        <w:tabs>
          <w:tab w:val="left" w:pos="826"/>
        </w:tabs>
        <w:spacing w:line="470" w:lineRule="exact"/>
        <w:ind w:firstLine="0"/>
        <w:jc w:val="center"/>
        <w:rPr>
          <w:rFonts w:ascii="仿宋" w:hAnsi="仿宋" w:eastAsia="仿宋" w:cs="仿宋"/>
          <w:color w:val="auto"/>
          <w:sz w:val="21"/>
          <w:szCs w:val="21"/>
        </w:rPr>
      </w:pPr>
    </w:p>
    <w:p w14:paraId="7CB4D216">
      <w:pPr>
        <w:pStyle w:val="38"/>
        <w:tabs>
          <w:tab w:val="left" w:pos="826"/>
        </w:tabs>
        <w:spacing w:line="470" w:lineRule="exact"/>
        <w:ind w:firstLine="0"/>
        <w:jc w:val="center"/>
        <w:rPr>
          <w:rFonts w:ascii="仿宋" w:hAnsi="仿宋" w:eastAsia="仿宋" w:cs="仿宋"/>
          <w:color w:val="auto"/>
          <w:sz w:val="21"/>
          <w:szCs w:val="21"/>
        </w:rPr>
      </w:pPr>
    </w:p>
    <w:p w14:paraId="4C2FEA29">
      <w:pPr>
        <w:pStyle w:val="38"/>
        <w:tabs>
          <w:tab w:val="left" w:pos="826"/>
        </w:tabs>
        <w:spacing w:line="470" w:lineRule="exact"/>
        <w:ind w:firstLine="0"/>
        <w:jc w:val="center"/>
        <w:rPr>
          <w:rFonts w:ascii="仿宋" w:hAnsi="仿宋" w:eastAsia="仿宋" w:cs="仿宋"/>
          <w:color w:val="auto"/>
          <w:sz w:val="21"/>
          <w:szCs w:val="21"/>
        </w:rPr>
      </w:pPr>
    </w:p>
    <w:p w14:paraId="18816BDF">
      <w:pPr>
        <w:pStyle w:val="38"/>
        <w:tabs>
          <w:tab w:val="left" w:pos="826"/>
        </w:tabs>
        <w:spacing w:line="470" w:lineRule="exact"/>
        <w:ind w:firstLine="0"/>
        <w:jc w:val="center"/>
        <w:rPr>
          <w:rFonts w:ascii="仿宋" w:hAnsi="仿宋" w:eastAsia="仿宋" w:cs="仿宋"/>
          <w:color w:val="auto"/>
          <w:sz w:val="21"/>
          <w:szCs w:val="21"/>
        </w:rPr>
      </w:pPr>
    </w:p>
    <w:p w14:paraId="2B3C1E57">
      <w:pPr>
        <w:jc w:val="center"/>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7、供应商基本情况表</w:t>
      </w:r>
    </w:p>
    <w:p w14:paraId="3B5170FA">
      <w:pPr>
        <w:pStyle w:val="10"/>
        <w:numPr>
          <w:ilvl w:val="0"/>
          <w:numId w:val="0"/>
        </w:numPr>
        <w:kinsoku w:val="0"/>
        <w:overflowPunct w:val="0"/>
        <w:spacing w:before="5"/>
        <w:rPr>
          <w:rFonts w:ascii="仿宋" w:hAnsi="仿宋" w:eastAsia="仿宋" w:cs="仿宋"/>
          <w:b/>
          <w:bCs/>
          <w:color w:val="auto"/>
          <w:sz w:val="6"/>
          <w:szCs w:val="6"/>
          <w:lang w:eastAsia="zh-CN"/>
        </w:rPr>
      </w:pPr>
    </w:p>
    <w:tbl>
      <w:tblPr>
        <w:tblStyle w:val="25"/>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7408F5B7">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2472097">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16F195CF">
            <w:pPr>
              <w:rPr>
                <w:rFonts w:ascii="仿宋" w:hAnsi="仿宋" w:eastAsia="仿宋" w:cs="仿宋"/>
                <w:color w:val="auto"/>
              </w:rPr>
            </w:pPr>
          </w:p>
        </w:tc>
      </w:tr>
      <w:tr w14:paraId="34299AF4">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689B2A1">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7AD92BFC">
            <w:pPr>
              <w:rPr>
                <w:rFonts w:ascii="仿宋" w:hAnsi="仿宋" w:eastAsia="仿宋" w:cs="仿宋"/>
                <w:color w:val="auto"/>
              </w:rPr>
            </w:pPr>
          </w:p>
        </w:tc>
      </w:tr>
      <w:tr w14:paraId="7CAD5F7F">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6F90F54">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0B01359C">
            <w:pPr>
              <w:rPr>
                <w:rFonts w:ascii="仿宋" w:hAnsi="仿宋" w:eastAsia="仿宋" w:cs="仿宋"/>
                <w:color w:val="auto"/>
              </w:rPr>
            </w:pPr>
          </w:p>
        </w:tc>
      </w:tr>
      <w:tr w14:paraId="0AD9E18D">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DB8398B">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1569F08F">
            <w:pPr>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1EE4CDA9">
            <w:pPr>
              <w:pStyle w:val="41"/>
              <w:kinsoku w:val="0"/>
              <w:overflowPunct w:val="0"/>
              <w:spacing w:before="145"/>
              <w:ind w:left="181"/>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49CFBA36">
            <w:pPr>
              <w:rPr>
                <w:rFonts w:ascii="仿宋" w:hAnsi="仿宋" w:eastAsia="仿宋" w:cs="仿宋"/>
                <w:color w:val="auto"/>
              </w:rPr>
            </w:pPr>
          </w:p>
        </w:tc>
      </w:tr>
      <w:tr w14:paraId="54E205D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8000016">
            <w:pPr>
              <w:pStyle w:val="41"/>
              <w:kinsoku w:val="0"/>
              <w:overflowPunct w:val="0"/>
              <w:spacing w:before="146"/>
              <w:ind w:left="137"/>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6FAF1518">
            <w:pPr>
              <w:rPr>
                <w:rFonts w:ascii="仿宋" w:hAnsi="仿宋" w:eastAsia="仿宋" w:cs="仿宋"/>
                <w:color w:val="auto"/>
              </w:rPr>
            </w:pPr>
          </w:p>
        </w:tc>
      </w:tr>
      <w:tr w14:paraId="7A26A99F">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1B5E29C">
            <w:pPr>
              <w:pStyle w:val="41"/>
              <w:kinsoku w:val="0"/>
              <w:overflowPunct w:val="0"/>
              <w:spacing w:before="141" w:line="312" w:lineRule="exact"/>
              <w:ind w:left="257" w:right="133" w:hanging="120"/>
              <w:rPr>
                <w:rFonts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3B5E9792">
            <w:pPr>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165470BB">
            <w:pPr>
              <w:pStyle w:val="41"/>
              <w:kinsoku w:val="0"/>
              <w:overflowPunct w:val="0"/>
              <w:spacing w:before="4"/>
              <w:rPr>
                <w:rFonts w:ascii="仿宋" w:hAnsi="仿宋" w:eastAsia="仿宋" w:cs="仿宋"/>
                <w:b/>
                <w:bCs/>
                <w:color w:val="auto"/>
                <w:sz w:val="20"/>
                <w:szCs w:val="20"/>
              </w:rPr>
            </w:pPr>
          </w:p>
          <w:p w14:paraId="1CB191ED">
            <w:pPr>
              <w:pStyle w:val="41"/>
              <w:kinsoku w:val="0"/>
              <w:overflowPunct w:val="0"/>
              <w:ind w:left="366"/>
              <w:rPr>
                <w:rFonts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7E84B6CB">
            <w:pPr>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6F1B70F9">
            <w:pPr>
              <w:pStyle w:val="41"/>
              <w:kinsoku w:val="0"/>
              <w:overflowPunct w:val="0"/>
              <w:spacing w:before="4"/>
              <w:rPr>
                <w:rFonts w:ascii="仿宋" w:hAnsi="仿宋" w:eastAsia="仿宋" w:cs="仿宋"/>
                <w:b/>
                <w:bCs/>
                <w:color w:val="auto"/>
                <w:sz w:val="20"/>
                <w:szCs w:val="20"/>
              </w:rPr>
            </w:pPr>
          </w:p>
          <w:p w14:paraId="3F3D7DCA">
            <w:pPr>
              <w:pStyle w:val="41"/>
              <w:kinsoku w:val="0"/>
              <w:overflowPunct w:val="0"/>
              <w:ind w:left="383"/>
              <w:rPr>
                <w:rFonts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1AEF54E4">
            <w:pPr>
              <w:rPr>
                <w:rFonts w:ascii="仿宋" w:hAnsi="仿宋" w:eastAsia="仿宋" w:cs="仿宋"/>
                <w:color w:val="auto"/>
              </w:rPr>
            </w:pPr>
          </w:p>
        </w:tc>
      </w:tr>
      <w:tr w14:paraId="36DE62BC">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7EE82EF8">
            <w:pPr>
              <w:pStyle w:val="41"/>
              <w:kinsoku w:val="0"/>
              <w:overflowPunct w:val="0"/>
              <w:rPr>
                <w:rFonts w:ascii="仿宋" w:hAnsi="仿宋" w:eastAsia="仿宋" w:cs="仿宋"/>
                <w:b/>
                <w:bCs/>
                <w:color w:val="auto"/>
              </w:rPr>
            </w:pPr>
          </w:p>
          <w:p w14:paraId="18507D7F">
            <w:pPr>
              <w:pStyle w:val="41"/>
              <w:kinsoku w:val="0"/>
              <w:overflowPunct w:val="0"/>
              <w:rPr>
                <w:rFonts w:ascii="仿宋" w:hAnsi="仿宋" w:eastAsia="仿宋" w:cs="仿宋"/>
                <w:b/>
                <w:bCs/>
                <w:color w:val="auto"/>
              </w:rPr>
            </w:pPr>
          </w:p>
          <w:p w14:paraId="6A904962">
            <w:pPr>
              <w:pStyle w:val="41"/>
              <w:kinsoku w:val="0"/>
              <w:overflowPunct w:val="0"/>
              <w:rPr>
                <w:rFonts w:ascii="仿宋" w:hAnsi="仿宋" w:eastAsia="仿宋" w:cs="仿宋"/>
                <w:b/>
                <w:bCs/>
                <w:color w:val="auto"/>
              </w:rPr>
            </w:pPr>
          </w:p>
          <w:p w14:paraId="3CC924B2">
            <w:pPr>
              <w:pStyle w:val="41"/>
              <w:kinsoku w:val="0"/>
              <w:overflowPunct w:val="0"/>
              <w:spacing w:line="475" w:lineRule="auto"/>
              <w:ind w:left="497" w:right="493"/>
              <w:jc w:val="both"/>
              <w:rPr>
                <w:rFonts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64FEC5B6">
            <w:pPr>
              <w:pStyle w:val="41"/>
              <w:kinsoku w:val="0"/>
              <w:overflowPunct w:val="0"/>
              <w:spacing w:before="144"/>
              <w:ind w:left="236"/>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73551466">
            <w:pPr>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75E306BA">
            <w:pPr>
              <w:pStyle w:val="41"/>
              <w:kinsoku w:val="0"/>
              <w:overflowPunct w:val="0"/>
              <w:spacing w:before="144"/>
              <w:ind w:left="118"/>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6ECD7BD5">
            <w:pPr>
              <w:rPr>
                <w:rFonts w:ascii="仿宋" w:hAnsi="仿宋" w:eastAsia="仿宋" w:cs="仿宋"/>
                <w:color w:val="auto"/>
              </w:rPr>
            </w:pPr>
          </w:p>
        </w:tc>
      </w:tr>
      <w:tr w14:paraId="05AA4EA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53476D7">
            <w:pPr>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0BDCB1CF">
            <w:pPr>
              <w:pStyle w:val="41"/>
              <w:kinsoku w:val="0"/>
              <w:overflowPunct w:val="0"/>
              <w:spacing w:before="145"/>
              <w:jc w:val="center"/>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14:paraId="7C7C02C7">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10D8E96A">
            <w:pPr>
              <w:pStyle w:val="41"/>
              <w:kinsoku w:val="0"/>
              <w:overflowPunct w:val="0"/>
              <w:spacing w:before="145"/>
              <w:jc w:val="center"/>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6DBB1911">
            <w:pPr>
              <w:pStyle w:val="41"/>
              <w:kinsoku w:val="0"/>
              <w:overflowPunct w:val="0"/>
              <w:spacing w:before="145"/>
              <w:ind w:left="416"/>
              <w:rPr>
                <w:rFonts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7C0876AF">
            <w:pPr>
              <w:pStyle w:val="41"/>
              <w:kinsoku w:val="0"/>
              <w:overflowPunct w:val="0"/>
              <w:spacing w:before="145"/>
              <w:ind w:left="452"/>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2EC9167F">
            <w:pPr>
              <w:pStyle w:val="41"/>
              <w:kinsoku w:val="0"/>
              <w:overflowPunct w:val="0"/>
              <w:spacing w:before="145"/>
              <w:ind w:left="450"/>
              <w:rPr>
                <w:rFonts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78FCCBDE">
            <w:pPr>
              <w:pStyle w:val="41"/>
              <w:tabs>
                <w:tab w:val="left" w:pos="479"/>
              </w:tabs>
              <w:kinsoku w:val="0"/>
              <w:overflowPunct w:val="0"/>
              <w:spacing w:before="145"/>
              <w:ind w:right="1"/>
              <w:jc w:val="center"/>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7F204F33">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B4E139A">
            <w:pPr>
              <w:pStyle w:val="41"/>
              <w:tabs>
                <w:tab w:val="left" w:pos="479"/>
              </w:tabs>
              <w:kinsoku w:val="0"/>
              <w:overflowPunct w:val="0"/>
              <w:spacing w:before="145"/>
              <w:ind w:right="1"/>
              <w:jc w:val="cente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5C447FC7">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01BEB5B5">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6AB50BBA">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8B7F366">
            <w:pPr>
              <w:rPr>
                <w:rFonts w:ascii="仿宋" w:hAnsi="仿宋" w:eastAsia="仿宋" w:cs="仿宋"/>
                <w:color w:val="auto"/>
              </w:rPr>
            </w:pPr>
          </w:p>
        </w:tc>
      </w:tr>
      <w:tr w14:paraId="6894D1B7">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9A16A23">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D208E4C">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49671F5D">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6C19B79">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29B7F2A9">
            <w:pPr>
              <w:rPr>
                <w:rFonts w:ascii="仿宋" w:hAnsi="仿宋" w:eastAsia="仿宋" w:cs="仿宋"/>
                <w:color w:val="auto"/>
              </w:rPr>
            </w:pPr>
          </w:p>
        </w:tc>
      </w:tr>
      <w:tr w14:paraId="1B393BE7">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8D45E98">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B3DEA6E">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50DA0E34">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6237A28">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1A08A5F">
            <w:pPr>
              <w:rPr>
                <w:rFonts w:ascii="仿宋" w:hAnsi="仿宋" w:eastAsia="仿宋" w:cs="仿宋"/>
                <w:color w:val="auto"/>
              </w:rPr>
            </w:pPr>
          </w:p>
        </w:tc>
      </w:tr>
      <w:tr w14:paraId="218A6F9F">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211A96F">
            <w:pPr>
              <w:pStyle w:val="41"/>
              <w:kinsoku w:val="0"/>
              <w:overflowPunct w:val="0"/>
              <w:spacing w:before="1"/>
              <w:rPr>
                <w:rFonts w:ascii="仿宋" w:hAnsi="仿宋" w:eastAsia="仿宋" w:cs="仿宋"/>
                <w:b/>
                <w:bCs/>
                <w:color w:val="auto"/>
                <w:sz w:val="23"/>
                <w:szCs w:val="23"/>
              </w:rPr>
            </w:pPr>
          </w:p>
          <w:p w14:paraId="7A68810B">
            <w:pPr>
              <w:pStyle w:val="41"/>
              <w:kinsoku w:val="0"/>
              <w:overflowPunct w:val="0"/>
              <w:spacing w:line="237" w:lineRule="auto"/>
              <w:ind w:left="497" w:right="493"/>
              <w:jc w:val="both"/>
              <w:rPr>
                <w:rFonts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6C8CF1F0">
            <w:pPr>
              <w:rPr>
                <w:rFonts w:ascii="仿宋" w:hAnsi="仿宋" w:eastAsia="仿宋" w:cs="仿宋"/>
                <w:color w:val="auto"/>
              </w:rPr>
            </w:pPr>
          </w:p>
        </w:tc>
      </w:tr>
    </w:tbl>
    <w:p w14:paraId="61CE5783">
      <w:pPr>
        <w:pStyle w:val="38"/>
        <w:spacing w:line="440" w:lineRule="exact"/>
        <w:ind w:firstLine="0"/>
        <w:jc w:val="both"/>
        <w:rPr>
          <w:rFonts w:ascii="仿宋" w:hAnsi="仿宋" w:eastAsia="仿宋" w:cs="仿宋"/>
          <w:b/>
          <w:color w:val="auto"/>
          <w:sz w:val="30"/>
          <w:szCs w:val="30"/>
        </w:rPr>
      </w:pPr>
    </w:p>
    <w:p w14:paraId="2AA69CA5">
      <w:pPr>
        <w:pStyle w:val="38"/>
        <w:spacing w:line="440" w:lineRule="exact"/>
        <w:ind w:firstLine="0"/>
        <w:jc w:val="both"/>
        <w:rPr>
          <w:rFonts w:ascii="仿宋" w:hAnsi="仿宋" w:eastAsia="仿宋" w:cs="仿宋"/>
          <w:b/>
          <w:color w:val="auto"/>
          <w:sz w:val="30"/>
          <w:szCs w:val="30"/>
        </w:rPr>
      </w:pPr>
    </w:p>
    <w:p w14:paraId="5E7B0AE3">
      <w:pPr>
        <w:pStyle w:val="38"/>
        <w:spacing w:line="440" w:lineRule="exact"/>
        <w:ind w:firstLine="0"/>
        <w:jc w:val="both"/>
        <w:rPr>
          <w:rFonts w:ascii="仿宋" w:hAnsi="仿宋" w:eastAsia="仿宋" w:cs="仿宋"/>
          <w:b/>
          <w:color w:val="auto"/>
          <w:sz w:val="30"/>
          <w:szCs w:val="30"/>
        </w:rPr>
      </w:pPr>
    </w:p>
    <w:p w14:paraId="53CC7AB7">
      <w:pPr>
        <w:pStyle w:val="38"/>
        <w:spacing w:line="440" w:lineRule="exact"/>
        <w:ind w:firstLine="0"/>
        <w:jc w:val="both"/>
        <w:rPr>
          <w:rFonts w:ascii="仿宋" w:hAnsi="仿宋" w:eastAsia="仿宋" w:cs="仿宋"/>
          <w:b/>
          <w:color w:val="auto"/>
          <w:sz w:val="30"/>
          <w:szCs w:val="30"/>
        </w:rPr>
      </w:pPr>
    </w:p>
    <w:p w14:paraId="0153EEDB">
      <w:pPr>
        <w:pStyle w:val="38"/>
        <w:spacing w:line="440" w:lineRule="exact"/>
        <w:ind w:firstLine="0"/>
        <w:jc w:val="both"/>
        <w:rPr>
          <w:rFonts w:ascii="仿宋" w:hAnsi="仿宋" w:eastAsia="仿宋" w:cs="仿宋"/>
          <w:b/>
          <w:color w:val="auto"/>
          <w:sz w:val="30"/>
          <w:szCs w:val="30"/>
        </w:rPr>
      </w:pPr>
    </w:p>
    <w:p w14:paraId="64427D27">
      <w:pPr>
        <w:pStyle w:val="38"/>
        <w:spacing w:line="440" w:lineRule="exact"/>
        <w:ind w:firstLine="0"/>
        <w:jc w:val="both"/>
        <w:rPr>
          <w:rFonts w:ascii="仿宋" w:hAnsi="仿宋" w:eastAsia="仿宋" w:cs="仿宋"/>
          <w:b/>
          <w:color w:val="auto"/>
          <w:sz w:val="30"/>
          <w:szCs w:val="30"/>
        </w:rPr>
      </w:pPr>
    </w:p>
    <w:p w14:paraId="7BA5A45E">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lang w:eastAsia="zh-CN"/>
        </w:rPr>
      </w:pPr>
    </w:p>
    <w:p w14:paraId="1A4BDE04">
      <w:pPr>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en-US" w:eastAsia="zh-CN"/>
        </w:rPr>
        <w:t>8、近三年内（2022年1月1日至今）类似业绩表</w:t>
      </w:r>
    </w:p>
    <w:p w14:paraId="52556AED">
      <w:pPr>
        <w:pStyle w:val="10"/>
        <w:numPr>
          <w:ilvl w:val="0"/>
          <w:numId w:val="0"/>
        </w:numPr>
        <w:kinsoku w:val="0"/>
        <w:overflowPunct w:val="0"/>
        <w:rPr>
          <w:rFonts w:ascii="仿宋" w:hAnsi="仿宋" w:eastAsia="仿宋" w:cs="仿宋"/>
          <w:b/>
          <w:bCs/>
          <w:color w:val="auto"/>
          <w:sz w:val="20"/>
          <w:szCs w:val="20"/>
          <w:highlight w:val="none"/>
          <w:lang w:eastAsia="zh-CN"/>
        </w:rPr>
      </w:pPr>
    </w:p>
    <w:tbl>
      <w:tblPr>
        <w:tblStyle w:val="25"/>
        <w:tblW w:w="8731" w:type="dxa"/>
        <w:jc w:val="center"/>
        <w:tblLayout w:type="fixed"/>
        <w:tblCellMar>
          <w:top w:w="0" w:type="dxa"/>
          <w:left w:w="10" w:type="dxa"/>
          <w:bottom w:w="0" w:type="dxa"/>
          <w:right w:w="10" w:type="dxa"/>
        </w:tblCellMar>
      </w:tblPr>
      <w:tblGrid>
        <w:gridCol w:w="2002"/>
        <w:gridCol w:w="6729"/>
      </w:tblGrid>
      <w:tr w14:paraId="523A5ABE">
        <w:tblPrEx>
          <w:tblCellMar>
            <w:top w:w="0" w:type="dxa"/>
            <w:left w:w="10" w:type="dxa"/>
            <w:bottom w:w="0" w:type="dxa"/>
            <w:right w:w="10" w:type="dxa"/>
          </w:tblCellMar>
        </w:tblPrEx>
        <w:trPr>
          <w:trHeight w:val="511" w:hRule="exact"/>
          <w:jc w:val="center"/>
        </w:trPr>
        <w:tc>
          <w:tcPr>
            <w:tcW w:w="2002" w:type="dxa"/>
            <w:tcBorders>
              <w:top w:val="single" w:color="auto" w:sz="4" w:space="0"/>
              <w:left w:val="single" w:color="auto" w:sz="4" w:space="0"/>
            </w:tcBorders>
            <w:shd w:val="clear" w:color="auto" w:fill="FFFFFF"/>
            <w:vAlign w:val="center"/>
          </w:tcPr>
          <w:p w14:paraId="6CB93062">
            <w:pPr>
              <w:pStyle w:val="39"/>
              <w:spacing w:line="240" w:lineRule="auto"/>
              <w:ind w:firstLine="0"/>
              <w:jc w:val="center"/>
              <w:rPr>
                <w:rFonts w:ascii="仿宋" w:hAnsi="仿宋" w:eastAsia="仿宋" w:cs="仿宋"/>
                <w:color w:val="auto"/>
                <w:highlight w:val="none"/>
              </w:rPr>
            </w:pPr>
            <w:r>
              <w:rPr>
                <w:rFonts w:hint="eastAsia" w:ascii="仿宋" w:hAnsi="仿宋" w:eastAsia="仿宋" w:cs="仿宋"/>
                <w:color w:val="auto"/>
                <w:highlight w:val="none"/>
              </w:rPr>
              <w:t>项目名称</w:t>
            </w:r>
          </w:p>
        </w:tc>
        <w:tc>
          <w:tcPr>
            <w:tcW w:w="6729" w:type="dxa"/>
            <w:tcBorders>
              <w:top w:val="single" w:color="auto" w:sz="4" w:space="0"/>
              <w:left w:val="single" w:color="auto" w:sz="4" w:space="0"/>
              <w:right w:val="single" w:color="auto" w:sz="4" w:space="0"/>
            </w:tcBorders>
            <w:shd w:val="clear" w:color="auto" w:fill="FFFFFF"/>
          </w:tcPr>
          <w:p w14:paraId="7EF3D31B">
            <w:pPr>
              <w:rPr>
                <w:rFonts w:ascii="仿宋" w:hAnsi="仿宋" w:eastAsia="仿宋" w:cs="仿宋"/>
                <w:color w:val="auto"/>
                <w:sz w:val="10"/>
                <w:szCs w:val="10"/>
                <w:highlight w:val="none"/>
              </w:rPr>
            </w:pPr>
          </w:p>
        </w:tc>
      </w:tr>
      <w:tr w14:paraId="4A7B6A8F">
        <w:tblPrEx>
          <w:tblCellMar>
            <w:top w:w="0" w:type="dxa"/>
            <w:left w:w="10" w:type="dxa"/>
            <w:bottom w:w="0" w:type="dxa"/>
            <w:right w:w="10" w:type="dxa"/>
          </w:tblCellMar>
        </w:tblPrEx>
        <w:trPr>
          <w:trHeight w:val="482" w:hRule="exact"/>
          <w:jc w:val="center"/>
        </w:trPr>
        <w:tc>
          <w:tcPr>
            <w:tcW w:w="2002" w:type="dxa"/>
            <w:tcBorders>
              <w:top w:val="single" w:color="auto" w:sz="4" w:space="0"/>
              <w:left w:val="single" w:color="auto" w:sz="4" w:space="0"/>
            </w:tcBorders>
            <w:shd w:val="clear" w:color="auto" w:fill="FFFFFF"/>
          </w:tcPr>
          <w:p w14:paraId="78724FEB">
            <w:pPr>
              <w:pStyle w:val="39"/>
              <w:spacing w:before="120"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项目单位名称</w:t>
            </w:r>
          </w:p>
        </w:tc>
        <w:tc>
          <w:tcPr>
            <w:tcW w:w="6729" w:type="dxa"/>
            <w:tcBorders>
              <w:top w:val="single" w:color="auto" w:sz="4" w:space="0"/>
              <w:left w:val="single" w:color="auto" w:sz="4" w:space="0"/>
              <w:right w:val="single" w:color="auto" w:sz="4" w:space="0"/>
            </w:tcBorders>
            <w:shd w:val="clear" w:color="auto" w:fill="FFFFFF"/>
          </w:tcPr>
          <w:p w14:paraId="1EAE1EF2">
            <w:pPr>
              <w:rPr>
                <w:rFonts w:ascii="仿宋" w:hAnsi="仿宋" w:eastAsia="仿宋" w:cs="仿宋"/>
                <w:color w:val="auto"/>
                <w:sz w:val="10"/>
                <w:szCs w:val="10"/>
                <w:highlight w:val="none"/>
              </w:rPr>
            </w:pPr>
          </w:p>
        </w:tc>
      </w:tr>
      <w:tr w14:paraId="6A96CDC8">
        <w:tblPrEx>
          <w:tblCellMar>
            <w:top w:w="0" w:type="dxa"/>
            <w:left w:w="10" w:type="dxa"/>
            <w:bottom w:w="0" w:type="dxa"/>
            <w:right w:w="10" w:type="dxa"/>
          </w:tblCellMar>
        </w:tblPrEx>
        <w:trPr>
          <w:trHeight w:val="641" w:hRule="exact"/>
          <w:jc w:val="center"/>
        </w:trPr>
        <w:tc>
          <w:tcPr>
            <w:tcW w:w="2002" w:type="dxa"/>
            <w:tcBorders>
              <w:top w:val="single" w:color="auto" w:sz="4" w:space="0"/>
              <w:left w:val="single" w:color="auto" w:sz="4" w:space="0"/>
            </w:tcBorders>
            <w:shd w:val="clear" w:color="auto" w:fill="FFFFFF"/>
          </w:tcPr>
          <w:p w14:paraId="02944D42">
            <w:pPr>
              <w:pStyle w:val="39"/>
              <w:spacing w:line="320" w:lineRule="exact"/>
              <w:ind w:firstLine="0"/>
              <w:jc w:val="center"/>
              <w:rPr>
                <w:rFonts w:ascii="仿宋" w:hAnsi="仿宋" w:eastAsia="仿宋" w:cs="仿宋"/>
                <w:color w:val="auto"/>
                <w:highlight w:val="none"/>
              </w:rPr>
            </w:pPr>
            <w:r>
              <w:rPr>
                <w:rFonts w:hint="eastAsia" w:ascii="仿宋" w:hAnsi="仿宋" w:eastAsia="仿宋" w:cs="仿宋"/>
                <w:color w:val="auto"/>
                <w:highlight w:val="none"/>
              </w:rPr>
              <w:t>项目单位联系姓名及联系方式</w:t>
            </w:r>
          </w:p>
        </w:tc>
        <w:tc>
          <w:tcPr>
            <w:tcW w:w="6729" w:type="dxa"/>
            <w:tcBorders>
              <w:top w:val="single" w:color="auto" w:sz="4" w:space="0"/>
              <w:left w:val="single" w:color="auto" w:sz="4" w:space="0"/>
              <w:right w:val="single" w:color="auto" w:sz="4" w:space="0"/>
            </w:tcBorders>
            <w:shd w:val="clear" w:color="auto" w:fill="FFFFFF"/>
          </w:tcPr>
          <w:p w14:paraId="4E258A32">
            <w:pPr>
              <w:rPr>
                <w:rFonts w:ascii="仿宋" w:hAnsi="仿宋" w:eastAsia="仿宋" w:cs="仿宋"/>
                <w:color w:val="auto"/>
                <w:sz w:val="10"/>
                <w:szCs w:val="10"/>
                <w:highlight w:val="none"/>
                <w:lang w:eastAsia="zh-CN"/>
              </w:rPr>
            </w:pPr>
          </w:p>
        </w:tc>
      </w:tr>
      <w:tr w14:paraId="190D4F95">
        <w:tblPrEx>
          <w:tblCellMar>
            <w:top w:w="0" w:type="dxa"/>
            <w:left w:w="10" w:type="dxa"/>
            <w:bottom w:w="0" w:type="dxa"/>
            <w:right w:w="10" w:type="dxa"/>
          </w:tblCellMar>
        </w:tblPrEx>
        <w:trPr>
          <w:trHeight w:val="634" w:hRule="exact"/>
          <w:jc w:val="center"/>
        </w:trPr>
        <w:tc>
          <w:tcPr>
            <w:tcW w:w="2002" w:type="dxa"/>
            <w:tcBorders>
              <w:top w:val="single" w:color="auto" w:sz="4" w:space="0"/>
              <w:left w:val="single" w:color="auto" w:sz="4" w:space="0"/>
            </w:tcBorders>
            <w:shd w:val="clear" w:color="auto" w:fill="FFFFFF"/>
            <w:vAlign w:val="center"/>
          </w:tcPr>
          <w:p w14:paraId="7C52CB5C">
            <w:pPr>
              <w:pStyle w:val="39"/>
              <w:spacing w:line="240" w:lineRule="auto"/>
              <w:ind w:firstLine="0"/>
              <w:jc w:val="center"/>
              <w:rPr>
                <w:rFonts w:ascii="仿宋" w:hAnsi="仿宋" w:eastAsia="仿宋" w:cs="仿宋"/>
                <w:color w:val="auto"/>
                <w:highlight w:val="none"/>
              </w:rPr>
            </w:pPr>
            <w:r>
              <w:rPr>
                <w:rFonts w:hint="eastAsia" w:ascii="仿宋" w:hAnsi="仿宋" w:eastAsia="仿宋" w:cs="仿宋"/>
                <w:color w:val="auto"/>
                <w:highlight w:val="none"/>
              </w:rPr>
              <w:t>合同金额</w:t>
            </w:r>
          </w:p>
        </w:tc>
        <w:tc>
          <w:tcPr>
            <w:tcW w:w="6729" w:type="dxa"/>
            <w:tcBorders>
              <w:top w:val="single" w:color="auto" w:sz="4" w:space="0"/>
              <w:left w:val="single" w:color="auto" w:sz="4" w:space="0"/>
              <w:right w:val="single" w:color="auto" w:sz="4" w:space="0"/>
            </w:tcBorders>
            <w:shd w:val="clear" w:color="auto" w:fill="FFFFFF"/>
          </w:tcPr>
          <w:p w14:paraId="3C9780A7">
            <w:pPr>
              <w:rPr>
                <w:rFonts w:ascii="仿宋" w:hAnsi="仿宋" w:eastAsia="仿宋" w:cs="仿宋"/>
                <w:color w:val="auto"/>
                <w:sz w:val="10"/>
                <w:szCs w:val="10"/>
                <w:highlight w:val="none"/>
              </w:rPr>
            </w:pPr>
          </w:p>
        </w:tc>
      </w:tr>
      <w:tr w14:paraId="6FFB6288">
        <w:tblPrEx>
          <w:tblCellMar>
            <w:top w:w="0" w:type="dxa"/>
            <w:left w:w="10" w:type="dxa"/>
            <w:bottom w:w="0" w:type="dxa"/>
            <w:right w:w="10" w:type="dxa"/>
          </w:tblCellMar>
        </w:tblPrEx>
        <w:trPr>
          <w:trHeight w:val="637" w:hRule="exact"/>
          <w:jc w:val="center"/>
        </w:trPr>
        <w:tc>
          <w:tcPr>
            <w:tcW w:w="2002" w:type="dxa"/>
            <w:tcBorders>
              <w:top w:val="single" w:color="auto" w:sz="4" w:space="0"/>
              <w:left w:val="single" w:color="auto" w:sz="4" w:space="0"/>
            </w:tcBorders>
            <w:shd w:val="clear" w:color="auto" w:fill="FFFFFF"/>
          </w:tcPr>
          <w:p w14:paraId="0C87F7A5">
            <w:pPr>
              <w:pStyle w:val="39"/>
              <w:spacing w:line="306" w:lineRule="exact"/>
              <w:ind w:firstLine="0"/>
              <w:jc w:val="center"/>
              <w:rPr>
                <w:rFonts w:ascii="仿宋" w:hAnsi="仿宋" w:eastAsia="仿宋" w:cs="仿宋"/>
                <w:color w:val="auto"/>
                <w:highlight w:val="none"/>
              </w:rPr>
            </w:pPr>
            <w:r>
              <w:rPr>
                <w:rFonts w:hint="eastAsia" w:ascii="仿宋" w:hAnsi="仿宋" w:eastAsia="仿宋" w:cs="仿宋"/>
                <w:color w:val="auto"/>
                <w:highlight w:val="none"/>
              </w:rPr>
              <w:t>项目负责人姓名</w:t>
            </w:r>
          </w:p>
        </w:tc>
        <w:tc>
          <w:tcPr>
            <w:tcW w:w="6729" w:type="dxa"/>
            <w:tcBorders>
              <w:top w:val="single" w:color="auto" w:sz="4" w:space="0"/>
              <w:left w:val="single" w:color="auto" w:sz="4" w:space="0"/>
              <w:right w:val="single" w:color="auto" w:sz="4" w:space="0"/>
            </w:tcBorders>
            <w:shd w:val="clear" w:color="auto" w:fill="FFFFFF"/>
          </w:tcPr>
          <w:p w14:paraId="41CFA448">
            <w:pPr>
              <w:rPr>
                <w:rFonts w:ascii="仿宋" w:hAnsi="仿宋" w:eastAsia="仿宋" w:cs="仿宋"/>
                <w:color w:val="auto"/>
                <w:sz w:val="10"/>
                <w:szCs w:val="10"/>
                <w:highlight w:val="none"/>
              </w:rPr>
            </w:pPr>
          </w:p>
        </w:tc>
      </w:tr>
      <w:tr w14:paraId="0D070AF8">
        <w:tblPrEx>
          <w:tblCellMar>
            <w:top w:w="0" w:type="dxa"/>
            <w:left w:w="10" w:type="dxa"/>
            <w:bottom w:w="0" w:type="dxa"/>
            <w:right w:w="10" w:type="dxa"/>
          </w:tblCellMar>
        </w:tblPrEx>
        <w:trPr>
          <w:trHeight w:val="482" w:hRule="exact"/>
          <w:jc w:val="center"/>
        </w:trPr>
        <w:tc>
          <w:tcPr>
            <w:tcW w:w="2002" w:type="dxa"/>
            <w:tcBorders>
              <w:top w:val="single" w:color="auto" w:sz="4" w:space="0"/>
              <w:left w:val="single" w:color="auto" w:sz="4" w:space="0"/>
            </w:tcBorders>
            <w:shd w:val="clear" w:color="auto" w:fill="FFFFFF"/>
          </w:tcPr>
          <w:p w14:paraId="43B4258E">
            <w:pPr>
              <w:pStyle w:val="39"/>
              <w:spacing w:before="120"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项目实施时间</w:t>
            </w:r>
          </w:p>
        </w:tc>
        <w:tc>
          <w:tcPr>
            <w:tcW w:w="6729" w:type="dxa"/>
            <w:tcBorders>
              <w:top w:val="single" w:color="auto" w:sz="4" w:space="0"/>
              <w:left w:val="single" w:color="auto" w:sz="4" w:space="0"/>
              <w:right w:val="single" w:color="auto" w:sz="4" w:space="0"/>
            </w:tcBorders>
            <w:shd w:val="clear" w:color="auto" w:fill="FFFFFF"/>
          </w:tcPr>
          <w:p w14:paraId="4526A27A">
            <w:pPr>
              <w:rPr>
                <w:rFonts w:ascii="仿宋" w:hAnsi="仿宋" w:eastAsia="仿宋" w:cs="仿宋"/>
                <w:color w:val="auto"/>
                <w:sz w:val="10"/>
                <w:szCs w:val="10"/>
                <w:highlight w:val="none"/>
              </w:rPr>
            </w:pPr>
          </w:p>
        </w:tc>
      </w:tr>
      <w:tr w14:paraId="212660CB">
        <w:tblPrEx>
          <w:tblCellMar>
            <w:top w:w="0" w:type="dxa"/>
            <w:left w:w="10" w:type="dxa"/>
            <w:bottom w:w="0" w:type="dxa"/>
            <w:right w:w="10" w:type="dxa"/>
          </w:tblCellMar>
        </w:tblPrEx>
        <w:trPr>
          <w:trHeight w:val="1699" w:hRule="exact"/>
          <w:jc w:val="center"/>
        </w:trPr>
        <w:tc>
          <w:tcPr>
            <w:tcW w:w="2002" w:type="dxa"/>
            <w:tcBorders>
              <w:top w:val="single" w:color="auto" w:sz="4" w:space="0"/>
              <w:left w:val="single" w:color="auto" w:sz="4" w:space="0"/>
              <w:bottom w:val="single" w:color="auto" w:sz="4" w:space="0"/>
            </w:tcBorders>
            <w:shd w:val="clear" w:color="auto" w:fill="FFFFFF"/>
            <w:vAlign w:val="center"/>
          </w:tcPr>
          <w:p w14:paraId="1AB5BFF2">
            <w:pPr>
              <w:pStyle w:val="39"/>
              <w:spacing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项目内容说明</w:t>
            </w:r>
          </w:p>
        </w:tc>
        <w:tc>
          <w:tcPr>
            <w:tcW w:w="6729" w:type="dxa"/>
            <w:tcBorders>
              <w:top w:val="single" w:color="auto" w:sz="4" w:space="0"/>
              <w:left w:val="single" w:color="auto" w:sz="4" w:space="0"/>
              <w:bottom w:val="single" w:color="auto" w:sz="4" w:space="0"/>
              <w:right w:val="single" w:color="auto" w:sz="4" w:space="0"/>
            </w:tcBorders>
            <w:shd w:val="clear" w:color="auto" w:fill="FFFFFF"/>
          </w:tcPr>
          <w:p w14:paraId="2E961677">
            <w:pPr>
              <w:rPr>
                <w:rFonts w:ascii="仿宋" w:hAnsi="仿宋" w:eastAsia="仿宋" w:cs="仿宋"/>
                <w:color w:val="auto"/>
                <w:sz w:val="10"/>
                <w:szCs w:val="10"/>
                <w:highlight w:val="none"/>
              </w:rPr>
            </w:pPr>
          </w:p>
        </w:tc>
      </w:tr>
    </w:tbl>
    <w:p w14:paraId="72CE0E4B">
      <w:pPr>
        <w:rPr>
          <w:rFonts w:ascii="仿宋" w:hAnsi="仿宋" w:eastAsia="仿宋" w:cs="仿宋"/>
          <w:color w:val="auto"/>
          <w:spacing w:val="-1"/>
          <w:highlight w:val="none"/>
          <w:lang w:eastAsia="zh-CN"/>
        </w:rPr>
      </w:pPr>
      <w:r>
        <w:rPr>
          <w:rFonts w:hint="eastAsia" w:ascii="仿宋" w:hAnsi="仿宋" w:eastAsia="仿宋" w:cs="仿宋"/>
          <w:color w:val="auto"/>
          <w:spacing w:val="-1"/>
          <w:highlight w:val="none"/>
          <w:lang w:eastAsia="zh-CN"/>
        </w:rPr>
        <w:t>注：每个业绩须单独附表，</w:t>
      </w:r>
      <w:r>
        <w:rPr>
          <w:rFonts w:hint="eastAsia" w:ascii="仿宋" w:hAnsi="仿宋" w:eastAsia="仿宋" w:cs="仿宋"/>
          <w:color w:val="auto"/>
          <w:spacing w:val="-1"/>
          <w:highlight w:val="none"/>
          <w:lang w:val="en-US" w:eastAsia="zh-CN"/>
        </w:rPr>
        <w:t>需同时提供合同协议和中标（成交）通知书，业绩证明材料需清晰可辨认，否则视为无效业绩</w:t>
      </w:r>
      <w:r>
        <w:rPr>
          <w:rFonts w:hint="eastAsia" w:ascii="仿宋" w:hAnsi="仿宋" w:eastAsia="仿宋" w:cs="仿宋"/>
          <w:color w:val="auto"/>
          <w:spacing w:val="-1"/>
          <w:highlight w:val="none"/>
          <w:lang w:eastAsia="zh-CN"/>
        </w:rPr>
        <w:t>专家在评审时将不予采信。</w:t>
      </w:r>
    </w:p>
    <w:p w14:paraId="61933741">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p>
    <w:p w14:paraId="1988D1F8">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p>
    <w:p w14:paraId="19407C72">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p>
    <w:p w14:paraId="28C544AE">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供应商：   </w:t>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570741E9">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w w:val="95"/>
          <w:sz w:val="24"/>
          <w:highlight w:val="none"/>
          <w:lang w:eastAsia="zh-CN"/>
        </w:rPr>
        <w:t>签章）</w:t>
      </w:r>
    </w:p>
    <w:p w14:paraId="1775A879">
      <w:pPr>
        <w:pStyle w:val="10"/>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日</w:t>
      </w:r>
    </w:p>
    <w:p w14:paraId="1E0E2EF3">
      <w:pPr>
        <w:spacing w:line="400" w:lineRule="exact"/>
        <w:ind w:firstLine="482" w:firstLineChars="200"/>
        <w:rPr>
          <w:rFonts w:hint="eastAsia" w:ascii="仿宋" w:hAnsi="仿宋" w:eastAsia="仿宋" w:cs="仿宋"/>
          <w:b/>
          <w:bCs/>
          <w:color w:val="auto"/>
          <w:highlight w:val="none"/>
          <w:lang w:val="en-US" w:eastAsia="zh-CN"/>
        </w:rPr>
      </w:pPr>
    </w:p>
    <w:p w14:paraId="429F899C">
      <w:pPr>
        <w:spacing w:line="360" w:lineRule="auto"/>
        <w:jc w:val="center"/>
        <w:rPr>
          <w:rFonts w:hint="eastAsia" w:ascii="仿宋" w:hAnsi="仿宋" w:eastAsia="仿宋" w:cs="仿宋"/>
          <w:b/>
          <w:color w:val="auto"/>
          <w:sz w:val="36"/>
          <w:szCs w:val="36"/>
          <w:lang w:val="en-US" w:eastAsia="zh-CN"/>
        </w:rPr>
      </w:pPr>
    </w:p>
    <w:p w14:paraId="728ABF33">
      <w:pPr>
        <w:spacing w:line="360" w:lineRule="auto"/>
        <w:jc w:val="center"/>
        <w:rPr>
          <w:rFonts w:hint="eastAsia" w:ascii="仿宋" w:hAnsi="仿宋" w:eastAsia="仿宋" w:cs="仿宋"/>
          <w:b/>
          <w:color w:val="auto"/>
          <w:sz w:val="36"/>
          <w:szCs w:val="36"/>
          <w:lang w:val="en-US" w:eastAsia="zh-CN"/>
        </w:rPr>
      </w:pPr>
    </w:p>
    <w:p w14:paraId="47E6FEC1">
      <w:pPr>
        <w:spacing w:line="360" w:lineRule="auto"/>
        <w:jc w:val="center"/>
        <w:rPr>
          <w:rFonts w:hint="eastAsia" w:ascii="仿宋" w:hAnsi="仿宋" w:eastAsia="仿宋" w:cs="仿宋"/>
          <w:b/>
          <w:color w:val="auto"/>
          <w:sz w:val="36"/>
          <w:szCs w:val="36"/>
          <w:lang w:val="en-US" w:eastAsia="zh-CN"/>
        </w:rPr>
      </w:pPr>
    </w:p>
    <w:p w14:paraId="3C7C9053">
      <w:pPr>
        <w:spacing w:line="360" w:lineRule="auto"/>
        <w:jc w:val="center"/>
        <w:rPr>
          <w:rFonts w:hint="eastAsia" w:ascii="仿宋" w:hAnsi="仿宋" w:eastAsia="仿宋" w:cs="仿宋"/>
          <w:b/>
          <w:color w:val="auto"/>
          <w:sz w:val="36"/>
          <w:szCs w:val="36"/>
          <w:lang w:val="en-US" w:eastAsia="zh-CN"/>
        </w:rPr>
      </w:pPr>
    </w:p>
    <w:p w14:paraId="005F6AFF">
      <w:pPr>
        <w:spacing w:line="360" w:lineRule="auto"/>
        <w:jc w:val="center"/>
        <w:rPr>
          <w:rFonts w:hint="eastAsia" w:ascii="仿宋" w:hAnsi="仿宋" w:eastAsia="仿宋" w:cs="仿宋"/>
          <w:b/>
          <w:color w:val="auto"/>
          <w:sz w:val="36"/>
          <w:szCs w:val="36"/>
          <w:lang w:val="en-US" w:eastAsia="zh-CN"/>
        </w:rPr>
      </w:pPr>
    </w:p>
    <w:p w14:paraId="44F21E50">
      <w:pPr>
        <w:spacing w:line="360" w:lineRule="auto"/>
        <w:jc w:val="center"/>
        <w:rPr>
          <w:rFonts w:hint="eastAsia" w:ascii="仿宋" w:hAnsi="仿宋" w:eastAsia="仿宋" w:cs="仿宋"/>
          <w:b/>
          <w:color w:val="auto"/>
          <w:sz w:val="36"/>
          <w:szCs w:val="36"/>
          <w:lang w:val="en-US" w:eastAsia="zh-CN"/>
        </w:rPr>
      </w:pPr>
    </w:p>
    <w:p w14:paraId="07B813EB">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9、中标服务费支付承诺书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 </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68577F25">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237DF0AD">
      <w:pPr>
        <w:spacing w:line="360" w:lineRule="auto"/>
        <w:jc w:val="center"/>
        <w:rPr>
          <w:rFonts w:hint="eastAsia" w:ascii="仿宋" w:hAnsi="仿宋" w:eastAsia="仿宋" w:cs="仿宋"/>
          <w:bCs/>
          <w:color w:val="auto"/>
          <w:sz w:val="36"/>
          <w:szCs w:val="36"/>
          <w:lang w:val="en-US" w:eastAsia="zh-CN"/>
        </w:rPr>
      </w:pPr>
    </w:p>
    <w:p w14:paraId="31DA0F9B">
      <w:pPr>
        <w:spacing w:line="360" w:lineRule="auto"/>
        <w:jc w:val="center"/>
        <w:rPr>
          <w:rFonts w:hint="eastAsia" w:ascii="仿宋" w:hAnsi="仿宋" w:eastAsia="仿宋" w:cs="仿宋"/>
          <w:b/>
          <w:color w:val="auto"/>
          <w:sz w:val="36"/>
          <w:szCs w:val="36"/>
          <w:lang w:val="en-US" w:eastAsia="zh-CN"/>
        </w:rPr>
      </w:pPr>
    </w:p>
    <w:p w14:paraId="5495B09E">
      <w:pPr>
        <w:spacing w:line="360" w:lineRule="auto"/>
        <w:jc w:val="center"/>
        <w:rPr>
          <w:rFonts w:hint="eastAsia" w:ascii="仿宋" w:hAnsi="仿宋" w:eastAsia="仿宋" w:cs="仿宋"/>
          <w:b/>
          <w:color w:val="auto"/>
          <w:sz w:val="36"/>
          <w:szCs w:val="36"/>
          <w:lang w:val="en-US" w:eastAsia="zh-CN"/>
        </w:rPr>
      </w:pPr>
    </w:p>
    <w:p w14:paraId="668DE869">
      <w:pPr>
        <w:spacing w:line="360" w:lineRule="auto"/>
        <w:jc w:val="center"/>
        <w:rPr>
          <w:rFonts w:hint="eastAsia" w:ascii="仿宋" w:hAnsi="仿宋" w:eastAsia="仿宋" w:cs="仿宋"/>
          <w:b/>
          <w:color w:val="auto"/>
          <w:sz w:val="36"/>
          <w:szCs w:val="36"/>
          <w:lang w:val="en-US" w:eastAsia="zh-CN"/>
        </w:rPr>
      </w:pPr>
    </w:p>
    <w:p w14:paraId="4D3C1EE1">
      <w:pPr>
        <w:spacing w:line="360" w:lineRule="auto"/>
        <w:jc w:val="center"/>
        <w:rPr>
          <w:rFonts w:hint="eastAsia" w:ascii="仿宋" w:hAnsi="仿宋" w:eastAsia="仿宋" w:cs="仿宋"/>
          <w:b/>
          <w:color w:val="auto"/>
          <w:sz w:val="36"/>
          <w:szCs w:val="36"/>
          <w:lang w:val="en-US" w:eastAsia="zh-CN"/>
        </w:rPr>
      </w:pPr>
    </w:p>
    <w:p w14:paraId="6B53D348">
      <w:pPr>
        <w:spacing w:line="360" w:lineRule="auto"/>
        <w:jc w:val="center"/>
        <w:rPr>
          <w:rFonts w:hint="eastAsia" w:ascii="仿宋" w:hAnsi="仿宋" w:eastAsia="仿宋" w:cs="仿宋"/>
          <w:b/>
          <w:color w:val="auto"/>
          <w:sz w:val="36"/>
          <w:szCs w:val="36"/>
          <w:lang w:val="en-US" w:eastAsia="zh-CN"/>
        </w:rPr>
      </w:pPr>
    </w:p>
    <w:p w14:paraId="7FF00C0B">
      <w:pPr>
        <w:spacing w:line="360" w:lineRule="auto"/>
        <w:jc w:val="center"/>
        <w:rPr>
          <w:rFonts w:hint="eastAsia" w:ascii="仿宋" w:hAnsi="仿宋" w:eastAsia="仿宋" w:cs="仿宋"/>
          <w:b/>
          <w:color w:val="auto"/>
          <w:sz w:val="36"/>
          <w:szCs w:val="36"/>
          <w:lang w:val="en-US" w:eastAsia="zh-CN"/>
        </w:rPr>
      </w:pPr>
    </w:p>
    <w:p w14:paraId="6E3E97BF">
      <w:pPr>
        <w:spacing w:line="360" w:lineRule="auto"/>
        <w:jc w:val="center"/>
        <w:rPr>
          <w:rFonts w:hint="eastAsia" w:ascii="仿宋" w:hAnsi="仿宋" w:eastAsia="仿宋" w:cs="仿宋"/>
          <w:b/>
          <w:color w:val="auto"/>
          <w:sz w:val="36"/>
          <w:szCs w:val="36"/>
          <w:lang w:val="en-US" w:eastAsia="zh-CN"/>
        </w:rPr>
      </w:pPr>
    </w:p>
    <w:p w14:paraId="2213CA63">
      <w:pPr>
        <w:spacing w:line="360" w:lineRule="auto"/>
        <w:jc w:val="center"/>
        <w:rPr>
          <w:rFonts w:hint="eastAsia" w:ascii="仿宋" w:hAnsi="仿宋" w:eastAsia="仿宋" w:cs="仿宋"/>
          <w:b/>
          <w:color w:val="auto"/>
          <w:sz w:val="36"/>
          <w:szCs w:val="36"/>
          <w:lang w:val="en-US" w:eastAsia="zh-CN"/>
        </w:rPr>
      </w:pPr>
    </w:p>
    <w:p w14:paraId="1DAE702B">
      <w:pPr>
        <w:spacing w:line="360" w:lineRule="auto"/>
        <w:jc w:val="center"/>
        <w:rPr>
          <w:rFonts w:ascii="仿宋" w:hAnsi="仿宋" w:eastAsia="仿宋" w:cs="仿宋"/>
          <w:b/>
          <w:color w:val="auto"/>
          <w:sz w:val="32"/>
          <w:szCs w:val="32"/>
          <w:lang w:eastAsia="zh-CN"/>
        </w:rPr>
      </w:pPr>
      <w:r>
        <w:rPr>
          <w:rFonts w:hint="eastAsia" w:ascii="仿宋" w:hAnsi="仿宋" w:eastAsia="仿宋" w:cs="仿宋"/>
          <w:b/>
          <w:color w:val="auto"/>
          <w:sz w:val="36"/>
          <w:szCs w:val="36"/>
          <w:lang w:val="en-US" w:eastAsia="zh-CN"/>
        </w:rPr>
        <w:t>10</w:t>
      </w:r>
      <w:r>
        <w:rPr>
          <w:rFonts w:hint="eastAsia" w:ascii="仿宋" w:hAnsi="仿宋" w:eastAsia="仿宋" w:cs="仿宋"/>
          <w:b/>
          <w:color w:val="auto"/>
          <w:sz w:val="36"/>
          <w:szCs w:val="36"/>
          <w:lang w:eastAsia="zh-CN"/>
        </w:rPr>
        <w:t>、中小企业声明函(服务)</w:t>
      </w:r>
    </w:p>
    <w:p w14:paraId="4A133413">
      <w:pPr>
        <w:spacing w:line="360" w:lineRule="auto"/>
        <w:ind w:firstLine="480" w:firstLineChars="200"/>
        <w:rPr>
          <w:rFonts w:hint="eastAsia" w:ascii="仿宋" w:hAnsi="仿宋" w:eastAsia="仿宋" w:cs="仿宋"/>
          <w:color w:val="auto"/>
          <w:kern w:val="0"/>
          <w:sz w:val="24"/>
        </w:rPr>
      </w:pPr>
      <w:r>
        <w:rPr>
          <w:rFonts w:hint="eastAsia" w:ascii="宋体" w:hAnsi="宋体" w:cs="宋体"/>
          <w:color w:val="auto"/>
          <w:kern w:val="0"/>
          <w:sz w:val="24"/>
        </w:rPr>
        <w:t>本</w:t>
      </w:r>
      <w:r>
        <w:rPr>
          <w:rFonts w:hint="eastAsia" w:ascii="仿宋" w:hAnsi="仿宋" w:eastAsia="仿宋" w:cs="仿宋"/>
          <w:color w:val="auto"/>
          <w:kern w:val="0"/>
          <w:sz w:val="24"/>
        </w:rPr>
        <w:t>公司（联合体）郑重声明，根据《政府采购促进中小企业发展管理办法》（财库[2020]46号）的规定，本公司（联合体）参加</w:t>
      </w:r>
      <w:r>
        <w:rPr>
          <w:rFonts w:hint="eastAsia" w:ascii="仿宋" w:hAnsi="仿宋" w:eastAsia="仿宋" w:cs="仿宋"/>
          <w:color w:val="auto"/>
          <w:kern w:val="0"/>
          <w:sz w:val="24"/>
          <w:u w:val="single"/>
        </w:rPr>
        <w:t xml:space="preserve">      （单位名称）</w:t>
      </w:r>
      <w:r>
        <w:rPr>
          <w:rFonts w:hint="eastAsia" w:ascii="仿宋" w:hAnsi="仿宋" w:eastAsia="仿宋" w:cs="仿宋"/>
          <w:color w:val="auto"/>
          <w:kern w:val="0"/>
          <w:sz w:val="24"/>
        </w:rPr>
        <w:t>的</w:t>
      </w:r>
      <w:r>
        <w:rPr>
          <w:rFonts w:hint="eastAsia" w:ascii="仿宋" w:hAnsi="仿宋" w:eastAsia="仿宋" w:cs="仿宋"/>
          <w:color w:val="auto"/>
          <w:kern w:val="0"/>
          <w:sz w:val="24"/>
          <w:u w:val="single"/>
        </w:rPr>
        <w:t xml:space="preserve">            （项目名称）</w:t>
      </w:r>
      <w:r>
        <w:rPr>
          <w:rFonts w:hint="eastAsia" w:ascii="仿宋" w:hAnsi="仿宋" w:eastAsia="仿宋" w:cs="仿宋"/>
          <w:color w:val="auto"/>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610B138">
      <w:pPr>
        <w:numPr>
          <w:ilvl w:val="0"/>
          <w:numId w:val="11"/>
        </w:num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u w:val="single"/>
        </w:rPr>
        <w:t>（标的名称）</w:t>
      </w:r>
      <w:r>
        <w:rPr>
          <w:rFonts w:hint="eastAsia" w:ascii="仿宋" w:hAnsi="仿宋" w:eastAsia="仿宋" w:cs="仿宋"/>
          <w:color w:val="auto"/>
          <w:kern w:val="0"/>
          <w:sz w:val="24"/>
        </w:rPr>
        <w:t>，属于</w:t>
      </w:r>
      <w:r>
        <w:rPr>
          <w:rFonts w:hint="eastAsia" w:ascii="仿宋" w:hAnsi="仿宋" w:eastAsia="仿宋" w:cs="仿宋"/>
          <w:color w:val="auto"/>
          <w:kern w:val="0"/>
          <w:sz w:val="24"/>
          <w:u w:val="single"/>
        </w:rPr>
        <w:t>（采购文件中明确的所属行业）</w:t>
      </w:r>
      <w:r>
        <w:rPr>
          <w:rFonts w:hint="eastAsia" w:ascii="仿宋" w:hAnsi="仿宋" w:eastAsia="仿宋" w:cs="仿宋"/>
          <w:color w:val="auto"/>
          <w:kern w:val="0"/>
          <w:sz w:val="24"/>
        </w:rPr>
        <w:t>；承建（承接）企业为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（企业名称），从业人员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人，营业收入为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万元，资产总额为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万元，属于</w:t>
      </w:r>
      <w:r>
        <w:rPr>
          <w:rFonts w:hint="eastAsia" w:ascii="仿宋" w:hAnsi="仿宋" w:eastAsia="仿宋" w:cs="仿宋"/>
          <w:color w:val="auto"/>
          <w:kern w:val="0"/>
          <w:sz w:val="24"/>
          <w:u w:val="single"/>
        </w:rPr>
        <w:t xml:space="preserve">       （中型企业、小型企业、微型企业）</w:t>
      </w:r>
      <w:r>
        <w:rPr>
          <w:rFonts w:hint="eastAsia" w:ascii="仿宋" w:hAnsi="仿宋" w:eastAsia="仿宋" w:cs="仿宋"/>
          <w:color w:val="auto"/>
          <w:kern w:val="0"/>
          <w:sz w:val="24"/>
        </w:rPr>
        <w:t>；</w:t>
      </w:r>
    </w:p>
    <w:p w14:paraId="17E99970">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kern w:val="0"/>
          <w:sz w:val="24"/>
          <w:u w:val="single"/>
        </w:rPr>
        <w:t>（标的名称）</w:t>
      </w:r>
      <w:r>
        <w:rPr>
          <w:rFonts w:hint="eastAsia" w:ascii="仿宋" w:hAnsi="仿宋" w:eastAsia="仿宋" w:cs="仿宋"/>
          <w:color w:val="auto"/>
          <w:kern w:val="0"/>
          <w:sz w:val="24"/>
        </w:rPr>
        <w:t>，属于</w:t>
      </w:r>
      <w:r>
        <w:rPr>
          <w:rFonts w:hint="eastAsia" w:ascii="仿宋" w:hAnsi="仿宋" w:eastAsia="仿宋" w:cs="仿宋"/>
          <w:color w:val="auto"/>
          <w:kern w:val="0"/>
          <w:sz w:val="24"/>
          <w:u w:val="single"/>
        </w:rPr>
        <w:t xml:space="preserve"> （采购文件中明确的所属行业）</w:t>
      </w:r>
      <w:r>
        <w:rPr>
          <w:rFonts w:hint="eastAsia" w:ascii="仿宋" w:hAnsi="仿宋" w:eastAsia="仿宋" w:cs="仿宋"/>
          <w:color w:val="auto"/>
          <w:kern w:val="0"/>
          <w:sz w:val="24"/>
        </w:rPr>
        <w:t>；承建（承接）企业为</w:t>
      </w:r>
      <w:r>
        <w:rPr>
          <w:rFonts w:hint="eastAsia" w:ascii="仿宋" w:hAnsi="仿宋" w:eastAsia="仿宋" w:cs="仿宋"/>
          <w:color w:val="auto"/>
          <w:kern w:val="0"/>
          <w:sz w:val="24"/>
          <w:u w:val="single"/>
        </w:rPr>
        <w:t xml:space="preserve">      （企业名称）</w:t>
      </w:r>
      <w:r>
        <w:rPr>
          <w:rFonts w:hint="eastAsia" w:ascii="仿宋" w:hAnsi="仿宋" w:eastAsia="仿宋" w:cs="仿宋"/>
          <w:color w:val="auto"/>
          <w:kern w:val="0"/>
          <w:sz w:val="24"/>
        </w:rPr>
        <w:t>，从业人员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人，营业收入为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万元，资产总额为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万元，属于</w:t>
      </w:r>
      <w:r>
        <w:rPr>
          <w:rFonts w:hint="eastAsia" w:ascii="仿宋" w:hAnsi="仿宋" w:eastAsia="仿宋" w:cs="仿宋"/>
          <w:color w:val="auto"/>
          <w:kern w:val="0"/>
          <w:sz w:val="24"/>
          <w:u w:val="single"/>
        </w:rPr>
        <w:t xml:space="preserve">    （中型企业、小型企业、微型企业）</w:t>
      </w:r>
      <w:r>
        <w:rPr>
          <w:rFonts w:hint="eastAsia" w:ascii="仿宋" w:hAnsi="仿宋" w:eastAsia="仿宋" w:cs="仿宋"/>
          <w:color w:val="auto"/>
          <w:kern w:val="0"/>
          <w:sz w:val="24"/>
        </w:rPr>
        <w:t>；</w:t>
      </w:r>
    </w:p>
    <w:p w14:paraId="48648A20">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p>
    <w:p w14:paraId="4226E9A1">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以上企业，不属于大企业的分支机构，不存在控股股东为大企业的情形，也不存在与大企业的负责人为同一人的情形。</w:t>
      </w:r>
    </w:p>
    <w:p w14:paraId="5DFA6D8A">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本企业对上述声明内容的真实性负责。如有虚假，将依法承担相应责任。</w:t>
      </w:r>
    </w:p>
    <w:p w14:paraId="5FEAC1A2">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226427A5">
      <w:pPr>
        <w:spacing w:line="360" w:lineRule="auto"/>
        <w:ind w:firstLine="480" w:firstLineChars="200"/>
        <w:rPr>
          <w:rFonts w:hint="eastAsia" w:ascii="仿宋" w:hAnsi="仿宋" w:eastAsia="仿宋" w:cs="仿宋"/>
          <w:color w:val="auto"/>
          <w:kern w:val="0"/>
          <w:sz w:val="24"/>
        </w:rPr>
      </w:pPr>
    </w:p>
    <w:p w14:paraId="4562FC8B">
      <w:pPr>
        <w:spacing w:line="360" w:lineRule="auto"/>
        <w:ind w:firstLine="480" w:firstLineChars="200"/>
        <w:rPr>
          <w:rFonts w:hint="eastAsia" w:ascii="仿宋" w:hAnsi="仿宋" w:eastAsia="仿宋" w:cs="仿宋"/>
          <w:color w:val="auto"/>
          <w:kern w:val="0"/>
          <w:sz w:val="24"/>
        </w:rPr>
      </w:pPr>
    </w:p>
    <w:p w14:paraId="717E3A28">
      <w:pPr>
        <w:spacing w:line="360" w:lineRule="auto"/>
        <w:ind w:firstLine="3840" w:firstLineChars="1600"/>
        <w:rPr>
          <w:rFonts w:hint="eastAsia" w:ascii="仿宋" w:hAnsi="仿宋" w:eastAsia="仿宋" w:cs="仿宋"/>
          <w:color w:val="auto"/>
          <w:kern w:val="0"/>
          <w:sz w:val="24"/>
        </w:rPr>
      </w:pPr>
      <w:r>
        <w:rPr>
          <w:rFonts w:hint="eastAsia" w:ascii="仿宋" w:hAnsi="仿宋" w:eastAsia="仿宋" w:cs="仿宋"/>
          <w:color w:val="auto"/>
          <w:kern w:val="0"/>
          <w:sz w:val="24"/>
        </w:rPr>
        <w:t>企业名称（盖章）：</w:t>
      </w:r>
    </w:p>
    <w:p w14:paraId="5337E297">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                                    日    期：</w:t>
      </w:r>
      <w:r>
        <w:rPr>
          <w:rFonts w:hint="eastAsia" w:ascii="仿宋" w:hAnsi="仿宋" w:eastAsia="仿宋" w:cs="仿宋"/>
          <w:color w:val="auto"/>
          <w:sz w:val="24"/>
        </w:rPr>
        <w:t xml:space="preserve">   年   月   日</w:t>
      </w:r>
      <w:r>
        <w:rPr>
          <w:rFonts w:hint="eastAsia" w:ascii="仿宋" w:hAnsi="仿宋" w:eastAsia="仿宋" w:cs="仿宋"/>
          <w:bCs/>
          <w:color w:val="auto"/>
          <w:sz w:val="24"/>
        </w:rPr>
        <w:t xml:space="preserve"> </w:t>
      </w:r>
    </w:p>
    <w:p w14:paraId="39853BDA">
      <w:pPr>
        <w:spacing w:line="360" w:lineRule="auto"/>
        <w:ind w:firstLine="480" w:firstLineChars="200"/>
        <w:rPr>
          <w:rFonts w:ascii="仿宋" w:hAnsi="仿宋" w:eastAsia="仿宋" w:cs="仿宋"/>
          <w:color w:val="auto"/>
          <w:lang w:eastAsia="zh-CN"/>
        </w:rPr>
      </w:pPr>
    </w:p>
    <w:p w14:paraId="704098AB">
      <w:pPr>
        <w:spacing w:line="360" w:lineRule="auto"/>
        <w:ind w:firstLine="480" w:firstLineChars="200"/>
        <w:rPr>
          <w:rFonts w:hint="eastAsia" w:ascii="仿宋" w:hAnsi="仿宋" w:eastAsia="仿宋" w:cs="仿宋"/>
          <w:color w:val="auto"/>
          <w:kern w:val="0"/>
          <w:sz w:val="24"/>
        </w:rPr>
      </w:pPr>
    </w:p>
    <w:p w14:paraId="62E4C06B">
      <w:pPr>
        <w:pStyle w:val="19"/>
        <w:rPr>
          <w:rFonts w:ascii="仿宋" w:hAnsi="仿宋" w:eastAsia="仿宋" w:cs="仿宋"/>
          <w:color w:val="auto"/>
          <w:lang w:eastAsia="zh-CN"/>
        </w:rPr>
      </w:pPr>
    </w:p>
    <w:p w14:paraId="1B0A0C3B">
      <w:pPr>
        <w:pStyle w:val="19"/>
        <w:rPr>
          <w:rFonts w:ascii="仿宋" w:hAnsi="仿宋" w:eastAsia="仿宋" w:cs="仿宋"/>
          <w:color w:val="auto"/>
          <w:lang w:eastAsia="zh-CN"/>
        </w:rPr>
      </w:pPr>
    </w:p>
    <w:p w14:paraId="2273B988">
      <w:pPr>
        <w:pStyle w:val="19"/>
        <w:rPr>
          <w:rFonts w:ascii="仿宋" w:hAnsi="仿宋" w:eastAsia="仿宋" w:cs="仿宋"/>
          <w:color w:val="auto"/>
          <w:lang w:eastAsia="zh-CN"/>
        </w:rPr>
      </w:pPr>
    </w:p>
    <w:p w14:paraId="7EE95356">
      <w:pPr>
        <w:pStyle w:val="19"/>
        <w:rPr>
          <w:rFonts w:ascii="仿宋" w:hAnsi="仿宋" w:eastAsia="仿宋" w:cs="仿宋"/>
          <w:color w:val="auto"/>
          <w:lang w:eastAsia="zh-CN"/>
        </w:rPr>
      </w:pPr>
    </w:p>
    <w:p w14:paraId="4B4F0BBF">
      <w:pPr>
        <w:pStyle w:val="19"/>
        <w:rPr>
          <w:rFonts w:ascii="仿宋" w:hAnsi="仿宋" w:eastAsia="仿宋" w:cs="仿宋"/>
          <w:color w:val="auto"/>
          <w:lang w:eastAsia="zh-CN"/>
        </w:rPr>
      </w:pPr>
    </w:p>
    <w:p w14:paraId="0EB26490">
      <w:pPr>
        <w:pStyle w:val="19"/>
        <w:rPr>
          <w:rFonts w:ascii="仿宋" w:hAnsi="仿宋" w:eastAsia="仿宋" w:cs="仿宋"/>
          <w:color w:val="auto"/>
          <w:lang w:eastAsia="zh-CN"/>
        </w:rPr>
      </w:pPr>
    </w:p>
    <w:p w14:paraId="6BB56CD3">
      <w:pPr>
        <w:pStyle w:val="19"/>
        <w:rPr>
          <w:rFonts w:ascii="仿宋" w:hAnsi="仿宋" w:eastAsia="仿宋" w:cs="仿宋"/>
          <w:color w:val="auto"/>
          <w:lang w:eastAsia="zh-CN"/>
        </w:rPr>
      </w:pPr>
    </w:p>
    <w:p w14:paraId="443D32A5">
      <w:pPr>
        <w:pStyle w:val="19"/>
        <w:rPr>
          <w:rFonts w:ascii="仿宋" w:hAnsi="仿宋" w:eastAsia="仿宋" w:cs="仿宋"/>
          <w:color w:val="auto"/>
          <w:lang w:eastAsia="zh-CN"/>
        </w:rPr>
      </w:pPr>
    </w:p>
    <w:p w14:paraId="7E3F07A7">
      <w:pPr>
        <w:pStyle w:val="19"/>
        <w:rPr>
          <w:rFonts w:ascii="仿宋" w:hAnsi="仿宋" w:eastAsia="仿宋" w:cs="仿宋"/>
          <w:color w:val="auto"/>
          <w:lang w:eastAsia="zh-CN"/>
        </w:rPr>
      </w:pPr>
    </w:p>
    <w:p w14:paraId="3AA2D341">
      <w:pPr>
        <w:pStyle w:val="33"/>
        <w:ind w:left="0" w:leftChars="0" w:firstLine="0" w:firstLineChars="0"/>
        <w:rPr>
          <w:color w:val="auto"/>
          <w:lang w:eastAsia="zh-CN"/>
        </w:rPr>
      </w:pPr>
    </w:p>
    <w:p w14:paraId="54AD430F">
      <w:pPr>
        <w:tabs>
          <w:tab w:val="left" w:pos="3600"/>
        </w:tabs>
        <w:adjustRightInd w:val="0"/>
        <w:snapToGrid w:val="0"/>
        <w:spacing w:line="440" w:lineRule="exact"/>
        <w:jc w:val="center"/>
        <w:rPr>
          <w:rFonts w:ascii="仿宋" w:hAnsi="仿宋" w:eastAsia="仿宋" w:cs="仿宋"/>
          <w:color w:val="auto"/>
          <w:sz w:val="36"/>
          <w:szCs w:val="36"/>
          <w:lang w:eastAsia="zh-CN"/>
        </w:rPr>
      </w:pPr>
    </w:p>
    <w:p w14:paraId="4382331B">
      <w:pPr>
        <w:tabs>
          <w:tab w:val="left" w:pos="3600"/>
        </w:tabs>
        <w:adjustRightInd w:val="0"/>
        <w:snapToGrid w:val="0"/>
        <w:spacing w:line="440" w:lineRule="exact"/>
        <w:jc w:val="center"/>
        <w:rPr>
          <w:rFonts w:ascii="仿宋" w:hAnsi="仿宋" w:eastAsia="仿宋" w:cs="仿宋"/>
          <w:b/>
          <w:bCs/>
          <w:color w:val="auto"/>
          <w:spacing w:val="6"/>
          <w:sz w:val="36"/>
          <w:szCs w:val="36"/>
          <w:lang w:eastAsia="zh-CN"/>
        </w:rPr>
      </w:pPr>
      <w:r>
        <w:rPr>
          <w:rFonts w:hint="eastAsia" w:ascii="仿宋" w:hAnsi="仿宋" w:eastAsia="仿宋" w:cs="仿宋"/>
          <w:color w:val="auto"/>
          <w:sz w:val="36"/>
          <w:szCs w:val="36"/>
          <w:lang w:val="en-US" w:eastAsia="zh-CN"/>
        </w:rPr>
        <w:t>11</w:t>
      </w:r>
      <w:r>
        <w:rPr>
          <w:rFonts w:hint="eastAsia" w:ascii="仿宋" w:hAnsi="仿宋" w:eastAsia="仿宋" w:cs="仿宋"/>
          <w:color w:val="auto"/>
          <w:sz w:val="36"/>
          <w:szCs w:val="36"/>
          <w:lang w:eastAsia="zh-CN"/>
        </w:rPr>
        <w:t>、</w:t>
      </w:r>
      <w:r>
        <w:rPr>
          <w:rFonts w:hint="eastAsia" w:ascii="仿宋" w:hAnsi="仿宋" w:eastAsia="仿宋" w:cs="仿宋"/>
          <w:b/>
          <w:bCs/>
          <w:color w:val="auto"/>
          <w:spacing w:val="6"/>
          <w:sz w:val="36"/>
          <w:szCs w:val="36"/>
          <w:lang w:eastAsia="zh-CN"/>
        </w:rPr>
        <w:t>残疾人福利性单位声明函</w:t>
      </w:r>
    </w:p>
    <w:p w14:paraId="2BFD9214">
      <w:pPr>
        <w:widowControl/>
        <w:adjustRightInd w:val="0"/>
        <w:snapToGrid w:val="0"/>
        <w:spacing w:line="440" w:lineRule="exact"/>
        <w:ind w:firstLine="504" w:firstLineChars="200"/>
        <w:rPr>
          <w:rFonts w:ascii="仿宋" w:hAnsi="仿宋" w:eastAsia="仿宋" w:cs="仿宋"/>
          <w:color w:val="auto"/>
          <w:spacing w:val="6"/>
          <w:lang w:eastAsia="zh-CN"/>
        </w:rPr>
      </w:pPr>
    </w:p>
    <w:p w14:paraId="0270BC0C">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单位的</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项目采购活动提供本单位制造的货物（由本单位承担工程/提供服务），或者提供其他残疾人福利性单位制造的货物（不包括使用非残疾人福利性单位注册商标的货物）。</w:t>
      </w:r>
    </w:p>
    <w:p w14:paraId="76CF561E">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本单位对上述声明的真实性负责。如有虚假，将依法承担相应责任。</w:t>
      </w:r>
    </w:p>
    <w:p w14:paraId="4AFCFDF6">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w:t>
      </w:r>
    </w:p>
    <w:p w14:paraId="2E1D1391">
      <w:pPr>
        <w:widowControl/>
        <w:adjustRightInd w:val="0"/>
        <w:snapToGrid w:val="0"/>
        <w:spacing w:line="440" w:lineRule="exact"/>
        <w:ind w:firstLine="5544" w:firstLineChars="2200"/>
        <w:rPr>
          <w:rFonts w:ascii="仿宋" w:hAnsi="仿宋" w:eastAsia="仿宋" w:cs="仿宋"/>
          <w:color w:val="auto"/>
          <w:spacing w:val="6"/>
          <w:lang w:eastAsia="zh-CN"/>
        </w:rPr>
      </w:pPr>
      <w:r>
        <w:rPr>
          <w:rFonts w:hint="eastAsia" w:ascii="仿宋" w:hAnsi="仿宋" w:eastAsia="仿宋" w:cs="仿宋"/>
          <w:color w:val="auto"/>
          <w:spacing w:val="6"/>
          <w:lang w:eastAsia="zh-CN"/>
        </w:rPr>
        <w:t>单位名称（盖章）：</w:t>
      </w:r>
    </w:p>
    <w:p w14:paraId="6F688A10">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日  期：</w:t>
      </w:r>
    </w:p>
    <w:p w14:paraId="4270C996">
      <w:pPr>
        <w:pStyle w:val="4"/>
        <w:numPr>
          <w:ilvl w:val="1"/>
          <w:numId w:val="0"/>
        </w:numPr>
        <w:spacing w:line="240" w:lineRule="atLeast"/>
        <w:jc w:val="left"/>
        <w:rPr>
          <w:rFonts w:ascii="仿宋" w:hAnsi="仿宋" w:eastAsia="仿宋" w:cs="仿宋"/>
          <w:bCs/>
          <w:color w:val="auto"/>
          <w:sz w:val="24"/>
          <w:lang w:eastAsia="zh-CN"/>
        </w:rPr>
      </w:pPr>
    </w:p>
    <w:p w14:paraId="12433C73">
      <w:pPr>
        <w:pStyle w:val="4"/>
        <w:numPr>
          <w:ilvl w:val="1"/>
          <w:numId w:val="0"/>
        </w:numPr>
        <w:spacing w:line="240" w:lineRule="atLeast"/>
        <w:jc w:val="left"/>
        <w:rPr>
          <w:rFonts w:ascii="仿宋" w:hAnsi="仿宋" w:eastAsia="仿宋" w:cs="仿宋"/>
          <w:bCs/>
          <w:color w:val="auto"/>
          <w:sz w:val="24"/>
          <w:lang w:eastAsia="zh-CN"/>
        </w:rPr>
      </w:pPr>
    </w:p>
    <w:p w14:paraId="3967BC28">
      <w:pPr>
        <w:pStyle w:val="4"/>
        <w:numPr>
          <w:ilvl w:val="1"/>
          <w:numId w:val="0"/>
        </w:numPr>
        <w:spacing w:line="240" w:lineRule="atLeast"/>
        <w:jc w:val="left"/>
        <w:rPr>
          <w:rFonts w:ascii="仿宋" w:hAnsi="仿宋" w:eastAsia="仿宋" w:cs="仿宋"/>
          <w:bCs/>
          <w:color w:val="auto"/>
          <w:sz w:val="24"/>
          <w:lang w:eastAsia="zh-CN"/>
        </w:rPr>
      </w:pPr>
    </w:p>
    <w:p w14:paraId="7DF6F083">
      <w:pPr>
        <w:rPr>
          <w:rFonts w:ascii="仿宋" w:hAnsi="仿宋" w:eastAsia="仿宋" w:cs="仿宋"/>
          <w:b/>
          <w:bCs/>
          <w:color w:val="auto"/>
          <w:lang w:eastAsia="zh-CN"/>
        </w:rPr>
      </w:pPr>
    </w:p>
    <w:p w14:paraId="13E3ED57">
      <w:pPr>
        <w:pStyle w:val="33"/>
        <w:rPr>
          <w:rFonts w:ascii="仿宋" w:hAnsi="仿宋" w:eastAsia="仿宋" w:cs="仿宋"/>
          <w:b/>
          <w:bCs/>
          <w:color w:val="auto"/>
          <w:lang w:eastAsia="zh-CN"/>
        </w:rPr>
      </w:pPr>
    </w:p>
    <w:p w14:paraId="3938CCAE">
      <w:pPr>
        <w:pStyle w:val="33"/>
        <w:rPr>
          <w:rFonts w:ascii="仿宋" w:hAnsi="仿宋" w:eastAsia="仿宋" w:cs="仿宋"/>
          <w:b/>
          <w:bCs/>
          <w:color w:val="auto"/>
          <w:lang w:eastAsia="zh-CN"/>
        </w:rPr>
      </w:pPr>
    </w:p>
    <w:p w14:paraId="6BE822E1">
      <w:pPr>
        <w:pStyle w:val="33"/>
        <w:rPr>
          <w:rFonts w:ascii="仿宋" w:hAnsi="仿宋" w:eastAsia="仿宋" w:cs="仿宋"/>
          <w:b/>
          <w:bCs/>
          <w:color w:val="auto"/>
          <w:lang w:eastAsia="zh-CN"/>
        </w:rPr>
      </w:pPr>
    </w:p>
    <w:p w14:paraId="2687BC6D">
      <w:pPr>
        <w:pStyle w:val="33"/>
        <w:rPr>
          <w:rFonts w:ascii="仿宋" w:hAnsi="仿宋" w:eastAsia="仿宋" w:cs="仿宋"/>
          <w:b/>
          <w:bCs/>
          <w:color w:val="auto"/>
          <w:lang w:eastAsia="zh-CN"/>
        </w:rPr>
      </w:pPr>
    </w:p>
    <w:p w14:paraId="02DF3B87">
      <w:pPr>
        <w:pStyle w:val="33"/>
        <w:rPr>
          <w:rFonts w:ascii="仿宋" w:hAnsi="仿宋" w:eastAsia="仿宋" w:cs="仿宋"/>
          <w:b/>
          <w:bCs/>
          <w:color w:val="auto"/>
          <w:lang w:eastAsia="zh-CN"/>
        </w:rPr>
      </w:pPr>
    </w:p>
    <w:p w14:paraId="28250114">
      <w:pPr>
        <w:pStyle w:val="33"/>
        <w:rPr>
          <w:rFonts w:ascii="仿宋" w:hAnsi="仿宋" w:eastAsia="仿宋" w:cs="仿宋"/>
          <w:b/>
          <w:bCs/>
          <w:color w:val="auto"/>
          <w:lang w:eastAsia="zh-CN"/>
        </w:rPr>
      </w:pPr>
    </w:p>
    <w:p w14:paraId="3B7247F5">
      <w:pPr>
        <w:pStyle w:val="33"/>
        <w:rPr>
          <w:rFonts w:ascii="仿宋" w:hAnsi="仿宋" w:eastAsia="仿宋" w:cs="仿宋"/>
          <w:b/>
          <w:bCs/>
          <w:color w:val="auto"/>
          <w:lang w:eastAsia="zh-CN"/>
        </w:rPr>
      </w:pPr>
    </w:p>
    <w:p w14:paraId="0D554DCD">
      <w:pPr>
        <w:pStyle w:val="33"/>
        <w:rPr>
          <w:rFonts w:ascii="仿宋" w:hAnsi="仿宋" w:eastAsia="仿宋" w:cs="仿宋"/>
          <w:b/>
          <w:bCs/>
          <w:color w:val="auto"/>
          <w:lang w:eastAsia="zh-CN"/>
        </w:rPr>
      </w:pPr>
    </w:p>
    <w:p w14:paraId="61D99A68">
      <w:pPr>
        <w:pStyle w:val="33"/>
        <w:rPr>
          <w:rFonts w:ascii="仿宋" w:hAnsi="仿宋" w:eastAsia="仿宋" w:cs="仿宋"/>
          <w:b/>
          <w:bCs/>
          <w:color w:val="auto"/>
          <w:lang w:eastAsia="zh-CN"/>
        </w:rPr>
      </w:pPr>
    </w:p>
    <w:p w14:paraId="1C49A640">
      <w:pPr>
        <w:pStyle w:val="33"/>
        <w:rPr>
          <w:rFonts w:ascii="仿宋" w:hAnsi="仿宋" w:eastAsia="仿宋" w:cs="仿宋"/>
          <w:b/>
          <w:bCs/>
          <w:color w:val="auto"/>
          <w:lang w:eastAsia="zh-CN"/>
        </w:rPr>
      </w:pPr>
    </w:p>
    <w:p w14:paraId="3310B824">
      <w:pPr>
        <w:pStyle w:val="33"/>
        <w:rPr>
          <w:rFonts w:ascii="仿宋" w:hAnsi="仿宋" w:eastAsia="仿宋" w:cs="仿宋"/>
          <w:b/>
          <w:bCs/>
          <w:color w:val="auto"/>
          <w:lang w:eastAsia="zh-CN"/>
        </w:rPr>
      </w:pPr>
    </w:p>
    <w:p w14:paraId="718DFCA2">
      <w:pPr>
        <w:pStyle w:val="33"/>
        <w:rPr>
          <w:rFonts w:ascii="仿宋" w:hAnsi="仿宋" w:eastAsia="仿宋" w:cs="仿宋"/>
          <w:b/>
          <w:bCs/>
          <w:color w:val="auto"/>
          <w:lang w:eastAsia="zh-CN"/>
        </w:rPr>
      </w:pPr>
    </w:p>
    <w:p w14:paraId="3D28E2EE">
      <w:pPr>
        <w:pStyle w:val="33"/>
        <w:rPr>
          <w:rFonts w:ascii="仿宋" w:hAnsi="仿宋" w:eastAsia="仿宋" w:cs="仿宋"/>
          <w:b/>
          <w:bCs/>
          <w:color w:val="auto"/>
          <w:lang w:eastAsia="zh-CN"/>
        </w:rPr>
      </w:pPr>
    </w:p>
    <w:p w14:paraId="49DBA451">
      <w:pPr>
        <w:pStyle w:val="33"/>
        <w:rPr>
          <w:rFonts w:ascii="仿宋" w:hAnsi="仿宋" w:eastAsia="仿宋" w:cs="仿宋"/>
          <w:b/>
          <w:bCs/>
          <w:color w:val="auto"/>
          <w:lang w:eastAsia="zh-CN"/>
        </w:rPr>
      </w:pPr>
    </w:p>
    <w:p w14:paraId="03F67C74">
      <w:pPr>
        <w:pStyle w:val="33"/>
        <w:rPr>
          <w:rFonts w:ascii="仿宋" w:hAnsi="仿宋" w:eastAsia="仿宋" w:cs="仿宋"/>
          <w:b/>
          <w:bCs/>
          <w:color w:val="auto"/>
          <w:lang w:eastAsia="zh-CN"/>
        </w:rPr>
      </w:pPr>
    </w:p>
    <w:p w14:paraId="5735837C">
      <w:pPr>
        <w:pStyle w:val="33"/>
        <w:rPr>
          <w:rFonts w:ascii="仿宋" w:hAnsi="仿宋" w:eastAsia="仿宋" w:cs="仿宋"/>
          <w:b/>
          <w:bCs/>
          <w:color w:val="auto"/>
          <w:lang w:eastAsia="zh-CN"/>
        </w:rPr>
      </w:pPr>
    </w:p>
    <w:p w14:paraId="6ED7B44D">
      <w:pPr>
        <w:pStyle w:val="33"/>
        <w:rPr>
          <w:rFonts w:ascii="仿宋" w:hAnsi="仿宋" w:eastAsia="仿宋" w:cs="仿宋"/>
          <w:b/>
          <w:bCs/>
          <w:color w:val="auto"/>
          <w:lang w:eastAsia="zh-CN"/>
        </w:rPr>
      </w:pPr>
    </w:p>
    <w:p w14:paraId="7061A687">
      <w:pPr>
        <w:pStyle w:val="4"/>
        <w:numPr>
          <w:ilvl w:val="1"/>
          <w:numId w:val="0"/>
        </w:numPr>
        <w:spacing w:line="240" w:lineRule="atLeast"/>
        <w:jc w:val="left"/>
        <w:rPr>
          <w:rFonts w:ascii="仿宋" w:hAnsi="仿宋" w:eastAsia="仿宋" w:cs="仿宋"/>
          <w:bCs/>
          <w:color w:val="auto"/>
          <w:sz w:val="24"/>
          <w:lang w:eastAsia="zh-CN"/>
        </w:rPr>
      </w:pPr>
    </w:p>
    <w:p w14:paraId="6BF256F8">
      <w:pPr>
        <w:tabs>
          <w:tab w:val="left" w:pos="3600"/>
        </w:tabs>
        <w:adjustRightInd w:val="0"/>
        <w:snapToGrid w:val="0"/>
        <w:spacing w:line="440" w:lineRule="exact"/>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12</w:t>
      </w:r>
      <w:r>
        <w:rPr>
          <w:rFonts w:hint="eastAsia" w:ascii="仿宋" w:hAnsi="仿宋" w:eastAsia="仿宋" w:cs="仿宋"/>
          <w:b/>
          <w:bCs/>
          <w:color w:val="auto"/>
          <w:sz w:val="36"/>
          <w:szCs w:val="36"/>
          <w:lang w:eastAsia="zh-CN"/>
        </w:rPr>
        <w:t>、评分标准和细则中技术、商务部分证明材料（格式自拟</w:t>
      </w:r>
      <w:r>
        <w:rPr>
          <w:rFonts w:hint="eastAsia" w:ascii="仿宋" w:hAnsi="仿宋" w:eastAsia="仿宋" w:cs="仿宋"/>
          <w:color w:val="auto"/>
          <w:sz w:val="36"/>
          <w:szCs w:val="36"/>
          <w:lang w:eastAsia="zh-CN"/>
        </w:rPr>
        <w:t>）</w:t>
      </w:r>
    </w:p>
    <w:p w14:paraId="04892DD0">
      <w:pPr>
        <w:pStyle w:val="4"/>
        <w:numPr>
          <w:ilvl w:val="1"/>
          <w:numId w:val="0"/>
        </w:numPr>
        <w:spacing w:line="240" w:lineRule="atLeast"/>
        <w:ind w:left="617" w:leftChars="257"/>
        <w:rPr>
          <w:rFonts w:ascii="仿宋" w:hAnsi="仿宋" w:eastAsia="仿宋" w:cs="仿宋"/>
          <w:color w:val="auto"/>
          <w:sz w:val="24"/>
          <w:lang w:eastAsia="zh-CN"/>
        </w:rPr>
      </w:pPr>
    </w:p>
    <w:p w14:paraId="678F95D3">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要求的其他资格证明文件（主要包括：技术指标参数</w:t>
      </w:r>
      <w:r>
        <w:rPr>
          <w:rFonts w:hint="eastAsia" w:ascii="仿宋" w:hAnsi="仿宋" w:eastAsia="仿宋" w:cs="仿宋"/>
          <w:color w:val="auto"/>
          <w:highlight w:val="none"/>
          <w:lang w:val="en-US" w:eastAsia="zh-CN"/>
        </w:rPr>
        <w:t>响应情况</w:t>
      </w:r>
      <w:r>
        <w:rPr>
          <w:rFonts w:hint="eastAsia" w:ascii="仿宋" w:hAnsi="仿宋" w:eastAsia="仿宋" w:cs="仿宋"/>
          <w:color w:val="auto"/>
          <w:szCs w:val="21"/>
          <w:highlight w:val="none"/>
          <w:lang w:eastAsia="zh-CN" w:bidi="ar-SA"/>
        </w:rPr>
        <w:t>等</w:t>
      </w:r>
      <w:r>
        <w:rPr>
          <w:rFonts w:hint="eastAsia" w:ascii="仿宋" w:hAnsi="仿宋" w:eastAsia="仿宋" w:cs="仿宋"/>
          <w:color w:val="auto"/>
          <w:highlight w:val="none"/>
          <w:lang w:eastAsia="zh-CN"/>
        </w:rPr>
        <w:t>）。</w:t>
      </w:r>
    </w:p>
    <w:p w14:paraId="1329C98D">
      <w:pPr>
        <w:pStyle w:val="13"/>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691FAE07">
      <w:pPr>
        <w:pStyle w:val="5"/>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14:paraId="1C94F788">
      <w:pPr>
        <w:rPr>
          <w:rFonts w:ascii="仿宋" w:hAnsi="仿宋" w:eastAsia="仿宋" w:cs="仿宋"/>
          <w:color w:val="auto"/>
          <w:lang w:eastAsia="zh-CN"/>
        </w:rPr>
      </w:pPr>
    </w:p>
    <w:p w14:paraId="2B072C87">
      <w:pPr>
        <w:pStyle w:val="4"/>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14:paraId="09742CA2">
      <w:pPr>
        <w:pStyle w:val="4"/>
        <w:numPr>
          <w:ilvl w:val="1"/>
          <w:numId w:val="0"/>
        </w:numPr>
        <w:spacing w:line="240" w:lineRule="atLeast"/>
        <w:jc w:val="left"/>
        <w:rPr>
          <w:rFonts w:ascii="仿宋" w:hAnsi="仿宋" w:eastAsia="仿宋" w:cs="仿宋"/>
          <w:bCs/>
          <w:color w:val="auto"/>
          <w:sz w:val="24"/>
          <w:lang w:eastAsia="zh-CN"/>
        </w:rPr>
      </w:pPr>
    </w:p>
    <w:p w14:paraId="57376DC0">
      <w:pPr>
        <w:pStyle w:val="4"/>
        <w:numPr>
          <w:ilvl w:val="1"/>
          <w:numId w:val="0"/>
        </w:numPr>
        <w:spacing w:line="240" w:lineRule="atLeast"/>
        <w:jc w:val="left"/>
        <w:rPr>
          <w:rFonts w:ascii="仿宋" w:hAnsi="仿宋" w:eastAsia="仿宋" w:cs="仿宋"/>
          <w:bCs/>
          <w:color w:val="auto"/>
          <w:sz w:val="24"/>
          <w:lang w:eastAsia="zh-CN"/>
        </w:rPr>
      </w:pPr>
    </w:p>
    <w:p w14:paraId="3A5D3FA5">
      <w:pPr>
        <w:rPr>
          <w:rFonts w:ascii="仿宋" w:hAnsi="仿宋" w:eastAsia="仿宋" w:cs="仿宋"/>
          <w:color w:val="auto"/>
          <w:lang w:eastAsia="zh-CN"/>
        </w:rPr>
      </w:pPr>
    </w:p>
    <w:p w14:paraId="65B4ACA2">
      <w:pPr>
        <w:pStyle w:val="4"/>
        <w:numPr>
          <w:ilvl w:val="1"/>
          <w:numId w:val="0"/>
        </w:numPr>
        <w:spacing w:line="240" w:lineRule="atLeast"/>
        <w:jc w:val="left"/>
        <w:rPr>
          <w:rFonts w:ascii="仿宋" w:hAnsi="仿宋" w:eastAsia="仿宋" w:cs="仿宋"/>
          <w:bCs/>
          <w:color w:val="auto"/>
          <w:sz w:val="24"/>
          <w:lang w:eastAsia="zh-CN"/>
        </w:rPr>
      </w:pPr>
    </w:p>
    <w:p w14:paraId="3D5B9A90">
      <w:pPr>
        <w:pStyle w:val="4"/>
        <w:numPr>
          <w:ilvl w:val="1"/>
          <w:numId w:val="0"/>
        </w:numPr>
        <w:spacing w:line="240" w:lineRule="atLeast"/>
        <w:jc w:val="left"/>
        <w:rPr>
          <w:rFonts w:ascii="仿宋" w:hAnsi="仿宋" w:eastAsia="仿宋" w:cs="仿宋"/>
          <w:bCs/>
          <w:color w:val="auto"/>
          <w:sz w:val="24"/>
          <w:lang w:eastAsia="zh-CN"/>
        </w:rPr>
      </w:pPr>
    </w:p>
    <w:p w14:paraId="6D96D683">
      <w:pPr>
        <w:tabs>
          <w:tab w:val="left" w:pos="3600"/>
        </w:tabs>
        <w:adjustRightInd w:val="0"/>
        <w:snapToGrid w:val="0"/>
        <w:spacing w:line="440" w:lineRule="exact"/>
        <w:jc w:val="center"/>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val="en-US" w:eastAsia="zh-CN"/>
        </w:rPr>
        <w:t>13</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14:paraId="2A0B2C73">
      <w:pPr>
        <w:pStyle w:val="13"/>
        <w:tabs>
          <w:tab w:val="left" w:pos="5580"/>
        </w:tabs>
        <w:spacing w:line="240" w:lineRule="atLeast"/>
        <w:ind w:firstLine="480" w:firstLineChars="200"/>
        <w:rPr>
          <w:rFonts w:ascii="仿宋" w:hAnsi="仿宋" w:eastAsia="仿宋" w:cs="仿宋"/>
          <w:color w:val="auto"/>
          <w:lang w:eastAsia="zh-CN"/>
        </w:rPr>
      </w:pPr>
    </w:p>
    <w:p w14:paraId="7F8638C7">
      <w:pPr>
        <w:pStyle w:val="13"/>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14:paraId="6291DD03">
      <w:pPr>
        <w:pStyle w:val="20"/>
        <w:ind w:left="2880"/>
        <w:rPr>
          <w:color w:val="auto"/>
          <w:lang w:eastAsia="zh-CN"/>
        </w:rPr>
      </w:pPr>
    </w:p>
    <w:p w14:paraId="2D1A8DB0">
      <w:pPr>
        <w:rPr>
          <w:color w:val="auto"/>
          <w:highlight w:val="none"/>
          <w:lang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auto"/>
    <w:pitch w:val="default"/>
    <w:sig w:usb0="00000000" w:usb1="00000000" w:usb2="00000016" w:usb3="00000000" w:csb0="00100001"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825F6">
    <w:pPr>
      <w:pStyle w:val="17"/>
      <w:ind w:right="360"/>
      <w:jc w:val="both"/>
    </w:pPr>
    <w:r>
      <w:rPr>
        <w:sz w:val="16"/>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9C800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499C8009"/>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605F">
    <w:pPr>
      <w:pStyle w:val="17"/>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ADAF30">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23ADAF30">
                    <w:pPr>
                      <w:pStyle w:val="17"/>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F1AB">
    <w:pPr>
      <w:widowControl w:val="0"/>
      <w:spacing w:line="187" w:lineRule="auto"/>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C179D9">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65C179D9">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8801">
    <w:pPr>
      <w:widowControl w:val="0"/>
      <w:spacing w:line="189" w:lineRule="auto"/>
      <w:ind w:left="4124"/>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EC74EB">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oXv3qzAEAAKgDAAAOAAAAAAAAAAEAIAAAAB4BAABkcnMvZTJv&#10;RG9jLnhtbFBLBQYAAAAABgAGAFkBAABcBQAAAAA=&#10;">
              <v:fill on="f" focussize="0,0"/>
              <v:stroke on="f"/>
              <v:imagedata o:title=""/>
              <o:lock v:ext="edit" aspectratio="f"/>
              <v:textbox inset="0mm,0mm,0mm,0mm" style="mso-fit-shape-to-text:t;">
                <w:txbxContent>
                  <w:p w14:paraId="25EC74EB">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280F">
    <w:pPr>
      <w:widowControl w:val="0"/>
      <w:spacing w:line="187" w:lineRule="auto"/>
      <w:ind w:left="4124"/>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BE3011">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AMwBAACo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YY2YcmZE5Ze/PLzx+XXn8vv72yV&#10;9OkDVlR2H6gwDu/8QLVzHCmYaA8t2PQlQozypO75qq4aIpPp0nq1XpeUkpSbHcIvHq4HwPheecuS&#10;UXOg58uqitNHjGPpXJK6OX+njclPaNw/AcIcIyrvwHQ7MRknTlYc9sNEb++bM7HraQ9q7mjtOTMf&#10;HMmcVmY2YDb2s3EMoA9d3qnUHcPtMdJIedLUYYQlhsmhB8xcp2VLG/LYz1UPP9j2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D/p8AzAEAAKgDAAAOAAAAAAAAAAEAIAAAAB4BAABkcnMvZTJv&#10;RG9jLnhtbFBLBQYAAAAABgAGAFkBAABcBQAAAAA=&#10;">
              <v:fill on="f" focussize="0,0"/>
              <v:stroke on="f"/>
              <v:imagedata o:title=""/>
              <o:lock v:ext="edit" aspectratio="f"/>
              <v:textbox inset="0mm,0mm,0mm,0mm" style="mso-fit-shape-to-text:t;">
                <w:txbxContent>
                  <w:p w14:paraId="30BE3011">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D2A0">
    <w:pPr>
      <w:widowControl w:val="0"/>
      <w:spacing w:line="189" w:lineRule="auto"/>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89E350">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289E350">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898D">
    <w:pPr>
      <w:pStyle w:val="17"/>
      <w:ind w:right="360"/>
      <w:jc w:val="both"/>
    </w:pPr>
    <w:r>
      <w:rPr>
        <w:sz w:val="13"/>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A63019">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14:paraId="73A63019">
                    <w:pPr>
                      <w:pStyle w:val="17"/>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14:paraId="3199AE93">
    <w:pPr>
      <w:pStyle w:val="17"/>
      <w:tabs>
        <w:tab w:val="center" w:pos="4320"/>
        <w:tab w:val="right" w:pos="8640"/>
        <w:tab w:val="clear" w:pos="4153"/>
        <w:tab w:val="clear" w:pos="8306"/>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EF7F">
    <w:pPr>
      <w:pStyle w:val="17"/>
      <w:ind w:right="360"/>
      <w:jc w:val="both"/>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780D7">
                          <w:pPr>
                            <w:pStyle w:val="17"/>
                          </w:pPr>
                          <w:r>
                            <w:fldChar w:fldCharType="begin"/>
                          </w:r>
                          <w:r>
                            <w:instrText xml:space="preserve"> PAGE  \* MERGEFORMAT </w:instrText>
                          </w:r>
                          <w:r>
                            <w:fldChar w:fldCharType="separate"/>
                          </w:r>
                          <w:r>
                            <w:t>172</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R1fsk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uUxHGLEz9//3b+8ev88yt5&#10;nfXpA9SY9hgwMQ1v/YBbM/sBnZn2oKLNXyREMI5Qp4u6ckhE5Eer5WpVYUhgbL4gPnt6HiKkB+kt&#10;yUZDI46vqMqP7yGNqXNKrub8vTamjNC4vxyImT0s9z72mK007IaJ0M63J+TT4+Qb6nDRKTHvHAqL&#10;/aXZiLOxm41DiHrflS3K9SC8OSRsovSWK4ywU2EcWWE3rVfeiT/vJevpl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BHV+yQEAAJoDAAAOAAAAAAAAAAEAIAAAAB4BAABkcnMvZTJvRG9j&#10;LnhtbFBLBQYAAAAABgAGAFkBAABZBQAAAAA=&#10;">
              <v:fill on="f" focussize="0,0"/>
              <v:stroke on="f"/>
              <v:imagedata o:title=""/>
              <o:lock v:ext="edit" aspectratio="f"/>
              <v:textbox inset="0mm,0mm,0mm,0mm" style="mso-fit-shape-to-text:t;">
                <w:txbxContent>
                  <w:p w14:paraId="274780D7">
                    <w:pPr>
                      <w:pStyle w:val="17"/>
                    </w:pPr>
                    <w:r>
                      <w:fldChar w:fldCharType="begin"/>
                    </w:r>
                    <w:r>
                      <w:instrText xml:space="preserve"> PAGE  \* MERGEFORMAT </w:instrText>
                    </w:r>
                    <w:r>
                      <w:fldChar w:fldCharType="separate"/>
                    </w:r>
                    <w:r>
                      <w:t>172</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030DEF48">
    <w:pPr>
      <w:pStyle w:val="17"/>
      <w:autoSpaceDE w:val="0"/>
      <w:autoSpaceDN w:val="0"/>
      <w:adjustRightInd w:val="0"/>
      <w:ind w:left="7200" w:hanging="7200" w:hangingChars="4000"/>
      <w:jc w:val="both"/>
    </w:pPr>
  </w:p>
  <w:p w14:paraId="58A5B337">
    <w:pPr>
      <w:pStyle w:val="17"/>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DCBA">
    <w:pPr>
      <w:pStyle w:val="17"/>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63105">
                          <w:pPr>
                            <w:pStyle w:val="1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36963105">
                    <w:pPr>
                      <w:pStyle w:val="1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7F31">
    <w:pPr>
      <w:pStyle w:val="18"/>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0F3E">
    <w:pPr>
      <w:pStyle w:val="18"/>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CFC1">
    <w:pPr>
      <w:pStyle w:val="18"/>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699C2"/>
    <w:multiLevelType w:val="singleLevel"/>
    <w:tmpl w:val="9FD699C2"/>
    <w:lvl w:ilvl="0" w:tentative="0">
      <w:start w:val="2"/>
      <w:numFmt w:val="chineseCounting"/>
      <w:suff w:val="nothing"/>
      <w:lvlText w:val="%1、"/>
      <w:lvlJc w:val="left"/>
      <w:rPr>
        <w:rFonts w:hint="eastAsia"/>
      </w:rPr>
    </w:lvl>
  </w:abstractNum>
  <w:abstractNum w:abstractNumId="1">
    <w:nsid w:val="C85AF1E6"/>
    <w:multiLevelType w:val="singleLevel"/>
    <w:tmpl w:val="C85AF1E6"/>
    <w:lvl w:ilvl="0" w:tentative="0">
      <w:start w:val="1"/>
      <w:numFmt w:val="decimal"/>
      <w:suff w:val="nothing"/>
      <w:lvlText w:val="%1、"/>
      <w:lvlJc w:val="left"/>
    </w:lvl>
  </w:abstractNum>
  <w:abstractNum w:abstractNumId="2">
    <w:nsid w:val="E09F313E"/>
    <w:multiLevelType w:val="singleLevel"/>
    <w:tmpl w:val="E09F313E"/>
    <w:lvl w:ilvl="0" w:tentative="0">
      <w:start w:val="1"/>
      <w:numFmt w:val="decimal"/>
      <w:pStyle w:val="14"/>
      <w:lvlText w:val="%1."/>
      <w:lvlJc w:val="left"/>
      <w:pPr>
        <w:tabs>
          <w:tab w:val="left" w:pos="2040"/>
        </w:tabs>
        <w:ind w:left="2040" w:hanging="360"/>
      </w:pPr>
    </w:lvl>
  </w:abstractNum>
  <w:abstractNum w:abstractNumId="3">
    <w:nsid w:val="E643E0BB"/>
    <w:multiLevelType w:val="singleLevel"/>
    <w:tmpl w:val="E643E0BB"/>
    <w:lvl w:ilvl="0" w:tentative="0">
      <w:start w:val="6"/>
      <w:numFmt w:val="chineseCounting"/>
      <w:suff w:val="nothing"/>
      <w:lvlText w:val="%1、"/>
      <w:lvlJc w:val="left"/>
      <w:rPr>
        <w:rFonts w:hint="eastAsia"/>
      </w:rPr>
    </w:lvl>
  </w:abstractNum>
  <w:abstractNum w:abstractNumId="4">
    <w:nsid w:val="EDD76D41"/>
    <w:multiLevelType w:val="singleLevel"/>
    <w:tmpl w:val="EDD76D41"/>
    <w:lvl w:ilvl="0" w:tentative="0">
      <w:start w:val="13"/>
      <w:numFmt w:val="chineseCounting"/>
      <w:suff w:val="nothing"/>
      <w:lvlText w:val="%1、"/>
      <w:lvlJc w:val="left"/>
      <w:rPr>
        <w:rFonts w:hint="eastAsia"/>
      </w:rPr>
    </w:lvl>
  </w:abstractNum>
  <w:abstractNum w:abstractNumId="5">
    <w:nsid w:val="FDD6DA7E"/>
    <w:multiLevelType w:val="singleLevel"/>
    <w:tmpl w:val="FDD6DA7E"/>
    <w:lvl w:ilvl="0" w:tentative="0">
      <w:start w:val="1"/>
      <w:numFmt w:val="decimal"/>
      <w:suff w:val="space"/>
      <w:lvlText w:val="%1."/>
      <w:lvlJc w:val="left"/>
    </w:lvl>
  </w:abstractNum>
  <w:abstractNum w:abstractNumId="6">
    <w:nsid w:val="FFCE2A95"/>
    <w:multiLevelType w:val="singleLevel"/>
    <w:tmpl w:val="FFCE2A95"/>
    <w:lvl w:ilvl="0" w:tentative="0">
      <w:start w:val="9"/>
      <w:numFmt w:val="chineseCounting"/>
      <w:suff w:val="nothing"/>
      <w:lvlText w:val="%1、"/>
      <w:lvlJc w:val="left"/>
      <w:rPr>
        <w:rFonts w:hint="eastAsia"/>
      </w:rPr>
    </w:lvl>
  </w:abstractNum>
  <w:abstractNum w:abstractNumId="7">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8">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7"/>
  </w:num>
  <w:num w:numId="2">
    <w:abstractNumId w:val="2"/>
  </w:num>
  <w:num w:numId="3">
    <w:abstractNumId w:val="3"/>
  </w:num>
  <w:num w:numId="4">
    <w:abstractNumId w:val="9"/>
  </w:num>
  <w:num w:numId="5">
    <w:abstractNumId w:val="8"/>
  </w:num>
  <w:num w:numId="6">
    <w:abstractNumId w:val="10"/>
  </w:num>
  <w:num w:numId="7">
    <w:abstractNumId w:val="1"/>
  </w:num>
  <w:num w:numId="8">
    <w:abstractNumId w:val="0"/>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0E7277"/>
    <w:rsid w:val="00153D08"/>
    <w:rsid w:val="001909B2"/>
    <w:rsid w:val="00232484"/>
    <w:rsid w:val="004259D8"/>
    <w:rsid w:val="00461E17"/>
    <w:rsid w:val="00471CA4"/>
    <w:rsid w:val="00562077"/>
    <w:rsid w:val="00597163"/>
    <w:rsid w:val="005D4E0B"/>
    <w:rsid w:val="00643BE3"/>
    <w:rsid w:val="006761BB"/>
    <w:rsid w:val="006D00E3"/>
    <w:rsid w:val="0076445C"/>
    <w:rsid w:val="008276FA"/>
    <w:rsid w:val="008849F7"/>
    <w:rsid w:val="008D1783"/>
    <w:rsid w:val="008D4A14"/>
    <w:rsid w:val="009143D6"/>
    <w:rsid w:val="00A329DF"/>
    <w:rsid w:val="00A75CA8"/>
    <w:rsid w:val="00AA277B"/>
    <w:rsid w:val="00AB0B74"/>
    <w:rsid w:val="00AF420A"/>
    <w:rsid w:val="00BA4013"/>
    <w:rsid w:val="00C26A7F"/>
    <w:rsid w:val="00C377E4"/>
    <w:rsid w:val="00C53164"/>
    <w:rsid w:val="00C57AF5"/>
    <w:rsid w:val="00C74FD6"/>
    <w:rsid w:val="00D00791"/>
    <w:rsid w:val="00D00D67"/>
    <w:rsid w:val="00D03DFD"/>
    <w:rsid w:val="00D84377"/>
    <w:rsid w:val="00DE0124"/>
    <w:rsid w:val="00E56748"/>
    <w:rsid w:val="00EB29FB"/>
    <w:rsid w:val="00ED05CA"/>
    <w:rsid w:val="00F050C2"/>
    <w:rsid w:val="00F5767A"/>
    <w:rsid w:val="00F70359"/>
    <w:rsid w:val="00FB6C7A"/>
    <w:rsid w:val="0123584C"/>
    <w:rsid w:val="014631E4"/>
    <w:rsid w:val="014F6266"/>
    <w:rsid w:val="015E0ED4"/>
    <w:rsid w:val="019F0F2F"/>
    <w:rsid w:val="01AF0E8E"/>
    <w:rsid w:val="01BA3FA8"/>
    <w:rsid w:val="01E44B68"/>
    <w:rsid w:val="01EF3980"/>
    <w:rsid w:val="02315CB3"/>
    <w:rsid w:val="02614ACA"/>
    <w:rsid w:val="027D687D"/>
    <w:rsid w:val="02E7054D"/>
    <w:rsid w:val="02F96864"/>
    <w:rsid w:val="03120DC1"/>
    <w:rsid w:val="03152839"/>
    <w:rsid w:val="03531E23"/>
    <w:rsid w:val="035508BA"/>
    <w:rsid w:val="03D270B5"/>
    <w:rsid w:val="03DF7ECE"/>
    <w:rsid w:val="04027F4A"/>
    <w:rsid w:val="042A106A"/>
    <w:rsid w:val="04700DA8"/>
    <w:rsid w:val="04770389"/>
    <w:rsid w:val="04C64537"/>
    <w:rsid w:val="04D51446"/>
    <w:rsid w:val="04E11CA6"/>
    <w:rsid w:val="050F221F"/>
    <w:rsid w:val="051E7B81"/>
    <w:rsid w:val="052B11CF"/>
    <w:rsid w:val="056F1060"/>
    <w:rsid w:val="0591547A"/>
    <w:rsid w:val="05CE725F"/>
    <w:rsid w:val="05D26519"/>
    <w:rsid w:val="05E43238"/>
    <w:rsid w:val="06141E47"/>
    <w:rsid w:val="061E4834"/>
    <w:rsid w:val="062E44A1"/>
    <w:rsid w:val="06385AA9"/>
    <w:rsid w:val="063B7194"/>
    <w:rsid w:val="067376C2"/>
    <w:rsid w:val="067D155B"/>
    <w:rsid w:val="068F23C3"/>
    <w:rsid w:val="06A20D46"/>
    <w:rsid w:val="07166CA3"/>
    <w:rsid w:val="07286AF1"/>
    <w:rsid w:val="072C60C0"/>
    <w:rsid w:val="073826E5"/>
    <w:rsid w:val="074F6B51"/>
    <w:rsid w:val="08253C96"/>
    <w:rsid w:val="08323FEC"/>
    <w:rsid w:val="08515F3C"/>
    <w:rsid w:val="085D5AE7"/>
    <w:rsid w:val="086504F8"/>
    <w:rsid w:val="088C7521"/>
    <w:rsid w:val="091D420B"/>
    <w:rsid w:val="09231976"/>
    <w:rsid w:val="093F2ABC"/>
    <w:rsid w:val="095073FA"/>
    <w:rsid w:val="099723FA"/>
    <w:rsid w:val="09B17236"/>
    <w:rsid w:val="09B44D67"/>
    <w:rsid w:val="09BB7723"/>
    <w:rsid w:val="09E92566"/>
    <w:rsid w:val="0A007485"/>
    <w:rsid w:val="0A226110"/>
    <w:rsid w:val="0A271261"/>
    <w:rsid w:val="0A622E54"/>
    <w:rsid w:val="0A982D0F"/>
    <w:rsid w:val="0AEC1713"/>
    <w:rsid w:val="0AFE7394"/>
    <w:rsid w:val="0B213EE8"/>
    <w:rsid w:val="0B2F3756"/>
    <w:rsid w:val="0B3D750A"/>
    <w:rsid w:val="0B416FFB"/>
    <w:rsid w:val="0B4660A3"/>
    <w:rsid w:val="0B472137"/>
    <w:rsid w:val="0B641CFB"/>
    <w:rsid w:val="0B81389B"/>
    <w:rsid w:val="0B941400"/>
    <w:rsid w:val="0B9E39F1"/>
    <w:rsid w:val="0BB54396"/>
    <w:rsid w:val="0BF26C44"/>
    <w:rsid w:val="0C1429D4"/>
    <w:rsid w:val="0CC0289C"/>
    <w:rsid w:val="0CE57E5A"/>
    <w:rsid w:val="0CFD03FB"/>
    <w:rsid w:val="0D4528D3"/>
    <w:rsid w:val="0D533015"/>
    <w:rsid w:val="0D625AD8"/>
    <w:rsid w:val="0D9030DE"/>
    <w:rsid w:val="0D9378B6"/>
    <w:rsid w:val="0DB6446C"/>
    <w:rsid w:val="0DC43F13"/>
    <w:rsid w:val="0E3E1813"/>
    <w:rsid w:val="0E6352A9"/>
    <w:rsid w:val="0E8C1181"/>
    <w:rsid w:val="0EA0672E"/>
    <w:rsid w:val="0F152C78"/>
    <w:rsid w:val="0F356E0A"/>
    <w:rsid w:val="0FA22205"/>
    <w:rsid w:val="0FB767C5"/>
    <w:rsid w:val="0FFE0D46"/>
    <w:rsid w:val="0FFF7484"/>
    <w:rsid w:val="10015291"/>
    <w:rsid w:val="105F7F23"/>
    <w:rsid w:val="10685029"/>
    <w:rsid w:val="10B353ED"/>
    <w:rsid w:val="10ED552F"/>
    <w:rsid w:val="11352510"/>
    <w:rsid w:val="114227C7"/>
    <w:rsid w:val="114535BD"/>
    <w:rsid w:val="116457F1"/>
    <w:rsid w:val="11A43746"/>
    <w:rsid w:val="11B26E86"/>
    <w:rsid w:val="11E12A09"/>
    <w:rsid w:val="11FE2343"/>
    <w:rsid w:val="12326DC2"/>
    <w:rsid w:val="12891287"/>
    <w:rsid w:val="128A5956"/>
    <w:rsid w:val="1291653A"/>
    <w:rsid w:val="129526FC"/>
    <w:rsid w:val="12E23A01"/>
    <w:rsid w:val="13015F66"/>
    <w:rsid w:val="130308CA"/>
    <w:rsid w:val="1312560D"/>
    <w:rsid w:val="1326612C"/>
    <w:rsid w:val="132C218A"/>
    <w:rsid w:val="13651CF4"/>
    <w:rsid w:val="13D55805"/>
    <w:rsid w:val="13F84D28"/>
    <w:rsid w:val="140E5EE8"/>
    <w:rsid w:val="142B46CE"/>
    <w:rsid w:val="14602089"/>
    <w:rsid w:val="14841E5F"/>
    <w:rsid w:val="14953EB8"/>
    <w:rsid w:val="14B46A8F"/>
    <w:rsid w:val="14CD6092"/>
    <w:rsid w:val="14DF08DB"/>
    <w:rsid w:val="15200D24"/>
    <w:rsid w:val="1525173B"/>
    <w:rsid w:val="153C6A85"/>
    <w:rsid w:val="155C3869"/>
    <w:rsid w:val="156959EB"/>
    <w:rsid w:val="156D1711"/>
    <w:rsid w:val="159F732A"/>
    <w:rsid w:val="15A00DC2"/>
    <w:rsid w:val="15C31338"/>
    <w:rsid w:val="15E839EB"/>
    <w:rsid w:val="16010E59"/>
    <w:rsid w:val="16105F47"/>
    <w:rsid w:val="161F618A"/>
    <w:rsid w:val="16533BFB"/>
    <w:rsid w:val="167B61DA"/>
    <w:rsid w:val="16995913"/>
    <w:rsid w:val="16C61301"/>
    <w:rsid w:val="16DD57C1"/>
    <w:rsid w:val="16EA2C3C"/>
    <w:rsid w:val="171F0B4E"/>
    <w:rsid w:val="172577D0"/>
    <w:rsid w:val="1756362C"/>
    <w:rsid w:val="178644DD"/>
    <w:rsid w:val="17881C02"/>
    <w:rsid w:val="178E694D"/>
    <w:rsid w:val="17A34B99"/>
    <w:rsid w:val="17EB3771"/>
    <w:rsid w:val="18251A52"/>
    <w:rsid w:val="1890511D"/>
    <w:rsid w:val="18CC2463"/>
    <w:rsid w:val="18DF7E53"/>
    <w:rsid w:val="18FE29CF"/>
    <w:rsid w:val="1910625E"/>
    <w:rsid w:val="194141D9"/>
    <w:rsid w:val="19445F08"/>
    <w:rsid w:val="1956601D"/>
    <w:rsid w:val="19791440"/>
    <w:rsid w:val="198D3D53"/>
    <w:rsid w:val="199050E3"/>
    <w:rsid w:val="19D24BCD"/>
    <w:rsid w:val="19F91D19"/>
    <w:rsid w:val="1A6A7BF0"/>
    <w:rsid w:val="1A6C043C"/>
    <w:rsid w:val="1A9D7751"/>
    <w:rsid w:val="1AA14F3E"/>
    <w:rsid w:val="1ABB2559"/>
    <w:rsid w:val="1ACD57BB"/>
    <w:rsid w:val="1AFE6CB6"/>
    <w:rsid w:val="1B2938B4"/>
    <w:rsid w:val="1B3867B7"/>
    <w:rsid w:val="1B3917D2"/>
    <w:rsid w:val="1B526E30"/>
    <w:rsid w:val="1B5A42F2"/>
    <w:rsid w:val="1B8F4956"/>
    <w:rsid w:val="1BA46EB4"/>
    <w:rsid w:val="1BE65325"/>
    <w:rsid w:val="1BEA2D97"/>
    <w:rsid w:val="1BF54431"/>
    <w:rsid w:val="1BF81957"/>
    <w:rsid w:val="1C5B108D"/>
    <w:rsid w:val="1C770BAC"/>
    <w:rsid w:val="1C8812E8"/>
    <w:rsid w:val="1CA94A00"/>
    <w:rsid w:val="1CBF4223"/>
    <w:rsid w:val="1CC048D1"/>
    <w:rsid w:val="1CC41839"/>
    <w:rsid w:val="1CFF3DC8"/>
    <w:rsid w:val="1D086E56"/>
    <w:rsid w:val="1D28001A"/>
    <w:rsid w:val="1D6F5759"/>
    <w:rsid w:val="1DDE4B7D"/>
    <w:rsid w:val="1E122A78"/>
    <w:rsid w:val="1E435DE1"/>
    <w:rsid w:val="1E4F61D8"/>
    <w:rsid w:val="1E6813A9"/>
    <w:rsid w:val="1E6D1634"/>
    <w:rsid w:val="1ECE4F82"/>
    <w:rsid w:val="1EE5064C"/>
    <w:rsid w:val="1F0321C6"/>
    <w:rsid w:val="1F0664F1"/>
    <w:rsid w:val="1F0E3240"/>
    <w:rsid w:val="1F5B26D6"/>
    <w:rsid w:val="1F6007D8"/>
    <w:rsid w:val="1F6410B2"/>
    <w:rsid w:val="1F6C3F34"/>
    <w:rsid w:val="1FB748C5"/>
    <w:rsid w:val="203828DD"/>
    <w:rsid w:val="20497A92"/>
    <w:rsid w:val="205D4216"/>
    <w:rsid w:val="20746CEC"/>
    <w:rsid w:val="207D13AB"/>
    <w:rsid w:val="209D4381"/>
    <w:rsid w:val="20C20786"/>
    <w:rsid w:val="20E00C0C"/>
    <w:rsid w:val="211A31D2"/>
    <w:rsid w:val="21583244"/>
    <w:rsid w:val="218454A5"/>
    <w:rsid w:val="21F7470F"/>
    <w:rsid w:val="21FE11B6"/>
    <w:rsid w:val="21FF0FBD"/>
    <w:rsid w:val="22086693"/>
    <w:rsid w:val="22561186"/>
    <w:rsid w:val="22965E6B"/>
    <w:rsid w:val="22AE28BF"/>
    <w:rsid w:val="22D64075"/>
    <w:rsid w:val="22D700DE"/>
    <w:rsid w:val="22DB168B"/>
    <w:rsid w:val="22F917C9"/>
    <w:rsid w:val="23226B91"/>
    <w:rsid w:val="23463622"/>
    <w:rsid w:val="235B1AD6"/>
    <w:rsid w:val="235B27CC"/>
    <w:rsid w:val="236C00BB"/>
    <w:rsid w:val="23874BA3"/>
    <w:rsid w:val="238D7E59"/>
    <w:rsid w:val="23A64B10"/>
    <w:rsid w:val="23E07E45"/>
    <w:rsid w:val="2426737F"/>
    <w:rsid w:val="242C7FB7"/>
    <w:rsid w:val="24376D95"/>
    <w:rsid w:val="245B2E54"/>
    <w:rsid w:val="249661B1"/>
    <w:rsid w:val="24F609FE"/>
    <w:rsid w:val="25002F8D"/>
    <w:rsid w:val="254F617F"/>
    <w:rsid w:val="25546BA5"/>
    <w:rsid w:val="25550156"/>
    <w:rsid w:val="256D43FD"/>
    <w:rsid w:val="257A33DD"/>
    <w:rsid w:val="25851C68"/>
    <w:rsid w:val="258D4BC1"/>
    <w:rsid w:val="25A24EBE"/>
    <w:rsid w:val="25FB512C"/>
    <w:rsid w:val="262B2929"/>
    <w:rsid w:val="266939BE"/>
    <w:rsid w:val="267D2FA7"/>
    <w:rsid w:val="268B6833"/>
    <w:rsid w:val="26AF4526"/>
    <w:rsid w:val="26B733C2"/>
    <w:rsid w:val="26D37563"/>
    <w:rsid w:val="26DC54DA"/>
    <w:rsid w:val="274B4345"/>
    <w:rsid w:val="2759752E"/>
    <w:rsid w:val="27641FEC"/>
    <w:rsid w:val="27870033"/>
    <w:rsid w:val="280B656E"/>
    <w:rsid w:val="283D072F"/>
    <w:rsid w:val="286536CA"/>
    <w:rsid w:val="286B44D3"/>
    <w:rsid w:val="290F6532"/>
    <w:rsid w:val="291C049E"/>
    <w:rsid w:val="291F0973"/>
    <w:rsid w:val="29384AB9"/>
    <w:rsid w:val="293D4896"/>
    <w:rsid w:val="294E1863"/>
    <w:rsid w:val="2954525D"/>
    <w:rsid w:val="29962C80"/>
    <w:rsid w:val="299B171F"/>
    <w:rsid w:val="29EC3DAC"/>
    <w:rsid w:val="29F20F87"/>
    <w:rsid w:val="2A015314"/>
    <w:rsid w:val="2A2644A5"/>
    <w:rsid w:val="2A2953D2"/>
    <w:rsid w:val="2A5E151F"/>
    <w:rsid w:val="2A6F2C28"/>
    <w:rsid w:val="2A8F257B"/>
    <w:rsid w:val="2AB303AA"/>
    <w:rsid w:val="2ACC5FDE"/>
    <w:rsid w:val="2ADC5AFD"/>
    <w:rsid w:val="2AE56C24"/>
    <w:rsid w:val="2AF23A16"/>
    <w:rsid w:val="2AF32708"/>
    <w:rsid w:val="2AF552B4"/>
    <w:rsid w:val="2AF9470D"/>
    <w:rsid w:val="2B2A724C"/>
    <w:rsid w:val="2B3330A0"/>
    <w:rsid w:val="2B762634"/>
    <w:rsid w:val="2B8925CC"/>
    <w:rsid w:val="2B97636B"/>
    <w:rsid w:val="2BB01839"/>
    <w:rsid w:val="2C302A48"/>
    <w:rsid w:val="2C7547EA"/>
    <w:rsid w:val="2CB17636"/>
    <w:rsid w:val="2CB21DCF"/>
    <w:rsid w:val="2CD70408"/>
    <w:rsid w:val="2CFB5024"/>
    <w:rsid w:val="2D0D130F"/>
    <w:rsid w:val="2D1B0C53"/>
    <w:rsid w:val="2D261D28"/>
    <w:rsid w:val="2D380A40"/>
    <w:rsid w:val="2D7E66F1"/>
    <w:rsid w:val="2D95546D"/>
    <w:rsid w:val="2DA570F4"/>
    <w:rsid w:val="2DB43A1E"/>
    <w:rsid w:val="2DB85DC1"/>
    <w:rsid w:val="2DC9254F"/>
    <w:rsid w:val="2DCA4758"/>
    <w:rsid w:val="2DDB2F86"/>
    <w:rsid w:val="2DF1140A"/>
    <w:rsid w:val="2E1B0C2F"/>
    <w:rsid w:val="2E2D19AE"/>
    <w:rsid w:val="2E3662A3"/>
    <w:rsid w:val="2E764B34"/>
    <w:rsid w:val="2EA4771D"/>
    <w:rsid w:val="2EB17C28"/>
    <w:rsid w:val="2EB85F02"/>
    <w:rsid w:val="2ECB148D"/>
    <w:rsid w:val="2ED0014B"/>
    <w:rsid w:val="2ED161A3"/>
    <w:rsid w:val="2F265E4E"/>
    <w:rsid w:val="2F4B5DEA"/>
    <w:rsid w:val="2F815AF6"/>
    <w:rsid w:val="2FA50B1C"/>
    <w:rsid w:val="2FAD33C2"/>
    <w:rsid w:val="2FCA4F61"/>
    <w:rsid w:val="2FD247AA"/>
    <w:rsid w:val="2FD815CC"/>
    <w:rsid w:val="300113DD"/>
    <w:rsid w:val="301A16BC"/>
    <w:rsid w:val="301B400C"/>
    <w:rsid w:val="30486A4B"/>
    <w:rsid w:val="305022CF"/>
    <w:rsid w:val="305F1B4D"/>
    <w:rsid w:val="3094000D"/>
    <w:rsid w:val="310E0297"/>
    <w:rsid w:val="313A1B8F"/>
    <w:rsid w:val="314D5E4A"/>
    <w:rsid w:val="318C385D"/>
    <w:rsid w:val="31AF60BD"/>
    <w:rsid w:val="31C54436"/>
    <w:rsid w:val="31DE4CF4"/>
    <w:rsid w:val="32081D71"/>
    <w:rsid w:val="32387E25"/>
    <w:rsid w:val="325141C6"/>
    <w:rsid w:val="327E788B"/>
    <w:rsid w:val="32AD108D"/>
    <w:rsid w:val="32B435BE"/>
    <w:rsid w:val="32C20171"/>
    <w:rsid w:val="32F67E2E"/>
    <w:rsid w:val="33380434"/>
    <w:rsid w:val="335B1D88"/>
    <w:rsid w:val="335C76C1"/>
    <w:rsid w:val="33711F29"/>
    <w:rsid w:val="337B3536"/>
    <w:rsid w:val="33877982"/>
    <w:rsid w:val="3464452F"/>
    <w:rsid w:val="346930B3"/>
    <w:rsid w:val="34976726"/>
    <w:rsid w:val="34A15DE7"/>
    <w:rsid w:val="34AC63E7"/>
    <w:rsid w:val="34C401D1"/>
    <w:rsid w:val="34F63E6E"/>
    <w:rsid w:val="34F903B8"/>
    <w:rsid w:val="351A6043"/>
    <w:rsid w:val="3528436A"/>
    <w:rsid w:val="35427B0F"/>
    <w:rsid w:val="356B5D1D"/>
    <w:rsid w:val="357F49FA"/>
    <w:rsid w:val="35890A18"/>
    <w:rsid w:val="358945DD"/>
    <w:rsid w:val="36394B26"/>
    <w:rsid w:val="36657792"/>
    <w:rsid w:val="36982718"/>
    <w:rsid w:val="36A4475E"/>
    <w:rsid w:val="36A45B26"/>
    <w:rsid w:val="36AA5E0A"/>
    <w:rsid w:val="36CA0C5E"/>
    <w:rsid w:val="36D05553"/>
    <w:rsid w:val="36E45212"/>
    <w:rsid w:val="37066C5A"/>
    <w:rsid w:val="371C74DF"/>
    <w:rsid w:val="37217B5C"/>
    <w:rsid w:val="372E04CB"/>
    <w:rsid w:val="37323758"/>
    <w:rsid w:val="37491867"/>
    <w:rsid w:val="374E6478"/>
    <w:rsid w:val="37520F41"/>
    <w:rsid w:val="375D3AFF"/>
    <w:rsid w:val="3762161D"/>
    <w:rsid w:val="378679C0"/>
    <w:rsid w:val="378F65A8"/>
    <w:rsid w:val="37A05DB8"/>
    <w:rsid w:val="37A12630"/>
    <w:rsid w:val="37AC319E"/>
    <w:rsid w:val="37D44BCF"/>
    <w:rsid w:val="37DE58F5"/>
    <w:rsid w:val="38083993"/>
    <w:rsid w:val="38715716"/>
    <w:rsid w:val="38895400"/>
    <w:rsid w:val="38BD4DB8"/>
    <w:rsid w:val="38C13A06"/>
    <w:rsid w:val="38C56C0D"/>
    <w:rsid w:val="38DE52AC"/>
    <w:rsid w:val="38ED70B3"/>
    <w:rsid w:val="393042D6"/>
    <w:rsid w:val="397F2B73"/>
    <w:rsid w:val="399636F5"/>
    <w:rsid w:val="39A77BA6"/>
    <w:rsid w:val="39AB7BB1"/>
    <w:rsid w:val="39AF5DC9"/>
    <w:rsid w:val="39C07B4A"/>
    <w:rsid w:val="3A0B4EF8"/>
    <w:rsid w:val="3A1273C6"/>
    <w:rsid w:val="3A1A05AE"/>
    <w:rsid w:val="3A5E2E76"/>
    <w:rsid w:val="3A6D6A80"/>
    <w:rsid w:val="3AE06945"/>
    <w:rsid w:val="3AFA401D"/>
    <w:rsid w:val="3B1339F6"/>
    <w:rsid w:val="3B2A146C"/>
    <w:rsid w:val="3B324D05"/>
    <w:rsid w:val="3B7F7C46"/>
    <w:rsid w:val="3B941E1F"/>
    <w:rsid w:val="3BCC2061"/>
    <w:rsid w:val="3BDE19D1"/>
    <w:rsid w:val="3C851CFB"/>
    <w:rsid w:val="3C893FAF"/>
    <w:rsid w:val="3C946E63"/>
    <w:rsid w:val="3CA827C1"/>
    <w:rsid w:val="3CAD59EE"/>
    <w:rsid w:val="3CDA4418"/>
    <w:rsid w:val="3D38095E"/>
    <w:rsid w:val="3D643600"/>
    <w:rsid w:val="3D723DD3"/>
    <w:rsid w:val="3D751F42"/>
    <w:rsid w:val="3DA87F4F"/>
    <w:rsid w:val="3DC2196D"/>
    <w:rsid w:val="3E151AA2"/>
    <w:rsid w:val="3E7C7D6E"/>
    <w:rsid w:val="3F163D1F"/>
    <w:rsid w:val="3F385E8A"/>
    <w:rsid w:val="3F6A3151"/>
    <w:rsid w:val="3F874C1D"/>
    <w:rsid w:val="3F973103"/>
    <w:rsid w:val="40131504"/>
    <w:rsid w:val="402B1A4C"/>
    <w:rsid w:val="403F2E01"/>
    <w:rsid w:val="40814B23"/>
    <w:rsid w:val="408E72C3"/>
    <w:rsid w:val="408E7BCF"/>
    <w:rsid w:val="40A06D4D"/>
    <w:rsid w:val="40AB15B8"/>
    <w:rsid w:val="40B26236"/>
    <w:rsid w:val="40BC6B48"/>
    <w:rsid w:val="40C14C05"/>
    <w:rsid w:val="40C764D4"/>
    <w:rsid w:val="41042A54"/>
    <w:rsid w:val="413B181B"/>
    <w:rsid w:val="416359C8"/>
    <w:rsid w:val="41681350"/>
    <w:rsid w:val="416F668A"/>
    <w:rsid w:val="419378A9"/>
    <w:rsid w:val="419F6662"/>
    <w:rsid w:val="41A72D03"/>
    <w:rsid w:val="41BC55E0"/>
    <w:rsid w:val="41BF069E"/>
    <w:rsid w:val="420B7389"/>
    <w:rsid w:val="423563C7"/>
    <w:rsid w:val="42C57370"/>
    <w:rsid w:val="42D8263E"/>
    <w:rsid w:val="42DD6902"/>
    <w:rsid w:val="42FF450A"/>
    <w:rsid w:val="430832B2"/>
    <w:rsid w:val="43144276"/>
    <w:rsid w:val="43264088"/>
    <w:rsid w:val="43333AFF"/>
    <w:rsid w:val="434966C0"/>
    <w:rsid w:val="43603D96"/>
    <w:rsid w:val="437C4518"/>
    <w:rsid w:val="4383063C"/>
    <w:rsid w:val="43900453"/>
    <w:rsid w:val="43AA4B1B"/>
    <w:rsid w:val="43C42B78"/>
    <w:rsid w:val="43CB7C06"/>
    <w:rsid w:val="43CE514A"/>
    <w:rsid w:val="43D2785E"/>
    <w:rsid w:val="43EB0B8A"/>
    <w:rsid w:val="43F26816"/>
    <w:rsid w:val="441E0010"/>
    <w:rsid w:val="44352E99"/>
    <w:rsid w:val="445769C9"/>
    <w:rsid w:val="446247CB"/>
    <w:rsid w:val="44637696"/>
    <w:rsid w:val="4467501D"/>
    <w:rsid w:val="44740DA7"/>
    <w:rsid w:val="44881E95"/>
    <w:rsid w:val="44C7578F"/>
    <w:rsid w:val="44D31AB8"/>
    <w:rsid w:val="45111167"/>
    <w:rsid w:val="4517597F"/>
    <w:rsid w:val="45442C68"/>
    <w:rsid w:val="454815E5"/>
    <w:rsid w:val="455D72FE"/>
    <w:rsid w:val="457C2033"/>
    <w:rsid w:val="45C6139C"/>
    <w:rsid w:val="45F70027"/>
    <w:rsid w:val="4609638B"/>
    <w:rsid w:val="465C55EF"/>
    <w:rsid w:val="466A125B"/>
    <w:rsid w:val="46994235"/>
    <w:rsid w:val="46A2549B"/>
    <w:rsid w:val="46A95479"/>
    <w:rsid w:val="46B856BC"/>
    <w:rsid w:val="46F77B89"/>
    <w:rsid w:val="4743767B"/>
    <w:rsid w:val="47443EE7"/>
    <w:rsid w:val="4757256C"/>
    <w:rsid w:val="47633658"/>
    <w:rsid w:val="478A4765"/>
    <w:rsid w:val="47E90CDF"/>
    <w:rsid w:val="47F15329"/>
    <w:rsid w:val="481728B6"/>
    <w:rsid w:val="482657E1"/>
    <w:rsid w:val="487B3318"/>
    <w:rsid w:val="48887BC9"/>
    <w:rsid w:val="48B93029"/>
    <w:rsid w:val="49726A4B"/>
    <w:rsid w:val="498868D5"/>
    <w:rsid w:val="49984EFD"/>
    <w:rsid w:val="49B0569C"/>
    <w:rsid w:val="49E14F29"/>
    <w:rsid w:val="49F25ED2"/>
    <w:rsid w:val="4A076C56"/>
    <w:rsid w:val="4A08384B"/>
    <w:rsid w:val="4A431F7F"/>
    <w:rsid w:val="4A711501"/>
    <w:rsid w:val="4AAF0341"/>
    <w:rsid w:val="4ADB07DF"/>
    <w:rsid w:val="4ADE5F63"/>
    <w:rsid w:val="4AE253FD"/>
    <w:rsid w:val="4B097E96"/>
    <w:rsid w:val="4B105AC6"/>
    <w:rsid w:val="4B140ACE"/>
    <w:rsid w:val="4B54430C"/>
    <w:rsid w:val="4B742573"/>
    <w:rsid w:val="4B7B64DF"/>
    <w:rsid w:val="4BA10E14"/>
    <w:rsid w:val="4BB73B85"/>
    <w:rsid w:val="4BF478AD"/>
    <w:rsid w:val="4C11263D"/>
    <w:rsid w:val="4C17384D"/>
    <w:rsid w:val="4C251A45"/>
    <w:rsid w:val="4C257A37"/>
    <w:rsid w:val="4C395894"/>
    <w:rsid w:val="4C552A37"/>
    <w:rsid w:val="4C64712B"/>
    <w:rsid w:val="4C700EF1"/>
    <w:rsid w:val="4C760354"/>
    <w:rsid w:val="4C891B35"/>
    <w:rsid w:val="4CE216E4"/>
    <w:rsid w:val="4D48432B"/>
    <w:rsid w:val="4D7F6F33"/>
    <w:rsid w:val="4DA62A1D"/>
    <w:rsid w:val="4DDE31B9"/>
    <w:rsid w:val="4DED20EF"/>
    <w:rsid w:val="4DF50B78"/>
    <w:rsid w:val="4E370904"/>
    <w:rsid w:val="4E4B5067"/>
    <w:rsid w:val="4E6938E7"/>
    <w:rsid w:val="4E6A5759"/>
    <w:rsid w:val="4E6F0D56"/>
    <w:rsid w:val="4E701DC0"/>
    <w:rsid w:val="4E7E543D"/>
    <w:rsid w:val="4E93713A"/>
    <w:rsid w:val="4EBB21ED"/>
    <w:rsid w:val="4ECA741E"/>
    <w:rsid w:val="4EEF00E8"/>
    <w:rsid w:val="4F006719"/>
    <w:rsid w:val="4F2E489B"/>
    <w:rsid w:val="4F4C72E9"/>
    <w:rsid w:val="4F5166AD"/>
    <w:rsid w:val="4F5D25FD"/>
    <w:rsid w:val="4F643265"/>
    <w:rsid w:val="4F741231"/>
    <w:rsid w:val="4FB41D44"/>
    <w:rsid w:val="4FB93303"/>
    <w:rsid w:val="4FBC32D6"/>
    <w:rsid w:val="4FC60E49"/>
    <w:rsid w:val="4FED41BE"/>
    <w:rsid w:val="50105D76"/>
    <w:rsid w:val="50203C86"/>
    <w:rsid w:val="50300C5A"/>
    <w:rsid w:val="503A35E5"/>
    <w:rsid w:val="50A86B66"/>
    <w:rsid w:val="50BF6E81"/>
    <w:rsid w:val="50FF0870"/>
    <w:rsid w:val="511C3DE5"/>
    <w:rsid w:val="513D513B"/>
    <w:rsid w:val="513F080C"/>
    <w:rsid w:val="51563E5A"/>
    <w:rsid w:val="518E2B89"/>
    <w:rsid w:val="51A206CC"/>
    <w:rsid w:val="51A86022"/>
    <w:rsid w:val="51CE4B40"/>
    <w:rsid w:val="51FE3FDB"/>
    <w:rsid w:val="52654DCD"/>
    <w:rsid w:val="5268268C"/>
    <w:rsid w:val="526E4B08"/>
    <w:rsid w:val="528B1ED6"/>
    <w:rsid w:val="52993685"/>
    <w:rsid w:val="52D719EE"/>
    <w:rsid w:val="52DA541F"/>
    <w:rsid w:val="5306542C"/>
    <w:rsid w:val="530869B1"/>
    <w:rsid w:val="530A15C8"/>
    <w:rsid w:val="533662E6"/>
    <w:rsid w:val="53382FA5"/>
    <w:rsid w:val="53390376"/>
    <w:rsid w:val="533C1C56"/>
    <w:rsid w:val="53796D79"/>
    <w:rsid w:val="53842532"/>
    <w:rsid w:val="53914B2C"/>
    <w:rsid w:val="53DC38BE"/>
    <w:rsid w:val="53E01E88"/>
    <w:rsid w:val="540A24A6"/>
    <w:rsid w:val="541D6439"/>
    <w:rsid w:val="546A09A4"/>
    <w:rsid w:val="549E4143"/>
    <w:rsid w:val="54A77BD0"/>
    <w:rsid w:val="54DE52B7"/>
    <w:rsid w:val="54E87AB4"/>
    <w:rsid w:val="551E5284"/>
    <w:rsid w:val="552535BC"/>
    <w:rsid w:val="553813F1"/>
    <w:rsid w:val="55592760"/>
    <w:rsid w:val="557E3F74"/>
    <w:rsid w:val="55821076"/>
    <w:rsid w:val="56140811"/>
    <w:rsid w:val="56292132"/>
    <w:rsid w:val="56493792"/>
    <w:rsid w:val="56562A21"/>
    <w:rsid w:val="565A22EB"/>
    <w:rsid w:val="56777341"/>
    <w:rsid w:val="567E247E"/>
    <w:rsid w:val="56D402F0"/>
    <w:rsid w:val="572F4B71"/>
    <w:rsid w:val="575329D5"/>
    <w:rsid w:val="5767596D"/>
    <w:rsid w:val="576E139F"/>
    <w:rsid w:val="57790E97"/>
    <w:rsid w:val="57B4461F"/>
    <w:rsid w:val="57FF1107"/>
    <w:rsid w:val="5837687D"/>
    <w:rsid w:val="583F5C3D"/>
    <w:rsid w:val="5849381E"/>
    <w:rsid w:val="589A5311"/>
    <w:rsid w:val="589F66DB"/>
    <w:rsid w:val="5918680C"/>
    <w:rsid w:val="594015B1"/>
    <w:rsid w:val="59464DA9"/>
    <w:rsid w:val="5951436D"/>
    <w:rsid w:val="59554FEC"/>
    <w:rsid w:val="595A0DC1"/>
    <w:rsid w:val="596D4A2C"/>
    <w:rsid w:val="599B0EFC"/>
    <w:rsid w:val="599C2C1B"/>
    <w:rsid w:val="599C7120"/>
    <w:rsid w:val="59B87DFF"/>
    <w:rsid w:val="59BD150F"/>
    <w:rsid w:val="59BD511F"/>
    <w:rsid w:val="59F2174F"/>
    <w:rsid w:val="5A130C2C"/>
    <w:rsid w:val="5A392A01"/>
    <w:rsid w:val="5A39563D"/>
    <w:rsid w:val="5A427C66"/>
    <w:rsid w:val="5A5070E0"/>
    <w:rsid w:val="5A6377F9"/>
    <w:rsid w:val="5AE0581C"/>
    <w:rsid w:val="5AE96334"/>
    <w:rsid w:val="5B073D10"/>
    <w:rsid w:val="5B2F3729"/>
    <w:rsid w:val="5B31213F"/>
    <w:rsid w:val="5B5F738D"/>
    <w:rsid w:val="5BA54009"/>
    <w:rsid w:val="5BC03595"/>
    <w:rsid w:val="5BDB3ECE"/>
    <w:rsid w:val="5BE43388"/>
    <w:rsid w:val="5C142F3C"/>
    <w:rsid w:val="5C643EC4"/>
    <w:rsid w:val="5C857737"/>
    <w:rsid w:val="5CCF1148"/>
    <w:rsid w:val="5CD53D28"/>
    <w:rsid w:val="5CE9389A"/>
    <w:rsid w:val="5CF718B7"/>
    <w:rsid w:val="5CFD61B9"/>
    <w:rsid w:val="5D0460DC"/>
    <w:rsid w:val="5D2366CB"/>
    <w:rsid w:val="5D3331A6"/>
    <w:rsid w:val="5D8A153C"/>
    <w:rsid w:val="5D8F31C2"/>
    <w:rsid w:val="5DE1497B"/>
    <w:rsid w:val="5E135BA1"/>
    <w:rsid w:val="5E1D1079"/>
    <w:rsid w:val="5E211941"/>
    <w:rsid w:val="5E486E92"/>
    <w:rsid w:val="5E565A8E"/>
    <w:rsid w:val="5E6D59C3"/>
    <w:rsid w:val="5E8537C2"/>
    <w:rsid w:val="5E9341CF"/>
    <w:rsid w:val="5E9C0CBE"/>
    <w:rsid w:val="5EAC1B52"/>
    <w:rsid w:val="5EDA6373"/>
    <w:rsid w:val="5EF46D8B"/>
    <w:rsid w:val="5F0453BF"/>
    <w:rsid w:val="5F182D44"/>
    <w:rsid w:val="5F1A6ABC"/>
    <w:rsid w:val="5F5A15AE"/>
    <w:rsid w:val="5F812BA8"/>
    <w:rsid w:val="5F8F4324"/>
    <w:rsid w:val="5F9C1BC7"/>
    <w:rsid w:val="5FA86D63"/>
    <w:rsid w:val="5FBD0C6B"/>
    <w:rsid w:val="5FC4513D"/>
    <w:rsid w:val="5FFB68ED"/>
    <w:rsid w:val="600A2FD4"/>
    <w:rsid w:val="601774F8"/>
    <w:rsid w:val="601F4136"/>
    <w:rsid w:val="6022031E"/>
    <w:rsid w:val="60703196"/>
    <w:rsid w:val="609B022F"/>
    <w:rsid w:val="60AA69DE"/>
    <w:rsid w:val="60C369A4"/>
    <w:rsid w:val="6102075D"/>
    <w:rsid w:val="61183C2B"/>
    <w:rsid w:val="611B6FAC"/>
    <w:rsid w:val="614150DB"/>
    <w:rsid w:val="6151078F"/>
    <w:rsid w:val="61695AD8"/>
    <w:rsid w:val="617D1400"/>
    <w:rsid w:val="61903A3C"/>
    <w:rsid w:val="61C24BFD"/>
    <w:rsid w:val="61C471B3"/>
    <w:rsid w:val="61D560FA"/>
    <w:rsid w:val="61D76EE6"/>
    <w:rsid w:val="61DA0784"/>
    <w:rsid w:val="61E3018A"/>
    <w:rsid w:val="620D46B6"/>
    <w:rsid w:val="62145A44"/>
    <w:rsid w:val="626004E0"/>
    <w:rsid w:val="634A483E"/>
    <w:rsid w:val="635D166D"/>
    <w:rsid w:val="636F229B"/>
    <w:rsid w:val="637A3FCD"/>
    <w:rsid w:val="6386335A"/>
    <w:rsid w:val="63C51B85"/>
    <w:rsid w:val="64013FC1"/>
    <w:rsid w:val="642B45E0"/>
    <w:rsid w:val="64366989"/>
    <w:rsid w:val="64540CC2"/>
    <w:rsid w:val="64604EAC"/>
    <w:rsid w:val="64740A1C"/>
    <w:rsid w:val="64805FF8"/>
    <w:rsid w:val="648F5856"/>
    <w:rsid w:val="64D7429C"/>
    <w:rsid w:val="653D443F"/>
    <w:rsid w:val="65434447"/>
    <w:rsid w:val="65677A9C"/>
    <w:rsid w:val="656B69FF"/>
    <w:rsid w:val="656F7113"/>
    <w:rsid w:val="65D200F0"/>
    <w:rsid w:val="65F73581"/>
    <w:rsid w:val="65FA31A3"/>
    <w:rsid w:val="663168CC"/>
    <w:rsid w:val="66457796"/>
    <w:rsid w:val="66A5387A"/>
    <w:rsid w:val="66AD290B"/>
    <w:rsid w:val="66C2621A"/>
    <w:rsid w:val="66FE060F"/>
    <w:rsid w:val="67573E7B"/>
    <w:rsid w:val="6764746E"/>
    <w:rsid w:val="67656B1B"/>
    <w:rsid w:val="67831725"/>
    <w:rsid w:val="679542C8"/>
    <w:rsid w:val="67AE419D"/>
    <w:rsid w:val="67AF209E"/>
    <w:rsid w:val="67B22635"/>
    <w:rsid w:val="67B60664"/>
    <w:rsid w:val="67BE74C9"/>
    <w:rsid w:val="681C5653"/>
    <w:rsid w:val="683769EB"/>
    <w:rsid w:val="683C6122"/>
    <w:rsid w:val="683F0DF2"/>
    <w:rsid w:val="684F37DE"/>
    <w:rsid w:val="68A1024E"/>
    <w:rsid w:val="68AE714D"/>
    <w:rsid w:val="68B2669E"/>
    <w:rsid w:val="68CB6160"/>
    <w:rsid w:val="68E22B52"/>
    <w:rsid w:val="68E87C2B"/>
    <w:rsid w:val="68EB131E"/>
    <w:rsid w:val="68F3373D"/>
    <w:rsid w:val="69182A19"/>
    <w:rsid w:val="691F0B40"/>
    <w:rsid w:val="69277887"/>
    <w:rsid w:val="694F1A58"/>
    <w:rsid w:val="69764EE6"/>
    <w:rsid w:val="698C50B9"/>
    <w:rsid w:val="698E1753"/>
    <w:rsid w:val="69B642C0"/>
    <w:rsid w:val="69D47128"/>
    <w:rsid w:val="69F07ED0"/>
    <w:rsid w:val="69FE3890"/>
    <w:rsid w:val="6A10379F"/>
    <w:rsid w:val="6A3273AF"/>
    <w:rsid w:val="6A4F72AA"/>
    <w:rsid w:val="6A636242"/>
    <w:rsid w:val="6A7A0A2B"/>
    <w:rsid w:val="6A7F636D"/>
    <w:rsid w:val="6AB161D5"/>
    <w:rsid w:val="6AC67AF8"/>
    <w:rsid w:val="6AC87D14"/>
    <w:rsid w:val="6ADE7537"/>
    <w:rsid w:val="6AF26B3F"/>
    <w:rsid w:val="6B133F99"/>
    <w:rsid w:val="6B221B0E"/>
    <w:rsid w:val="6B426B13"/>
    <w:rsid w:val="6B9419A4"/>
    <w:rsid w:val="6BA20565"/>
    <w:rsid w:val="6BBE4C73"/>
    <w:rsid w:val="6BC4672D"/>
    <w:rsid w:val="6C1F1BB5"/>
    <w:rsid w:val="6C364F34"/>
    <w:rsid w:val="6C3A4520"/>
    <w:rsid w:val="6C6204DD"/>
    <w:rsid w:val="6C7543E1"/>
    <w:rsid w:val="6C7D42B4"/>
    <w:rsid w:val="6C8A3E98"/>
    <w:rsid w:val="6C963B87"/>
    <w:rsid w:val="6CA96079"/>
    <w:rsid w:val="6CAC1F8A"/>
    <w:rsid w:val="6CAD0F6F"/>
    <w:rsid w:val="6CB95D72"/>
    <w:rsid w:val="6CC81EA4"/>
    <w:rsid w:val="6D2D5C52"/>
    <w:rsid w:val="6D37776E"/>
    <w:rsid w:val="6D69517B"/>
    <w:rsid w:val="6D895E36"/>
    <w:rsid w:val="6DD644F6"/>
    <w:rsid w:val="6EC6456A"/>
    <w:rsid w:val="6EC8214A"/>
    <w:rsid w:val="6EDF73DA"/>
    <w:rsid w:val="6F1976C8"/>
    <w:rsid w:val="6F1D055D"/>
    <w:rsid w:val="6F4A0A27"/>
    <w:rsid w:val="6F634051"/>
    <w:rsid w:val="6F926779"/>
    <w:rsid w:val="6F99134C"/>
    <w:rsid w:val="6F9D691F"/>
    <w:rsid w:val="6FD333D4"/>
    <w:rsid w:val="6FFC5967"/>
    <w:rsid w:val="70021CEB"/>
    <w:rsid w:val="703412AA"/>
    <w:rsid w:val="704838FD"/>
    <w:rsid w:val="7066454C"/>
    <w:rsid w:val="707F6878"/>
    <w:rsid w:val="709119F6"/>
    <w:rsid w:val="70AF7F0C"/>
    <w:rsid w:val="70BC644D"/>
    <w:rsid w:val="70C42D2B"/>
    <w:rsid w:val="70D16063"/>
    <w:rsid w:val="70F562D7"/>
    <w:rsid w:val="713D64DC"/>
    <w:rsid w:val="714A1292"/>
    <w:rsid w:val="718720E0"/>
    <w:rsid w:val="71941D4C"/>
    <w:rsid w:val="71F040F8"/>
    <w:rsid w:val="71F7318A"/>
    <w:rsid w:val="720634E7"/>
    <w:rsid w:val="72094B9E"/>
    <w:rsid w:val="721A3870"/>
    <w:rsid w:val="722367F3"/>
    <w:rsid w:val="724F3AC4"/>
    <w:rsid w:val="72587BCF"/>
    <w:rsid w:val="72873F22"/>
    <w:rsid w:val="728E35F1"/>
    <w:rsid w:val="72DB435C"/>
    <w:rsid w:val="731750C1"/>
    <w:rsid w:val="737C6513"/>
    <w:rsid w:val="739641CD"/>
    <w:rsid w:val="73A669E7"/>
    <w:rsid w:val="73F76C73"/>
    <w:rsid w:val="740C0054"/>
    <w:rsid w:val="746135D3"/>
    <w:rsid w:val="74825670"/>
    <w:rsid w:val="74C104FD"/>
    <w:rsid w:val="75205795"/>
    <w:rsid w:val="753541F8"/>
    <w:rsid w:val="755443BE"/>
    <w:rsid w:val="755B467D"/>
    <w:rsid w:val="75781DD0"/>
    <w:rsid w:val="757F5473"/>
    <w:rsid w:val="75824D9D"/>
    <w:rsid w:val="75AB1C93"/>
    <w:rsid w:val="761B163F"/>
    <w:rsid w:val="761F3505"/>
    <w:rsid w:val="76486327"/>
    <w:rsid w:val="76695DFA"/>
    <w:rsid w:val="766C1E9B"/>
    <w:rsid w:val="76810114"/>
    <w:rsid w:val="76941E85"/>
    <w:rsid w:val="76C23869"/>
    <w:rsid w:val="76E41762"/>
    <w:rsid w:val="76E46ECE"/>
    <w:rsid w:val="7717316E"/>
    <w:rsid w:val="77603777"/>
    <w:rsid w:val="77786406"/>
    <w:rsid w:val="77901BB9"/>
    <w:rsid w:val="779B3C6B"/>
    <w:rsid w:val="77AB5706"/>
    <w:rsid w:val="77BD3D54"/>
    <w:rsid w:val="77C7479C"/>
    <w:rsid w:val="77F71C38"/>
    <w:rsid w:val="787B3EF7"/>
    <w:rsid w:val="787D26D8"/>
    <w:rsid w:val="788E3223"/>
    <w:rsid w:val="78A944B6"/>
    <w:rsid w:val="78E06AB0"/>
    <w:rsid w:val="79503A06"/>
    <w:rsid w:val="795805F1"/>
    <w:rsid w:val="79802062"/>
    <w:rsid w:val="798E0318"/>
    <w:rsid w:val="79AF62F8"/>
    <w:rsid w:val="79F01427"/>
    <w:rsid w:val="7A0D2DBC"/>
    <w:rsid w:val="7A1F0FD2"/>
    <w:rsid w:val="7A326EC1"/>
    <w:rsid w:val="7A556F82"/>
    <w:rsid w:val="7A721678"/>
    <w:rsid w:val="7A941157"/>
    <w:rsid w:val="7AC415A1"/>
    <w:rsid w:val="7AD93877"/>
    <w:rsid w:val="7ADB3C24"/>
    <w:rsid w:val="7B031C60"/>
    <w:rsid w:val="7BB65DCF"/>
    <w:rsid w:val="7BF02535"/>
    <w:rsid w:val="7BF53DED"/>
    <w:rsid w:val="7BFC0690"/>
    <w:rsid w:val="7C10112E"/>
    <w:rsid w:val="7C1D50F5"/>
    <w:rsid w:val="7C52568F"/>
    <w:rsid w:val="7C6106D5"/>
    <w:rsid w:val="7C6151AF"/>
    <w:rsid w:val="7C867CD4"/>
    <w:rsid w:val="7CBD556F"/>
    <w:rsid w:val="7CC540BD"/>
    <w:rsid w:val="7D1E37C3"/>
    <w:rsid w:val="7D373771"/>
    <w:rsid w:val="7D423759"/>
    <w:rsid w:val="7D695F1A"/>
    <w:rsid w:val="7D6A3C51"/>
    <w:rsid w:val="7D712C70"/>
    <w:rsid w:val="7D816BD7"/>
    <w:rsid w:val="7D935B21"/>
    <w:rsid w:val="7DD956AA"/>
    <w:rsid w:val="7E202D97"/>
    <w:rsid w:val="7E2D5B39"/>
    <w:rsid w:val="7E346B9D"/>
    <w:rsid w:val="7E42351F"/>
    <w:rsid w:val="7E7E6C0F"/>
    <w:rsid w:val="7EC81FBE"/>
    <w:rsid w:val="7ED160D1"/>
    <w:rsid w:val="7EDB5E10"/>
    <w:rsid w:val="7EEE3521"/>
    <w:rsid w:val="7F211349"/>
    <w:rsid w:val="7F2B4D67"/>
    <w:rsid w:val="7F405C73"/>
    <w:rsid w:val="7F9F5AC1"/>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autoRedefine/>
    <w:qFormat/>
    <w:uiPriority w:val="0"/>
    <w:pPr>
      <w:keepNext/>
      <w:keepLines/>
      <w:spacing w:line="360" w:lineRule="auto"/>
      <w:jc w:val="center"/>
      <w:outlineLvl w:val="0"/>
    </w:pPr>
    <w:rPr>
      <w:b/>
      <w:bCs/>
      <w:kern w:val="44"/>
      <w:sz w:val="44"/>
      <w:szCs w:val="44"/>
    </w:rPr>
  </w:style>
  <w:style w:type="paragraph" w:styleId="4">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5"/>
    <w:basedOn w:val="1"/>
    <w:next w:val="1"/>
    <w:qFormat/>
    <w:uiPriority w:val="0"/>
    <w:pPr>
      <w:widowControl/>
      <w:spacing w:before="100" w:beforeLines="0" w:beforeAutospacing="1" w:after="100" w:afterLines="0" w:afterAutospacing="1"/>
      <w:jc w:val="left"/>
      <w:outlineLvl w:val="4"/>
    </w:pPr>
    <w:rPr>
      <w:rFonts w:ascii="宋体" w:hAnsi="宋体"/>
      <w:b/>
      <w:kern w:val="0"/>
      <w:sz w:val="20"/>
    </w:rPr>
  </w:style>
  <w:style w:type="character" w:default="1" w:styleId="27">
    <w:name w:val="Default Paragraph Font"/>
    <w:autoRedefine/>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autoRedefine/>
    <w:qFormat/>
    <w:uiPriority w:val="0"/>
    <w:pPr>
      <w:ind w:left="482" w:firstLine="200" w:firstLineChars="200"/>
    </w:pPr>
    <w:rPr>
      <w:rFonts w:cs="宋体"/>
      <w:szCs w:val="20"/>
    </w:rPr>
  </w:style>
  <w:style w:type="paragraph" w:styleId="7">
    <w:name w:val="Normal Indent"/>
    <w:basedOn w:val="1"/>
    <w:autoRedefine/>
    <w:qFormat/>
    <w:uiPriority w:val="0"/>
    <w:pPr>
      <w:autoSpaceDE w:val="0"/>
      <w:autoSpaceDN w:val="0"/>
      <w:adjustRightInd w:val="0"/>
      <w:ind w:firstLine="420"/>
    </w:pPr>
    <w:rPr>
      <w:rFonts w:ascii="宋体"/>
      <w:szCs w:val="20"/>
    </w:rPr>
  </w:style>
  <w:style w:type="paragraph" w:styleId="8">
    <w:name w:val="toa heading"/>
    <w:basedOn w:val="1"/>
    <w:next w:val="1"/>
    <w:autoRedefine/>
    <w:qFormat/>
    <w:uiPriority w:val="0"/>
    <w:pPr>
      <w:spacing w:before="120"/>
    </w:pPr>
    <w:rPr>
      <w:rFonts w:ascii="Cambria" w:hAnsi="Cambria"/>
      <w:szCs w:val="20"/>
    </w:rPr>
  </w:style>
  <w:style w:type="paragraph" w:styleId="9">
    <w:name w:val="annotation text"/>
    <w:basedOn w:val="1"/>
    <w:qFormat/>
    <w:uiPriority w:val="0"/>
    <w:pPr>
      <w:jc w:val="left"/>
    </w:pPr>
  </w:style>
  <w:style w:type="paragraph" w:styleId="10">
    <w:name w:val="Body Text"/>
    <w:basedOn w:val="1"/>
    <w:next w:val="1"/>
    <w:autoRedefine/>
    <w:qFormat/>
    <w:uiPriority w:val="99"/>
    <w:pPr>
      <w:numPr>
        <w:ilvl w:val="0"/>
        <w:numId w:val="1"/>
      </w:numPr>
      <w:tabs>
        <w:tab w:val="clear" w:pos="780"/>
      </w:tabs>
      <w:ind w:left="0" w:firstLine="0"/>
    </w:pPr>
    <w:rPr>
      <w:rFonts w:ascii="黑体" w:eastAsia="黑体"/>
      <w:sz w:val="22"/>
    </w:rPr>
  </w:style>
  <w:style w:type="paragraph" w:styleId="11">
    <w:name w:val="Body Text Indent"/>
    <w:basedOn w:val="1"/>
    <w:next w:val="12"/>
    <w:autoRedefine/>
    <w:qFormat/>
    <w:uiPriority w:val="0"/>
    <w:pPr>
      <w:spacing w:after="120"/>
      <w:ind w:left="200" w:leftChars="200"/>
    </w:pPr>
  </w:style>
  <w:style w:type="paragraph" w:styleId="12">
    <w:name w:val="Body Text First Indent 2"/>
    <w:basedOn w:val="11"/>
    <w:next w:val="1"/>
    <w:autoRedefine/>
    <w:qFormat/>
    <w:uiPriority w:val="0"/>
    <w:pPr>
      <w:ind w:firstLine="420" w:firstLineChars="200"/>
    </w:pPr>
  </w:style>
  <w:style w:type="paragraph" w:styleId="13">
    <w:name w:val="Plain Text"/>
    <w:basedOn w:val="1"/>
    <w:next w:val="14"/>
    <w:autoRedefine/>
    <w:qFormat/>
    <w:uiPriority w:val="0"/>
    <w:rPr>
      <w:rFonts w:ascii="宋体"/>
      <w:szCs w:val="20"/>
      <w:u w:color="000000"/>
    </w:rPr>
  </w:style>
  <w:style w:type="paragraph" w:styleId="14">
    <w:name w:val="List Number 5"/>
    <w:basedOn w:val="1"/>
    <w:qFormat/>
    <w:uiPriority w:val="0"/>
    <w:pPr>
      <w:numPr>
        <w:ilvl w:val="0"/>
        <w:numId w:val="2"/>
      </w:numPr>
    </w:pPr>
  </w:style>
  <w:style w:type="paragraph" w:styleId="15">
    <w:name w:val="Date"/>
    <w:basedOn w:val="1"/>
    <w:next w:val="1"/>
    <w:autoRedefine/>
    <w:qFormat/>
    <w:uiPriority w:val="0"/>
    <w:rPr>
      <w:rFonts w:ascii="Arial" w:hAnsi="Arial" w:eastAsia="仿宋_GB2312"/>
      <w:sz w:val="32"/>
      <w:szCs w:val="20"/>
      <w:u w:color="000000"/>
    </w:rPr>
  </w:style>
  <w:style w:type="paragraph" w:styleId="16">
    <w:name w:val="Balloon Text"/>
    <w:basedOn w:val="1"/>
    <w:autoRedefine/>
    <w:qFormat/>
    <w:uiPriority w:val="0"/>
    <w:rPr>
      <w:sz w:val="18"/>
      <w:szCs w:val="18"/>
    </w:rPr>
  </w:style>
  <w:style w:type="paragraph" w:styleId="17">
    <w:name w:val="footer"/>
    <w:basedOn w:val="1"/>
    <w:autoRedefine/>
    <w:qFormat/>
    <w:uiPriority w:val="0"/>
    <w:pPr>
      <w:tabs>
        <w:tab w:val="center" w:pos="4153"/>
        <w:tab w:val="right" w:pos="8306"/>
      </w:tabs>
      <w:snapToGrid w:val="0"/>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footnote text"/>
    <w:basedOn w:val="1"/>
    <w:autoRedefine/>
    <w:semiHidden/>
    <w:unhideWhenUsed/>
    <w:qFormat/>
    <w:uiPriority w:val="99"/>
    <w:pPr>
      <w:snapToGrid w:val="0"/>
    </w:pPr>
    <w:rPr>
      <w:sz w:val="18"/>
      <w:szCs w:val="18"/>
    </w:rPr>
  </w:style>
  <w:style w:type="paragraph" w:styleId="20">
    <w:name w:val="index 7"/>
    <w:basedOn w:val="1"/>
    <w:next w:val="1"/>
    <w:autoRedefine/>
    <w:qFormat/>
    <w:uiPriority w:val="0"/>
    <w:pPr>
      <w:ind w:left="1200" w:leftChars="1200"/>
    </w:pPr>
    <w:rPr>
      <w:color w:val="auto"/>
      <w:kern w:val="2"/>
    </w:rPr>
  </w:style>
  <w:style w:type="paragraph" w:styleId="21">
    <w:name w:val="Body Text 2"/>
    <w:basedOn w:val="1"/>
    <w:autoRedefine/>
    <w:qFormat/>
    <w:uiPriority w:val="0"/>
    <w:pPr>
      <w:tabs>
        <w:tab w:val="left" w:pos="0"/>
      </w:tabs>
      <w:spacing w:line="400" w:lineRule="atLeast"/>
    </w:pPr>
    <w:rPr>
      <w:rFonts w:ascii="Arial" w:hAnsi="Arial"/>
    </w:rPr>
  </w:style>
  <w:style w:type="paragraph" w:styleId="22">
    <w:name w:val="Normal (Web)"/>
    <w:basedOn w:val="1"/>
    <w:autoRedefine/>
    <w:qFormat/>
    <w:uiPriority w:val="99"/>
    <w:pPr>
      <w:widowControl/>
    </w:pPr>
    <w:rPr>
      <w:rFonts w:ascii="宋体" w:hAnsi="宋体" w:eastAsia="宋体" w:cs="宋体"/>
    </w:rPr>
  </w:style>
  <w:style w:type="paragraph" w:styleId="23">
    <w:name w:val="Title"/>
    <w:basedOn w:val="1"/>
    <w:next w:val="1"/>
    <w:autoRedefine/>
    <w:qFormat/>
    <w:uiPriority w:val="0"/>
    <w:pPr>
      <w:spacing w:before="240" w:after="60"/>
      <w:jc w:val="center"/>
      <w:outlineLvl w:val="0"/>
    </w:pPr>
    <w:rPr>
      <w:rFonts w:ascii="Cambria" w:hAnsi="Cambria"/>
      <w:b/>
      <w:bCs/>
      <w:sz w:val="32"/>
      <w:szCs w:val="32"/>
    </w:rPr>
  </w:style>
  <w:style w:type="paragraph" w:styleId="24">
    <w:name w:val="Body Text First Indent"/>
    <w:basedOn w:val="10"/>
    <w:autoRedefine/>
    <w:qFormat/>
    <w:uiPriority w:val="0"/>
    <w:pPr>
      <w:tabs>
        <w:tab w:val="left" w:pos="780"/>
      </w:tabs>
      <w:spacing w:after="220" w:afterLines="0" w:line="220" w:lineRule="atLeast"/>
      <w:ind w:firstLine="420"/>
    </w:pPr>
    <w:rPr>
      <w:rFonts w:ascii="Times New Roman" w:hAnsi="Times New Roman" w:eastAsia="宋体" w:cs="Times New Roman"/>
      <w:sz w:val="21"/>
      <w:szCs w:val="20"/>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Hyperlink"/>
    <w:autoRedefine/>
    <w:qFormat/>
    <w:uiPriority w:val="99"/>
    <w:rPr>
      <w:color w:val="0000FF"/>
      <w:u w:val="single"/>
    </w:rPr>
  </w:style>
  <w:style w:type="character" w:styleId="30">
    <w:name w:val="footnote reference"/>
    <w:basedOn w:val="27"/>
    <w:autoRedefine/>
    <w:semiHidden/>
    <w:unhideWhenUsed/>
    <w:qFormat/>
    <w:uiPriority w:val="99"/>
    <w:rPr>
      <w:vertAlign w:val="superscript"/>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样式 首行缩进:  2 字符"/>
    <w:basedOn w:val="1"/>
    <w:autoRedefine/>
    <w:qFormat/>
    <w:uiPriority w:val="0"/>
    <w:pPr>
      <w:spacing w:line="360" w:lineRule="auto"/>
      <w:ind w:firstLine="480" w:firstLineChars="200"/>
    </w:pPr>
    <w:rPr>
      <w:rFonts w:ascii="宋体" w:hAnsi="宋体" w:cs="宋体"/>
      <w:szCs w:val="20"/>
    </w:rPr>
  </w:style>
  <w:style w:type="paragraph" w:customStyle="1" w:styleId="33">
    <w:name w:val="正文格式"/>
    <w:basedOn w:val="1"/>
    <w:autoRedefine/>
    <w:qFormat/>
    <w:uiPriority w:val="99"/>
    <w:pPr>
      <w:widowControl/>
      <w:adjustRightInd w:val="0"/>
      <w:snapToGrid w:val="0"/>
      <w:spacing w:line="400" w:lineRule="atLeast"/>
      <w:ind w:firstLine="482"/>
      <w:textAlignment w:val="baseline"/>
    </w:pPr>
  </w:style>
  <w:style w:type="paragraph" w:customStyle="1" w:styleId="34">
    <w:name w:val="文档正文"/>
    <w:basedOn w:val="7"/>
    <w:autoRedefine/>
    <w:qFormat/>
    <w:uiPriority w:val="0"/>
    <w:pPr>
      <w:spacing w:line="360" w:lineRule="auto"/>
    </w:pPr>
    <w:rPr>
      <w:rFonts w:hAnsi="宋体"/>
      <w:b/>
      <w:bCs/>
    </w:rPr>
  </w:style>
  <w:style w:type="paragraph" w:customStyle="1" w:styleId="35">
    <w:name w:val="_Style 2"/>
    <w:basedOn w:val="3"/>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6">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7">
    <w:name w:val="Body text|2"/>
    <w:basedOn w:val="1"/>
    <w:autoRedefine/>
    <w:qFormat/>
    <w:uiPriority w:val="0"/>
    <w:pPr>
      <w:spacing w:after="260"/>
      <w:ind w:firstLine="140"/>
    </w:pPr>
    <w:rPr>
      <w:rFonts w:ascii="宋体" w:hAnsi="宋体" w:eastAsia="宋体" w:cs="宋体"/>
      <w:sz w:val="30"/>
      <w:szCs w:val="30"/>
      <w:lang w:val="zh-TW" w:eastAsia="zh-TW" w:bidi="zh-TW"/>
    </w:rPr>
  </w:style>
  <w:style w:type="paragraph" w:customStyle="1" w:styleId="38">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39">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0">
    <w:name w:val="Table caption|1"/>
    <w:basedOn w:val="1"/>
    <w:autoRedefine/>
    <w:qFormat/>
    <w:uiPriority w:val="0"/>
    <w:rPr>
      <w:rFonts w:ascii="宋体" w:hAnsi="宋体" w:eastAsia="宋体" w:cs="宋体"/>
      <w:sz w:val="22"/>
      <w:szCs w:val="22"/>
      <w:lang w:val="zh-TW" w:eastAsia="zh-TW" w:bidi="zh-TW"/>
    </w:rPr>
  </w:style>
  <w:style w:type="paragraph" w:customStyle="1" w:styleId="41">
    <w:name w:val="Table Paragraph"/>
    <w:basedOn w:val="1"/>
    <w:autoRedefine/>
    <w:qFormat/>
    <w:uiPriority w:val="1"/>
    <w:pPr>
      <w:autoSpaceDE w:val="0"/>
      <w:autoSpaceDN w:val="0"/>
      <w:adjustRightInd w:val="0"/>
    </w:pPr>
    <w:rPr>
      <w:rFonts w:eastAsia="宋体"/>
    </w:rPr>
  </w:style>
  <w:style w:type="paragraph" w:customStyle="1" w:styleId="42">
    <w:name w:val="black1"/>
    <w:basedOn w:val="1"/>
    <w:autoRedefine/>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3">
    <w:name w:val="图例"/>
    <w:basedOn w:val="1"/>
    <w:autoRedefine/>
    <w:qFormat/>
    <w:uiPriority w:val="0"/>
    <w:pPr>
      <w:spacing w:before="120" w:after="120" w:line="360" w:lineRule="auto"/>
      <w:jc w:val="center"/>
    </w:pPr>
    <w:rPr>
      <w:rFonts w:eastAsia="仿宋_GB2312"/>
      <w:b/>
    </w:rPr>
  </w:style>
  <w:style w:type="paragraph" w:customStyle="1" w:styleId="44">
    <w:name w:val="WPS Plain"/>
    <w:autoRedefine/>
    <w:qFormat/>
    <w:uiPriority w:val="0"/>
    <w:rPr>
      <w:rFonts w:ascii="Times New Roman" w:hAnsi="Times New Roman" w:eastAsia="宋体" w:cs="Times New Roman"/>
      <w:lang w:val="en-US" w:eastAsia="zh-CN" w:bidi="ar-SA"/>
    </w:rPr>
  </w:style>
  <w:style w:type="paragraph" w:customStyle="1" w:styleId="45">
    <w:name w:val="样式 左侧:  0 厘米 悬挂缩进: 2.5 字符"/>
    <w:basedOn w:val="1"/>
    <w:autoRedefine/>
    <w:qFormat/>
    <w:uiPriority w:val="0"/>
    <w:pPr>
      <w:ind w:left="525" w:hanging="525" w:hangingChars="250"/>
    </w:pPr>
    <w:rPr>
      <w:szCs w:val="20"/>
    </w:rPr>
  </w:style>
  <w:style w:type="character" w:customStyle="1" w:styleId="46">
    <w:name w:val="font11"/>
    <w:basedOn w:val="27"/>
    <w:autoRedefine/>
    <w:qFormat/>
    <w:uiPriority w:val="0"/>
    <w:rPr>
      <w:rFonts w:ascii="Calibri" w:hAnsi="Calibri" w:cs="Calibri"/>
      <w:color w:val="000000"/>
      <w:sz w:val="20"/>
      <w:szCs w:val="20"/>
      <w:u w:val="none"/>
    </w:rPr>
  </w:style>
  <w:style w:type="paragraph" w:styleId="47">
    <w:name w:val="List Paragraph"/>
    <w:basedOn w:val="1"/>
    <w:autoRedefine/>
    <w:qFormat/>
    <w:uiPriority w:val="0"/>
    <w:pPr>
      <w:widowControl/>
      <w:ind w:firstLine="420" w:firstLineChars="200"/>
    </w:pPr>
  </w:style>
  <w:style w:type="paragraph" w:customStyle="1" w:styleId="48">
    <w:name w:val="列出段落1"/>
    <w:basedOn w:val="1"/>
    <w:autoRedefine/>
    <w:qFormat/>
    <w:uiPriority w:val="34"/>
    <w:pPr>
      <w:ind w:firstLine="420" w:firstLineChars="200"/>
    </w:pPr>
  </w:style>
  <w:style w:type="table" w:customStyle="1" w:styleId="49">
    <w:name w:val="Table Normal"/>
    <w:autoRedefine/>
    <w:semiHidden/>
    <w:unhideWhenUsed/>
    <w:qFormat/>
    <w:uiPriority w:val="0"/>
    <w:tblPr>
      <w:tblCellMar>
        <w:top w:w="0" w:type="dxa"/>
        <w:left w:w="0" w:type="dxa"/>
        <w:bottom w:w="0" w:type="dxa"/>
        <w:right w:w="0" w:type="dxa"/>
      </w:tblCellMar>
    </w:tblPr>
  </w:style>
  <w:style w:type="paragraph" w:customStyle="1" w:styleId="50">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51">
    <w:name w:val="Body text|4"/>
    <w:basedOn w:val="1"/>
    <w:autoRedefine/>
    <w:qFormat/>
    <w:uiPriority w:val="0"/>
    <w:pPr>
      <w:spacing w:after="580"/>
    </w:pPr>
    <w:rPr>
      <w:rFonts w:ascii="MingLiU" w:hAnsi="MingLiU" w:eastAsia="MingLiU" w:cs="MingLiU"/>
      <w:color w:val="00005D"/>
      <w:sz w:val="56"/>
      <w:szCs w:val="56"/>
      <w:lang w:val="zh-TW" w:eastAsia="zh-TW" w:bidi="zh-TW"/>
    </w:rPr>
  </w:style>
  <w:style w:type="character" w:customStyle="1" w:styleId="52">
    <w:name w:val="font61"/>
    <w:basedOn w:val="27"/>
    <w:autoRedefine/>
    <w:qFormat/>
    <w:uiPriority w:val="0"/>
    <w:rPr>
      <w:rFonts w:hint="default" w:ascii="方正仿宋_GBK" w:hAnsi="方正仿宋_GBK" w:eastAsia="方正仿宋_GBK" w:cs="方正仿宋_GBK"/>
      <w:color w:val="000000"/>
      <w:sz w:val="18"/>
      <w:szCs w:val="18"/>
      <w:u w:val="none"/>
    </w:rPr>
  </w:style>
  <w:style w:type="character" w:customStyle="1" w:styleId="53">
    <w:name w:val="font121"/>
    <w:basedOn w:val="27"/>
    <w:autoRedefine/>
    <w:qFormat/>
    <w:uiPriority w:val="0"/>
    <w:rPr>
      <w:rFonts w:hint="eastAsia" w:ascii="宋体" w:hAnsi="宋体" w:eastAsia="宋体" w:cs="宋体"/>
      <w:color w:val="000000"/>
      <w:sz w:val="18"/>
      <w:szCs w:val="18"/>
      <w:u w:val="none"/>
    </w:rPr>
  </w:style>
  <w:style w:type="character" w:customStyle="1" w:styleId="54">
    <w:name w:val="font51"/>
    <w:basedOn w:val="27"/>
    <w:autoRedefine/>
    <w:qFormat/>
    <w:uiPriority w:val="0"/>
    <w:rPr>
      <w:rFonts w:hint="default" w:ascii="Arial" w:hAnsi="Arial" w:cs="Arial"/>
      <w:color w:val="000000"/>
      <w:sz w:val="18"/>
      <w:szCs w:val="18"/>
      <w:u w:val="none"/>
    </w:rPr>
  </w:style>
  <w:style w:type="character" w:customStyle="1" w:styleId="55">
    <w:name w:val="font31"/>
    <w:basedOn w:val="27"/>
    <w:autoRedefine/>
    <w:qFormat/>
    <w:uiPriority w:val="0"/>
    <w:rPr>
      <w:rFonts w:hint="eastAsia" w:ascii="宋体" w:hAnsi="宋体" w:eastAsia="宋体" w:cs="宋体"/>
      <w:color w:val="000000"/>
      <w:sz w:val="22"/>
      <w:szCs w:val="22"/>
      <w:u w:val="none"/>
    </w:rPr>
  </w:style>
  <w:style w:type="character" w:customStyle="1" w:styleId="56">
    <w:name w:val="font41"/>
    <w:basedOn w:val="27"/>
    <w:autoRedefine/>
    <w:qFormat/>
    <w:uiPriority w:val="0"/>
    <w:rPr>
      <w:rFonts w:hint="eastAsia" w:ascii="宋体" w:hAnsi="宋体" w:eastAsia="宋体" w:cs="宋体"/>
      <w:color w:val="000000"/>
      <w:sz w:val="18"/>
      <w:szCs w:val="18"/>
      <w:u w:val="none"/>
    </w:rPr>
  </w:style>
  <w:style w:type="character" w:customStyle="1" w:styleId="57">
    <w:name w:val="font01"/>
    <w:basedOn w:val="27"/>
    <w:autoRedefine/>
    <w:qFormat/>
    <w:uiPriority w:val="0"/>
    <w:rPr>
      <w:rFonts w:hint="eastAsia" w:ascii="宋体" w:hAnsi="宋体" w:eastAsia="宋体" w:cs="宋体"/>
      <w:color w:val="000000"/>
      <w:sz w:val="22"/>
      <w:szCs w:val="22"/>
      <w:u w:val="none"/>
    </w:rPr>
  </w:style>
  <w:style w:type="character" w:customStyle="1" w:styleId="58">
    <w:name w:val="font21"/>
    <w:basedOn w:val="27"/>
    <w:autoRedefine/>
    <w:qFormat/>
    <w:uiPriority w:val="0"/>
    <w:rPr>
      <w:rFonts w:hint="eastAsia" w:ascii="宋体" w:hAnsi="宋体" w:eastAsia="宋体" w:cs="宋体"/>
      <w:color w:val="00B050"/>
      <w:sz w:val="20"/>
      <w:szCs w:val="20"/>
      <w:u w:val="none"/>
    </w:rPr>
  </w:style>
  <w:style w:type="character" w:customStyle="1" w:styleId="59">
    <w:name w:val="font131"/>
    <w:basedOn w:val="27"/>
    <w:autoRedefine/>
    <w:qFormat/>
    <w:uiPriority w:val="0"/>
    <w:rPr>
      <w:rFonts w:hint="eastAsia" w:ascii="宋体" w:hAnsi="宋体" w:eastAsia="宋体" w:cs="宋体"/>
      <w:b/>
      <w:bCs/>
      <w:color w:val="000000"/>
      <w:sz w:val="18"/>
      <w:szCs w:val="18"/>
      <w:u w:val="none"/>
    </w:rPr>
  </w:style>
  <w:style w:type="character" w:customStyle="1" w:styleId="60">
    <w:name w:val="font141"/>
    <w:basedOn w:val="27"/>
    <w:autoRedefine/>
    <w:qFormat/>
    <w:uiPriority w:val="0"/>
    <w:rPr>
      <w:rFonts w:hint="eastAsia" w:ascii="宋体" w:hAnsi="宋体" w:eastAsia="宋体" w:cs="宋体"/>
      <w:color w:val="E54C5E"/>
      <w:sz w:val="20"/>
      <w:szCs w:val="20"/>
      <w:u w:val="none"/>
    </w:rPr>
  </w:style>
  <w:style w:type="paragraph" w:customStyle="1" w:styleId="6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6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91</Pages>
  <Words>21038</Words>
  <Characters>22540</Characters>
  <Lines>389</Lines>
  <Paragraphs>109</Paragraphs>
  <TotalTime>33</TotalTime>
  <ScaleCrop>false</ScaleCrop>
  <LinksUpToDate>false</LinksUpToDate>
  <CharactersWithSpaces>23282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WPS</cp:lastModifiedBy>
  <cp:lastPrinted>2024-10-09T05:58:00Z</cp:lastPrinted>
  <dcterms:modified xsi:type="dcterms:W3CDTF">2025-02-10T08:22:08Z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8B3268D7E1FF45E799826A63D891C722_13</vt:lpwstr>
  </property>
  <property fmtid="{D5CDD505-2E9C-101B-9397-08002B2CF9AE}" pid="4" name="KSOTemplateDocerSaveRecord">
    <vt:lpwstr>eyJoZGlkIjoiMjdkM2RmZTg4Y2M5MTkxODMyOGQ5NmI0NzIyZTA2ZWQifQ==</vt:lpwstr>
  </property>
</Properties>
</file>