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AC7E">
      <w:pPr>
        <w:widowControl/>
        <w:autoSpaceDE w:val="0"/>
        <w:autoSpaceDN w:val="0"/>
        <w:ind w:left="723" w:right="-26" w:hanging="562" w:hangingChars="100"/>
        <w:jc w:val="center"/>
        <w:textAlignment w:val="bottom"/>
        <w:rPr>
          <w:rFonts w:hint="eastAsia" w:ascii="仿宋" w:hAnsi="仿宋" w:eastAsia="仿宋" w:cs="仿宋"/>
          <w:b/>
          <w:color w:val="000000" w:themeColor="text1"/>
          <w:sz w:val="56"/>
          <w:szCs w:val="56"/>
          <w:lang w:val="en-US" w:eastAsia="zh-CN"/>
          <w14:textFill>
            <w14:solidFill>
              <w14:schemeClr w14:val="tx1"/>
            </w14:solidFill>
          </w14:textFill>
        </w:rPr>
      </w:pPr>
    </w:p>
    <w:p w14:paraId="11E58837">
      <w:pPr>
        <w:pStyle w:val="31"/>
        <w:spacing w:line="360" w:lineRule="auto"/>
        <w:jc w:val="center"/>
        <w:rPr>
          <w:rFonts w:hint="default" w:ascii="仿宋_GB2312" w:hAnsi="仿宋_GB2312" w:eastAsia="仿宋_GB2312" w:cs="仿宋_GB2312"/>
          <w:b/>
          <w:bCs/>
          <w:color w:val="000000"/>
          <w:kern w:val="0"/>
          <w:sz w:val="56"/>
          <w:szCs w:val="56"/>
          <w:lang w:val="en-US" w:eastAsia="zh-CN" w:bidi="ar-SA"/>
        </w:rPr>
      </w:pPr>
      <w:r>
        <w:rPr>
          <w:rFonts w:hint="eastAsia" w:ascii="仿宋_GB2312" w:hAnsi="仿宋_GB2312" w:eastAsia="仿宋_GB2312" w:cs="仿宋_GB2312"/>
          <w:b/>
          <w:bCs/>
          <w:color w:val="000000"/>
          <w:kern w:val="0"/>
          <w:sz w:val="52"/>
          <w:szCs w:val="52"/>
          <w:lang w:val="en-US" w:eastAsia="zh-CN" w:bidi="ar-SA"/>
        </w:rPr>
        <w:t>2025年某单位伙食食材服务采购项目</w:t>
      </w:r>
    </w:p>
    <w:p w14:paraId="0C903C20">
      <w:pPr>
        <w:pStyle w:val="31"/>
        <w:rPr>
          <w:rFonts w:hint="default"/>
          <w:lang w:val="en-US"/>
        </w:rPr>
      </w:pPr>
    </w:p>
    <w:p w14:paraId="5AAF3116">
      <w:pPr>
        <w:pStyle w:val="31"/>
        <w:rPr>
          <w:rFonts w:hint="default"/>
          <w:lang w:val="en-US"/>
        </w:rPr>
      </w:pPr>
    </w:p>
    <w:p w14:paraId="278F6160">
      <w:pPr>
        <w:pStyle w:val="31"/>
        <w:rPr>
          <w:rFonts w:hint="default"/>
          <w:lang w:val="en-US"/>
        </w:rPr>
      </w:pPr>
    </w:p>
    <w:p w14:paraId="273CEA87">
      <w:pPr>
        <w:pStyle w:val="31"/>
        <w:rPr>
          <w:rFonts w:hint="eastAsia" w:ascii="仿宋" w:hAnsi="仿宋" w:eastAsia="仿宋" w:cs="仿宋"/>
          <w:color w:val="000000" w:themeColor="text1"/>
          <w14:textFill>
            <w14:solidFill>
              <w14:schemeClr w14:val="tx1"/>
            </w14:solidFill>
          </w14:textFill>
        </w:rPr>
      </w:pPr>
    </w:p>
    <w:p w14:paraId="4EAF1283">
      <w:pPr>
        <w:pStyle w:val="32"/>
        <w:rPr>
          <w:rFonts w:hint="eastAsia"/>
        </w:rPr>
      </w:pPr>
    </w:p>
    <w:p w14:paraId="4A7057C2">
      <w:pPr>
        <w:pStyle w:val="31"/>
        <w:jc w:val="center"/>
        <w:rPr>
          <w:rFonts w:hint="eastAsia" w:ascii="仿宋_GB2312" w:hAnsi="仿宋_GB2312" w:eastAsia="仿宋_GB2312" w:cs="仿宋_GB2312"/>
          <w:b/>
          <w:bCs/>
          <w:color w:val="000000"/>
          <w:kern w:val="0"/>
          <w:sz w:val="72"/>
          <w:szCs w:val="72"/>
          <w:lang w:val="en-US" w:eastAsia="zh-CN" w:bidi="ar-SA"/>
        </w:rPr>
      </w:pPr>
      <w:r>
        <w:rPr>
          <w:rFonts w:hint="eastAsia" w:ascii="仿宋_GB2312" w:hAnsi="仿宋_GB2312" w:eastAsia="仿宋_GB2312" w:cs="仿宋_GB2312"/>
          <w:b/>
          <w:bCs/>
          <w:color w:val="000000"/>
          <w:kern w:val="0"/>
          <w:sz w:val="72"/>
          <w:szCs w:val="72"/>
          <w:lang w:val="en-US" w:eastAsia="zh-CN" w:bidi="ar-SA"/>
        </w:rPr>
        <w:t>招</w:t>
      </w:r>
    </w:p>
    <w:p w14:paraId="021CA6ED">
      <w:pPr>
        <w:pStyle w:val="31"/>
        <w:jc w:val="center"/>
        <w:rPr>
          <w:rFonts w:hint="eastAsia" w:ascii="仿宋_GB2312" w:hAnsi="仿宋_GB2312" w:eastAsia="仿宋_GB2312" w:cs="仿宋_GB2312"/>
          <w:b/>
          <w:bCs/>
          <w:color w:val="000000"/>
          <w:kern w:val="0"/>
          <w:sz w:val="72"/>
          <w:szCs w:val="72"/>
          <w:lang w:val="en-US" w:eastAsia="zh-CN" w:bidi="ar-SA"/>
        </w:rPr>
      </w:pPr>
      <w:r>
        <w:rPr>
          <w:rFonts w:hint="eastAsia" w:ascii="仿宋_GB2312" w:hAnsi="仿宋_GB2312" w:eastAsia="仿宋_GB2312" w:cs="仿宋_GB2312"/>
          <w:b/>
          <w:bCs/>
          <w:color w:val="000000"/>
          <w:kern w:val="0"/>
          <w:sz w:val="72"/>
          <w:szCs w:val="72"/>
          <w:lang w:val="en-US" w:eastAsia="zh-CN" w:bidi="ar-SA"/>
        </w:rPr>
        <w:t>标</w:t>
      </w:r>
    </w:p>
    <w:p w14:paraId="7CAF29CD">
      <w:pPr>
        <w:pStyle w:val="31"/>
        <w:jc w:val="center"/>
        <w:rPr>
          <w:rFonts w:hint="eastAsia" w:ascii="仿宋_GB2312" w:hAnsi="仿宋_GB2312" w:eastAsia="仿宋_GB2312" w:cs="仿宋_GB2312"/>
          <w:b/>
          <w:bCs/>
          <w:color w:val="000000"/>
          <w:kern w:val="0"/>
          <w:sz w:val="72"/>
          <w:szCs w:val="72"/>
          <w:lang w:val="en-US" w:eastAsia="zh-CN" w:bidi="ar-SA"/>
        </w:rPr>
      </w:pPr>
      <w:r>
        <w:rPr>
          <w:rFonts w:hint="eastAsia" w:ascii="仿宋_GB2312" w:hAnsi="仿宋_GB2312" w:eastAsia="仿宋_GB2312" w:cs="仿宋_GB2312"/>
          <w:b/>
          <w:bCs/>
          <w:color w:val="000000"/>
          <w:kern w:val="0"/>
          <w:sz w:val="72"/>
          <w:szCs w:val="72"/>
          <w:lang w:val="en-US" w:eastAsia="zh-CN" w:bidi="ar-SA"/>
        </w:rPr>
        <w:t>文</w:t>
      </w:r>
    </w:p>
    <w:p w14:paraId="5782AD54">
      <w:pPr>
        <w:pStyle w:val="31"/>
        <w:jc w:val="center"/>
        <w:rPr>
          <w:rFonts w:hint="eastAsia" w:ascii="仿宋_GB2312" w:hAnsi="仿宋_GB2312" w:eastAsia="仿宋_GB2312" w:cs="仿宋_GB2312"/>
          <w:color w:val="000000"/>
          <w:kern w:val="0"/>
          <w:sz w:val="72"/>
          <w:szCs w:val="72"/>
          <w:lang w:val="en-US" w:eastAsia="zh-CN" w:bidi="ar-SA"/>
        </w:rPr>
      </w:pPr>
      <w:r>
        <w:rPr>
          <w:rFonts w:hint="eastAsia" w:ascii="仿宋_GB2312" w:hAnsi="仿宋_GB2312" w:eastAsia="仿宋_GB2312" w:cs="仿宋_GB2312"/>
          <w:b/>
          <w:bCs/>
          <w:color w:val="000000"/>
          <w:kern w:val="0"/>
          <w:sz w:val="72"/>
          <w:szCs w:val="72"/>
          <w:lang w:val="en-US" w:eastAsia="zh-CN" w:bidi="ar-SA"/>
        </w:rPr>
        <w:t>件</w:t>
      </w:r>
    </w:p>
    <w:p w14:paraId="7CEE6335">
      <w:pPr>
        <w:pStyle w:val="31"/>
        <w:rPr>
          <w:rFonts w:hint="eastAsia"/>
        </w:rPr>
      </w:pPr>
    </w:p>
    <w:p w14:paraId="12605734">
      <w:pPr>
        <w:pStyle w:val="31"/>
        <w:rPr>
          <w:rFonts w:hint="eastAsia"/>
        </w:rPr>
      </w:pPr>
    </w:p>
    <w:p w14:paraId="37D27DA0">
      <w:pPr>
        <w:pStyle w:val="31"/>
        <w:rPr>
          <w:rFonts w:hint="eastAsia"/>
        </w:rPr>
      </w:pPr>
    </w:p>
    <w:p w14:paraId="69DF417A">
      <w:pPr>
        <w:pStyle w:val="31"/>
        <w:rPr>
          <w:rFonts w:hint="eastAsia"/>
        </w:rPr>
      </w:pPr>
    </w:p>
    <w:p w14:paraId="1B7DE5F5">
      <w:pPr>
        <w:pStyle w:val="31"/>
        <w:rPr>
          <w:rFonts w:hint="eastAsia"/>
        </w:rPr>
      </w:pPr>
    </w:p>
    <w:p w14:paraId="21041D78">
      <w:pPr>
        <w:pStyle w:val="31"/>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项目名称：2025年某单位伙食食材服务采购项目</w:t>
      </w:r>
    </w:p>
    <w:p w14:paraId="512AC1FA">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项目编号：YPHZB（GK）-2025-05号</w:t>
      </w:r>
    </w:p>
    <w:p w14:paraId="3C65E208">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采购单位：岳普湖县公安局</w:t>
      </w:r>
    </w:p>
    <w:p w14:paraId="0C6C596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代理机构</w:t>
      </w:r>
      <w:r>
        <w:rPr>
          <w:rFonts w:hint="eastAsia" w:ascii="仿宋_GB2312" w:hAnsi="仿宋_GB2312" w:eastAsia="仿宋_GB2312" w:cs="仿宋_GB2312"/>
          <w:b/>
          <w:bCs/>
          <w:color w:val="000000"/>
          <w:kern w:val="0"/>
          <w:sz w:val="32"/>
          <w:szCs w:val="32"/>
          <w:highlight w:val="none"/>
          <w:lang w:val="en-US" w:eastAsia="zh-CN" w:bidi="ar-SA"/>
        </w:rPr>
        <w:t>：新疆众喀工程项目管理咨询有限公司</w:t>
      </w:r>
    </w:p>
    <w:p w14:paraId="58C3EC70">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编制日期：2025年2月</w:t>
      </w:r>
    </w:p>
    <w:p w14:paraId="05A6D954">
      <w:pPr>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rFonts w:hint="eastAsia" w:ascii="仿宋" w:hAnsi="仿宋" w:eastAsia="仿宋" w:cs="仿宋"/>
          <w:color w:val="000000" w:themeColor="text1"/>
          <w:sz w:val="32"/>
          <w:szCs w:val="32"/>
          <w:lang w:eastAsia="zh-CN"/>
          <w14:textFill>
            <w14:solidFill>
              <w14:schemeClr w14:val="tx1"/>
            </w14:solidFill>
          </w14:textFill>
        </w:rPr>
      </w:pPr>
    </w:p>
    <w:p w14:paraId="7F7828DF">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b/>
          <w:bCs w:val="0"/>
          <w:color w:val="auto"/>
          <w:sz w:val="48"/>
          <w:szCs w:val="48"/>
          <w:highlight w:val="none"/>
          <w:lang w:val="en-US" w:eastAsia="zh-CN"/>
        </w:rPr>
      </w:pPr>
    </w:p>
    <w:p w14:paraId="32F13D3E">
      <w:pPr>
        <w:pStyle w:val="2"/>
        <w:rPr>
          <w:rFonts w:hint="eastAsia"/>
          <w:lang w:val="en-US" w:eastAsia="zh-CN"/>
        </w:rPr>
      </w:pPr>
    </w:p>
    <w:p w14:paraId="2C02E7A4">
      <w:pPr>
        <w:keepNext w:val="0"/>
        <w:keepLines w:val="0"/>
        <w:pageBreakBefore w:val="0"/>
        <w:widowControl w:val="0"/>
        <w:kinsoku/>
        <w:wordWrap/>
        <w:overflowPunct/>
        <w:topLinePunct w:val="0"/>
        <w:autoSpaceDE/>
        <w:autoSpaceDN/>
        <w:bidi w:val="0"/>
        <w:adjustRightInd/>
        <w:snapToGrid/>
        <w:spacing w:line="700" w:lineRule="exact"/>
        <w:ind w:firstLine="482" w:firstLineChars="100"/>
        <w:jc w:val="center"/>
        <w:textAlignment w:val="auto"/>
        <w:rPr>
          <w:rFonts w:hint="eastAsia" w:ascii="仿宋_GB2312" w:hAnsi="仿宋_GB2312" w:eastAsia="仿宋_GB2312" w:cs="仿宋_GB2312"/>
          <w:b/>
          <w:bCs/>
          <w:color w:val="000000"/>
          <w:kern w:val="0"/>
          <w:sz w:val="48"/>
          <w:szCs w:val="48"/>
          <w:lang w:val="en-US" w:eastAsia="zh-CN" w:bidi="ar-SA"/>
        </w:rPr>
      </w:pPr>
      <w:r>
        <w:rPr>
          <w:rFonts w:hint="eastAsia" w:ascii="仿宋_GB2312" w:hAnsi="仿宋_GB2312" w:eastAsia="仿宋_GB2312" w:cs="仿宋_GB2312"/>
          <w:b/>
          <w:bCs/>
          <w:color w:val="000000"/>
          <w:kern w:val="0"/>
          <w:sz w:val="48"/>
          <w:szCs w:val="48"/>
          <w:lang w:val="en-US" w:eastAsia="zh-CN" w:bidi="ar-SA"/>
        </w:rPr>
        <w:t>招 标 文 件</w:t>
      </w:r>
    </w:p>
    <w:p w14:paraId="5A5360A3">
      <w:pPr>
        <w:pStyle w:val="31"/>
        <w:spacing w:line="240" w:lineRule="auto"/>
        <w:rPr>
          <w:rFonts w:hint="eastAsia"/>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3F7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4" w:hRule="atLeast"/>
          <w:jc w:val="center"/>
        </w:trPr>
        <w:tc>
          <w:tcPr>
            <w:tcW w:w="8522" w:type="dxa"/>
          </w:tcPr>
          <w:p w14:paraId="6B82BCD6">
            <w:pPr>
              <w:keepNext w:val="0"/>
              <w:keepLines w:val="0"/>
              <w:suppressLineNumbers w:val="0"/>
              <w:spacing w:before="0" w:beforeAutospacing="0" w:after="0" w:afterAutospacing="0" w:line="240" w:lineRule="auto"/>
              <w:ind w:left="0" w:right="0"/>
              <w:rPr>
                <w:rFonts w:hint="eastAsia"/>
              </w:rPr>
            </w:pPr>
          </w:p>
          <w:p w14:paraId="07AAAFA1">
            <w:pPr>
              <w:keepNext w:val="0"/>
              <w:keepLines w:val="0"/>
              <w:suppressLineNumbers w:val="0"/>
              <w:snapToGrid w:val="0"/>
              <w:spacing w:before="0" w:beforeAutospacing="0" w:after="0" w:afterAutospacing="0" w:line="600" w:lineRule="auto"/>
              <w:ind w:left="0" w:right="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项目名称：2025年某单位伙食食材服务采购项目           </w:t>
            </w:r>
          </w:p>
          <w:p w14:paraId="535E20AC">
            <w:pPr>
              <w:keepNext w:val="0"/>
              <w:keepLines w:val="0"/>
              <w:suppressLineNumbers w:val="0"/>
              <w:snapToGrid w:val="0"/>
              <w:spacing w:before="0" w:beforeAutospacing="0" w:after="0" w:afterAutospacing="0" w:line="600" w:lineRule="auto"/>
              <w:ind w:left="0" w:right="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采购单位：岳普湖县公安局（盖章）      </w:t>
            </w:r>
          </w:p>
          <w:p w14:paraId="690A0BCE">
            <w:pPr>
              <w:keepNext w:val="0"/>
              <w:keepLines w:val="0"/>
              <w:suppressLineNumbers w:val="0"/>
              <w:snapToGrid w:val="0"/>
              <w:spacing w:before="0" w:beforeAutospacing="0" w:after="0" w:afterAutospacing="0" w:line="600" w:lineRule="auto"/>
              <w:ind w:left="0" w:right="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联 系 人：徐巍          </w:t>
            </w:r>
          </w:p>
          <w:p w14:paraId="74E90DBC">
            <w:pPr>
              <w:keepNext w:val="0"/>
              <w:keepLines w:val="0"/>
              <w:suppressLineNumbers w:val="0"/>
              <w:snapToGrid w:val="0"/>
              <w:spacing w:before="0" w:beforeAutospacing="0" w:after="0" w:afterAutospacing="0" w:line="600" w:lineRule="auto"/>
              <w:ind w:left="0" w:right="0"/>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联系电话：157-3993-7169</w:t>
            </w:r>
          </w:p>
          <w:p w14:paraId="33C8EA34">
            <w:pPr>
              <w:pStyle w:val="31"/>
              <w:keepNext w:val="0"/>
              <w:keepLines w:val="0"/>
              <w:suppressLineNumbers w:val="0"/>
              <w:spacing w:before="0" w:beforeAutospacing="0" w:after="0" w:afterAutospacing="0"/>
              <w:ind w:left="0" w:right="0"/>
              <w:jc w:val="both"/>
              <w:rPr>
                <w:rFonts w:hint="default"/>
                <w:lang w:val="en-US"/>
              </w:rPr>
            </w:pPr>
            <w:r>
              <w:rPr>
                <w:rFonts w:hint="eastAsia" w:ascii="仿宋_GB2312" w:hAnsi="仿宋_GB2312" w:eastAsia="仿宋_GB2312" w:cs="仿宋_GB2312"/>
                <w:color w:val="000000"/>
                <w:kern w:val="0"/>
                <w:sz w:val="28"/>
                <w:szCs w:val="28"/>
                <w:lang w:val="en-US" w:eastAsia="zh-CN" w:bidi="ar-SA"/>
              </w:rPr>
              <w:t>地     址：岳普湖县东城区市政大道26号</w:t>
            </w:r>
          </w:p>
        </w:tc>
      </w:tr>
      <w:tr w14:paraId="26D0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4" w:hRule="atLeast"/>
          <w:jc w:val="center"/>
        </w:trPr>
        <w:tc>
          <w:tcPr>
            <w:tcW w:w="8522" w:type="dxa"/>
          </w:tcPr>
          <w:p w14:paraId="6002F46B">
            <w:pPr>
              <w:keepNext w:val="0"/>
              <w:keepLines w:val="0"/>
              <w:suppressLineNumbers w:val="0"/>
              <w:spacing w:before="0" w:beforeAutospacing="0" w:after="0" w:afterAutospacing="0" w:line="480" w:lineRule="auto"/>
              <w:ind w:left="0" w:right="-313" w:rightChars="-149"/>
              <w:rPr>
                <w:rFonts w:hint="eastAsia"/>
                <w:highlight w:val="none"/>
              </w:rPr>
            </w:pPr>
          </w:p>
          <w:p w14:paraId="2B431B26">
            <w:pPr>
              <w:keepNext w:val="0"/>
              <w:keepLines w:val="0"/>
              <w:suppressLineNumbers w:val="0"/>
              <w:snapToGrid w:val="0"/>
              <w:spacing w:before="0" w:beforeAutospacing="0" w:after="0" w:afterAutospacing="0" w:line="600" w:lineRule="auto"/>
              <w:ind w:left="0" w:right="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 xml:space="preserve">招标代理机构:新疆众喀工程项目管理咨询有限公司（盖章）     </w:t>
            </w:r>
            <w:r>
              <w:rPr>
                <w:rFonts w:hint="eastAsia" w:ascii="仿宋_GB2312" w:hAnsi="仿宋_GB2312" w:eastAsia="仿宋_GB2312" w:cs="仿宋_GB2312"/>
                <w:color w:val="000000"/>
                <w:kern w:val="0"/>
                <w:sz w:val="28"/>
                <w:szCs w:val="28"/>
                <w:lang w:val="en-US" w:eastAsia="zh-CN" w:bidi="ar-SA"/>
              </w:rPr>
              <w:t xml:space="preserve">                 </w:t>
            </w:r>
          </w:p>
          <w:p w14:paraId="29E9440A">
            <w:pPr>
              <w:keepNext w:val="0"/>
              <w:keepLines w:val="0"/>
              <w:suppressLineNumbers w:val="0"/>
              <w:snapToGrid w:val="0"/>
              <w:spacing w:before="0" w:beforeAutospacing="0" w:after="0" w:afterAutospacing="0" w:line="600" w:lineRule="auto"/>
              <w:ind w:left="0" w:right="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联 系 人：闻萍       </w:t>
            </w:r>
          </w:p>
          <w:p w14:paraId="23BC3CB1">
            <w:pPr>
              <w:keepNext w:val="0"/>
              <w:keepLines w:val="0"/>
              <w:suppressLineNumbers w:val="0"/>
              <w:snapToGrid w:val="0"/>
              <w:spacing w:before="0" w:beforeAutospacing="0" w:after="0" w:afterAutospacing="0" w:line="600" w:lineRule="auto"/>
              <w:ind w:left="0" w:right="0"/>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联系电话：135-7908-8956 </w:t>
            </w:r>
          </w:p>
          <w:p w14:paraId="4A1A4F4B">
            <w:pPr>
              <w:pStyle w:val="31"/>
              <w:keepNext w:val="0"/>
              <w:keepLines w:val="0"/>
              <w:suppressLineNumbers w:val="0"/>
              <w:spacing w:before="0" w:beforeAutospacing="0" w:after="0" w:afterAutospacing="0"/>
              <w:ind w:left="0" w:right="0"/>
              <w:jc w:val="both"/>
              <w:rPr>
                <w:rFonts w:hint="eastAsia"/>
              </w:rPr>
            </w:pPr>
            <w:r>
              <w:rPr>
                <w:rFonts w:hint="eastAsia" w:ascii="仿宋_GB2312" w:hAnsi="仿宋_GB2312" w:eastAsia="仿宋_GB2312" w:cs="仿宋_GB2312"/>
                <w:color w:val="000000"/>
                <w:kern w:val="0"/>
                <w:sz w:val="28"/>
                <w:szCs w:val="28"/>
                <w:lang w:val="en-US" w:eastAsia="zh-CN" w:bidi="ar-SA"/>
              </w:rPr>
              <w:t>地    址：喀什地区喀什市南湖路学府小区</w:t>
            </w:r>
          </w:p>
        </w:tc>
      </w:tr>
    </w:tbl>
    <w:p w14:paraId="0675B246">
      <w:pPr>
        <w:spacing w:line="240" w:lineRule="auto"/>
        <w:ind w:left="0" w:leftChars="0" w:firstLine="0" w:firstLineChars="0"/>
        <w:rPr>
          <w:rFonts w:hint="eastAsia"/>
        </w:rPr>
      </w:pPr>
    </w:p>
    <w:p w14:paraId="6021D607">
      <w:pPr>
        <w:snapToGrid w:val="0"/>
        <w:spacing w:line="600" w:lineRule="auto"/>
        <w:rPr>
          <w:rFonts w:hint="eastAsia" w:ascii="仿宋" w:hAnsi="仿宋" w:eastAsia="仿宋" w:cs="仿宋"/>
          <w:bCs/>
          <w:sz w:val="28"/>
          <w:szCs w:val="28"/>
          <w:highlight w:val="none"/>
          <w:lang w:val="en-US" w:eastAsia="zh-CN"/>
        </w:rPr>
      </w:pPr>
    </w:p>
    <w:p w14:paraId="1779166D">
      <w:pPr>
        <w:overflowPunct w:val="0"/>
        <w:jc w:val="center"/>
        <w:rPr>
          <w:rFonts w:hint="eastAsia" w:ascii="仿宋" w:hAnsi="仿宋" w:eastAsia="仿宋" w:cs="仿宋"/>
          <w:kern w:val="0"/>
          <w:sz w:val="36"/>
          <w:szCs w:val="36"/>
        </w:rPr>
      </w:pPr>
    </w:p>
    <w:p w14:paraId="71F2AC6E">
      <w:pPr>
        <w:overflowPunct w:val="0"/>
        <w:jc w:val="center"/>
        <w:rPr>
          <w:rFonts w:hint="eastAsia" w:ascii="仿宋_GB2312" w:hAnsi="仿宋_GB2312" w:eastAsia="仿宋_GB2312" w:cs="仿宋_GB2312"/>
          <w:color w:val="000000"/>
          <w:kern w:val="0"/>
          <w:sz w:val="36"/>
          <w:szCs w:val="36"/>
          <w:lang w:val="en-US" w:eastAsia="zh-CN" w:bidi="ar-SA"/>
        </w:rPr>
      </w:pPr>
      <w:r>
        <w:rPr>
          <w:rFonts w:hint="eastAsia" w:ascii="仿宋_GB2312" w:hAnsi="仿宋_GB2312" w:eastAsia="仿宋_GB2312" w:cs="仿宋_GB2312"/>
          <w:color w:val="000000"/>
          <w:kern w:val="0"/>
          <w:sz w:val="36"/>
          <w:szCs w:val="36"/>
          <w:lang w:val="en-US" w:eastAsia="zh-CN" w:bidi="ar-SA"/>
        </w:rPr>
        <w:t>目   录</w:t>
      </w:r>
    </w:p>
    <w:p w14:paraId="416A9464">
      <w:pPr>
        <w:overflowPunct w:val="0"/>
        <w:jc w:val="center"/>
        <w:rPr>
          <w:rFonts w:hint="eastAsia" w:ascii="仿宋_GB2312" w:hAnsi="仿宋_GB2312" w:eastAsia="仿宋_GB2312" w:cs="仿宋_GB2312"/>
          <w:color w:val="000000"/>
          <w:kern w:val="0"/>
          <w:sz w:val="32"/>
          <w:szCs w:val="32"/>
          <w:lang w:val="en-US" w:eastAsia="zh-CN" w:bidi="ar-SA"/>
        </w:rPr>
      </w:pPr>
    </w:p>
    <w:p w14:paraId="00BC0E60">
      <w:pPr>
        <w:pStyle w:val="33"/>
        <w:tabs>
          <w:tab w:val="right" w:leader="dot" w:pos="9207"/>
        </w:tabs>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TOC \o "1-1" \h \u </w:instrText>
      </w:r>
      <w:r>
        <w:rPr>
          <w:rFonts w:hint="eastAsia" w:ascii="仿宋_GB2312" w:hAnsi="仿宋_GB2312" w:eastAsia="仿宋_GB2312" w:cs="仿宋_GB2312"/>
          <w:color w:val="000000"/>
          <w:kern w:val="0"/>
          <w:sz w:val="32"/>
          <w:szCs w:val="32"/>
          <w:lang w:val="en-US" w:eastAsia="zh-CN" w:bidi="ar-SA"/>
        </w:rPr>
        <w:fldChar w:fldCharType="separate"/>
      </w:r>
    </w:p>
    <w:p w14:paraId="2493E819">
      <w:pPr>
        <w:pStyle w:val="18"/>
        <w:tabs>
          <w:tab w:val="left" w:pos="1050"/>
          <w:tab w:val="right" w:leader="dot" w:pos="8937"/>
        </w:tabs>
        <w:spacing w:line="600" w:lineRule="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TOC \o "1-1" \h \z \u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\l "_Toc99301419"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第一章   招标公告</w:t>
      </w:r>
      <w:r>
        <w:rPr>
          <w:rFonts w:hint="eastAsia" w:ascii="仿宋_GB2312" w:hAnsi="仿宋_GB2312" w:eastAsia="仿宋_GB2312" w:cs="仿宋_GB2312"/>
          <w:color w:val="000000"/>
          <w:kern w:val="0"/>
          <w:sz w:val="32"/>
          <w:szCs w:val="32"/>
          <w:lang w:val="en-US" w:eastAsia="zh-CN" w:bidi="ar-SA"/>
        </w:rPr>
        <w:tab/>
      </w:r>
      <w:r>
        <w:rPr>
          <w:rFonts w:hint="eastAsia" w:ascii="仿宋_GB2312" w:hAnsi="仿宋_GB2312" w:eastAsia="仿宋_GB2312" w:cs="仿宋_GB2312"/>
          <w:color w:val="000000"/>
          <w:kern w:val="0"/>
          <w:sz w:val="32"/>
          <w:szCs w:val="32"/>
          <w:lang w:val="en-US" w:eastAsia="zh-CN" w:bidi="ar-SA"/>
        </w:rPr>
        <w:fldChar w:fldCharType="end"/>
      </w:r>
    </w:p>
    <w:p w14:paraId="5E291A2C">
      <w:pPr>
        <w:pStyle w:val="18"/>
        <w:tabs>
          <w:tab w:val="left" w:pos="1050"/>
          <w:tab w:val="right" w:leader="dot" w:pos="8937"/>
        </w:tabs>
        <w:spacing w:line="600" w:lineRule="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\l "_Toc99301420"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第二章   投标人须知</w:t>
      </w:r>
      <w:r>
        <w:rPr>
          <w:rFonts w:hint="eastAsia" w:ascii="仿宋_GB2312" w:hAnsi="仿宋_GB2312" w:eastAsia="仿宋_GB2312" w:cs="仿宋_GB2312"/>
          <w:color w:val="000000"/>
          <w:kern w:val="0"/>
          <w:sz w:val="32"/>
          <w:szCs w:val="32"/>
          <w:lang w:val="en-US" w:eastAsia="zh-CN" w:bidi="ar-SA"/>
        </w:rPr>
        <w:tab/>
      </w:r>
      <w:r>
        <w:rPr>
          <w:rFonts w:hint="eastAsia" w:ascii="仿宋_GB2312" w:hAnsi="仿宋_GB2312" w:eastAsia="仿宋_GB2312" w:cs="仿宋_GB2312"/>
          <w:color w:val="000000"/>
          <w:kern w:val="0"/>
          <w:sz w:val="32"/>
          <w:szCs w:val="32"/>
          <w:lang w:val="en-US" w:eastAsia="zh-CN" w:bidi="ar-SA"/>
        </w:rPr>
        <w:fldChar w:fldCharType="end"/>
      </w:r>
    </w:p>
    <w:p w14:paraId="3E59F597">
      <w:pPr>
        <w:pStyle w:val="18"/>
        <w:tabs>
          <w:tab w:val="left" w:pos="1050"/>
          <w:tab w:val="right" w:leader="dot" w:pos="8937"/>
        </w:tabs>
        <w:spacing w:line="600" w:lineRule="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\l "_Toc99301421"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第三章   评分的方法和标准</w:t>
      </w:r>
      <w:r>
        <w:rPr>
          <w:rFonts w:hint="eastAsia" w:ascii="仿宋_GB2312" w:hAnsi="仿宋_GB2312" w:eastAsia="仿宋_GB2312" w:cs="仿宋_GB2312"/>
          <w:color w:val="000000"/>
          <w:kern w:val="0"/>
          <w:sz w:val="32"/>
          <w:szCs w:val="32"/>
          <w:lang w:val="en-US" w:eastAsia="zh-CN" w:bidi="ar-SA"/>
        </w:rPr>
        <w:tab/>
      </w:r>
    </w:p>
    <w:p w14:paraId="260A4648">
      <w:pPr>
        <w:pStyle w:val="18"/>
        <w:tabs>
          <w:tab w:val="left" w:pos="1050"/>
          <w:tab w:val="right" w:leader="dot" w:pos="8937"/>
        </w:tabs>
        <w:spacing w:line="600" w:lineRule="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第四章   货物需求一览表</w:t>
      </w:r>
      <w:r>
        <w:rPr>
          <w:rFonts w:hint="eastAsia" w:ascii="仿宋_GB2312" w:hAnsi="仿宋_GB2312" w:eastAsia="仿宋_GB2312" w:cs="仿宋_GB2312"/>
          <w:color w:val="000000"/>
          <w:kern w:val="0"/>
          <w:sz w:val="32"/>
          <w:szCs w:val="32"/>
          <w:lang w:val="en-US" w:eastAsia="zh-CN" w:bidi="ar-SA"/>
        </w:rPr>
        <w:tab/>
      </w:r>
      <w:r>
        <w:rPr>
          <w:rFonts w:hint="eastAsia" w:ascii="仿宋_GB2312" w:hAnsi="仿宋_GB2312" w:eastAsia="仿宋_GB2312" w:cs="仿宋_GB2312"/>
          <w:color w:val="000000"/>
          <w:kern w:val="0"/>
          <w:sz w:val="32"/>
          <w:szCs w:val="32"/>
          <w:lang w:val="en-US" w:eastAsia="zh-CN" w:bidi="ar-SA"/>
        </w:rPr>
        <w:tab/>
      </w:r>
      <w:r>
        <w:rPr>
          <w:rFonts w:hint="eastAsia" w:ascii="仿宋_GB2312" w:hAnsi="仿宋_GB2312" w:eastAsia="仿宋_GB2312" w:cs="仿宋_GB2312"/>
          <w:color w:val="000000"/>
          <w:kern w:val="0"/>
          <w:sz w:val="32"/>
          <w:szCs w:val="32"/>
          <w:lang w:val="en-US" w:eastAsia="zh-CN" w:bidi="ar-SA"/>
        </w:rPr>
        <w:fldChar w:fldCharType="end"/>
      </w:r>
    </w:p>
    <w:p w14:paraId="6E350976">
      <w:pPr>
        <w:pStyle w:val="18"/>
        <w:tabs>
          <w:tab w:val="left" w:pos="1050"/>
          <w:tab w:val="right" w:leader="dot" w:pos="8937"/>
        </w:tabs>
        <w:spacing w:line="600" w:lineRule="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\l "_Toc99301423"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 xml:space="preserve">第五章   </w:t>
      </w:r>
      <w:r>
        <w:rPr>
          <w:rFonts w:hint="eastAsia" w:ascii="仿宋_GB2312" w:hAnsi="仿宋_GB2312" w:eastAsia="仿宋_GB2312" w:cs="仿宋_GB2312"/>
          <w:color w:val="000000"/>
          <w:kern w:val="0"/>
          <w:sz w:val="32"/>
          <w:szCs w:val="32"/>
          <w:lang w:val="en-US" w:eastAsia="zh-CN" w:bidi="ar-SA"/>
        </w:rPr>
        <w:fldChar w:fldCharType="end"/>
      </w:r>
      <w:r>
        <w:rPr>
          <w:rFonts w:hint="eastAsia" w:ascii="仿宋_GB2312" w:hAnsi="仿宋_GB2312" w:eastAsia="仿宋_GB2312" w:cs="仿宋_GB2312"/>
          <w:color w:val="000000"/>
          <w:kern w:val="0"/>
          <w:sz w:val="32"/>
          <w:szCs w:val="32"/>
          <w:lang w:val="en-US" w:eastAsia="zh-CN" w:bidi="ar-SA"/>
        </w:rPr>
        <w:t>政府采购合同格式</w:t>
      </w:r>
      <w:r>
        <w:rPr>
          <w:rFonts w:hint="eastAsia" w:ascii="仿宋_GB2312" w:hAnsi="仿宋_GB2312" w:eastAsia="仿宋_GB2312" w:cs="仿宋_GB2312"/>
          <w:color w:val="000000"/>
          <w:kern w:val="0"/>
          <w:sz w:val="32"/>
          <w:szCs w:val="32"/>
          <w:lang w:val="en-US" w:eastAsia="zh-CN" w:bidi="ar-SA"/>
        </w:rPr>
        <w:tab/>
      </w:r>
    </w:p>
    <w:p w14:paraId="67A31222">
      <w:pPr>
        <w:pStyle w:val="18"/>
        <w:tabs>
          <w:tab w:val="left" w:pos="1050"/>
          <w:tab w:val="right" w:leader="dot" w:pos="8937"/>
        </w:tabs>
        <w:spacing w:line="600" w:lineRule="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fldChar w:fldCharType="begin"/>
      </w:r>
      <w:r>
        <w:rPr>
          <w:rFonts w:hint="eastAsia" w:ascii="仿宋_GB2312" w:hAnsi="仿宋_GB2312" w:eastAsia="仿宋_GB2312" w:cs="仿宋_GB2312"/>
          <w:color w:val="000000"/>
          <w:kern w:val="0"/>
          <w:sz w:val="32"/>
          <w:szCs w:val="32"/>
          <w:lang w:val="en-US" w:eastAsia="zh-CN" w:bidi="ar-SA"/>
        </w:rPr>
        <w:instrText xml:space="preserve"> HYPERLINK \l "_Toc99301424" </w:instrText>
      </w:r>
      <w:r>
        <w:rPr>
          <w:rFonts w:hint="eastAsia" w:ascii="仿宋_GB2312" w:hAnsi="仿宋_GB2312" w:eastAsia="仿宋_GB2312" w:cs="仿宋_GB2312"/>
          <w:color w:val="000000"/>
          <w:kern w:val="0"/>
          <w:sz w:val="32"/>
          <w:szCs w:val="32"/>
          <w:lang w:val="en-US" w:eastAsia="zh-CN" w:bidi="ar-SA"/>
        </w:rPr>
        <w:fldChar w:fldCharType="separate"/>
      </w:r>
      <w:r>
        <w:rPr>
          <w:rFonts w:hint="eastAsia" w:ascii="仿宋_GB2312" w:hAnsi="仿宋_GB2312" w:eastAsia="仿宋_GB2312" w:cs="仿宋_GB2312"/>
          <w:color w:val="000000"/>
          <w:kern w:val="0"/>
          <w:sz w:val="32"/>
          <w:szCs w:val="32"/>
          <w:lang w:val="en-US" w:eastAsia="zh-CN" w:bidi="ar-SA"/>
        </w:rPr>
        <w:t xml:space="preserve">第六章   投标文件格式 </w:t>
      </w:r>
      <w:r>
        <w:rPr>
          <w:rFonts w:hint="eastAsia" w:ascii="仿宋_GB2312" w:hAnsi="仿宋_GB2312" w:eastAsia="仿宋_GB2312" w:cs="仿宋_GB2312"/>
          <w:color w:val="000000"/>
          <w:kern w:val="0"/>
          <w:sz w:val="32"/>
          <w:szCs w:val="32"/>
          <w:lang w:val="en-US" w:eastAsia="zh-CN" w:bidi="ar-SA"/>
        </w:rPr>
        <w:tab/>
      </w:r>
      <w:r>
        <w:rPr>
          <w:rFonts w:hint="eastAsia" w:ascii="仿宋_GB2312" w:hAnsi="仿宋_GB2312" w:eastAsia="仿宋_GB2312" w:cs="仿宋_GB2312"/>
          <w:color w:val="000000"/>
          <w:kern w:val="0"/>
          <w:sz w:val="32"/>
          <w:szCs w:val="32"/>
          <w:lang w:val="en-US" w:eastAsia="zh-CN" w:bidi="ar-SA"/>
        </w:rPr>
        <w:fldChar w:fldCharType="end"/>
      </w:r>
    </w:p>
    <w:p w14:paraId="02F6F353">
      <w:pPr>
        <w:pStyle w:val="18"/>
        <w:tabs>
          <w:tab w:val="left" w:pos="1050"/>
          <w:tab w:val="right" w:leader="dot" w:pos="8937"/>
        </w:tabs>
        <w:spacing w:line="600" w:lineRule="auto"/>
        <w:rPr>
          <w:rFonts w:hint="eastAsia" w:ascii="仿宋_GB2312" w:hAnsi="仿宋_GB2312" w:eastAsia="仿宋_GB2312" w:cs="仿宋_GB2312"/>
          <w:color w:val="000000"/>
          <w:kern w:val="0"/>
          <w:sz w:val="32"/>
          <w:szCs w:val="32"/>
          <w:lang w:val="en-US" w:eastAsia="zh-CN" w:bidi="ar-SA"/>
        </w:rPr>
      </w:pPr>
    </w:p>
    <w:p w14:paraId="06767160">
      <w:pPr>
        <w:rPr>
          <w:rFonts w:hint="eastAsia" w:ascii="仿宋" w:hAnsi="仿宋" w:eastAsia="仿宋" w:cs="仿宋"/>
        </w:rPr>
      </w:pPr>
      <w:r>
        <w:rPr>
          <w:rFonts w:hint="eastAsia" w:ascii="仿宋_GB2312" w:hAnsi="仿宋_GB2312" w:eastAsia="仿宋_GB2312" w:cs="仿宋_GB2312"/>
          <w:color w:val="000000"/>
          <w:kern w:val="0"/>
          <w:sz w:val="32"/>
          <w:szCs w:val="32"/>
          <w:lang w:val="en-US" w:eastAsia="zh-CN" w:bidi="ar-SA"/>
        </w:rPr>
        <w:fldChar w:fldCharType="end"/>
      </w:r>
      <w:r>
        <w:rPr>
          <w:rFonts w:hint="eastAsia" w:ascii="仿宋_GB2312" w:hAnsi="仿宋_GB2312" w:eastAsia="仿宋_GB2312" w:cs="仿宋_GB2312"/>
          <w:color w:val="000000"/>
          <w:kern w:val="0"/>
          <w:sz w:val="32"/>
          <w:szCs w:val="32"/>
          <w:lang w:val="en-US" w:eastAsia="zh-CN" w:bidi="ar-SA"/>
        </w:rPr>
        <w:fldChar w:fldCharType="end"/>
      </w:r>
    </w:p>
    <w:p w14:paraId="083CF3B2">
      <w:pPr>
        <w:ind w:left="0" w:firstLine="0" w:firstLineChars="0"/>
        <w:jc w:val="center"/>
        <w:outlineLvl w:val="0"/>
        <w:rPr>
          <w:rFonts w:hint="eastAsia" w:ascii="仿宋" w:hAnsi="仿宋" w:eastAsia="仿宋" w:cs="仿宋"/>
          <w:b/>
          <w:sz w:val="28"/>
          <w:szCs w:val="28"/>
        </w:rPr>
      </w:pPr>
    </w:p>
    <w:p w14:paraId="7380FA4F">
      <w:pPr>
        <w:ind w:left="0" w:firstLine="0" w:firstLineChars="0"/>
        <w:jc w:val="center"/>
        <w:outlineLvl w:val="0"/>
        <w:rPr>
          <w:rFonts w:hint="eastAsia" w:ascii="仿宋" w:hAnsi="仿宋" w:eastAsia="仿宋" w:cs="仿宋"/>
          <w:b/>
          <w:sz w:val="28"/>
          <w:szCs w:val="28"/>
        </w:rPr>
      </w:pPr>
    </w:p>
    <w:p w14:paraId="757DD08B">
      <w:pPr>
        <w:ind w:left="0" w:firstLine="0" w:firstLineChars="0"/>
        <w:jc w:val="center"/>
        <w:outlineLvl w:val="0"/>
        <w:rPr>
          <w:rFonts w:hint="eastAsia" w:ascii="仿宋" w:hAnsi="仿宋" w:eastAsia="仿宋" w:cs="仿宋"/>
          <w:b/>
          <w:sz w:val="28"/>
          <w:szCs w:val="28"/>
        </w:rPr>
      </w:pPr>
    </w:p>
    <w:p w14:paraId="131EE19B">
      <w:pPr>
        <w:ind w:left="0" w:firstLine="0" w:firstLineChars="0"/>
        <w:jc w:val="center"/>
        <w:outlineLvl w:val="0"/>
        <w:rPr>
          <w:rFonts w:hint="eastAsia" w:ascii="仿宋" w:hAnsi="仿宋" w:eastAsia="仿宋" w:cs="仿宋"/>
          <w:b/>
          <w:sz w:val="28"/>
          <w:szCs w:val="28"/>
        </w:rPr>
      </w:pPr>
    </w:p>
    <w:p w14:paraId="3DFC819E">
      <w:pPr>
        <w:pStyle w:val="8"/>
        <w:rPr>
          <w:rFonts w:hint="eastAsia" w:ascii="仿宋" w:hAnsi="仿宋" w:eastAsia="仿宋" w:cs="仿宋"/>
          <w:b/>
          <w:sz w:val="28"/>
          <w:szCs w:val="28"/>
        </w:rPr>
      </w:pPr>
    </w:p>
    <w:p w14:paraId="109D189B">
      <w:pPr>
        <w:rPr>
          <w:rFonts w:hint="eastAsia" w:ascii="仿宋" w:hAnsi="仿宋" w:eastAsia="仿宋" w:cs="仿宋"/>
        </w:rPr>
      </w:pPr>
    </w:p>
    <w:p w14:paraId="5E573342">
      <w:pPr>
        <w:rPr>
          <w:rFonts w:hint="eastAsia" w:ascii="仿宋" w:hAnsi="仿宋" w:eastAsia="仿宋" w:cs="仿宋"/>
        </w:rPr>
      </w:pPr>
    </w:p>
    <w:p w14:paraId="38585EA5">
      <w:pPr>
        <w:rPr>
          <w:rFonts w:hint="eastAsia" w:ascii="仿宋" w:hAnsi="仿宋" w:eastAsia="仿宋" w:cs="仿宋"/>
        </w:rPr>
      </w:pPr>
    </w:p>
    <w:p w14:paraId="44A63D1D">
      <w:pPr>
        <w:rPr>
          <w:rFonts w:hint="eastAsia" w:ascii="仿宋" w:hAnsi="仿宋" w:eastAsia="仿宋" w:cs="仿宋"/>
        </w:rPr>
      </w:pPr>
    </w:p>
    <w:p w14:paraId="22B9FEA7">
      <w:pPr>
        <w:rPr>
          <w:rFonts w:hint="eastAsia" w:ascii="仿宋" w:hAnsi="仿宋" w:eastAsia="仿宋" w:cs="仿宋"/>
        </w:rPr>
      </w:pPr>
    </w:p>
    <w:p w14:paraId="0DE4A945">
      <w:pPr>
        <w:ind w:left="0" w:firstLine="0" w:firstLineChars="0"/>
        <w:jc w:val="center"/>
        <w:outlineLvl w:val="0"/>
        <w:rPr>
          <w:rFonts w:hint="eastAsia" w:ascii="仿宋" w:hAnsi="仿宋" w:eastAsia="仿宋" w:cs="仿宋"/>
          <w:b/>
          <w:sz w:val="28"/>
          <w:szCs w:val="28"/>
        </w:rPr>
      </w:pPr>
    </w:p>
    <w:p w14:paraId="723815DB">
      <w:pPr>
        <w:spacing w:line="240" w:lineRule="auto"/>
        <w:ind w:left="0" w:firstLine="0" w:firstLineChars="0"/>
        <w:jc w:val="center"/>
        <w:outlineLvl w:val="0"/>
        <w:rPr>
          <w:rFonts w:hint="eastAsia" w:ascii="仿宋_GB2312" w:hAnsi="仿宋_GB2312" w:eastAsia="仿宋_GB2312" w:cs="仿宋_GB2312"/>
          <w:b/>
          <w:bCs/>
          <w:color w:val="000000"/>
          <w:kern w:val="0"/>
          <w:sz w:val="36"/>
          <w:szCs w:val="36"/>
          <w:lang w:val="en-US" w:eastAsia="zh-CN" w:bidi="ar-SA"/>
        </w:rPr>
      </w:pPr>
    </w:p>
    <w:p w14:paraId="1138A475">
      <w:pPr>
        <w:spacing w:line="240" w:lineRule="auto"/>
        <w:ind w:left="0" w:firstLine="0" w:firstLineChars="0"/>
        <w:jc w:val="center"/>
        <w:outlineLvl w:val="0"/>
        <w:rPr>
          <w:rFonts w:hint="eastAsia" w:ascii="仿宋_GB2312" w:hAnsi="仿宋_GB2312" w:eastAsia="仿宋_GB2312" w:cs="仿宋_GB2312"/>
          <w:b/>
          <w:bCs/>
          <w:color w:val="000000"/>
          <w:kern w:val="0"/>
          <w:sz w:val="36"/>
          <w:szCs w:val="36"/>
          <w:lang w:val="en-US" w:eastAsia="zh-CN" w:bidi="ar-SA"/>
        </w:rPr>
      </w:pPr>
      <w:r>
        <w:rPr>
          <w:rFonts w:hint="eastAsia" w:ascii="仿宋_GB2312" w:hAnsi="仿宋_GB2312" w:eastAsia="仿宋_GB2312" w:cs="仿宋_GB2312"/>
          <w:b/>
          <w:bCs/>
          <w:color w:val="000000"/>
          <w:kern w:val="0"/>
          <w:sz w:val="36"/>
          <w:szCs w:val="36"/>
          <w:lang w:val="en-US" w:eastAsia="zh-CN" w:bidi="ar-SA"/>
        </w:rPr>
        <w:t>第一章   招标公告</w:t>
      </w:r>
    </w:p>
    <w:p w14:paraId="2671F73C">
      <w:pPr>
        <w:keepNext w:val="0"/>
        <w:keepLines w:val="0"/>
        <w:pageBreakBefore w:val="0"/>
        <w:widowControl w:val="0"/>
        <w:kinsoku/>
        <w:wordWrap/>
        <w:overflowPunct/>
        <w:topLinePunct w:val="0"/>
        <w:autoSpaceDE/>
        <w:autoSpaceDN/>
        <w:bidi w:val="0"/>
        <w:adjustRightInd/>
        <w:snapToGrid/>
        <w:spacing w:line="240" w:lineRule="auto"/>
        <w:ind w:left="0" w:right="62"/>
        <w:jc w:val="center"/>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2025年某单位伙食食材服务采购项目</w:t>
      </w:r>
    </w:p>
    <w:p w14:paraId="3AAE75B9">
      <w:pPr>
        <w:keepNext w:val="0"/>
        <w:keepLines w:val="0"/>
        <w:pageBreakBefore w:val="0"/>
        <w:widowControl w:val="0"/>
        <w:kinsoku/>
        <w:wordWrap/>
        <w:overflowPunct/>
        <w:topLinePunct w:val="0"/>
        <w:autoSpaceDE/>
        <w:autoSpaceDN/>
        <w:bidi w:val="0"/>
        <w:adjustRightInd/>
        <w:snapToGrid/>
        <w:spacing w:line="240" w:lineRule="auto"/>
        <w:ind w:left="0" w:right="62"/>
        <w:jc w:val="center"/>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公开招标公告</w:t>
      </w:r>
    </w:p>
    <w:p w14:paraId="560B2CAF">
      <w:pPr>
        <w:pageBreakBefore w:val="0"/>
        <w:pBdr>
          <w:top w:val="single" w:color="auto" w:sz="4" w:space="0"/>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SA"/>
        </w:rPr>
      </w:pPr>
      <w:bookmarkStart w:id="0" w:name="_Toc28359002"/>
      <w:bookmarkStart w:id="1" w:name="_Hlk24379207"/>
      <w:bookmarkStart w:id="2" w:name="_Toc35393790"/>
      <w:bookmarkStart w:id="3" w:name="_Toc35393621"/>
      <w:bookmarkStart w:id="4" w:name="_Toc28359079"/>
      <w:r>
        <w:rPr>
          <w:rFonts w:hint="eastAsia" w:ascii="仿宋_GB2312" w:hAnsi="仿宋_GB2312" w:eastAsia="仿宋_GB2312" w:cs="仿宋_GB2312"/>
          <w:i w:val="0"/>
          <w:iCs w:val="0"/>
          <w:caps w:val="0"/>
          <w:color w:val="auto"/>
          <w:spacing w:val="0"/>
          <w:kern w:val="0"/>
          <w:sz w:val="28"/>
          <w:szCs w:val="28"/>
          <w:highlight w:val="none"/>
          <w:lang w:val="en-US" w:eastAsia="zh-CN" w:bidi="ar-SA"/>
        </w:rPr>
        <w:t>项目概况：</w:t>
      </w:r>
    </w:p>
    <w:p w14:paraId="3AC9F79B">
      <w:pPr>
        <w:pageBreakBefore w:val="0"/>
        <w:pBdr>
          <w:top w:val="single" w:color="auto" w:sz="4" w:space="0"/>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SA"/>
        </w:rPr>
      </w:pPr>
      <w:r>
        <w:rPr>
          <w:rFonts w:hint="eastAsia" w:ascii="仿宋_GB2312" w:hAnsi="仿宋_GB2312" w:eastAsia="仿宋_GB2312" w:cs="仿宋_GB2312"/>
          <w:i w:val="0"/>
          <w:iCs w:val="0"/>
          <w:caps w:val="0"/>
          <w:color w:val="auto"/>
          <w:spacing w:val="0"/>
          <w:kern w:val="0"/>
          <w:sz w:val="28"/>
          <w:szCs w:val="28"/>
          <w:highlight w:val="none"/>
          <w:lang w:val="en-US" w:eastAsia="zh-CN" w:bidi="ar-SA"/>
        </w:rPr>
        <w:t>2025年某单位伙食食材服务采购项目的潜在投标人应登陆政采云平台在线申请获取采购文件，并于2025年03月04日16点00分（北京时间）前递交投标文件。</w:t>
      </w:r>
      <w:bookmarkEnd w:id="0"/>
      <w:bookmarkEnd w:id="1"/>
      <w:bookmarkEnd w:id="2"/>
      <w:bookmarkEnd w:id="3"/>
      <w:bookmarkEnd w:id="4"/>
    </w:p>
    <w:p w14:paraId="73A8FB9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jc w:val="left"/>
        <w:textAlignment w:val="auto"/>
        <w:rPr>
          <w:rFonts w:hint="eastAsia" w:ascii="仿宋_GB2312" w:hAnsi="仿宋_GB2312" w:eastAsia="仿宋_GB2312" w:cs="仿宋_GB2312"/>
          <w:i w:val="0"/>
          <w:iCs w:val="0"/>
          <w:caps w:val="0"/>
          <w:color w:val="auto"/>
          <w:spacing w:val="0"/>
          <w:sz w:val="28"/>
          <w:szCs w:val="28"/>
          <w:highlight w:val="none"/>
        </w:rPr>
      </w:pPr>
      <w:bookmarkStart w:id="5" w:name="_Toc30392"/>
      <w:bookmarkStart w:id="6" w:name="_Toc27595"/>
      <w:bookmarkStart w:id="7" w:name="_Toc24430"/>
      <w:r>
        <w:rPr>
          <w:rStyle w:val="28"/>
          <w:rFonts w:hint="eastAsia" w:ascii="仿宋_GB2312" w:hAnsi="仿宋_GB2312" w:eastAsia="仿宋_GB2312" w:cs="仿宋_GB2312"/>
          <w:i w:val="0"/>
          <w:iCs w:val="0"/>
          <w:caps w:val="0"/>
          <w:color w:val="auto"/>
          <w:spacing w:val="0"/>
          <w:sz w:val="28"/>
          <w:szCs w:val="28"/>
          <w:highlight w:val="none"/>
        </w:rPr>
        <w:t>一、项目基本情况</w:t>
      </w:r>
    </w:p>
    <w:p w14:paraId="0138F36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rPr>
        <w:t>    项目编号：</w:t>
      </w:r>
      <w:r>
        <w:rPr>
          <w:rFonts w:hint="eastAsia" w:ascii="仿宋_GB2312" w:hAnsi="仿宋_GB2312" w:eastAsia="仿宋_GB2312" w:cs="仿宋_GB2312"/>
          <w:i w:val="0"/>
          <w:iCs w:val="0"/>
          <w:caps w:val="0"/>
          <w:color w:val="auto"/>
          <w:spacing w:val="0"/>
          <w:sz w:val="28"/>
          <w:szCs w:val="28"/>
          <w:highlight w:val="none"/>
          <w:lang w:val="en-US" w:eastAsia="zh-CN"/>
        </w:rPr>
        <w:t>YPHZB（GK）-2025-05号</w:t>
      </w:r>
    </w:p>
    <w:p w14:paraId="6F27E0A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rPr>
        <w:t>   </w:t>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rPr>
        <w:t>项目名称：</w:t>
      </w:r>
      <w:r>
        <w:rPr>
          <w:rFonts w:hint="eastAsia" w:ascii="仿宋_GB2312" w:hAnsi="仿宋_GB2312" w:eastAsia="仿宋_GB2312" w:cs="仿宋_GB2312"/>
          <w:i w:val="0"/>
          <w:iCs w:val="0"/>
          <w:caps w:val="0"/>
          <w:color w:val="auto"/>
          <w:spacing w:val="0"/>
          <w:sz w:val="28"/>
          <w:szCs w:val="28"/>
          <w:highlight w:val="none"/>
          <w:lang w:val="en-US" w:eastAsia="zh-CN"/>
        </w:rPr>
        <w:t>2025年某单位伙食食材服务采购项目</w:t>
      </w:r>
    </w:p>
    <w:p w14:paraId="7145C68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82"/>
        <w:textAlignment w:val="auto"/>
        <w:rPr>
          <w:rFonts w:hint="eastAsia" w:ascii="仿宋_GB2312" w:hAnsi="仿宋_GB2312" w:eastAsia="仿宋_GB2312" w:cs="仿宋_GB2312"/>
          <w:i w:val="0"/>
          <w:iCs w:val="0"/>
          <w:caps w:val="0"/>
          <w:color w:val="auto"/>
          <w:spacing w:val="0"/>
          <w:sz w:val="28"/>
          <w:szCs w:val="28"/>
          <w:highlight w:val="none"/>
          <w:lang w:eastAsia="zh-CN"/>
        </w:rPr>
      </w:pPr>
      <w:r>
        <w:rPr>
          <w:rFonts w:hint="eastAsia" w:ascii="仿宋_GB2312" w:hAnsi="仿宋_GB2312" w:eastAsia="仿宋_GB2312" w:cs="仿宋_GB2312"/>
          <w:i w:val="0"/>
          <w:iCs w:val="0"/>
          <w:caps w:val="0"/>
          <w:color w:val="auto"/>
          <w:spacing w:val="0"/>
          <w:sz w:val="28"/>
          <w:szCs w:val="28"/>
          <w:highlight w:val="none"/>
        </w:rPr>
        <w:t>采购方式：</w:t>
      </w:r>
      <w:r>
        <w:rPr>
          <w:rFonts w:hint="eastAsia" w:ascii="仿宋_GB2312" w:hAnsi="仿宋_GB2312" w:eastAsia="仿宋_GB2312" w:cs="仿宋_GB2312"/>
          <w:i w:val="0"/>
          <w:iCs w:val="0"/>
          <w:caps w:val="0"/>
          <w:color w:val="auto"/>
          <w:spacing w:val="0"/>
          <w:sz w:val="28"/>
          <w:szCs w:val="28"/>
          <w:highlight w:val="none"/>
          <w:lang w:eastAsia="zh-CN"/>
        </w:rPr>
        <w:t>公开招标</w:t>
      </w:r>
    </w:p>
    <w:p w14:paraId="69AE268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82"/>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rPr>
        <w:t>预算金额（元）：</w:t>
      </w:r>
      <w:r>
        <w:rPr>
          <w:rFonts w:hint="eastAsia" w:ascii="仿宋_GB2312" w:hAnsi="仿宋_GB2312" w:eastAsia="仿宋_GB2312" w:cs="仿宋_GB2312"/>
          <w:i w:val="0"/>
          <w:iCs w:val="0"/>
          <w:caps w:val="0"/>
          <w:color w:val="auto"/>
          <w:spacing w:val="0"/>
          <w:sz w:val="28"/>
          <w:szCs w:val="28"/>
          <w:highlight w:val="none"/>
          <w:lang w:val="en-US" w:eastAsia="zh-CN"/>
        </w:rPr>
        <w:t xml:space="preserve">7000000.00（柒佰万元整）      </w:t>
      </w:r>
    </w:p>
    <w:p w14:paraId="672561B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82"/>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 xml:space="preserve">最高限价（元）：7000000.00（柒佰万元整）      </w:t>
      </w:r>
    </w:p>
    <w:p w14:paraId="4A05A37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82"/>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采购需求：蔬菜一批、米面油肉一批、调料副食品一批（具体参数详见招标文件）</w:t>
      </w:r>
    </w:p>
    <w:p w14:paraId="5E9C7DD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82"/>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资金来源：县级财力及自筹资金</w:t>
      </w:r>
    </w:p>
    <w:p w14:paraId="34049F3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82"/>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auto"/>
          <w:spacing w:val="0"/>
          <w:sz w:val="28"/>
          <w:szCs w:val="28"/>
          <w:highlight w:val="none"/>
          <w:lang w:val="en-US" w:eastAsia="zh-CN"/>
        </w:rPr>
        <w:t>本项目（否）接受联合体投标。</w:t>
      </w:r>
    </w:p>
    <w:bookmarkEnd w:id="5"/>
    <w:bookmarkEnd w:id="6"/>
    <w:bookmarkEnd w:id="7"/>
    <w:p w14:paraId="691D112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40" w:lineRule="exact"/>
        <w:ind w:left="0" w:right="0" w:firstLine="382"/>
        <w:textAlignment w:val="auto"/>
        <w:rPr>
          <w:rFonts w:hint="eastAsia" w:ascii="仿宋_GB2312" w:hAnsi="仿宋_GB2312" w:eastAsia="仿宋_GB2312" w:cs="仿宋_GB2312"/>
          <w:b/>
          <w:bCs/>
          <w:i w:val="0"/>
          <w:iCs w:val="0"/>
          <w:caps w:val="0"/>
          <w:color w:val="auto"/>
          <w:spacing w:val="0"/>
          <w:sz w:val="28"/>
          <w:szCs w:val="28"/>
          <w:highlight w:val="none"/>
          <w:lang w:val="en-US" w:eastAsia="zh-CN"/>
        </w:rPr>
      </w:pPr>
      <w:bookmarkStart w:id="8" w:name="_Toc22510"/>
      <w:bookmarkStart w:id="9" w:name="_Toc22990"/>
      <w:bookmarkStart w:id="10" w:name="_Toc11569"/>
      <w:r>
        <w:rPr>
          <w:rFonts w:hint="eastAsia" w:ascii="仿宋_GB2312" w:hAnsi="仿宋_GB2312" w:eastAsia="仿宋_GB2312" w:cs="仿宋_GB2312"/>
          <w:b/>
          <w:bCs/>
          <w:i w:val="0"/>
          <w:iCs w:val="0"/>
          <w:caps w:val="0"/>
          <w:color w:val="000000"/>
          <w:spacing w:val="0"/>
          <w:kern w:val="0"/>
          <w:sz w:val="28"/>
          <w:szCs w:val="28"/>
          <w:lang w:val="en-US" w:eastAsia="zh-CN" w:bidi="ar"/>
        </w:rPr>
        <w:t>二、申请人的</w:t>
      </w:r>
      <w:r>
        <w:rPr>
          <w:rFonts w:hint="eastAsia" w:ascii="仿宋_GB2312" w:hAnsi="仿宋_GB2312" w:eastAsia="仿宋_GB2312" w:cs="仿宋_GB2312"/>
          <w:b/>
          <w:bCs/>
          <w:i w:val="0"/>
          <w:iCs w:val="0"/>
          <w:caps w:val="0"/>
          <w:color w:val="auto"/>
          <w:spacing w:val="0"/>
          <w:sz w:val="28"/>
          <w:szCs w:val="28"/>
          <w:highlight w:val="none"/>
          <w:lang w:val="en-US" w:eastAsia="zh-CN"/>
        </w:rPr>
        <w:t>资格要求：</w:t>
      </w:r>
      <w:bookmarkEnd w:id="8"/>
      <w:bookmarkEnd w:id="9"/>
      <w:bookmarkEnd w:id="10"/>
    </w:p>
    <w:p w14:paraId="52358789">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eastAsia" w:ascii="仿宋_GB2312" w:hAnsi="仿宋_GB2312" w:eastAsia="仿宋_GB2312" w:cs="仿宋_GB2312"/>
          <w:kern w:val="2"/>
          <w:sz w:val="28"/>
          <w:szCs w:val="28"/>
          <w:lang w:val="en-US" w:eastAsia="zh-CN" w:bidi="ar-SA"/>
        </w:rPr>
      </w:pPr>
      <w:bookmarkStart w:id="11" w:name="_Toc4096"/>
      <w:bookmarkStart w:id="12" w:name="_Toc14519"/>
      <w:bookmarkStart w:id="13" w:name="_Toc29122"/>
      <w:r>
        <w:rPr>
          <w:rFonts w:hint="eastAsia" w:ascii="仿宋_GB2312" w:hAnsi="仿宋_GB2312" w:eastAsia="仿宋_GB2312" w:cs="仿宋_GB2312"/>
          <w:kern w:val="2"/>
          <w:sz w:val="28"/>
          <w:szCs w:val="28"/>
          <w:lang w:val="en-US" w:eastAsia="zh-CN" w:bidi="ar-SA"/>
        </w:rPr>
        <w:t>（1）投标人须具备有效经年检合格的“三证合一”营业执照；</w:t>
      </w:r>
    </w:p>
    <w:p w14:paraId="03D61D36">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（2）法定代表人、委托人的身份证明及授权委托书；</w:t>
      </w:r>
    </w:p>
    <w:p w14:paraId="734E3DEE">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（3）投标人需提供本单位依法缴纳投标截止时间前半年内任意连续近三个月社保缴纳证明单位缴费个人明细表（社保证明可含：社保缴费凭证、社保缴费证明、社保缴费汇总单、依法缴纳社保的完税证明）；</w:t>
      </w:r>
    </w:p>
    <w:p w14:paraId="0A363A55">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（4）投标人需提供2023年度第三方审计机构出具的财务审计报告(会计</w:t>
      </w:r>
      <w:r>
        <w:rPr>
          <w:rFonts w:hint="eastAsia" w:ascii="仿宋_GB2312" w:hAnsi="仿宋_GB2312" w:eastAsia="仿宋_GB2312" w:cs="仿宋_GB2312"/>
          <w:color w:val="auto"/>
          <w:kern w:val="2"/>
          <w:sz w:val="28"/>
          <w:szCs w:val="28"/>
          <w:lang w:val="en-US" w:eastAsia="zh-CN" w:bidi="ar-SA"/>
        </w:rPr>
        <w:t>周期不满一年的提供近三个月银行出具的资信证明）和健全的财务会计制度；</w:t>
      </w:r>
    </w:p>
    <w:p w14:paraId="7894BE01">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（5）投标人需提供税务部门出具投标截止时间前半年内任意连续近三个月缴纳税收的完税证明（需含增值税、印花税等税种；如当月无需缴税需提供税务机关出具的无欠税证明）；</w:t>
      </w:r>
    </w:p>
    <w:p w14:paraId="349756A4">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eastAsia" w:ascii="仿宋_GB2312" w:hAnsi="仿宋_GB2312" w:eastAsia="仿宋_GB2312" w:cs="仿宋_GB2312"/>
          <w:kern w:val="2"/>
          <w:sz w:val="28"/>
          <w:szCs w:val="28"/>
          <w:highlight w:val="green"/>
          <w:lang w:val="en-US" w:eastAsia="zh-CN" w:bidi="ar-SA"/>
        </w:rPr>
      </w:pPr>
      <w:r>
        <w:rPr>
          <w:rFonts w:hint="eastAsia" w:ascii="仿宋_GB2312" w:hAnsi="仿宋_GB2312" w:eastAsia="仿宋_GB2312" w:cs="仿宋_GB2312"/>
          <w:kern w:val="2"/>
          <w:sz w:val="28"/>
          <w:szCs w:val="28"/>
          <w:lang w:val="en-US" w:eastAsia="zh-CN" w:bidi="ar-SA"/>
        </w:rPr>
        <w:t>（6）凡拟参加本次招标项目的投标人，近三年内如在“信用中国（www.creditchina.gov.cn）”被列入失信被执行人、企业经营异常名录、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严重违法失信名单（黑名单）信息（尚在处罚期内的）；将拒绝其参与本次政府采购活动；提供上述网页查询截图并加盖公章，</w:t>
      </w:r>
      <w:r>
        <w:rPr>
          <w:rFonts w:hint="eastAsia" w:ascii="仿宋_GB2312" w:hAnsi="仿宋_GB2312" w:eastAsia="仿宋_GB2312" w:cs="仿宋_GB2312"/>
          <w:kern w:val="2"/>
          <w:sz w:val="28"/>
          <w:szCs w:val="28"/>
          <w:highlight w:val="green"/>
          <w:lang w:val="en-US" w:eastAsia="zh-CN" w:bidi="ar-SA"/>
        </w:rPr>
        <w:t>查询日期必须为此项目公告发布至开标截止时间前一日内有效；</w:t>
      </w:r>
    </w:p>
    <w:p w14:paraId="3A7857F8">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（7）投标人提供针对本次项目《反商业贿赂承诺书》；</w:t>
      </w:r>
    </w:p>
    <w:p w14:paraId="2CDFA0F0">
      <w:pPr>
        <w:pStyle w:val="15"/>
        <w:pageBreakBefore w:val="0"/>
        <w:kinsoku/>
        <w:wordWrap/>
        <w:overflowPunct/>
        <w:topLinePunct w:val="0"/>
        <w:autoSpaceDE/>
        <w:autoSpaceDN/>
        <w:bidi w:val="0"/>
        <w:adjustRightInd/>
        <w:snapToGrid w:val="0"/>
        <w:spacing w:line="396" w:lineRule="auto"/>
        <w:ind w:firstLine="280" w:firstLineChars="100"/>
        <w:textAlignment w:val="auto"/>
        <w:outlineLvl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（8）参加政府采购活动前3年内在经营活动中没有重大违法记录的书面声明；</w:t>
      </w:r>
    </w:p>
    <w:p w14:paraId="4DF6592A">
      <w:pPr>
        <w:pStyle w:val="19"/>
        <w:numPr>
          <w:ilvl w:val="0"/>
          <w:numId w:val="0"/>
        </w:numPr>
        <w:spacing w:line="360" w:lineRule="auto"/>
        <w:ind w:firstLine="280" w:firstLineChars="1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r>
        <w:rPr>
          <w:rFonts w:hint="eastAsia" w:ascii="仿宋_GB2312" w:hAnsi="仿宋_GB2312" w:eastAsia="仿宋_GB2312" w:cs="仿宋_GB2312"/>
          <w:b w:val="0"/>
          <w:bCs w:val="0"/>
          <w:kern w:val="2"/>
          <w:sz w:val="28"/>
          <w:szCs w:val="28"/>
          <w:lang w:val="en-US" w:eastAsia="zh-CN" w:bidi="ar-SA"/>
        </w:rPr>
        <w:t>投标人提供有效期内《食品经营许可证》或《食品流通许可证》或《食品生产许可证》；</w:t>
      </w:r>
    </w:p>
    <w:p w14:paraId="36EB1E0A">
      <w:pPr>
        <w:pStyle w:val="19"/>
        <w:numPr>
          <w:ilvl w:val="0"/>
          <w:numId w:val="0"/>
        </w:num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w:t>
      </w:r>
      <w:r>
        <w:rPr>
          <w:rFonts w:hint="eastAsia" w:ascii="仿宋_GB2312" w:hAnsi="仿宋_GB2312" w:eastAsia="仿宋_GB2312" w:cs="仿宋_GB2312"/>
          <w:kern w:val="2"/>
          <w:sz w:val="28"/>
          <w:szCs w:val="28"/>
          <w:lang w:val="en-US" w:eastAsia="zh-CN" w:bidi="ar-SA"/>
        </w:rPr>
        <w:t>投标保证金有效凭证；</w:t>
      </w:r>
    </w:p>
    <w:p w14:paraId="3CBAFD4F">
      <w:pPr>
        <w:pStyle w:val="19"/>
        <w:numPr>
          <w:ilvl w:val="0"/>
          <w:numId w:val="0"/>
        </w:numPr>
        <w:spacing w:line="360" w:lineRule="auto"/>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（11）落实政府采购政策需满足的资格要求：本项目专门面向中小微企业采购，不再执行价格评审优惠政策。请根据要求单独上传《中小企业声明函》，格式以采购文件中要求为准。</w:t>
      </w:r>
    </w:p>
    <w:p w14:paraId="223A86AA">
      <w:pPr>
        <w:pStyle w:val="7"/>
        <w:pageBreakBefore w:val="0"/>
        <w:widowControl w:val="0"/>
        <w:kinsoku/>
        <w:wordWrap/>
        <w:overflowPunct/>
        <w:topLinePunct w:val="0"/>
        <w:autoSpaceDE/>
        <w:autoSpaceDN/>
        <w:bidi w:val="0"/>
        <w:adjustRightInd/>
        <w:snapToGrid/>
        <w:spacing w:before="0" w:after="0" w:line="396" w:lineRule="auto"/>
        <w:ind w:left="0" w:leftChars="0" w:firstLine="0" w:firstLineChars="0"/>
        <w:jc w:val="both"/>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三、获取招标文件</w:t>
      </w:r>
      <w:bookmarkEnd w:id="11"/>
      <w:bookmarkEnd w:id="12"/>
      <w:bookmarkEnd w:id="13"/>
    </w:p>
    <w:p w14:paraId="5D2ABC9B">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时间</w:t>
      </w:r>
      <w:r>
        <w:rPr>
          <w:rFonts w:hint="eastAsia" w:ascii="仿宋_GB2312" w:hAnsi="仿宋_GB2312" w:eastAsia="仿宋_GB2312" w:cs="仿宋_GB2312"/>
          <w:i w:val="0"/>
          <w:iCs w:val="0"/>
          <w:caps w:val="0"/>
          <w:color w:val="auto"/>
          <w:spacing w:val="0"/>
          <w:sz w:val="28"/>
          <w:szCs w:val="28"/>
          <w:highlight w:val="none"/>
          <w:lang w:val="en-US" w:eastAsia="zh-CN"/>
        </w:rPr>
        <w:t>：</w:t>
      </w:r>
      <w:r>
        <w:rPr>
          <w:rFonts w:hint="eastAsia" w:ascii="仿宋_GB2312" w:hAnsi="仿宋_GB2312" w:eastAsia="仿宋_GB2312" w:cs="仿宋_GB2312"/>
          <w:i w:val="0"/>
          <w:iCs w:val="0"/>
          <w:caps w:val="0"/>
          <w:color w:val="auto"/>
          <w:spacing w:val="0"/>
          <w:sz w:val="28"/>
          <w:szCs w:val="28"/>
          <w:highlight w:val="none"/>
          <w:u w:val="single"/>
          <w:lang w:val="en-US" w:eastAsia="zh-CN"/>
        </w:rPr>
        <w:t>2025年02月11日至2025年02月18日，</w:t>
      </w:r>
      <w:r>
        <w:rPr>
          <w:rFonts w:hint="eastAsia" w:ascii="仿宋_GB2312" w:hAnsi="仿宋_GB2312" w:eastAsia="仿宋_GB2312" w:cs="仿宋_GB2312"/>
          <w:i w:val="0"/>
          <w:iCs w:val="0"/>
          <w:caps w:val="0"/>
          <w:color w:val="auto"/>
          <w:spacing w:val="0"/>
          <w:sz w:val="28"/>
          <w:szCs w:val="28"/>
          <w:highlight w:val="none"/>
          <w:lang w:val="en-US" w:eastAsia="zh-CN"/>
        </w:rPr>
        <w:t>每天上午</w:t>
      </w:r>
      <w:r>
        <w:rPr>
          <w:rFonts w:hint="eastAsia" w:ascii="仿宋_GB2312" w:hAnsi="仿宋_GB2312" w:eastAsia="仿宋_GB2312" w:cs="仿宋_GB2312"/>
          <w:i w:val="0"/>
          <w:iCs w:val="0"/>
          <w:caps w:val="0"/>
          <w:color w:val="auto"/>
          <w:spacing w:val="0"/>
          <w:sz w:val="28"/>
          <w:szCs w:val="28"/>
          <w:highlight w:val="none"/>
          <w:u w:val="single"/>
          <w:lang w:val="en-US" w:eastAsia="zh-CN"/>
        </w:rPr>
        <w:t>00:00</w:t>
      </w:r>
      <w:r>
        <w:rPr>
          <w:rFonts w:hint="eastAsia" w:ascii="仿宋_GB2312" w:hAnsi="仿宋_GB2312" w:eastAsia="仿宋_GB2312" w:cs="仿宋_GB2312"/>
          <w:i w:val="0"/>
          <w:iCs w:val="0"/>
          <w:caps w:val="0"/>
          <w:color w:val="auto"/>
          <w:spacing w:val="0"/>
          <w:sz w:val="28"/>
          <w:szCs w:val="28"/>
          <w:highlight w:val="none"/>
          <w:lang w:val="en-US" w:eastAsia="zh-CN"/>
        </w:rPr>
        <w:t>至</w:t>
      </w:r>
      <w:r>
        <w:rPr>
          <w:rFonts w:hint="eastAsia" w:ascii="仿宋_GB2312" w:hAnsi="仿宋_GB2312" w:eastAsia="仿宋_GB2312" w:cs="仿宋_GB2312"/>
          <w:i w:val="0"/>
          <w:iCs w:val="0"/>
          <w:caps w:val="0"/>
          <w:color w:val="auto"/>
          <w:spacing w:val="0"/>
          <w:sz w:val="28"/>
          <w:szCs w:val="28"/>
          <w:highlight w:val="none"/>
          <w:u w:val="single"/>
          <w:lang w:val="en-US" w:eastAsia="zh-CN"/>
        </w:rPr>
        <w:t>12:00</w:t>
      </w:r>
      <w:r>
        <w:rPr>
          <w:rFonts w:hint="eastAsia" w:ascii="仿宋_GB2312" w:hAnsi="仿宋_GB2312" w:eastAsia="仿宋_GB2312" w:cs="仿宋_GB2312"/>
          <w:i w:val="0"/>
          <w:iCs w:val="0"/>
          <w:caps w:val="0"/>
          <w:color w:val="auto"/>
          <w:spacing w:val="0"/>
          <w:sz w:val="28"/>
          <w:szCs w:val="28"/>
          <w:highlight w:val="none"/>
          <w:lang w:val="en-US" w:eastAsia="zh-CN"/>
        </w:rPr>
        <w:t>，下午</w:t>
      </w:r>
      <w:r>
        <w:rPr>
          <w:rFonts w:hint="eastAsia" w:ascii="仿宋_GB2312" w:hAnsi="仿宋_GB2312" w:eastAsia="仿宋_GB2312" w:cs="仿宋_GB2312"/>
          <w:i w:val="0"/>
          <w:iCs w:val="0"/>
          <w:caps w:val="0"/>
          <w:color w:val="auto"/>
          <w:spacing w:val="0"/>
          <w:sz w:val="28"/>
          <w:szCs w:val="28"/>
          <w:highlight w:val="none"/>
          <w:u w:val="single"/>
          <w:lang w:val="en-US" w:eastAsia="zh-CN"/>
        </w:rPr>
        <w:t>12:00</w:t>
      </w:r>
      <w:r>
        <w:rPr>
          <w:rFonts w:hint="eastAsia" w:ascii="仿宋_GB2312" w:hAnsi="仿宋_GB2312" w:eastAsia="仿宋_GB2312" w:cs="仿宋_GB2312"/>
          <w:i w:val="0"/>
          <w:iCs w:val="0"/>
          <w:caps w:val="0"/>
          <w:color w:val="auto"/>
          <w:spacing w:val="0"/>
          <w:sz w:val="28"/>
          <w:szCs w:val="28"/>
          <w:highlight w:val="none"/>
          <w:lang w:val="en-US" w:eastAsia="zh-CN"/>
        </w:rPr>
        <w:t>至</w:t>
      </w:r>
      <w:r>
        <w:rPr>
          <w:rFonts w:hint="eastAsia" w:ascii="仿宋_GB2312" w:hAnsi="仿宋_GB2312" w:eastAsia="仿宋_GB2312" w:cs="仿宋_GB2312"/>
          <w:i w:val="0"/>
          <w:iCs w:val="0"/>
          <w:caps w:val="0"/>
          <w:color w:val="auto"/>
          <w:spacing w:val="0"/>
          <w:sz w:val="28"/>
          <w:szCs w:val="28"/>
          <w:highlight w:val="none"/>
          <w:u w:val="single"/>
          <w:lang w:val="en-US" w:eastAsia="zh-CN"/>
        </w:rPr>
        <w:t>23:59</w:t>
      </w:r>
      <w:r>
        <w:rPr>
          <w:rFonts w:hint="eastAsia" w:ascii="仿宋_GB2312" w:hAnsi="仿宋_GB2312" w:eastAsia="仿宋_GB2312" w:cs="仿宋_GB2312"/>
          <w:i w:val="0"/>
          <w:iCs w:val="0"/>
          <w:caps w:val="0"/>
          <w:color w:val="auto"/>
          <w:spacing w:val="0"/>
          <w:sz w:val="28"/>
          <w:szCs w:val="28"/>
          <w:highlight w:val="none"/>
          <w:lang w:val="en-US" w:eastAsia="zh-CN"/>
        </w:rPr>
        <w:t>（北京时间，法定节假日除外）</w:t>
      </w:r>
    </w:p>
    <w:p w14:paraId="20004664">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地点：</w:t>
      </w:r>
      <w:r>
        <w:rPr>
          <w:rFonts w:hint="eastAsia" w:ascii="仿宋_GB2312" w:hAnsi="仿宋_GB2312" w:eastAsia="仿宋_GB2312" w:cs="仿宋_GB2312"/>
          <w:i w:val="0"/>
          <w:iCs w:val="0"/>
          <w:caps w:val="0"/>
          <w:color w:val="000000"/>
          <w:spacing w:val="0"/>
          <w:sz w:val="28"/>
          <w:szCs w:val="28"/>
          <w:highlight w:val="none"/>
          <w:u w:val="single"/>
          <w:lang w:val="en-US" w:eastAsia="zh-CN"/>
        </w:rPr>
        <w:t>新疆政采云平台（https://www.zcygov.cn/）</w:t>
      </w:r>
      <w:r>
        <w:rPr>
          <w:rFonts w:hint="eastAsia" w:ascii="仿宋_GB2312" w:hAnsi="仿宋_GB2312" w:eastAsia="仿宋_GB2312" w:cs="仿宋_GB2312"/>
          <w:i w:val="0"/>
          <w:iCs w:val="0"/>
          <w:caps w:val="0"/>
          <w:color w:val="000000"/>
          <w:spacing w:val="0"/>
          <w:sz w:val="28"/>
          <w:szCs w:val="28"/>
          <w:highlight w:val="none"/>
          <w:lang w:val="en-US" w:eastAsia="zh-CN"/>
        </w:rPr>
        <w:t>线上获取</w:t>
      </w:r>
    </w:p>
    <w:p w14:paraId="46E0E683">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b/>
          <w:bCs/>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sz w:val="28"/>
          <w:szCs w:val="28"/>
          <w:highlight w:val="none"/>
          <w:lang w:val="en-US" w:eastAsia="zh-CN"/>
        </w:rPr>
        <w:t>方式：供应商登录</w:t>
      </w:r>
      <w:r>
        <w:rPr>
          <w:rFonts w:hint="eastAsia" w:ascii="仿宋_GB2312" w:hAnsi="仿宋_GB2312" w:eastAsia="仿宋_GB2312" w:cs="仿宋_GB2312"/>
          <w:i w:val="0"/>
          <w:iCs w:val="0"/>
          <w:caps w:val="0"/>
          <w:color w:val="000000"/>
          <w:spacing w:val="0"/>
          <w:sz w:val="28"/>
          <w:szCs w:val="28"/>
          <w:highlight w:val="none"/>
          <w:u w:val="single"/>
          <w:lang w:val="en-US" w:eastAsia="zh-CN"/>
        </w:rPr>
        <w:t>新疆政采云平台（https://www.zcygov.cn/）</w:t>
      </w:r>
      <w:r>
        <w:rPr>
          <w:rFonts w:hint="eastAsia" w:ascii="仿宋_GB2312" w:hAnsi="仿宋_GB2312" w:eastAsia="仿宋_GB2312" w:cs="仿宋_GB2312"/>
          <w:i w:val="0"/>
          <w:iCs w:val="0"/>
          <w:caps w:val="0"/>
          <w:color w:val="000000"/>
          <w:spacing w:val="0"/>
          <w:sz w:val="28"/>
          <w:szCs w:val="28"/>
          <w:highlight w:val="none"/>
          <w:lang w:val="en-US" w:eastAsia="zh-CN"/>
        </w:rPr>
        <w:t>在线申请获取采购文件（进入“项目采购”应用，获取采购文件菜单中选择项目，申请获取采购文件）</w:t>
      </w:r>
      <w:bookmarkStart w:id="14" w:name="_Toc4398"/>
      <w:bookmarkStart w:id="15" w:name="_Toc20322"/>
      <w:bookmarkStart w:id="16" w:name="_Toc4068"/>
    </w:p>
    <w:p w14:paraId="71420ADE">
      <w:pPr>
        <w:pStyle w:val="7"/>
        <w:pageBreakBefore w:val="0"/>
        <w:widowControl w:val="0"/>
        <w:kinsoku/>
        <w:wordWrap/>
        <w:overflowPunct/>
        <w:topLinePunct w:val="0"/>
        <w:autoSpaceDE/>
        <w:autoSpaceDN/>
        <w:bidi w:val="0"/>
        <w:adjustRightInd/>
        <w:snapToGrid/>
        <w:spacing w:before="0" w:after="0" w:line="396" w:lineRule="auto"/>
        <w:ind w:left="0" w:leftChars="0" w:firstLine="0" w:firstLineChars="0"/>
        <w:jc w:val="both"/>
        <w:textAlignment w:val="auto"/>
        <w:rPr>
          <w:rFonts w:hint="eastAsia" w:ascii="仿宋_GB2312" w:hAnsi="仿宋_GB2312" w:eastAsia="仿宋_GB2312" w:cs="仿宋_GB2312"/>
          <w:b/>
          <w:bCs/>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b/>
          <w:bCs/>
          <w:i w:val="0"/>
          <w:iCs w:val="0"/>
          <w:caps w:val="0"/>
          <w:color w:val="000000"/>
          <w:spacing w:val="0"/>
          <w:kern w:val="0"/>
          <w:sz w:val="28"/>
          <w:szCs w:val="28"/>
          <w:highlight w:val="none"/>
          <w:lang w:val="en-US" w:eastAsia="zh-CN" w:bidi="ar"/>
        </w:rPr>
        <w:t>四、提交投标文件截止时间、开标时间和地点</w:t>
      </w:r>
      <w:bookmarkEnd w:id="14"/>
      <w:bookmarkEnd w:id="15"/>
      <w:bookmarkEnd w:id="16"/>
    </w:p>
    <w:p w14:paraId="74BECE43">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提交投标文件截</w:t>
      </w:r>
      <w:r>
        <w:rPr>
          <w:rFonts w:hint="eastAsia" w:ascii="仿宋_GB2312" w:hAnsi="仿宋_GB2312" w:eastAsia="仿宋_GB2312" w:cs="仿宋_GB2312"/>
          <w:i w:val="0"/>
          <w:iCs w:val="0"/>
          <w:caps w:val="0"/>
          <w:color w:val="auto"/>
          <w:spacing w:val="0"/>
          <w:sz w:val="28"/>
          <w:szCs w:val="28"/>
          <w:highlight w:val="none"/>
          <w:lang w:val="en-US" w:eastAsia="zh-CN"/>
        </w:rPr>
        <w:t>止时间：</w:t>
      </w:r>
      <w:r>
        <w:rPr>
          <w:rFonts w:hint="eastAsia" w:ascii="仿宋_GB2312" w:hAnsi="仿宋_GB2312" w:eastAsia="仿宋_GB2312" w:cs="仿宋_GB2312"/>
          <w:i w:val="0"/>
          <w:iCs w:val="0"/>
          <w:caps w:val="0"/>
          <w:color w:val="auto"/>
          <w:spacing w:val="0"/>
          <w:sz w:val="28"/>
          <w:szCs w:val="28"/>
          <w:highlight w:val="none"/>
          <w:u w:val="single"/>
          <w:lang w:val="en-US" w:eastAsia="zh-CN"/>
        </w:rPr>
        <w:t>2025年03月04日 16：00分</w:t>
      </w:r>
      <w:r>
        <w:rPr>
          <w:rFonts w:hint="eastAsia" w:ascii="仿宋_GB2312" w:hAnsi="仿宋_GB2312" w:eastAsia="仿宋_GB2312" w:cs="仿宋_GB2312"/>
          <w:i w:val="0"/>
          <w:iCs w:val="0"/>
          <w:caps w:val="0"/>
          <w:color w:val="auto"/>
          <w:spacing w:val="0"/>
          <w:sz w:val="28"/>
          <w:szCs w:val="28"/>
          <w:highlight w:val="none"/>
          <w:lang w:val="en-US" w:eastAsia="zh-CN"/>
        </w:rPr>
        <w:t>（北京时间）</w:t>
      </w:r>
    </w:p>
    <w:p w14:paraId="562D0E42">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投标地点：请登录政采云投标客户端投标</w:t>
      </w:r>
    </w:p>
    <w:p w14:paraId="686B9626">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left="279" w:leftChars="133" w:right="0" w:firstLine="0" w:firstLineChars="0"/>
        <w:jc w:val="left"/>
        <w:textAlignment w:val="auto"/>
        <w:rPr>
          <w:rFonts w:hint="eastAsia" w:ascii="仿宋_GB2312" w:hAnsi="仿宋_GB2312" w:eastAsia="仿宋_GB2312" w:cs="仿宋_GB2312"/>
          <w:i w:val="0"/>
          <w:iCs w:val="0"/>
          <w:caps w:val="0"/>
          <w:color w:val="auto"/>
          <w:spacing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val="en-US" w:eastAsia="zh-CN"/>
        </w:rPr>
        <w:t>开标时间：</w:t>
      </w:r>
      <w:r>
        <w:rPr>
          <w:rFonts w:hint="eastAsia" w:ascii="仿宋_GB2312" w:hAnsi="仿宋_GB2312" w:eastAsia="仿宋_GB2312" w:cs="仿宋_GB2312"/>
          <w:i w:val="0"/>
          <w:iCs w:val="0"/>
          <w:caps w:val="0"/>
          <w:color w:val="auto"/>
          <w:spacing w:val="0"/>
          <w:sz w:val="28"/>
          <w:szCs w:val="28"/>
          <w:highlight w:val="none"/>
          <w:u w:val="single"/>
          <w:lang w:val="en-US" w:eastAsia="zh-CN"/>
        </w:rPr>
        <w:t>2025年03月04日 16：00分</w:t>
      </w:r>
      <w:r>
        <w:rPr>
          <w:rFonts w:hint="eastAsia" w:ascii="仿宋_GB2312" w:hAnsi="仿宋_GB2312" w:eastAsia="仿宋_GB2312" w:cs="仿宋_GB2312"/>
          <w:i w:val="0"/>
          <w:iCs w:val="0"/>
          <w:caps w:val="0"/>
          <w:color w:val="auto"/>
          <w:spacing w:val="0"/>
          <w:sz w:val="28"/>
          <w:szCs w:val="28"/>
          <w:highlight w:val="none"/>
          <w:lang w:val="en-US" w:eastAsia="zh-CN"/>
        </w:rPr>
        <w:t>（北京时间）</w:t>
      </w:r>
    </w:p>
    <w:p w14:paraId="09FAC811">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default"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开标地点：</w:t>
      </w:r>
      <w:r>
        <w:rPr>
          <w:rFonts w:hint="eastAsia" w:ascii="仿宋_GB2312" w:hAnsi="仿宋_GB2312" w:eastAsia="仿宋_GB2312" w:cs="仿宋_GB2312"/>
          <w:i w:val="0"/>
          <w:iCs w:val="0"/>
          <w:caps w:val="0"/>
          <w:color w:val="000000"/>
          <w:spacing w:val="0"/>
          <w:sz w:val="28"/>
          <w:szCs w:val="28"/>
          <w:u w:val="single"/>
          <w:lang w:val="en-US" w:eastAsia="zh-CN"/>
        </w:rPr>
        <w:t>新疆政采云平台（https://www.zcygov.cn）</w:t>
      </w:r>
    </w:p>
    <w:p w14:paraId="6C548F26">
      <w:pPr>
        <w:pStyle w:val="7"/>
        <w:pageBreakBefore w:val="0"/>
        <w:widowControl w:val="0"/>
        <w:kinsoku/>
        <w:wordWrap/>
        <w:overflowPunct/>
        <w:topLinePunct w:val="0"/>
        <w:autoSpaceDE/>
        <w:autoSpaceDN/>
        <w:bidi w:val="0"/>
        <w:adjustRightInd/>
        <w:snapToGrid/>
        <w:spacing w:before="0" w:after="0" w:line="396" w:lineRule="auto"/>
        <w:ind w:left="0" w:leftChars="0" w:firstLine="0" w:firstLineChars="0"/>
        <w:jc w:val="both"/>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bookmarkStart w:id="17" w:name="_Toc19015"/>
      <w:bookmarkStart w:id="18" w:name="_Toc9151"/>
      <w:bookmarkStart w:id="19" w:name="_Toc30941"/>
      <w:r>
        <w:rPr>
          <w:rFonts w:hint="eastAsia" w:ascii="仿宋_GB2312" w:hAnsi="仿宋_GB2312" w:eastAsia="仿宋_GB2312" w:cs="仿宋_GB2312"/>
          <w:b/>
          <w:bCs/>
          <w:i w:val="0"/>
          <w:iCs w:val="0"/>
          <w:caps w:val="0"/>
          <w:color w:val="000000"/>
          <w:spacing w:val="0"/>
          <w:kern w:val="0"/>
          <w:sz w:val="28"/>
          <w:szCs w:val="28"/>
          <w:lang w:val="en-US" w:eastAsia="zh-CN" w:bidi="ar"/>
        </w:rPr>
        <w:t>五、公告期限</w:t>
      </w:r>
      <w:bookmarkEnd w:id="17"/>
      <w:bookmarkEnd w:id="18"/>
      <w:bookmarkEnd w:id="19"/>
    </w:p>
    <w:p w14:paraId="43262BB1">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自本公告发布之日起5个工作日</w:t>
      </w:r>
      <w:bookmarkStart w:id="20" w:name="_Toc2426"/>
      <w:bookmarkStart w:id="21" w:name="_Toc1504"/>
      <w:bookmarkStart w:id="22" w:name="_Toc32428"/>
    </w:p>
    <w:p w14:paraId="1D3B958F">
      <w:pPr>
        <w:pStyle w:val="23"/>
        <w:keepNext w:val="0"/>
        <w:keepLines w:val="0"/>
        <w:pageBreakBefore w:val="0"/>
        <w:widowControl/>
        <w:numPr>
          <w:ilvl w:val="0"/>
          <w:numId w:val="3"/>
        </w:numPr>
        <w:suppressLineNumbers w:val="0"/>
        <w:kinsoku/>
        <w:wordWrap/>
        <w:overflowPunct/>
        <w:topLinePunct w:val="0"/>
        <w:autoSpaceDE/>
        <w:autoSpaceDN/>
        <w:bidi w:val="0"/>
        <w:adjustRightInd/>
        <w:snapToGrid/>
        <w:spacing w:before="75" w:beforeAutospacing="0" w:after="75" w:afterAutospacing="0" w:line="396" w:lineRule="auto"/>
        <w:ind w:right="0"/>
        <w:jc w:val="left"/>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b/>
          <w:bCs/>
          <w:i w:val="0"/>
          <w:iCs w:val="0"/>
          <w:caps w:val="0"/>
          <w:color w:val="000000"/>
          <w:spacing w:val="0"/>
          <w:kern w:val="0"/>
          <w:sz w:val="28"/>
          <w:szCs w:val="28"/>
          <w:lang w:val="en-US" w:eastAsia="zh-CN" w:bidi="ar"/>
        </w:rPr>
        <w:t>其他补充事宜</w:t>
      </w:r>
      <w:bookmarkEnd w:id="20"/>
      <w:bookmarkEnd w:id="21"/>
      <w:bookmarkEnd w:id="22"/>
    </w:p>
    <w:p w14:paraId="7AD30F9D">
      <w:pPr>
        <w:pStyle w:val="23"/>
        <w:keepNext w:val="0"/>
        <w:keepLines w:val="0"/>
        <w:pageBreakBefore w:val="0"/>
        <w:widowControl/>
        <w:numPr>
          <w:ilvl w:val="0"/>
          <w:numId w:val="4"/>
        </w:numPr>
        <w:suppressLineNumbers w:val="0"/>
        <w:kinsoku/>
        <w:wordWrap/>
        <w:overflowPunct/>
        <w:topLinePunct w:val="0"/>
        <w:autoSpaceDE/>
        <w:autoSpaceDN/>
        <w:bidi w:val="0"/>
        <w:adjustRightInd/>
        <w:snapToGrid/>
        <w:spacing w:before="75" w:beforeAutospacing="0" w:after="75" w:afterAutospacing="0" w:line="396" w:lineRule="auto"/>
        <w:ind w:right="0" w:rightChars="0" w:firstLine="280" w:firstLineChars="1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本项目实行网上投标，采用电子投标文件(供应商须使用CA加密设备通过新疆政采云电子投标客户端制作投标文件)。若供应商参与投标，自行承担投标一切费用。</w:t>
      </w:r>
    </w:p>
    <w:p w14:paraId="76ED101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96" w:lineRule="auto"/>
        <w:ind w:right="0" w:rightChars="0" w:firstLine="280" w:firstLineChars="1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2、各供应商应在开标前应确保成为新疆政府采购网正式注册入库供应商，并完成CA数字证书申领。因未注册入库、未办理CA数字证书等原因造成无法投标或投标失败等后果由供应商自行承担。</w:t>
      </w:r>
    </w:p>
    <w:p w14:paraId="0337C2FD">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3.供应商将政采云电子交易客户端下载、安装完成后，可通过账号密码或CA登录客户端进行投标文件制作。在使用新疆政采云投标客户端时，建议使用WIN7及以上操作系统。</w:t>
      </w:r>
    </w:p>
    <w:p w14:paraId="2F1FE6CD">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000000"/>
          <w:spacing w:val="0"/>
          <w:sz w:val="28"/>
          <w:szCs w:val="28"/>
          <w:highlight w:val="none"/>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4.供应商在开标时须使用制作加密电子投标文件所使用CA锁及电脑，电脑须提前配置好浏览器（建议使用360浏览器兼容版或谷歌浏览器）以便开标时解锁。</w:t>
      </w:r>
    </w:p>
    <w:p w14:paraId="74083589">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396" w:lineRule="auto"/>
        <w:ind w:right="0" w:firstLine="280" w:firstLineChars="10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highlight w:val="none"/>
          <w:lang w:val="en-US" w:eastAsia="zh-CN"/>
        </w:rPr>
        <w:t>5.供应商对不见面开评标系统的技术操作咨询，可通过https://edu.zcygov.cn/luban/xinjiang-e-biding自助查询，也可在政采云帮助中心常见问题解答和操作流程讲解视频中自助查询，网址为：</w:t>
      </w:r>
      <w:r>
        <w:rPr>
          <w:rFonts w:hint="eastAsia" w:ascii="仿宋_GB2312" w:hAnsi="仿宋_GB2312" w:eastAsia="仿宋_GB2312" w:cs="仿宋_GB2312"/>
          <w:i w:val="0"/>
          <w:iCs w:val="0"/>
          <w:caps w:val="0"/>
          <w:color w:val="000000"/>
          <w:spacing w:val="0"/>
          <w:sz w:val="28"/>
          <w:szCs w:val="28"/>
          <w:highlight w:val="none"/>
          <w:lang w:val="en-US" w:eastAsia="zh-CN"/>
        </w:rPr>
        <w:fldChar w:fldCharType="begin"/>
      </w:r>
      <w:r>
        <w:rPr>
          <w:rFonts w:hint="eastAsia" w:ascii="仿宋_GB2312" w:hAnsi="仿宋_GB2312" w:eastAsia="仿宋_GB2312" w:cs="仿宋_GB2312"/>
          <w:i w:val="0"/>
          <w:iCs w:val="0"/>
          <w:caps w:val="0"/>
          <w:color w:val="000000"/>
          <w:spacing w:val="0"/>
          <w:sz w:val="28"/>
          <w:szCs w:val="28"/>
          <w:highlight w:val="none"/>
          <w:lang w:val="en-US" w:eastAsia="zh-CN"/>
        </w:rPr>
        <w:instrText xml:space="preserve"> HYPERLINK "https://service.zcygov.cn/，\“项目采购\”—\“操作流程-电子招投标\”—\“政府采购项目电子交易管理操作指南-供应商\”版面获取操作指南，同时对自助查询无法解决的问题可通过钉钉群及政采云在线客服获取服务支持." </w:instrText>
      </w:r>
      <w:r>
        <w:rPr>
          <w:rFonts w:hint="eastAsia" w:ascii="仿宋_GB2312" w:hAnsi="仿宋_GB2312" w:eastAsia="仿宋_GB2312" w:cs="仿宋_GB2312"/>
          <w:i w:val="0"/>
          <w:iCs w:val="0"/>
          <w:caps w:val="0"/>
          <w:color w:val="000000"/>
          <w:spacing w:val="0"/>
          <w:sz w:val="28"/>
          <w:szCs w:val="28"/>
          <w:highlight w:val="none"/>
          <w:lang w:val="en-US" w:eastAsia="zh-CN"/>
        </w:rPr>
        <w:fldChar w:fldCharType="separate"/>
      </w:r>
      <w:r>
        <w:rPr>
          <w:rFonts w:hint="eastAsia" w:ascii="仿宋_GB2312" w:hAnsi="仿宋_GB2312" w:eastAsia="仿宋_GB2312" w:cs="仿宋_GB2312"/>
          <w:i w:val="0"/>
          <w:iCs w:val="0"/>
          <w:caps w:val="0"/>
          <w:color w:val="000000"/>
          <w:spacing w:val="0"/>
          <w:sz w:val="28"/>
          <w:szCs w:val="28"/>
          <w:highlight w:val="none"/>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仿宋_GB2312" w:hAnsi="仿宋_GB2312" w:eastAsia="仿宋_GB2312" w:cs="仿宋_GB2312"/>
          <w:i w:val="0"/>
          <w:iCs w:val="0"/>
          <w:caps w:val="0"/>
          <w:color w:val="000000"/>
          <w:spacing w:val="0"/>
          <w:sz w:val="28"/>
          <w:szCs w:val="28"/>
          <w:highlight w:val="none"/>
          <w:lang w:val="en-US" w:eastAsia="zh-CN"/>
        </w:rPr>
        <w:fldChar w:fldCharType="end"/>
      </w:r>
    </w:p>
    <w:p w14:paraId="44F0D53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96" w:lineRule="auto"/>
        <w:ind w:left="0" w:right="0" w:firstLine="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b/>
          <w:bCs/>
          <w:i w:val="0"/>
          <w:caps w:val="0"/>
          <w:color w:val="000000"/>
          <w:spacing w:val="0"/>
          <w:kern w:val="0"/>
          <w:sz w:val="28"/>
          <w:szCs w:val="28"/>
          <w:vertAlign w:val="baseline"/>
          <w:lang w:val="en-US" w:eastAsia="zh-CN" w:bidi="ar"/>
        </w:rPr>
        <w:t>特别提示：</w:t>
      </w:r>
    </w:p>
    <w:p w14:paraId="1AB67110">
      <w:pPr>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1、采购限额标准以上，200万元以下的货物和服务采购项目、400万元以下的工程采购项目，适宜由中小企业提供的，采购人应当专门面向中小企业采购。</w:t>
      </w:r>
    </w:p>
    <w:p w14:paraId="44B10C1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96" w:lineRule="auto"/>
        <w:ind w:left="239" w:leftChars="114" w:right="0" w:firstLine="140" w:firstLineChars="5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xml:space="preserve"> 2、超过200万元的货物和服务采购项目、超过400万元的工程采购项目中适宜由中小企业提供的，预留该部分采购项目预算总额的30%以上专门面向中小企业采购，其中预留给小微企业的比例不低于60%。</w:t>
      </w:r>
    </w:p>
    <w:p w14:paraId="2557982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96" w:lineRule="auto"/>
        <w:ind w:left="239" w:leftChars="114" w:right="0" w:firstLine="140" w:firstLineChars="5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xml:space="preserve"> 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08BD7C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96" w:lineRule="auto"/>
        <w:ind w:left="239" w:leftChars="114" w:right="0" w:firstLine="140" w:firstLineChars="5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 xml:space="preserve"> 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F59B46">
      <w:pPr>
        <w:pStyle w:val="7"/>
        <w:pageBreakBefore w:val="0"/>
        <w:widowControl w:val="0"/>
        <w:kinsoku/>
        <w:wordWrap/>
        <w:overflowPunct/>
        <w:topLinePunct w:val="0"/>
        <w:autoSpaceDE/>
        <w:autoSpaceDN/>
        <w:bidi w:val="0"/>
        <w:adjustRightInd/>
        <w:snapToGrid/>
        <w:spacing w:before="0" w:after="0" w:line="396" w:lineRule="auto"/>
        <w:ind w:left="0" w:leftChars="0" w:firstLine="0" w:firstLineChars="0"/>
        <w:jc w:val="both"/>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bookmarkStart w:id="23" w:name="_Toc3294"/>
      <w:bookmarkStart w:id="24" w:name="_Toc3331"/>
      <w:bookmarkStart w:id="25" w:name="_Toc9402"/>
      <w:r>
        <w:rPr>
          <w:rFonts w:hint="eastAsia" w:ascii="仿宋_GB2312" w:hAnsi="仿宋_GB2312" w:eastAsia="仿宋_GB2312" w:cs="仿宋_GB2312"/>
          <w:b/>
          <w:bCs/>
          <w:i w:val="0"/>
          <w:iCs w:val="0"/>
          <w:caps w:val="0"/>
          <w:color w:val="000000"/>
          <w:spacing w:val="0"/>
          <w:kern w:val="0"/>
          <w:sz w:val="28"/>
          <w:szCs w:val="28"/>
          <w:lang w:val="en-US" w:eastAsia="zh-CN" w:bidi="ar"/>
        </w:rPr>
        <w:t>七、对本次采购提出询问，请按以下方式联系</w:t>
      </w:r>
      <w:bookmarkEnd w:id="23"/>
      <w:bookmarkEnd w:id="24"/>
      <w:bookmarkEnd w:id="25"/>
    </w:p>
    <w:p w14:paraId="261252CE">
      <w:pPr>
        <w:pStyle w:val="34"/>
        <w:pageBreakBefore w:val="0"/>
        <w:kinsoku/>
        <w:wordWrap/>
        <w:overflowPunct/>
        <w:topLinePunct w:val="0"/>
        <w:autoSpaceDE/>
        <w:autoSpaceDN/>
        <w:bidi w:val="0"/>
        <w:adjustRightInd/>
        <w:snapToGrid/>
        <w:spacing w:line="396" w:lineRule="auto"/>
        <w:ind w:firstLine="280" w:firstLineChars="100"/>
        <w:textAlignment w:val="auto"/>
        <w:outlineLvl w:val="2"/>
        <w:rPr>
          <w:rFonts w:hint="eastAsia" w:ascii="仿宋_GB2312" w:hAnsi="仿宋_GB2312" w:eastAsia="仿宋_GB2312" w:cs="仿宋_GB2312"/>
          <w:i w:val="0"/>
          <w:iCs w:val="0"/>
          <w:caps w:val="0"/>
          <w:color w:val="000000"/>
          <w:spacing w:val="0"/>
          <w:kern w:val="0"/>
          <w:sz w:val="28"/>
          <w:szCs w:val="28"/>
          <w:lang w:val="en-US" w:eastAsia="zh-CN" w:bidi="ar"/>
        </w:rPr>
      </w:pPr>
      <w:bookmarkStart w:id="26" w:name="_Toc7331"/>
      <w:r>
        <w:rPr>
          <w:rFonts w:hint="eastAsia" w:ascii="仿宋_GB2312" w:hAnsi="仿宋_GB2312" w:eastAsia="仿宋_GB2312" w:cs="仿宋_GB2312"/>
          <w:i w:val="0"/>
          <w:iCs w:val="0"/>
          <w:caps w:val="0"/>
          <w:color w:val="000000"/>
          <w:spacing w:val="0"/>
          <w:kern w:val="0"/>
          <w:sz w:val="28"/>
          <w:szCs w:val="28"/>
          <w:lang w:val="en-US" w:eastAsia="zh-CN" w:bidi="ar"/>
        </w:rPr>
        <w:t>1、采购人信息</w:t>
      </w:r>
      <w:bookmarkEnd w:id="26"/>
      <w:r>
        <w:rPr>
          <w:rFonts w:hint="eastAsia" w:ascii="仿宋_GB2312" w:hAnsi="仿宋_GB2312" w:eastAsia="仿宋_GB2312" w:cs="仿宋_GB2312"/>
          <w:i w:val="0"/>
          <w:iCs w:val="0"/>
          <w:caps w:val="0"/>
          <w:color w:val="000000"/>
          <w:spacing w:val="0"/>
          <w:kern w:val="0"/>
          <w:sz w:val="28"/>
          <w:szCs w:val="28"/>
          <w:lang w:val="en-US" w:eastAsia="zh-CN" w:bidi="ar"/>
        </w:rPr>
        <w:t>：</w:t>
      </w:r>
    </w:p>
    <w:p w14:paraId="3B01A629">
      <w:pPr>
        <w:pStyle w:val="34"/>
        <w:pageBreakBefore w:val="0"/>
        <w:kinsoku/>
        <w:wordWrap/>
        <w:overflowPunct/>
        <w:topLinePunct w:val="0"/>
        <w:autoSpaceDE/>
        <w:autoSpaceDN/>
        <w:bidi w:val="0"/>
        <w:adjustRightInd/>
        <w:snapToGrid/>
        <w:spacing w:line="396" w:lineRule="auto"/>
        <w:ind w:firstLine="560" w:firstLineChars="200"/>
        <w:textAlignment w:val="auto"/>
        <w:outlineLvl w:val="2"/>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名  称：岳普湖县公安局</w:t>
      </w:r>
    </w:p>
    <w:p w14:paraId="556E6110">
      <w:pPr>
        <w:pStyle w:val="34"/>
        <w:pageBreakBefore w:val="0"/>
        <w:kinsoku/>
        <w:wordWrap/>
        <w:overflowPunct/>
        <w:topLinePunct w:val="0"/>
        <w:autoSpaceDE/>
        <w:autoSpaceDN/>
        <w:bidi w:val="0"/>
        <w:adjustRightInd/>
        <w:snapToGrid/>
        <w:spacing w:line="396" w:lineRule="auto"/>
        <w:ind w:firstLine="560" w:firstLineChars="200"/>
        <w:textAlignment w:val="auto"/>
        <w:outlineLvl w:val="2"/>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地  址：岳普湖县东城区市政大道26号</w:t>
      </w:r>
    </w:p>
    <w:p w14:paraId="14C50AF3">
      <w:pPr>
        <w:pStyle w:val="34"/>
        <w:pageBreakBefore w:val="0"/>
        <w:kinsoku/>
        <w:wordWrap/>
        <w:overflowPunct/>
        <w:topLinePunct w:val="0"/>
        <w:autoSpaceDE/>
        <w:autoSpaceDN/>
        <w:bidi w:val="0"/>
        <w:adjustRightInd/>
        <w:snapToGrid/>
        <w:spacing w:line="396" w:lineRule="auto"/>
        <w:ind w:firstLine="560" w:firstLineChars="200"/>
        <w:textAlignment w:val="auto"/>
        <w:outlineLvl w:val="2"/>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联系人：</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徐巍</w:t>
      </w:r>
    </w:p>
    <w:p w14:paraId="3FCBD8C0">
      <w:pPr>
        <w:pStyle w:val="34"/>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kern w:val="0"/>
          <w:sz w:val="28"/>
          <w:szCs w:val="28"/>
          <w:lang w:val="en-US" w:eastAsia="zh-CN" w:bidi="ar"/>
        </w:rPr>
        <w:t>联系电话：157-3993-7169</w:t>
      </w:r>
    </w:p>
    <w:p w14:paraId="3746DD3E">
      <w:pPr>
        <w:pStyle w:val="34"/>
        <w:pageBreakBefore w:val="0"/>
        <w:numPr>
          <w:ilvl w:val="0"/>
          <w:numId w:val="5"/>
        </w:numPr>
        <w:kinsoku/>
        <w:wordWrap/>
        <w:overflowPunct/>
        <w:topLinePunct w:val="0"/>
        <w:autoSpaceDE/>
        <w:autoSpaceDN/>
        <w:bidi w:val="0"/>
        <w:adjustRightInd/>
        <w:snapToGrid/>
        <w:spacing w:line="396" w:lineRule="auto"/>
        <w:ind w:firstLine="280" w:firstLineChars="100"/>
        <w:textAlignment w:val="auto"/>
        <w:outlineLvl w:val="2"/>
        <w:rPr>
          <w:rFonts w:hint="eastAsia" w:ascii="仿宋_GB2312" w:hAnsi="仿宋_GB2312" w:eastAsia="仿宋_GB2312" w:cs="仿宋_GB2312"/>
          <w:i w:val="0"/>
          <w:iCs w:val="0"/>
          <w:caps w:val="0"/>
          <w:color w:val="000000"/>
          <w:spacing w:val="0"/>
          <w:kern w:val="0"/>
          <w:sz w:val="28"/>
          <w:szCs w:val="28"/>
          <w:highlight w:val="none"/>
          <w:lang w:val="en-US" w:eastAsia="zh-CN" w:bidi="ar"/>
        </w:rPr>
      </w:pPr>
      <w:bookmarkStart w:id="27" w:name="_Toc1309"/>
      <w:r>
        <w:rPr>
          <w:rFonts w:hint="eastAsia" w:ascii="仿宋_GB2312" w:hAnsi="仿宋_GB2312" w:eastAsia="仿宋_GB2312" w:cs="仿宋_GB2312"/>
          <w:i w:val="0"/>
          <w:iCs w:val="0"/>
          <w:caps w:val="0"/>
          <w:color w:val="000000"/>
          <w:spacing w:val="0"/>
          <w:kern w:val="0"/>
          <w:sz w:val="28"/>
          <w:szCs w:val="28"/>
          <w:highlight w:val="none"/>
          <w:lang w:val="en-US" w:eastAsia="zh-CN" w:bidi="ar"/>
        </w:rPr>
        <w:t>采购代理机构信息：</w:t>
      </w:r>
      <w:bookmarkEnd w:id="27"/>
    </w:p>
    <w:p w14:paraId="4F4E66FB">
      <w:pPr>
        <w:pStyle w:val="34"/>
        <w:pageBreakBefore w:val="0"/>
        <w:numPr>
          <w:ilvl w:val="0"/>
          <w:numId w:val="0"/>
        </w:numPr>
        <w:kinsoku/>
        <w:wordWrap/>
        <w:overflowPunct/>
        <w:topLinePunct w:val="0"/>
        <w:autoSpaceDE/>
        <w:autoSpaceDN/>
        <w:bidi w:val="0"/>
        <w:adjustRightInd/>
        <w:snapToGrid/>
        <w:spacing w:line="396" w:lineRule="auto"/>
        <w:ind w:firstLine="560" w:firstLineChars="200"/>
        <w:textAlignment w:val="auto"/>
        <w:outlineLvl w:val="2"/>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名  称：新疆众喀工程项目管理咨询有限公司</w:t>
      </w:r>
    </w:p>
    <w:p w14:paraId="2703F857">
      <w:pPr>
        <w:pStyle w:val="34"/>
        <w:pageBreakBefore w:val="0"/>
        <w:numPr>
          <w:ilvl w:val="0"/>
          <w:numId w:val="0"/>
        </w:numPr>
        <w:kinsoku/>
        <w:wordWrap/>
        <w:overflowPunct/>
        <w:topLinePunct w:val="0"/>
        <w:autoSpaceDE/>
        <w:autoSpaceDN/>
        <w:bidi w:val="0"/>
        <w:adjustRightInd/>
        <w:snapToGrid/>
        <w:spacing w:line="396" w:lineRule="auto"/>
        <w:ind w:firstLine="560" w:firstLineChars="200"/>
        <w:textAlignment w:val="auto"/>
        <w:outlineLvl w:val="2"/>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地　址：喀什地区喀什市南湖路学府小区  </w:t>
      </w:r>
    </w:p>
    <w:p w14:paraId="2BE7FB86">
      <w:pPr>
        <w:pStyle w:val="34"/>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联系人：闻萍</w:t>
      </w:r>
    </w:p>
    <w:p w14:paraId="3FD58568">
      <w:pPr>
        <w:pStyle w:val="34"/>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联系电话：135-7908-8956</w:t>
      </w:r>
    </w:p>
    <w:p w14:paraId="5D119990">
      <w:pPr>
        <w:pStyle w:val="34"/>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p>
    <w:p w14:paraId="76D1BAB7">
      <w:pPr>
        <w:pStyle w:val="34"/>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p>
    <w:p w14:paraId="741C627D">
      <w:pPr>
        <w:pStyle w:val="34"/>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p>
    <w:p w14:paraId="6F9A5C00">
      <w:pPr>
        <w:pStyle w:val="34"/>
        <w:pageBreakBefore w:val="0"/>
        <w:kinsoku/>
        <w:wordWrap/>
        <w:overflowPunct/>
        <w:topLinePunct w:val="0"/>
        <w:autoSpaceDE/>
        <w:autoSpaceDN/>
        <w:bidi w:val="0"/>
        <w:adjustRightInd/>
        <w:snapToGrid/>
        <w:spacing w:line="396" w:lineRule="auto"/>
        <w:ind w:firstLine="560" w:firstLineChars="200"/>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p>
    <w:p w14:paraId="634F00F1">
      <w:pPr>
        <w:pStyle w:val="34"/>
        <w:pageBreakBefore w:val="0"/>
        <w:kinsoku/>
        <w:wordWrap/>
        <w:overflowPunct/>
        <w:topLinePunct w:val="0"/>
        <w:autoSpaceDE/>
        <w:autoSpaceDN/>
        <w:bidi w:val="0"/>
        <w:adjustRightInd/>
        <w:spacing w:line="396" w:lineRule="auto"/>
        <w:jc w:val="center"/>
        <w:textAlignment w:val="auto"/>
        <w:rPr>
          <w:rFonts w:hint="eastAsia" w:ascii="仿宋_GB2312" w:hAnsi="仿宋_GB2312" w:eastAsia="仿宋_GB2312" w:cs="仿宋_GB2312"/>
          <w:b/>
          <w:bCs/>
          <w:i w:val="0"/>
          <w:iCs w:val="0"/>
          <w:caps w:val="0"/>
          <w:color w:val="000000"/>
          <w:spacing w:val="0"/>
          <w:kern w:val="0"/>
          <w:sz w:val="36"/>
          <w:szCs w:val="36"/>
          <w:lang w:val="en-US" w:eastAsia="zh-CN" w:bidi="ar"/>
        </w:rPr>
      </w:pPr>
      <w:r>
        <w:rPr>
          <w:rFonts w:hint="eastAsia" w:ascii="仿宋_GB2312" w:hAnsi="仿宋_GB2312" w:eastAsia="仿宋_GB2312" w:cs="仿宋_GB2312"/>
          <w:b/>
          <w:bCs/>
          <w:i w:val="0"/>
          <w:iCs w:val="0"/>
          <w:caps w:val="0"/>
          <w:color w:val="000000"/>
          <w:spacing w:val="0"/>
          <w:kern w:val="0"/>
          <w:sz w:val="36"/>
          <w:szCs w:val="36"/>
          <w:lang w:val="en-US" w:eastAsia="zh-CN" w:bidi="ar"/>
        </w:rPr>
        <w:t>第二章  投标人须知</w:t>
      </w:r>
    </w:p>
    <w:p w14:paraId="7496887B">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bookmarkStart w:id="28" w:name="_Toc10036"/>
      <w:r>
        <w:rPr>
          <w:rFonts w:hint="eastAsia" w:ascii="仿宋_GB2312" w:hAnsi="仿宋_GB2312" w:eastAsia="仿宋_GB2312" w:cs="仿宋_GB2312"/>
          <w:b/>
          <w:bCs/>
          <w:i w:val="0"/>
          <w:iCs w:val="0"/>
          <w:caps w:val="0"/>
          <w:color w:val="000000"/>
          <w:spacing w:val="0"/>
          <w:kern w:val="0"/>
          <w:sz w:val="28"/>
          <w:szCs w:val="28"/>
          <w:lang w:val="en-US" w:eastAsia="zh-CN" w:bidi="ar"/>
        </w:rPr>
        <w:t>投标人须知前附表</w:t>
      </w:r>
      <w:bookmarkEnd w:id="28"/>
    </w:p>
    <w:tbl>
      <w:tblPr>
        <w:tblStyle w:val="25"/>
        <w:tblW w:w="93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0"/>
        <w:gridCol w:w="1698"/>
        <w:gridCol w:w="7007"/>
      </w:tblGrid>
      <w:tr w14:paraId="12D4E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670" w:type="dxa"/>
            <w:tcBorders>
              <w:top w:val="single" w:color="auto" w:sz="12" w:space="0"/>
            </w:tcBorders>
            <w:noWrap w:val="0"/>
            <w:vAlign w:val="center"/>
          </w:tcPr>
          <w:p w14:paraId="23F332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z w:val="28"/>
                <w:szCs w:val="28"/>
              </w:rPr>
              <w:t>序号</w:t>
            </w:r>
          </w:p>
        </w:tc>
        <w:tc>
          <w:tcPr>
            <w:tcW w:w="1698" w:type="dxa"/>
            <w:tcBorders>
              <w:top w:val="single" w:color="auto" w:sz="12" w:space="0"/>
              <w:right w:val="single" w:color="auto" w:sz="4" w:space="0"/>
            </w:tcBorders>
            <w:noWrap w:val="0"/>
            <w:vAlign w:val="center"/>
          </w:tcPr>
          <w:p w14:paraId="709BDD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z w:val="28"/>
                <w:szCs w:val="28"/>
              </w:rPr>
              <w:t>条款名称</w:t>
            </w:r>
          </w:p>
        </w:tc>
        <w:tc>
          <w:tcPr>
            <w:tcW w:w="7007" w:type="dxa"/>
            <w:tcBorders>
              <w:top w:val="single" w:color="auto" w:sz="12" w:space="0"/>
              <w:left w:val="single" w:color="auto" w:sz="4" w:space="0"/>
            </w:tcBorders>
            <w:noWrap w:val="0"/>
            <w:vAlign w:val="center"/>
          </w:tcPr>
          <w:p w14:paraId="61B94E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sz w:val="28"/>
                <w:szCs w:val="28"/>
              </w:rPr>
            </w:pPr>
            <w:r>
              <w:rPr>
                <w:rFonts w:hint="eastAsia" w:ascii="仿宋" w:hAnsi="仿宋" w:eastAsia="仿宋" w:cs="仿宋"/>
                <w:b/>
                <w:sz w:val="28"/>
                <w:szCs w:val="28"/>
              </w:rPr>
              <w:t>说明和要求</w:t>
            </w:r>
          </w:p>
        </w:tc>
      </w:tr>
      <w:tr w14:paraId="0F084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670" w:type="dxa"/>
            <w:noWrap w:val="0"/>
            <w:vAlign w:val="center"/>
          </w:tcPr>
          <w:p w14:paraId="197521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1</w:t>
            </w:r>
          </w:p>
        </w:tc>
        <w:tc>
          <w:tcPr>
            <w:tcW w:w="1698" w:type="dxa"/>
            <w:tcBorders>
              <w:right w:val="single" w:color="auto" w:sz="4" w:space="0"/>
            </w:tcBorders>
            <w:noWrap w:val="0"/>
            <w:vAlign w:val="center"/>
          </w:tcPr>
          <w:p w14:paraId="5F141385">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 w:hAnsi="仿宋" w:eastAsia="仿宋" w:cs="仿宋"/>
                <w:b/>
                <w:bCs/>
                <w:sz w:val="24"/>
                <w:szCs w:val="24"/>
              </w:rPr>
            </w:pPr>
            <w:r>
              <w:rPr>
                <w:rFonts w:hint="eastAsia" w:ascii="仿宋_GB2312" w:hAnsi="仿宋_GB2312" w:eastAsia="仿宋_GB2312" w:cs="仿宋_GB2312"/>
                <w:b/>
                <w:bCs/>
                <w:i w:val="0"/>
                <w:iCs w:val="0"/>
                <w:caps w:val="0"/>
                <w:color w:val="000000"/>
                <w:spacing w:val="0"/>
                <w:kern w:val="0"/>
                <w:sz w:val="28"/>
                <w:szCs w:val="28"/>
                <w:lang w:val="en-US" w:eastAsia="zh-CN" w:bidi="ar"/>
              </w:rPr>
              <w:t>采 购 人</w:t>
            </w:r>
          </w:p>
        </w:tc>
        <w:tc>
          <w:tcPr>
            <w:tcW w:w="7007" w:type="dxa"/>
            <w:tcBorders>
              <w:left w:val="single" w:color="auto" w:sz="4" w:space="0"/>
            </w:tcBorders>
            <w:noWrap w:val="0"/>
            <w:vAlign w:val="center"/>
          </w:tcPr>
          <w:p w14:paraId="73F76062">
            <w:pPr>
              <w:keepNext w:val="0"/>
              <w:keepLines w:val="0"/>
              <w:pageBreakBefore w:val="0"/>
              <w:suppressLineNumbers w:val="0"/>
              <w:tabs>
                <w:tab w:val="left" w:pos="4874"/>
              </w:tabs>
              <w:kinsoku/>
              <w:wordWrap/>
              <w:overflowPunct/>
              <w:topLinePunct w:val="0"/>
              <w:autoSpaceDE/>
              <w:autoSpaceDN/>
              <w:bidi w:val="0"/>
              <w:adjustRightInd/>
              <w:snapToGrid/>
              <w:spacing w:before="0" w:beforeLines="10" w:beforeAutospacing="0" w:after="0" w:afterLines="1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名  称：岳普湖公安局</w:t>
            </w:r>
            <w:r>
              <w:rPr>
                <w:rFonts w:hint="eastAsia" w:ascii="仿宋_GB2312" w:hAnsi="仿宋_GB2312" w:eastAsia="仿宋_GB2312" w:cs="仿宋_GB2312"/>
                <w:i w:val="0"/>
                <w:iCs w:val="0"/>
                <w:caps w:val="0"/>
                <w:color w:val="000000"/>
                <w:spacing w:val="0"/>
                <w:kern w:val="0"/>
                <w:sz w:val="28"/>
                <w:szCs w:val="28"/>
                <w:lang w:val="en-US" w:eastAsia="zh-CN" w:bidi="ar"/>
              </w:rPr>
              <w:tab/>
            </w:r>
          </w:p>
          <w:p w14:paraId="41B8E383">
            <w:pPr>
              <w:keepNext w:val="0"/>
              <w:keepLines w:val="0"/>
              <w:pageBreakBefore w:val="0"/>
              <w:suppressLineNumbers w:val="0"/>
              <w:tabs>
                <w:tab w:val="left" w:pos="4874"/>
              </w:tabs>
              <w:kinsoku/>
              <w:wordWrap/>
              <w:overflowPunct/>
              <w:topLinePunct w:val="0"/>
              <w:autoSpaceDE/>
              <w:autoSpaceDN/>
              <w:bidi w:val="0"/>
              <w:adjustRightInd/>
              <w:snapToGrid/>
              <w:spacing w:before="0" w:beforeLines="10" w:beforeAutospacing="0" w:after="0" w:afterLines="1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地  址：岳普湖县东城区市政大道26号                 </w:t>
            </w:r>
          </w:p>
          <w:p w14:paraId="324ED913">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zh-CN" w:eastAsia="zh-CN" w:bidi="ar"/>
              </w:rPr>
              <w:t>联系人</w:t>
            </w:r>
            <w:r>
              <w:rPr>
                <w:rFonts w:hint="eastAsia" w:ascii="仿宋_GB2312" w:hAnsi="仿宋_GB2312" w:eastAsia="仿宋_GB2312" w:cs="仿宋_GB2312"/>
                <w:i w:val="0"/>
                <w:iCs w:val="0"/>
                <w:caps w:val="0"/>
                <w:color w:val="000000"/>
                <w:spacing w:val="0"/>
                <w:kern w:val="0"/>
                <w:sz w:val="28"/>
                <w:szCs w:val="28"/>
                <w:lang w:val="en-US" w:eastAsia="zh-CN" w:bidi="ar"/>
              </w:rPr>
              <w:t xml:space="preserve">：徐巍           </w:t>
            </w:r>
          </w:p>
          <w:p w14:paraId="7E35EA63">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60" w:lineRule="auto"/>
              <w:ind w:left="0" w:right="0" w:firstLine="0" w:firstLineChars="0"/>
              <w:jc w:val="both"/>
              <w:textAlignment w:val="auto"/>
              <w:rPr>
                <w:rFonts w:hint="eastAsia" w:ascii="仿宋" w:hAnsi="仿宋" w:eastAsia="仿宋" w:cs="仿宋"/>
                <w:sz w:val="24"/>
                <w:szCs w:val="24"/>
                <w:lang w:val="en-US" w:eastAsia="zh-CN"/>
              </w:rPr>
            </w:pPr>
            <w:r>
              <w:rPr>
                <w:rFonts w:hint="eastAsia" w:ascii="仿宋_GB2312" w:hAnsi="仿宋_GB2312" w:eastAsia="仿宋_GB2312" w:cs="仿宋_GB2312"/>
                <w:i w:val="0"/>
                <w:iCs w:val="0"/>
                <w:caps w:val="0"/>
                <w:color w:val="000000"/>
                <w:spacing w:val="0"/>
                <w:kern w:val="0"/>
                <w:sz w:val="28"/>
                <w:szCs w:val="28"/>
                <w:lang w:val="zh-CN" w:eastAsia="zh-CN" w:bidi="ar"/>
              </w:rPr>
              <w:t>电  话：157-3993-7169</w:t>
            </w:r>
            <w:r>
              <w:rPr>
                <w:rFonts w:hint="eastAsia" w:ascii="仿宋_GB2312" w:hAnsi="仿宋_GB2312" w:eastAsia="仿宋_GB2312" w:cs="仿宋_GB2312"/>
                <w:i w:val="0"/>
                <w:iCs w:val="0"/>
                <w:caps w:val="0"/>
                <w:color w:val="000000"/>
                <w:spacing w:val="0"/>
                <w:kern w:val="0"/>
                <w:sz w:val="28"/>
                <w:szCs w:val="28"/>
                <w:lang w:val="en-US" w:eastAsia="zh-CN" w:bidi="ar"/>
              </w:rPr>
              <w:t xml:space="preserve">   </w:t>
            </w:r>
            <w:r>
              <w:rPr>
                <w:rFonts w:hint="eastAsia" w:ascii="仿宋" w:hAnsi="仿宋" w:eastAsia="仿宋" w:cs="仿宋"/>
                <w:sz w:val="24"/>
                <w:szCs w:val="24"/>
                <w:lang w:val="en-US" w:eastAsia="zh-CN"/>
              </w:rPr>
              <w:t xml:space="preserve">          </w:t>
            </w:r>
          </w:p>
        </w:tc>
      </w:tr>
      <w:tr w14:paraId="44F09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5" w:hRule="atLeast"/>
          <w:jc w:val="center"/>
        </w:trPr>
        <w:tc>
          <w:tcPr>
            <w:tcW w:w="670" w:type="dxa"/>
            <w:noWrap w:val="0"/>
            <w:vAlign w:val="center"/>
          </w:tcPr>
          <w:p w14:paraId="3B5B20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2</w:t>
            </w:r>
          </w:p>
        </w:tc>
        <w:tc>
          <w:tcPr>
            <w:tcW w:w="1698" w:type="dxa"/>
            <w:tcBorders>
              <w:right w:val="single" w:color="auto" w:sz="4" w:space="0"/>
            </w:tcBorders>
            <w:noWrap w:val="0"/>
            <w:vAlign w:val="center"/>
          </w:tcPr>
          <w:p w14:paraId="1795768C">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代理机构</w:t>
            </w:r>
          </w:p>
        </w:tc>
        <w:tc>
          <w:tcPr>
            <w:tcW w:w="7007" w:type="dxa"/>
            <w:tcBorders>
              <w:left w:val="single" w:color="auto" w:sz="4" w:space="0"/>
            </w:tcBorders>
            <w:noWrap w:val="0"/>
            <w:vAlign w:val="center"/>
          </w:tcPr>
          <w:p w14:paraId="5A567C54">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名  称：新疆众喀工程项目管理咨询有限公司</w:t>
            </w:r>
          </w:p>
          <w:p w14:paraId="073D99B7">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地  址：喀什地区喀什市南湖路学府小区</w:t>
            </w:r>
          </w:p>
          <w:p w14:paraId="3131BE3E">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6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联系人：闻萍</w:t>
            </w:r>
          </w:p>
          <w:p w14:paraId="673457D9">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default"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电  话：135-7908-8956</w:t>
            </w:r>
          </w:p>
        </w:tc>
      </w:tr>
      <w:tr w14:paraId="372C2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jc w:val="center"/>
        </w:trPr>
        <w:tc>
          <w:tcPr>
            <w:tcW w:w="670" w:type="dxa"/>
            <w:noWrap w:val="0"/>
            <w:vAlign w:val="center"/>
          </w:tcPr>
          <w:p w14:paraId="64EE2B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3</w:t>
            </w:r>
          </w:p>
        </w:tc>
        <w:tc>
          <w:tcPr>
            <w:tcW w:w="1698" w:type="dxa"/>
            <w:tcBorders>
              <w:right w:val="single" w:color="auto" w:sz="4" w:space="0"/>
            </w:tcBorders>
            <w:noWrap w:val="0"/>
            <w:vAlign w:val="center"/>
          </w:tcPr>
          <w:p w14:paraId="2A0BCE04">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项目名称</w:t>
            </w:r>
          </w:p>
        </w:tc>
        <w:tc>
          <w:tcPr>
            <w:tcW w:w="7007" w:type="dxa"/>
            <w:tcBorders>
              <w:left w:val="single" w:color="auto" w:sz="4" w:space="0"/>
            </w:tcBorders>
            <w:noWrap w:val="0"/>
            <w:vAlign w:val="center"/>
          </w:tcPr>
          <w:p w14:paraId="08CF765A">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2025年某单位伙食食材服务采购项目</w:t>
            </w:r>
          </w:p>
        </w:tc>
      </w:tr>
      <w:tr w14:paraId="51395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0" w:type="dxa"/>
            <w:noWrap w:val="0"/>
            <w:vAlign w:val="center"/>
          </w:tcPr>
          <w:p w14:paraId="60EAF7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4</w:t>
            </w:r>
          </w:p>
        </w:tc>
        <w:tc>
          <w:tcPr>
            <w:tcW w:w="1698" w:type="dxa"/>
            <w:tcBorders>
              <w:right w:val="single" w:color="auto" w:sz="4" w:space="0"/>
            </w:tcBorders>
            <w:noWrap w:val="0"/>
            <w:vAlign w:val="center"/>
          </w:tcPr>
          <w:p w14:paraId="5E30904C">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6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采购内容</w:t>
            </w:r>
          </w:p>
        </w:tc>
        <w:tc>
          <w:tcPr>
            <w:tcW w:w="7007" w:type="dxa"/>
            <w:tcBorders>
              <w:left w:val="single" w:color="auto" w:sz="4" w:space="0"/>
            </w:tcBorders>
            <w:noWrap w:val="0"/>
            <w:vAlign w:val="center"/>
          </w:tcPr>
          <w:p w14:paraId="4EC78291">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default" w:ascii="仿宋_GB2312" w:hAnsi="仿宋_GB2312" w:eastAsia="仿宋_GB2312" w:cs="仿宋_GB2312"/>
                <w:i w:val="0"/>
                <w:iCs w:val="0"/>
                <w:caps w:val="0"/>
                <w:color w:val="000000"/>
                <w:spacing w:val="0"/>
                <w:kern w:val="0"/>
                <w:sz w:val="28"/>
                <w:szCs w:val="28"/>
                <w:lang w:val="en-US" w:eastAsia="zh-CN" w:bidi="ar"/>
              </w:rPr>
            </w:pPr>
            <w:r>
              <w:rPr>
                <w:rFonts w:hint="default" w:ascii="仿宋_GB2312" w:hAnsi="仿宋_GB2312" w:eastAsia="仿宋_GB2312" w:cs="仿宋_GB2312"/>
                <w:i w:val="0"/>
                <w:iCs w:val="0"/>
                <w:caps w:val="0"/>
                <w:color w:val="000000"/>
                <w:spacing w:val="0"/>
                <w:kern w:val="0"/>
                <w:sz w:val="28"/>
                <w:szCs w:val="28"/>
                <w:lang w:val="en-US" w:eastAsia="zh-CN" w:bidi="ar"/>
              </w:rPr>
              <w:t>蔬菜一批、米面油肉一批、调料副食品一批</w:t>
            </w:r>
          </w:p>
        </w:tc>
      </w:tr>
      <w:tr w14:paraId="7E912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670" w:type="dxa"/>
            <w:noWrap w:val="0"/>
            <w:vAlign w:val="center"/>
          </w:tcPr>
          <w:p w14:paraId="06381F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5</w:t>
            </w:r>
          </w:p>
        </w:tc>
        <w:tc>
          <w:tcPr>
            <w:tcW w:w="1698" w:type="dxa"/>
            <w:tcBorders>
              <w:right w:val="single" w:color="auto" w:sz="4" w:space="0"/>
            </w:tcBorders>
            <w:noWrap w:val="0"/>
            <w:vAlign w:val="center"/>
          </w:tcPr>
          <w:p w14:paraId="67AF0F9C">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6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资金来源</w:t>
            </w:r>
          </w:p>
        </w:tc>
        <w:tc>
          <w:tcPr>
            <w:tcW w:w="7007" w:type="dxa"/>
            <w:tcBorders>
              <w:left w:val="single" w:color="auto" w:sz="4" w:space="0"/>
            </w:tcBorders>
            <w:noWrap w:val="0"/>
            <w:vAlign w:val="center"/>
          </w:tcPr>
          <w:p w14:paraId="19F9D4B7">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县级财力及自筹资金</w:t>
            </w:r>
          </w:p>
        </w:tc>
      </w:tr>
      <w:tr w14:paraId="13B4A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0" w:type="dxa"/>
            <w:noWrap w:val="0"/>
            <w:vAlign w:val="center"/>
          </w:tcPr>
          <w:p w14:paraId="77CA4D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6</w:t>
            </w:r>
          </w:p>
        </w:tc>
        <w:tc>
          <w:tcPr>
            <w:tcW w:w="1698" w:type="dxa"/>
            <w:tcBorders>
              <w:right w:val="single" w:color="auto" w:sz="4" w:space="0"/>
            </w:tcBorders>
            <w:noWrap w:val="0"/>
            <w:vAlign w:val="center"/>
          </w:tcPr>
          <w:p w14:paraId="306CF8F5">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预算金额</w:t>
            </w:r>
          </w:p>
        </w:tc>
        <w:tc>
          <w:tcPr>
            <w:tcW w:w="7007" w:type="dxa"/>
            <w:tcBorders>
              <w:left w:val="single" w:color="auto" w:sz="4" w:space="0"/>
            </w:tcBorders>
            <w:noWrap w:val="0"/>
            <w:vAlign w:val="center"/>
          </w:tcPr>
          <w:p w14:paraId="7538E830">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 xml:space="preserve">7000000.00元（柒佰万元整）        </w:t>
            </w:r>
          </w:p>
        </w:tc>
      </w:tr>
      <w:tr w14:paraId="68F41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670" w:type="dxa"/>
            <w:noWrap w:val="0"/>
            <w:vAlign w:val="center"/>
          </w:tcPr>
          <w:p w14:paraId="0937EB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7</w:t>
            </w:r>
          </w:p>
        </w:tc>
        <w:tc>
          <w:tcPr>
            <w:tcW w:w="1698" w:type="dxa"/>
            <w:tcBorders>
              <w:right w:val="single" w:color="auto" w:sz="4" w:space="0"/>
            </w:tcBorders>
            <w:noWrap w:val="0"/>
            <w:vAlign w:val="center"/>
          </w:tcPr>
          <w:p w14:paraId="1C30740C">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采购方式</w:t>
            </w:r>
          </w:p>
        </w:tc>
        <w:tc>
          <w:tcPr>
            <w:tcW w:w="7007" w:type="dxa"/>
            <w:tcBorders>
              <w:left w:val="single" w:color="auto" w:sz="4" w:space="0"/>
            </w:tcBorders>
            <w:noWrap w:val="0"/>
            <w:vAlign w:val="center"/>
          </w:tcPr>
          <w:p w14:paraId="76C9CCCF">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公开招标</w:t>
            </w:r>
          </w:p>
        </w:tc>
      </w:tr>
      <w:tr w14:paraId="1C544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670" w:type="dxa"/>
            <w:noWrap w:val="0"/>
            <w:vAlign w:val="center"/>
          </w:tcPr>
          <w:p w14:paraId="69738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8</w:t>
            </w:r>
          </w:p>
        </w:tc>
        <w:tc>
          <w:tcPr>
            <w:tcW w:w="1698" w:type="dxa"/>
            <w:tcBorders>
              <w:right w:val="single" w:color="auto" w:sz="4" w:space="0"/>
            </w:tcBorders>
            <w:noWrap w:val="0"/>
            <w:vAlign w:val="center"/>
          </w:tcPr>
          <w:p w14:paraId="759BE10E">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评标方法</w:t>
            </w:r>
          </w:p>
        </w:tc>
        <w:tc>
          <w:tcPr>
            <w:tcW w:w="7007" w:type="dxa"/>
            <w:tcBorders>
              <w:left w:val="single" w:color="auto" w:sz="4" w:space="0"/>
            </w:tcBorders>
            <w:noWrap w:val="0"/>
            <w:vAlign w:val="center"/>
          </w:tcPr>
          <w:p w14:paraId="792E8996">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default"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综合评分法</w:t>
            </w:r>
          </w:p>
        </w:tc>
      </w:tr>
      <w:tr w14:paraId="7BFEF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0" w:type="dxa"/>
            <w:noWrap w:val="0"/>
            <w:vAlign w:val="center"/>
          </w:tcPr>
          <w:p w14:paraId="278B79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w:t>
            </w:r>
          </w:p>
        </w:tc>
        <w:tc>
          <w:tcPr>
            <w:tcW w:w="1698" w:type="dxa"/>
            <w:tcBorders>
              <w:right w:val="single" w:color="auto" w:sz="4" w:space="0"/>
            </w:tcBorders>
            <w:noWrap w:val="0"/>
            <w:vAlign w:val="center"/>
          </w:tcPr>
          <w:p w14:paraId="41927CA5">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信息      公告媒体</w:t>
            </w:r>
          </w:p>
        </w:tc>
        <w:tc>
          <w:tcPr>
            <w:tcW w:w="7007" w:type="dxa"/>
            <w:tcBorders>
              <w:left w:val="single" w:color="auto" w:sz="4" w:space="0"/>
            </w:tcBorders>
            <w:noWrap w:val="0"/>
            <w:vAlign w:val="center"/>
          </w:tcPr>
          <w:p w14:paraId="2FDFCD4B">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新疆政府采购网</w:t>
            </w:r>
            <w:r>
              <w:rPr>
                <w:rFonts w:hint="eastAsia" w:ascii="仿宋_GB2312" w:hAnsi="仿宋_GB2312" w:eastAsia="仿宋_GB2312" w:cs="仿宋_GB2312"/>
                <w:i w:val="0"/>
                <w:iCs w:val="0"/>
                <w:caps w:val="0"/>
                <w:color w:val="000000"/>
                <w:spacing w:val="0"/>
                <w:kern w:val="0"/>
                <w:sz w:val="28"/>
                <w:szCs w:val="28"/>
                <w:u w:val="single"/>
                <w:lang w:val="en-US" w:eastAsia="zh-CN" w:bidi="ar"/>
              </w:rPr>
              <w:t>（http://www.ccgp-xinjiang.gov.cn/）</w:t>
            </w:r>
          </w:p>
        </w:tc>
      </w:tr>
      <w:tr w14:paraId="77704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0" w:type="dxa"/>
            <w:noWrap w:val="0"/>
            <w:vAlign w:val="center"/>
          </w:tcPr>
          <w:p w14:paraId="604552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1698" w:type="dxa"/>
            <w:tcBorders>
              <w:right w:val="single" w:color="auto" w:sz="4" w:space="0"/>
            </w:tcBorders>
            <w:noWrap w:val="0"/>
            <w:vAlign w:val="center"/>
          </w:tcPr>
          <w:p w14:paraId="5A0476F5">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投标人     资格要求</w:t>
            </w:r>
          </w:p>
        </w:tc>
        <w:tc>
          <w:tcPr>
            <w:tcW w:w="7007" w:type="dxa"/>
            <w:tcBorders>
              <w:left w:val="single" w:color="auto" w:sz="4" w:space="0"/>
            </w:tcBorders>
            <w:noWrap w:val="0"/>
            <w:vAlign w:val="center"/>
          </w:tcPr>
          <w:p w14:paraId="3644E5A4">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（1）投标人须具备有效经年检合格的“三证合一”营业执照；</w:t>
            </w:r>
          </w:p>
          <w:p w14:paraId="6959703A">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（2）法定代表人、委托人的身份证明及授权委托书；</w:t>
            </w:r>
          </w:p>
          <w:p w14:paraId="733B2AB7">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（3）投标人需提供本单位依法缴纳投标截止时间前半年内任意连续近三个月社保缴纳证明单位缴费个人明细表（社保证明可含：社保缴费凭证、社保缴费证明、社保缴费汇总单、依法缴纳社保的完税证明）；</w:t>
            </w:r>
          </w:p>
          <w:p w14:paraId="7EF563CF">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（4）投标人需提供2023年度第三方审计机构出具的财务审计报告(会计周期不满一年的提供近三个月银行出具的资信证明）和健全的财务会计制度；</w:t>
            </w:r>
          </w:p>
          <w:p w14:paraId="6D7F1260">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（5）投标人需提供税务部门出具投标截止时间前半年内任意连续近三个月缴纳税收的完税证明（需含增值税、印花税等税种；如当月无需缴税需提供税务机关出具的无欠税证明）；</w:t>
            </w:r>
          </w:p>
          <w:p w14:paraId="2E712CEA">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6）凡拟参加本次招标项目的投标人，近三年内如在“信用中国（www.creditchina.gov.cn）”被列入失信被执行人、企业经营异常名录、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严重违法失信名单（黑名单）信息（尚在处罚期内的）；将拒绝其参与本次政府采购活动；提供上述网页查询截图并加盖公章，</w:t>
            </w:r>
            <w:r>
              <w:rPr>
                <w:rFonts w:hint="eastAsia" w:ascii="仿宋_GB2312" w:hAnsi="仿宋_GB2312" w:eastAsia="仿宋_GB2312" w:cs="仿宋_GB2312"/>
                <w:i w:val="0"/>
                <w:iCs w:val="0"/>
                <w:caps w:val="0"/>
                <w:color w:val="000000"/>
                <w:spacing w:val="0"/>
                <w:kern w:val="0"/>
                <w:sz w:val="28"/>
                <w:szCs w:val="28"/>
                <w:highlight w:val="green"/>
                <w:lang w:val="en-US" w:eastAsia="zh-CN" w:bidi="ar"/>
              </w:rPr>
              <w:t>查询日期必须为此项目公告发布至开标截止时间前一日内有效；</w:t>
            </w:r>
          </w:p>
          <w:p w14:paraId="286E314E">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（7）投标人提供针对本次项目《反商业贿赂承诺书》；</w:t>
            </w:r>
          </w:p>
          <w:p w14:paraId="25341A4A">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（8）参加政府采购活动前3年内在经营活动中没有重大违法记录的书面声明；</w:t>
            </w:r>
          </w:p>
          <w:p w14:paraId="79D35F8E">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（9）投标人提供有效期内《食品经营许可证》或《食品流通许可证》或《食品生产许可证》；</w:t>
            </w:r>
          </w:p>
          <w:p w14:paraId="460269B1">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（10）投标保证金有效凭证；</w:t>
            </w:r>
          </w:p>
          <w:p w14:paraId="3A2A0D99">
            <w:pPr>
              <w:pStyle w:val="2"/>
              <w:ind w:left="0" w:leftChars="0" w:firstLine="0" w:firstLineChars="0"/>
              <w:rPr>
                <w:rFonts w:hint="eastAsia"/>
                <w:lang w:val="en-US" w:eastAsia="zh-CN"/>
              </w:rPr>
            </w:pPr>
            <w:r>
              <w:rPr>
                <w:rFonts w:hint="eastAsia" w:ascii="仿宋_GB2312" w:hAnsi="仿宋_GB2312" w:eastAsia="仿宋_GB2312" w:cs="仿宋_GB2312"/>
                <w:i w:val="0"/>
                <w:iCs w:val="0"/>
                <w:caps w:val="0"/>
                <w:color w:val="000000"/>
                <w:spacing w:val="0"/>
                <w:kern w:val="0"/>
                <w:sz w:val="28"/>
                <w:szCs w:val="28"/>
                <w:lang w:val="en-US" w:eastAsia="zh-CN" w:bidi="ar"/>
              </w:rPr>
              <w:t>（11）落实政府采购政策需满足的资格要求：本项目专门面向中小微企业采购，不再执行价格评审优惠政策。请根据要求单独上传《中小企业声明函》，格式以采购文件中要求为准。</w:t>
            </w:r>
          </w:p>
        </w:tc>
      </w:tr>
      <w:tr w14:paraId="1E0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jc w:val="center"/>
        </w:trPr>
        <w:tc>
          <w:tcPr>
            <w:tcW w:w="670" w:type="dxa"/>
            <w:noWrap w:val="0"/>
            <w:vAlign w:val="center"/>
          </w:tcPr>
          <w:p w14:paraId="7CD70168">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11</w:t>
            </w:r>
          </w:p>
        </w:tc>
        <w:tc>
          <w:tcPr>
            <w:tcW w:w="1698" w:type="dxa"/>
            <w:tcBorders>
              <w:right w:val="single" w:color="auto" w:sz="4" w:space="0"/>
            </w:tcBorders>
            <w:noWrap w:val="0"/>
            <w:vAlign w:val="center"/>
          </w:tcPr>
          <w:p w14:paraId="58D7048B">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供货期</w:t>
            </w:r>
          </w:p>
        </w:tc>
        <w:tc>
          <w:tcPr>
            <w:tcW w:w="7007" w:type="dxa"/>
            <w:tcBorders>
              <w:left w:val="single" w:color="auto" w:sz="4" w:space="0"/>
            </w:tcBorders>
            <w:noWrap w:val="0"/>
            <w:vAlign w:val="center"/>
          </w:tcPr>
          <w:p w14:paraId="542E2B86">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u w:val="single"/>
                <w:lang w:val="en-US" w:eastAsia="zh-CN" w:bidi="ar"/>
              </w:rPr>
              <w:t>1年</w:t>
            </w:r>
            <w:r>
              <w:rPr>
                <w:rFonts w:hint="eastAsia" w:ascii="仿宋_GB2312" w:hAnsi="仿宋_GB2312" w:eastAsia="仿宋_GB2312" w:cs="仿宋_GB2312"/>
                <w:i w:val="0"/>
                <w:iCs w:val="0"/>
                <w:caps w:val="0"/>
                <w:color w:val="000000"/>
                <w:spacing w:val="0"/>
                <w:kern w:val="0"/>
                <w:sz w:val="28"/>
                <w:szCs w:val="28"/>
                <w:lang w:val="en-US" w:eastAsia="zh-CN" w:bidi="ar"/>
              </w:rPr>
              <w:t>（具体履行期限以签订合同为准）</w:t>
            </w:r>
          </w:p>
        </w:tc>
      </w:tr>
      <w:tr w14:paraId="70788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6" w:hRule="atLeast"/>
          <w:jc w:val="center"/>
        </w:trPr>
        <w:tc>
          <w:tcPr>
            <w:tcW w:w="670" w:type="dxa"/>
            <w:noWrap w:val="0"/>
            <w:vAlign w:val="center"/>
          </w:tcPr>
          <w:p w14:paraId="53EB92EF">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12</w:t>
            </w:r>
          </w:p>
        </w:tc>
        <w:tc>
          <w:tcPr>
            <w:tcW w:w="1698" w:type="dxa"/>
            <w:tcBorders>
              <w:right w:val="single" w:color="auto" w:sz="4" w:space="0"/>
            </w:tcBorders>
            <w:noWrap w:val="0"/>
            <w:vAlign w:val="center"/>
          </w:tcPr>
          <w:p w14:paraId="2F06E2A6">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质量要求</w:t>
            </w:r>
          </w:p>
        </w:tc>
        <w:tc>
          <w:tcPr>
            <w:tcW w:w="7007" w:type="dxa"/>
            <w:tcBorders>
              <w:left w:val="single" w:color="auto" w:sz="4" w:space="0"/>
            </w:tcBorders>
            <w:noWrap w:val="0"/>
            <w:vAlign w:val="center"/>
          </w:tcPr>
          <w:p w14:paraId="09E35458">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atLeas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满足现行的食用农产品质量安全标准、食品卫生标准、食品质量标准和有关食品的行业标准中强制执行标准。</w:t>
            </w:r>
          </w:p>
        </w:tc>
      </w:tr>
      <w:tr w14:paraId="39740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0" w:type="dxa"/>
            <w:noWrap w:val="0"/>
            <w:vAlign w:val="center"/>
          </w:tcPr>
          <w:p w14:paraId="2F8D7488">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13</w:t>
            </w:r>
          </w:p>
        </w:tc>
        <w:tc>
          <w:tcPr>
            <w:tcW w:w="1698" w:type="dxa"/>
            <w:tcBorders>
              <w:right w:val="single" w:color="auto" w:sz="4" w:space="0"/>
            </w:tcBorders>
            <w:noWrap w:val="0"/>
            <w:vAlign w:val="center"/>
          </w:tcPr>
          <w:p w14:paraId="1F55F1AC">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验收要求</w:t>
            </w:r>
          </w:p>
        </w:tc>
        <w:tc>
          <w:tcPr>
            <w:tcW w:w="7007" w:type="dxa"/>
            <w:tcBorders>
              <w:left w:val="single" w:color="auto" w:sz="4" w:space="0"/>
            </w:tcBorders>
            <w:noWrap w:val="0"/>
            <w:vAlign w:val="center"/>
          </w:tcPr>
          <w:p w14:paraId="3D38D08E">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atLeas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根据国家有关规定、招标文件、中标方的投标文件以及合同约定的内容和验收标准进行验收。</w:t>
            </w:r>
          </w:p>
        </w:tc>
      </w:tr>
      <w:tr w14:paraId="4AC67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670" w:type="dxa"/>
            <w:noWrap w:val="0"/>
            <w:vAlign w:val="center"/>
          </w:tcPr>
          <w:p w14:paraId="3525B8DE">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14</w:t>
            </w:r>
          </w:p>
        </w:tc>
        <w:tc>
          <w:tcPr>
            <w:tcW w:w="1698" w:type="dxa"/>
            <w:tcBorders>
              <w:right w:val="single" w:color="auto" w:sz="4" w:space="0"/>
            </w:tcBorders>
            <w:noWrap w:val="0"/>
            <w:vAlign w:val="center"/>
          </w:tcPr>
          <w:p w14:paraId="37320854">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是否允许  联合体投标</w:t>
            </w:r>
          </w:p>
        </w:tc>
        <w:tc>
          <w:tcPr>
            <w:tcW w:w="7007" w:type="dxa"/>
            <w:tcBorders>
              <w:left w:val="single" w:color="auto" w:sz="4" w:space="0"/>
            </w:tcBorders>
            <w:noWrap w:val="0"/>
            <w:vAlign w:val="center"/>
          </w:tcPr>
          <w:p w14:paraId="73C7CC5E">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A3"/>
            </w:r>
            <w:r>
              <w:rPr>
                <w:rFonts w:hint="eastAsia" w:ascii="仿宋_GB2312" w:hAnsi="仿宋_GB2312" w:eastAsia="仿宋_GB2312" w:cs="仿宋_GB2312"/>
                <w:i w:val="0"/>
                <w:iCs w:val="0"/>
                <w:caps w:val="0"/>
                <w:color w:val="000000"/>
                <w:spacing w:val="0"/>
                <w:kern w:val="0"/>
                <w:sz w:val="28"/>
                <w:szCs w:val="28"/>
                <w:lang w:val="en-US" w:eastAsia="zh-CN" w:bidi="ar"/>
              </w:rPr>
              <w:t>是</w:t>
            </w:r>
          </w:p>
          <w:p w14:paraId="56238CD4">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52"/>
            </w:r>
            <w:r>
              <w:rPr>
                <w:rFonts w:hint="eastAsia" w:ascii="仿宋_GB2312" w:hAnsi="仿宋_GB2312" w:eastAsia="仿宋_GB2312" w:cs="仿宋_GB2312"/>
                <w:i w:val="0"/>
                <w:iCs w:val="0"/>
                <w:caps w:val="0"/>
                <w:color w:val="000000"/>
                <w:spacing w:val="0"/>
                <w:kern w:val="0"/>
                <w:sz w:val="28"/>
                <w:szCs w:val="28"/>
                <w:lang w:val="en-US" w:eastAsia="zh-CN" w:bidi="ar"/>
              </w:rPr>
              <w:t>否</w:t>
            </w:r>
          </w:p>
        </w:tc>
      </w:tr>
      <w:tr w14:paraId="3CDFD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670" w:type="dxa"/>
            <w:noWrap w:val="0"/>
            <w:vAlign w:val="center"/>
          </w:tcPr>
          <w:p w14:paraId="2D5375A7">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15</w:t>
            </w:r>
          </w:p>
        </w:tc>
        <w:tc>
          <w:tcPr>
            <w:tcW w:w="1698" w:type="dxa"/>
            <w:tcBorders>
              <w:right w:val="single" w:color="auto" w:sz="4" w:space="0"/>
            </w:tcBorders>
            <w:noWrap w:val="0"/>
            <w:vAlign w:val="center"/>
          </w:tcPr>
          <w:p w14:paraId="3F9FCCEB">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是否组织  踏勘现场</w:t>
            </w:r>
          </w:p>
        </w:tc>
        <w:tc>
          <w:tcPr>
            <w:tcW w:w="7007" w:type="dxa"/>
            <w:tcBorders>
              <w:left w:val="single" w:color="auto" w:sz="4" w:space="0"/>
            </w:tcBorders>
            <w:noWrap w:val="0"/>
            <w:vAlign w:val="center"/>
          </w:tcPr>
          <w:p w14:paraId="2CDA76D6">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52"/>
            </w:r>
            <w:r>
              <w:rPr>
                <w:rFonts w:hint="eastAsia" w:ascii="仿宋_GB2312" w:hAnsi="仿宋_GB2312" w:eastAsia="仿宋_GB2312" w:cs="仿宋_GB2312"/>
                <w:i w:val="0"/>
                <w:iCs w:val="0"/>
                <w:caps w:val="0"/>
                <w:color w:val="000000"/>
                <w:spacing w:val="0"/>
                <w:kern w:val="0"/>
                <w:sz w:val="28"/>
                <w:szCs w:val="28"/>
                <w:lang w:val="en-US" w:eastAsia="zh-CN" w:bidi="ar"/>
              </w:rPr>
              <w:t>不组织</w:t>
            </w:r>
          </w:p>
          <w:p w14:paraId="76418C68">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□组织</w:t>
            </w:r>
          </w:p>
        </w:tc>
      </w:tr>
      <w:tr w14:paraId="65ECC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670" w:type="dxa"/>
            <w:noWrap w:val="0"/>
            <w:vAlign w:val="center"/>
          </w:tcPr>
          <w:p w14:paraId="4A02FA09">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16</w:t>
            </w:r>
          </w:p>
        </w:tc>
        <w:tc>
          <w:tcPr>
            <w:tcW w:w="1698" w:type="dxa"/>
            <w:tcBorders>
              <w:right w:val="single" w:color="auto" w:sz="4" w:space="0"/>
            </w:tcBorders>
            <w:noWrap w:val="0"/>
            <w:vAlign w:val="center"/>
          </w:tcPr>
          <w:p w14:paraId="3AF482DB">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是否      允许分包</w:t>
            </w:r>
          </w:p>
        </w:tc>
        <w:tc>
          <w:tcPr>
            <w:tcW w:w="7007" w:type="dxa"/>
            <w:tcBorders>
              <w:left w:val="single" w:color="auto" w:sz="4" w:space="0"/>
            </w:tcBorders>
            <w:noWrap w:val="0"/>
            <w:vAlign w:val="center"/>
          </w:tcPr>
          <w:p w14:paraId="01B12619">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A3"/>
            </w:r>
            <w:r>
              <w:rPr>
                <w:rFonts w:hint="eastAsia" w:ascii="仿宋_GB2312" w:hAnsi="仿宋_GB2312" w:eastAsia="仿宋_GB2312" w:cs="仿宋_GB2312"/>
                <w:i w:val="0"/>
                <w:iCs w:val="0"/>
                <w:caps w:val="0"/>
                <w:color w:val="000000"/>
                <w:spacing w:val="0"/>
                <w:kern w:val="0"/>
                <w:sz w:val="28"/>
                <w:szCs w:val="28"/>
                <w:lang w:val="en-US" w:eastAsia="zh-CN" w:bidi="ar"/>
              </w:rPr>
              <w:t>是</w:t>
            </w:r>
          </w:p>
          <w:p w14:paraId="3ACA5811">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52"/>
            </w:r>
            <w:r>
              <w:rPr>
                <w:rFonts w:hint="eastAsia" w:ascii="仿宋_GB2312" w:hAnsi="仿宋_GB2312" w:eastAsia="仿宋_GB2312" w:cs="仿宋_GB2312"/>
                <w:i w:val="0"/>
                <w:iCs w:val="0"/>
                <w:caps w:val="0"/>
                <w:color w:val="000000"/>
                <w:spacing w:val="0"/>
                <w:kern w:val="0"/>
                <w:sz w:val="28"/>
                <w:szCs w:val="28"/>
                <w:lang w:val="en-US" w:eastAsia="zh-CN" w:bidi="ar"/>
              </w:rPr>
              <w:t>否</w:t>
            </w:r>
          </w:p>
        </w:tc>
      </w:tr>
      <w:tr w14:paraId="06578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670" w:type="dxa"/>
            <w:noWrap w:val="0"/>
            <w:vAlign w:val="center"/>
          </w:tcPr>
          <w:p w14:paraId="3E40E0DC">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17</w:t>
            </w:r>
          </w:p>
        </w:tc>
        <w:tc>
          <w:tcPr>
            <w:tcW w:w="1698" w:type="dxa"/>
            <w:tcBorders>
              <w:right w:val="single" w:color="auto" w:sz="4" w:space="0"/>
            </w:tcBorders>
            <w:noWrap w:val="0"/>
            <w:vAlign w:val="center"/>
          </w:tcPr>
          <w:p w14:paraId="19235EB4">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是否      接受转包</w:t>
            </w:r>
          </w:p>
        </w:tc>
        <w:tc>
          <w:tcPr>
            <w:tcW w:w="7007" w:type="dxa"/>
            <w:tcBorders>
              <w:left w:val="single" w:color="auto" w:sz="4" w:space="0"/>
            </w:tcBorders>
            <w:noWrap w:val="0"/>
            <w:vAlign w:val="center"/>
          </w:tcPr>
          <w:p w14:paraId="6AA49EC7">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A3"/>
            </w:r>
            <w:r>
              <w:rPr>
                <w:rFonts w:hint="eastAsia" w:ascii="仿宋_GB2312" w:hAnsi="仿宋_GB2312" w:eastAsia="仿宋_GB2312" w:cs="仿宋_GB2312"/>
                <w:i w:val="0"/>
                <w:iCs w:val="0"/>
                <w:caps w:val="0"/>
                <w:color w:val="000000"/>
                <w:spacing w:val="0"/>
                <w:kern w:val="0"/>
                <w:sz w:val="28"/>
                <w:szCs w:val="28"/>
                <w:lang w:val="en-US" w:eastAsia="zh-CN" w:bidi="ar"/>
              </w:rPr>
              <w:t>是</w:t>
            </w:r>
          </w:p>
          <w:p w14:paraId="4583DFE3">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52"/>
            </w:r>
            <w:r>
              <w:rPr>
                <w:rFonts w:hint="eastAsia" w:ascii="仿宋_GB2312" w:hAnsi="仿宋_GB2312" w:eastAsia="仿宋_GB2312" w:cs="仿宋_GB2312"/>
                <w:i w:val="0"/>
                <w:iCs w:val="0"/>
                <w:caps w:val="0"/>
                <w:color w:val="000000"/>
                <w:spacing w:val="0"/>
                <w:kern w:val="0"/>
                <w:sz w:val="28"/>
                <w:szCs w:val="28"/>
                <w:lang w:val="en-US" w:eastAsia="zh-CN" w:bidi="ar"/>
              </w:rPr>
              <w:t>否</w:t>
            </w:r>
          </w:p>
        </w:tc>
      </w:tr>
      <w:tr w14:paraId="491E6E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7" w:hRule="atLeast"/>
          <w:jc w:val="center"/>
        </w:trPr>
        <w:tc>
          <w:tcPr>
            <w:tcW w:w="670" w:type="dxa"/>
            <w:noWrap w:val="0"/>
            <w:vAlign w:val="center"/>
          </w:tcPr>
          <w:p w14:paraId="3E9ABF41">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18</w:t>
            </w:r>
          </w:p>
        </w:tc>
        <w:tc>
          <w:tcPr>
            <w:tcW w:w="1698" w:type="dxa"/>
            <w:tcBorders>
              <w:right w:val="single" w:color="auto" w:sz="4" w:space="0"/>
            </w:tcBorders>
            <w:noWrap w:val="0"/>
            <w:vAlign w:val="center"/>
          </w:tcPr>
          <w:p w14:paraId="67E44320">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是否专门面向中小企业</w:t>
            </w:r>
          </w:p>
        </w:tc>
        <w:tc>
          <w:tcPr>
            <w:tcW w:w="7007" w:type="dxa"/>
            <w:tcBorders>
              <w:left w:val="single" w:color="auto" w:sz="4" w:space="0"/>
            </w:tcBorders>
            <w:noWrap w:val="0"/>
            <w:vAlign w:val="center"/>
          </w:tcPr>
          <w:p w14:paraId="2E6EECB7">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52"/>
            </w:r>
            <w:r>
              <w:rPr>
                <w:rFonts w:hint="eastAsia" w:ascii="仿宋_GB2312" w:hAnsi="仿宋_GB2312" w:eastAsia="仿宋_GB2312" w:cs="仿宋_GB2312"/>
                <w:i w:val="0"/>
                <w:iCs w:val="0"/>
                <w:caps w:val="0"/>
                <w:color w:val="000000"/>
                <w:spacing w:val="0"/>
                <w:kern w:val="0"/>
                <w:sz w:val="28"/>
                <w:szCs w:val="28"/>
                <w:lang w:val="en-US" w:eastAsia="zh-CN" w:bidi="ar"/>
              </w:rPr>
              <w:t>是</w:t>
            </w:r>
          </w:p>
          <w:p w14:paraId="06E34CB8">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sym w:font="Wingdings 2" w:char="00A3"/>
            </w:r>
            <w:r>
              <w:rPr>
                <w:rFonts w:hint="eastAsia" w:ascii="仿宋_GB2312" w:hAnsi="仿宋_GB2312" w:eastAsia="仿宋_GB2312" w:cs="仿宋_GB2312"/>
                <w:i w:val="0"/>
                <w:iCs w:val="0"/>
                <w:caps w:val="0"/>
                <w:color w:val="000000"/>
                <w:spacing w:val="0"/>
                <w:kern w:val="0"/>
                <w:sz w:val="28"/>
                <w:szCs w:val="28"/>
                <w:lang w:val="en-US" w:eastAsia="zh-CN" w:bidi="ar"/>
              </w:rPr>
              <w:t>否</w:t>
            </w:r>
          </w:p>
        </w:tc>
      </w:tr>
      <w:tr w14:paraId="300EE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670" w:type="dxa"/>
            <w:noWrap w:val="0"/>
            <w:vAlign w:val="center"/>
          </w:tcPr>
          <w:p w14:paraId="59AEB3FC">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19</w:t>
            </w:r>
          </w:p>
        </w:tc>
        <w:tc>
          <w:tcPr>
            <w:tcW w:w="1698" w:type="dxa"/>
            <w:tcBorders>
              <w:right w:val="single" w:color="auto" w:sz="4" w:space="0"/>
            </w:tcBorders>
            <w:noWrap w:val="0"/>
            <w:vAlign w:val="center"/>
          </w:tcPr>
          <w:p w14:paraId="191B95B2">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递交投标  文件的地点及方式</w:t>
            </w:r>
          </w:p>
        </w:tc>
        <w:tc>
          <w:tcPr>
            <w:tcW w:w="7007" w:type="dxa"/>
            <w:tcBorders>
              <w:left w:val="single" w:color="auto" w:sz="4" w:space="0"/>
            </w:tcBorders>
            <w:noWrap w:val="0"/>
            <w:vAlign w:val="center"/>
          </w:tcPr>
          <w:p w14:paraId="080B47DA">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400" w:lineRule="exact"/>
              <w:ind w:left="0" w:right="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提交投标文件截止时间</w:t>
            </w:r>
            <w:r>
              <w:rPr>
                <w:rFonts w:hint="eastAsia" w:ascii="仿宋_GB2312" w:hAnsi="仿宋_GB2312" w:eastAsia="仿宋_GB2312" w:cs="仿宋_GB2312"/>
                <w:i w:val="0"/>
                <w:iCs w:val="0"/>
                <w:caps w:val="0"/>
                <w:color w:val="auto"/>
                <w:spacing w:val="0"/>
                <w:kern w:val="0"/>
                <w:sz w:val="28"/>
                <w:szCs w:val="28"/>
                <w:highlight w:val="none"/>
                <w:lang w:val="en-US" w:eastAsia="zh-CN" w:bidi="ar"/>
              </w:rPr>
              <w:t>：2025年03月04日16:00（北京时间）</w:t>
            </w:r>
          </w:p>
          <w:p w14:paraId="4A86CA20">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400" w:lineRule="exact"/>
              <w:ind w:left="0" w:right="0"/>
              <w:jc w:val="both"/>
              <w:textAlignment w:val="auto"/>
              <w:rPr>
                <w:rFonts w:hint="eastAsia" w:ascii="仿宋_GB2312" w:hAnsi="仿宋_GB2312" w:eastAsia="仿宋_GB2312" w:cs="仿宋_GB2312"/>
                <w:i w:val="0"/>
                <w:iCs w:val="0"/>
                <w:caps w:val="0"/>
                <w:color w:val="auto"/>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投标地点：https://www.zcygov.cn在线投标</w:t>
            </w:r>
          </w:p>
          <w:p w14:paraId="52AAD1A2">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40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auto"/>
                <w:spacing w:val="0"/>
                <w:kern w:val="0"/>
                <w:sz w:val="28"/>
                <w:szCs w:val="28"/>
                <w:highlight w:val="none"/>
                <w:lang w:val="en-US" w:eastAsia="zh-CN" w:bidi="ar"/>
              </w:rPr>
              <w:t>开标时间：2025年03月04日16:00（北</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京时间）</w:t>
            </w:r>
          </w:p>
          <w:p w14:paraId="4C2247D9">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400" w:lineRule="exact"/>
              <w:ind w:left="0" w:right="0" w:right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开标地点：https://www.zcygov.cn</w:t>
            </w:r>
          </w:p>
        </w:tc>
      </w:tr>
      <w:tr w14:paraId="608C12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jc w:val="center"/>
        </w:trPr>
        <w:tc>
          <w:tcPr>
            <w:tcW w:w="670" w:type="dxa"/>
            <w:noWrap w:val="0"/>
            <w:vAlign w:val="center"/>
          </w:tcPr>
          <w:p w14:paraId="7009CAEC">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20</w:t>
            </w:r>
          </w:p>
        </w:tc>
        <w:tc>
          <w:tcPr>
            <w:tcW w:w="1698" w:type="dxa"/>
            <w:tcBorders>
              <w:right w:val="single" w:color="auto" w:sz="4" w:space="0"/>
            </w:tcBorders>
            <w:noWrap w:val="0"/>
            <w:vAlign w:val="center"/>
          </w:tcPr>
          <w:p w14:paraId="54EF6BF4">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投标有效期</w:t>
            </w:r>
          </w:p>
        </w:tc>
        <w:tc>
          <w:tcPr>
            <w:tcW w:w="7007" w:type="dxa"/>
            <w:tcBorders>
              <w:left w:val="single" w:color="auto" w:sz="4" w:space="0"/>
            </w:tcBorders>
            <w:noWrap w:val="0"/>
            <w:vAlign w:val="center"/>
          </w:tcPr>
          <w:p w14:paraId="733A6F78">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u w:val="single"/>
                <w:lang w:val="en-US" w:eastAsia="zh-CN" w:bidi="ar"/>
              </w:rPr>
              <w:t>90日历天</w:t>
            </w:r>
            <w:r>
              <w:rPr>
                <w:rFonts w:hint="eastAsia" w:ascii="仿宋_GB2312" w:hAnsi="仿宋_GB2312" w:eastAsia="仿宋_GB2312" w:cs="仿宋_GB2312"/>
                <w:i w:val="0"/>
                <w:iCs w:val="0"/>
                <w:caps w:val="0"/>
                <w:color w:val="000000"/>
                <w:spacing w:val="0"/>
                <w:kern w:val="0"/>
                <w:sz w:val="28"/>
                <w:szCs w:val="28"/>
                <w:lang w:val="en-US" w:eastAsia="zh-CN" w:bidi="ar"/>
              </w:rPr>
              <w:t>（从投标截止之日算起）</w:t>
            </w:r>
          </w:p>
        </w:tc>
      </w:tr>
      <w:tr w14:paraId="6569A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3" w:hRule="atLeast"/>
          <w:jc w:val="center"/>
        </w:trPr>
        <w:tc>
          <w:tcPr>
            <w:tcW w:w="670" w:type="dxa"/>
            <w:noWrap w:val="0"/>
            <w:vAlign w:val="center"/>
          </w:tcPr>
          <w:p w14:paraId="55972F99">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21</w:t>
            </w:r>
          </w:p>
        </w:tc>
        <w:tc>
          <w:tcPr>
            <w:tcW w:w="1698" w:type="dxa"/>
            <w:tcBorders>
              <w:right w:val="single" w:color="auto" w:sz="4" w:space="0"/>
            </w:tcBorders>
            <w:noWrap w:val="0"/>
            <w:vAlign w:val="center"/>
          </w:tcPr>
          <w:p w14:paraId="112F0B25">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投标保证金</w:t>
            </w:r>
          </w:p>
        </w:tc>
        <w:tc>
          <w:tcPr>
            <w:tcW w:w="7007" w:type="dxa"/>
            <w:tcBorders>
              <w:left w:val="single" w:color="auto" w:sz="4" w:space="0"/>
            </w:tcBorders>
            <w:noWrap w:val="0"/>
            <w:vAlign w:val="center"/>
          </w:tcPr>
          <w:p w14:paraId="7BA6CF62">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2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bookmarkStart w:id="29" w:name="_Hlk22419936"/>
            <w:r>
              <w:rPr>
                <w:rFonts w:hint="eastAsia" w:ascii="仿宋_GB2312" w:hAnsi="仿宋_GB2312" w:eastAsia="仿宋_GB2312" w:cs="仿宋_GB2312"/>
                <w:i w:val="0"/>
                <w:iCs w:val="0"/>
                <w:caps w:val="0"/>
                <w:color w:val="000000"/>
                <w:spacing w:val="0"/>
                <w:kern w:val="0"/>
                <w:sz w:val="28"/>
                <w:szCs w:val="28"/>
                <w:highlight w:val="none"/>
                <w:lang w:val="en-US" w:eastAsia="zh-CN" w:bidi="ar"/>
              </w:rPr>
              <w:t>到账截止时间：投标截止期前，以银行到账时间为准。</w:t>
            </w:r>
          </w:p>
          <w:p w14:paraId="1771AA0B">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2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投标保证金形式：电汇、网银转账、支票、汇票、本票或者金融机构、担保机构出具的保函。</w:t>
            </w:r>
          </w:p>
          <w:p w14:paraId="5B3BFED0">
            <w:pPr>
              <w:pStyle w:val="4"/>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leftChars="0" w:right="0" w:firstLine="0" w:firstLineChars="0"/>
              <w:textAlignment w:val="auto"/>
              <w:rPr>
                <w:rFonts w:hint="eastAsia"/>
                <w:color w:val="auto"/>
                <w:highlight w:val="none"/>
                <w:lang w:val="en-US" w:eastAsia="zh-CN"/>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投标保证金</w:t>
            </w:r>
            <w:r>
              <w:rPr>
                <w:rFonts w:hint="eastAsia" w:ascii="仿宋_GB2312" w:hAnsi="仿宋_GB2312" w:eastAsia="仿宋_GB2312" w:cs="仿宋_GB2312"/>
                <w:i w:val="0"/>
                <w:iCs w:val="0"/>
                <w:caps w:val="0"/>
                <w:color w:val="auto"/>
                <w:spacing w:val="0"/>
                <w:kern w:val="0"/>
                <w:sz w:val="28"/>
                <w:szCs w:val="28"/>
                <w:highlight w:val="none"/>
                <w:lang w:val="en-US" w:eastAsia="zh-CN" w:bidi="ar"/>
              </w:rPr>
              <w:t>：¥130000.00（人民币壹拾叁万元整）</w:t>
            </w:r>
          </w:p>
          <w:bookmarkEnd w:id="29"/>
          <w:p w14:paraId="50738F99">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2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收款单位：新疆众喀工程项目管理咨询有限公司</w:t>
            </w:r>
          </w:p>
          <w:p w14:paraId="3CA799F7">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2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银行账号：860010012010109236281</w:t>
            </w:r>
          </w:p>
          <w:p w14:paraId="32A783BB">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2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开户银行：新疆喀什农村商业银行股份有限公司</w:t>
            </w:r>
          </w:p>
          <w:p w14:paraId="154177D7">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10" w:beforeAutospacing="0" w:after="0" w:afterLines="10" w:afterAutospacing="0" w:line="32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若采用电汇或转账形式，投标保证金须于投标截止前转入以上指定账户（资格审查以代理机构实际收到为准）不接受现金、支票及任何个人、分公司汇款，投标保证金付款凭证（或收据）复印件制作在投标文件中；</w:t>
            </w:r>
          </w:p>
          <w:p w14:paraId="2BF5AA41">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10" w:beforeAutospacing="0" w:after="0" w:afterLines="10" w:afterAutospacing="0" w:line="320" w:lineRule="exact"/>
              <w:ind w:left="0" w:leftChars="0" w:right="0" w:rightChars="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若采用电子保函形式：按照政采云电子投标流程制作并上传电子保函；</w:t>
            </w:r>
          </w:p>
          <w:p w14:paraId="00CD33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10" w:beforeAutospacing="0" w:after="0" w:afterLines="10" w:afterAutospacing="0" w:line="320" w:lineRule="exact"/>
              <w:ind w:left="0" w:leftChars="0" w:right="0" w:right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（3）采用银行保函时，应将银行保函正本扫描件制作在投标文件中。</w:t>
            </w:r>
          </w:p>
          <w:p w14:paraId="01AB5566">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320" w:lineRule="exact"/>
              <w:ind w:left="0" w:right="0"/>
              <w:jc w:val="both"/>
              <w:textAlignment w:val="auto"/>
              <w:rPr>
                <w:rFonts w:hint="eastAsia"/>
                <w:highlight w:val="none"/>
                <w:lang w:val="en-US" w:eastAsia="zh-CN"/>
              </w:rPr>
            </w:pPr>
            <w:r>
              <w:rPr>
                <w:rFonts w:hint="eastAsia" w:ascii="仿宋_GB2312" w:hAnsi="仿宋_GB2312" w:eastAsia="仿宋_GB2312" w:cs="仿宋_GB2312"/>
                <w:b/>
                <w:bCs/>
                <w:i w:val="0"/>
                <w:iCs w:val="0"/>
                <w:caps w:val="0"/>
                <w:color w:val="000000"/>
                <w:spacing w:val="0"/>
                <w:kern w:val="0"/>
                <w:sz w:val="28"/>
                <w:szCs w:val="28"/>
                <w:highlight w:val="none"/>
                <w:lang w:val="en-US" w:eastAsia="zh-CN" w:bidi="ar"/>
              </w:rPr>
              <w:t>注：汇款时须投标人注明项目名称或项目编号，未标注视为未缴纳。</w:t>
            </w:r>
          </w:p>
        </w:tc>
      </w:tr>
      <w:tr w14:paraId="27241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0" w:type="dxa"/>
            <w:noWrap w:val="0"/>
            <w:vAlign w:val="center"/>
          </w:tcPr>
          <w:p w14:paraId="2263C26D">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22</w:t>
            </w:r>
          </w:p>
        </w:tc>
        <w:tc>
          <w:tcPr>
            <w:tcW w:w="1698" w:type="dxa"/>
            <w:tcBorders>
              <w:right w:val="single" w:color="auto" w:sz="4" w:space="0"/>
            </w:tcBorders>
            <w:noWrap w:val="0"/>
            <w:vAlign w:val="center"/>
          </w:tcPr>
          <w:p w14:paraId="12DF4A80">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签字盖章</w:t>
            </w:r>
          </w:p>
        </w:tc>
        <w:tc>
          <w:tcPr>
            <w:tcW w:w="7007" w:type="dxa"/>
            <w:tcBorders>
              <w:left w:val="single" w:color="auto" w:sz="4" w:space="0"/>
            </w:tcBorders>
            <w:noWrap w:val="0"/>
            <w:vAlign w:val="center"/>
          </w:tcPr>
          <w:p w14:paraId="58C621CE">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400" w:lineRule="exact"/>
              <w:ind w:left="0" w:right="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投标人必须按照招标文件的规定和要求签字、盖章</w:t>
            </w:r>
          </w:p>
        </w:tc>
      </w:tr>
      <w:tr w14:paraId="35E32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0" w:type="dxa"/>
            <w:noWrap w:val="0"/>
            <w:vAlign w:val="center"/>
          </w:tcPr>
          <w:p w14:paraId="0BA21AA3">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23</w:t>
            </w:r>
          </w:p>
        </w:tc>
        <w:tc>
          <w:tcPr>
            <w:tcW w:w="1698" w:type="dxa"/>
            <w:tcBorders>
              <w:right w:val="single" w:color="auto" w:sz="4" w:space="0"/>
            </w:tcBorders>
            <w:noWrap w:val="0"/>
            <w:vAlign w:val="center"/>
          </w:tcPr>
          <w:p w14:paraId="6D7AA7AF">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标前准备</w:t>
            </w:r>
          </w:p>
        </w:tc>
        <w:tc>
          <w:tcPr>
            <w:tcW w:w="7007" w:type="dxa"/>
            <w:tcBorders>
              <w:left w:val="single" w:color="auto" w:sz="4" w:space="0"/>
            </w:tcBorders>
            <w:noWrap w:val="0"/>
            <w:vAlign w:val="center"/>
          </w:tcPr>
          <w:p w14:paraId="62D33F4D">
            <w:pPr>
              <w:pStyle w:val="23"/>
              <w:keepNext w:val="0"/>
              <w:keepLines w:val="0"/>
              <w:pageBreakBefore w:val="0"/>
              <w:widowControl/>
              <w:numPr>
                <w:ilvl w:val="0"/>
                <w:numId w:val="7"/>
              </w:numPr>
              <w:suppressLineNumbers w:val="0"/>
              <w:kinsoku/>
              <w:wordWrap/>
              <w:overflowPunct/>
              <w:topLinePunct w:val="0"/>
              <w:autoSpaceDE/>
              <w:autoSpaceDN/>
              <w:bidi w:val="0"/>
              <w:adjustRightInd/>
              <w:spacing w:before="75" w:beforeAutospacing="0" w:after="75"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本项目实行网上投标，采用电子投标文件(供应商须使用CA加密设备通过新疆政采云电子投标客户端制作投标文件)。若供应商参与投标，自行承担投标一切费用。</w:t>
            </w:r>
          </w:p>
          <w:p w14:paraId="2EC7BFFB">
            <w:pPr>
              <w:pStyle w:val="23"/>
              <w:keepNext w:val="0"/>
              <w:keepLines w:val="0"/>
              <w:pageBreakBefore w:val="0"/>
              <w:widowControl/>
              <w:numPr>
                <w:ilvl w:val="0"/>
                <w:numId w:val="0"/>
              </w:numPr>
              <w:suppressLineNumbers w:val="0"/>
              <w:kinsoku/>
              <w:wordWrap/>
              <w:overflowPunct/>
              <w:topLinePunct w:val="0"/>
              <w:autoSpaceDE/>
              <w:autoSpaceDN/>
              <w:bidi w:val="0"/>
              <w:adjustRightInd/>
              <w:spacing w:before="75" w:beforeAutospacing="0" w:after="75" w:afterAutospacing="0" w:line="240" w:lineRule="auto"/>
              <w:ind w:left="0" w:right="0" w:rightChars="0"/>
              <w:jc w:val="left"/>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2.各供应商应在开标前应确保成为新疆政府采购网正式注册入库供应商，并完成CA数字证书申领。因未注册入库、未办理CA数字证书等原因造成无法投标或投标失败等后果由供应商自行承担。</w:t>
            </w:r>
          </w:p>
          <w:p w14:paraId="41948473">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3.供应商将政采云电子交易客户端下载、安装完成后，可通过账号密码或CA登录客户端进行投标文件制作。在使用新疆政采云投标客户端建议使用WIN7及以上操作系统。</w:t>
            </w:r>
          </w:p>
          <w:p w14:paraId="6D27C774">
            <w:pPr>
              <w:pStyle w:val="23"/>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4.供应商在开标时须使用制作加密电子投标文件所使用CA锁及电脑，电脑须提前配置好浏览器（建议使用360浏览器兼容版或谷歌浏览器）以便开标时解锁。</w:t>
            </w:r>
          </w:p>
          <w:p w14:paraId="4D60D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5.供应商对不见面开评标系统的技术操作咨询，可通过https://edu.zcygov.cn/luban/xinjiang-e-biding自助查询，也可在政采云帮助中心常见问题解答和操作流程讲解视频中自助查询，网址：</w:t>
            </w:r>
            <w:r>
              <w:rPr>
                <w:rFonts w:hint="eastAsia" w:ascii="仿宋_GB2312" w:hAnsi="仿宋_GB2312" w:eastAsia="仿宋_GB2312" w:cs="仿宋_GB2312"/>
                <w:i w:val="0"/>
                <w:iCs w:val="0"/>
                <w:caps w:val="0"/>
                <w:color w:val="000000"/>
                <w:spacing w:val="0"/>
                <w:kern w:val="0"/>
                <w:sz w:val="28"/>
                <w:szCs w:val="28"/>
                <w:lang w:val="en-US" w:eastAsia="zh-CN" w:bidi="ar"/>
              </w:rPr>
              <w:fldChar w:fldCharType="begin"/>
            </w:r>
            <w:r>
              <w:rPr>
                <w:rFonts w:hint="eastAsia" w:ascii="仿宋_GB2312" w:hAnsi="仿宋_GB2312" w:eastAsia="仿宋_GB2312" w:cs="仿宋_GB2312"/>
                <w:i w:val="0"/>
                <w:iCs w:val="0"/>
                <w:caps w:val="0"/>
                <w:color w:val="000000"/>
                <w:spacing w:val="0"/>
                <w:kern w:val="0"/>
                <w:sz w:val="28"/>
                <w:szCs w:val="28"/>
                <w:lang w:val="en-US" w:eastAsia="zh-CN" w:bidi="ar"/>
              </w:rPr>
              <w:instrText xml:space="preserve"> HYPERLINK "https://service.zcygov.cn/，\“项目采购\”—\“操作流程-电子招投标\”—\“政府采购项目电子交易管理操作指南-供应商\”版面获取操作指南，同时对自助查询无法解决的问题可通过钉钉群及政采云在线客服获取服务支持." </w:instrText>
            </w:r>
            <w:r>
              <w:rPr>
                <w:rFonts w:hint="eastAsia" w:ascii="仿宋_GB2312" w:hAnsi="仿宋_GB2312" w:eastAsia="仿宋_GB2312" w:cs="仿宋_GB2312"/>
                <w:i w:val="0"/>
                <w:iCs w:val="0"/>
                <w:caps w:val="0"/>
                <w:color w:val="000000"/>
                <w:spacing w:val="0"/>
                <w:kern w:val="0"/>
                <w:sz w:val="28"/>
                <w:szCs w:val="28"/>
                <w:lang w:val="en-US" w:eastAsia="zh-CN" w:bidi="ar"/>
              </w:rPr>
              <w:fldChar w:fldCharType="separate"/>
            </w:r>
            <w:r>
              <w:rPr>
                <w:rFonts w:hint="eastAsia" w:ascii="仿宋_GB2312" w:hAnsi="仿宋_GB2312" w:eastAsia="仿宋_GB2312" w:cs="仿宋_GB2312"/>
                <w:i w:val="0"/>
                <w:iCs w:val="0"/>
                <w:caps w:val="0"/>
                <w:color w:val="000000"/>
                <w:spacing w:val="0"/>
                <w:kern w:val="0"/>
                <w:sz w:val="28"/>
                <w:szCs w:val="28"/>
                <w:lang w:val="en-US" w:eastAsia="zh-CN" w:bidi="ar"/>
              </w:rPr>
              <w:t>https://service.zcygov.cn/，“项目采购”—“操作流程-电子招投标”—“政府采购项目电子交易管理操作指南-供应商”版面获取操作指南，同时对自助查询无法解决的问题可通过政采云在线客服获取服务。</w:t>
            </w:r>
            <w:r>
              <w:rPr>
                <w:rFonts w:hint="eastAsia" w:ascii="仿宋_GB2312" w:hAnsi="仿宋_GB2312" w:eastAsia="仿宋_GB2312" w:cs="仿宋_GB2312"/>
                <w:i w:val="0"/>
                <w:iCs w:val="0"/>
                <w:caps w:val="0"/>
                <w:color w:val="000000"/>
                <w:spacing w:val="0"/>
                <w:kern w:val="0"/>
                <w:sz w:val="28"/>
                <w:szCs w:val="28"/>
                <w:lang w:val="en-US" w:eastAsia="zh-CN" w:bidi="ar"/>
              </w:rPr>
              <w:fldChar w:fldCharType="end"/>
            </w:r>
          </w:p>
          <w:p w14:paraId="780F0F16">
            <w:pPr>
              <w:pStyle w:val="2"/>
              <w:keepNext w:val="0"/>
              <w:keepLines w:val="0"/>
              <w:suppressLineNumbers w:val="0"/>
              <w:spacing w:before="0" w:beforeAutospacing="0" w:after="0" w:afterAutospacing="0" w:line="240" w:lineRule="auto"/>
              <w:ind w:left="0" w:leftChars="0" w:right="0" w:firstLine="0" w:firstLineChars="0"/>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6.开标当日，投标人无需到达开标现场，仅需在任意地点通过政采云平台（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那把锁解密）。</w:t>
            </w:r>
          </w:p>
        </w:tc>
      </w:tr>
      <w:tr w14:paraId="4C4EA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670" w:type="dxa"/>
            <w:noWrap w:val="0"/>
            <w:vAlign w:val="center"/>
          </w:tcPr>
          <w:p w14:paraId="113B2FDD">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24</w:t>
            </w:r>
          </w:p>
        </w:tc>
        <w:tc>
          <w:tcPr>
            <w:tcW w:w="1698" w:type="dxa"/>
            <w:tcBorders>
              <w:right w:val="single" w:color="auto" w:sz="4" w:space="0"/>
            </w:tcBorders>
            <w:noWrap w:val="0"/>
            <w:vAlign w:val="center"/>
          </w:tcPr>
          <w:p w14:paraId="59085C4E">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评标委员</w:t>
            </w:r>
          </w:p>
          <w:p w14:paraId="38E60746">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的组建</w:t>
            </w:r>
          </w:p>
        </w:tc>
        <w:tc>
          <w:tcPr>
            <w:tcW w:w="7007" w:type="dxa"/>
            <w:tcBorders>
              <w:left w:val="single" w:color="auto" w:sz="4" w:space="0"/>
            </w:tcBorders>
            <w:noWrap w:val="0"/>
            <w:vAlign w:val="center"/>
          </w:tcPr>
          <w:p w14:paraId="0A558E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评标委员会的构成：由</w:t>
            </w:r>
            <w:r>
              <w:rPr>
                <w:rFonts w:hint="eastAsia" w:ascii="仿宋_GB2312" w:hAnsi="仿宋_GB2312" w:eastAsia="仿宋_GB2312" w:cs="仿宋_GB2312"/>
                <w:i w:val="0"/>
                <w:iCs w:val="0"/>
                <w:caps w:val="0"/>
                <w:color w:val="000000"/>
                <w:spacing w:val="0"/>
                <w:kern w:val="0"/>
                <w:sz w:val="28"/>
                <w:szCs w:val="28"/>
                <w:highlight w:val="none"/>
                <w:u w:val="single"/>
                <w:lang w:val="en-US" w:eastAsia="zh-CN" w:bidi="ar"/>
              </w:rPr>
              <w:t xml:space="preserve"> 5人</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组成，其中：业主专家</w:t>
            </w:r>
            <w:r>
              <w:rPr>
                <w:rFonts w:hint="eastAsia" w:ascii="仿宋_GB2312" w:hAnsi="仿宋_GB2312" w:eastAsia="仿宋_GB2312" w:cs="仿宋_GB2312"/>
                <w:i w:val="0"/>
                <w:iCs w:val="0"/>
                <w:caps w:val="0"/>
                <w:color w:val="000000"/>
                <w:spacing w:val="0"/>
                <w:kern w:val="0"/>
                <w:sz w:val="28"/>
                <w:szCs w:val="28"/>
                <w:highlight w:val="none"/>
                <w:u w:val="single"/>
                <w:lang w:val="en-US" w:eastAsia="zh-CN" w:bidi="ar"/>
              </w:rPr>
              <w:t xml:space="preserve"> 1 人</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w:t>
            </w:r>
          </w:p>
          <w:p w14:paraId="5602ED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评标专家确定方式：由招标代理在</w:t>
            </w:r>
            <w:r>
              <w:rPr>
                <w:rFonts w:hint="eastAsia" w:ascii="仿宋_GB2312" w:hAnsi="仿宋_GB2312" w:eastAsia="仿宋_GB2312" w:cs="仿宋_GB2312"/>
                <w:i w:val="0"/>
                <w:iCs w:val="0"/>
                <w:caps w:val="0"/>
                <w:color w:val="000000"/>
                <w:spacing w:val="0"/>
                <w:kern w:val="0"/>
                <w:sz w:val="28"/>
                <w:szCs w:val="28"/>
                <w:highlight w:val="none"/>
                <w:u w:val="single"/>
                <w:lang w:val="en-US" w:eastAsia="zh-CN" w:bidi="ar"/>
              </w:rPr>
              <w:t>开标前 48 小时</w:t>
            </w:r>
            <w:r>
              <w:rPr>
                <w:rFonts w:hint="eastAsia" w:ascii="仿宋_GB2312" w:hAnsi="仿宋_GB2312" w:eastAsia="仿宋_GB2312" w:cs="仿宋_GB2312"/>
                <w:i w:val="0"/>
                <w:iCs w:val="0"/>
                <w:caps w:val="0"/>
                <w:color w:val="000000"/>
                <w:spacing w:val="0"/>
                <w:kern w:val="0"/>
                <w:sz w:val="28"/>
                <w:szCs w:val="28"/>
                <w:highlight w:val="none"/>
                <w:lang w:val="en-US" w:eastAsia="zh-CN" w:bidi="ar"/>
              </w:rPr>
              <w:t>在政采云专家库中随机抽取此次评标专家。</w:t>
            </w:r>
          </w:p>
        </w:tc>
      </w:tr>
      <w:tr w14:paraId="42FC8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670" w:type="dxa"/>
            <w:noWrap w:val="0"/>
            <w:vAlign w:val="center"/>
          </w:tcPr>
          <w:p w14:paraId="703011EB">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25</w:t>
            </w:r>
          </w:p>
        </w:tc>
        <w:tc>
          <w:tcPr>
            <w:tcW w:w="1698" w:type="dxa"/>
            <w:tcBorders>
              <w:right w:val="single" w:color="auto" w:sz="4" w:space="0"/>
            </w:tcBorders>
            <w:noWrap w:val="0"/>
            <w:vAlign w:val="center"/>
          </w:tcPr>
          <w:p w14:paraId="0EEE7628">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履约保证金</w:t>
            </w:r>
          </w:p>
        </w:tc>
        <w:tc>
          <w:tcPr>
            <w:tcW w:w="7007" w:type="dxa"/>
            <w:tcBorders>
              <w:left w:val="single" w:color="auto" w:sz="4" w:space="0"/>
            </w:tcBorders>
            <w:noWrap w:val="0"/>
            <w:vAlign w:val="center"/>
          </w:tcPr>
          <w:p w14:paraId="65FE79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highlight w:val="none"/>
                <w:u w:val="singl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履约保证金金额：</w:t>
            </w:r>
            <w:r>
              <w:rPr>
                <w:rFonts w:hint="eastAsia" w:ascii="仿宋_GB2312" w:hAnsi="仿宋_GB2312" w:eastAsia="仿宋_GB2312" w:cs="仿宋_GB2312"/>
                <w:i w:val="0"/>
                <w:iCs w:val="0"/>
                <w:caps w:val="0"/>
                <w:color w:val="000000"/>
                <w:spacing w:val="0"/>
                <w:kern w:val="0"/>
                <w:sz w:val="28"/>
                <w:szCs w:val="28"/>
                <w:highlight w:val="none"/>
                <w:u w:val="single"/>
                <w:lang w:val="en-US" w:eastAsia="zh-CN" w:bidi="ar"/>
              </w:rPr>
              <w:t>合同总价的3%</w:t>
            </w:r>
          </w:p>
          <w:p w14:paraId="49B61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履约保证金形式：</w:t>
            </w:r>
            <w:r>
              <w:rPr>
                <w:rFonts w:hint="eastAsia" w:ascii="仿宋_GB2312" w:hAnsi="仿宋_GB2312" w:eastAsia="仿宋_GB2312" w:cs="仿宋_GB2312"/>
                <w:i w:val="0"/>
                <w:iCs w:val="0"/>
                <w:caps w:val="0"/>
                <w:color w:val="auto"/>
                <w:spacing w:val="0"/>
                <w:kern w:val="0"/>
                <w:sz w:val="28"/>
                <w:szCs w:val="28"/>
                <w:highlight w:val="none"/>
                <w:u w:val="single"/>
                <w:lang w:val="en-US" w:eastAsia="zh-CN" w:bidi="ar"/>
              </w:rPr>
              <w:t>公对公转账或保函</w:t>
            </w:r>
          </w:p>
          <w:p w14:paraId="45FC4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提交履约保证金的时间：</w:t>
            </w:r>
            <w:r>
              <w:rPr>
                <w:rFonts w:hint="eastAsia" w:ascii="仿宋_GB2312" w:hAnsi="仿宋_GB2312" w:eastAsia="仿宋_GB2312" w:cs="仿宋_GB2312"/>
                <w:i w:val="0"/>
                <w:iCs w:val="0"/>
                <w:caps w:val="0"/>
                <w:color w:val="000000"/>
                <w:spacing w:val="0"/>
                <w:kern w:val="0"/>
                <w:sz w:val="28"/>
                <w:szCs w:val="28"/>
                <w:highlight w:val="none"/>
                <w:u w:val="single"/>
                <w:lang w:val="en-US" w:eastAsia="zh-CN" w:bidi="ar"/>
              </w:rPr>
              <w:t>领取成交通知书5日内（日历日）</w:t>
            </w:r>
          </w:p>
          <w:p w14:paraId="4434E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4"/>
                <w:szCs w:val="24"/>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 xml:space="preserve">提交履约保证金后2个工作日内双方签订合同，中标人与招标人签订合同前提交履约保证金，如中标人未按招标文件规定的工期服务、实施过程中的设计变更、施工配合、验收配合等服务完毕，则扣除履约保证金。              </w:t>
            </w:r>
          </w:p>
        </w:tc>
      </w:tr>
      <w:tr w14:paraId="3D090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670" w:type="dxa"/>
            <w:noWrap w:val="0"/>
            <w:vAlign w:val="center"/>
          </w:tcPr>
          <w:p w14:paraId="57B4B820">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26</w:t>
            </w:r>
          </w:p>
        </w:tc>
        <w:tc>
          <w:tcPr>
            <w:tcW w:w="1698" w:type="dxa"/>
            <w:tcBorders>
              <w:right w:val="single" w:color="auto" w:sz="4" w:space="0"/>
            </w:tcBorders>
            <w:noWrap w:val="0"/>
            <w:vAlign w:val="center"/>
          </w:tcPr>
          <w:p w14:paraId="532C9D8A">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招标代理   服务费</w:t>
            </w:r>
          </w:p>
        </w:tc>
        <w:tc>
          <w:tcPr>
            <w:tcW w:w="7007" w:type="dxa"/>
            <w:tcBorders>
              <w:left w:val="single" w:color="auto" w:sz="4" w:space="0"/>
            </w:tcBorders>
            <w:noWrap w:val="0"/>
            <w:vAlign w:val="center"/>
          </w:tcPr>
          <w:p w14:paraId="16B95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中标服务费：招标代理服务费计算按照“</w:t>
            </w:r>
            <w:r>
              <w:rPr>
                <w:rFonts w:hint="eastAsia" w:ascii="仿宋_GB2312" w:hAnsi="仿宋_GB2312" w:eastAsia="仿宋_GB2312" w:cs="仿宋_GB2312"/>
                <w:i w:val="0"/>
                <w:iCs w:val="0"/>
                <w:caps w:val="0"/>
                <w:color w:val="000000"/>
                <w:spacing w:val="0"/>
                <w:kern w:val="0"/>
                <w:sz w:val="28"/>
                <w:szCs w:val="28"/>
                <w:u w:val="single"/>
                <w:lang w:val="en-US" w:eastAsia="zh-CN" w:bidi="ar"/>
              </w:rPr>
              <w:t>《国家发展改革委关于进一步放开建设项目专业服务价格的通知》【2015】299号文件</w:t>
            </w:r>
            <w:r>
              <w:rPr>
                <w:rFonts w:hint="eastAsia" w:ascii="仿宋_GB2312" w:hAnsi="仿宋_GB2312" w:eastAsia="仿宋_GB2312" w:cs="仿宋_GB2312"/>
                <w:i w:val="0"/>
                <w:iCs w:val="0"/>
                <w:caps w:val="0"/>
                <w:color w:val="000000"/>
                <w:spacing w:val="0"/>
                <w:kern w:val="0"/>
                <w:sz w:val="28"/>
                <w:szCs w:val="28"/>
                <w:lang w:val="en-US" w:eastAsia="zh-CN" w:bidi="ar"/>
              </w:rPr>
              <w:t>”执行；</w:t>
            </w:r>
          </w:p>
          <w:p w14:paraId="017DA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i w:val="0"/>
                <w:iCs w:val="0"/>
                <w:caps w:val="0"/>
                <w:color w:val="000000"/>
                <w:spacing w:val="0"/>
                <w:kern w:val="0"/>
                <w:sz w:val="28"/>
                <w:szCs w:val="28"/>
                <w:u w:val="single"/>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支付时间：</w:t>
            </w:r>
            <w:r>
              <w:rPr>
                <w:rFonts w:hint="eastAsia" w:ascii="仿宋_GB2312" w:hAnsi="仿宋_GB2312" w:eastAsia="仿宋_GB2312" w:cs="仿宋_GB2312"/>
                <w:i w:val="0"/>
                <w:iCs w:val="0"/>
                <w:caps w:val="0"/>
                <w:color w:val="000000"/>
                <w:spacing w:val="0"/>
                <w:kern w:val="0"/>
                <w:sz w:val="28"/>
                <w:szCs w:val="28"/>
                <w:u w:val="single"/>
                <w:lang w:val="en-US" w:eastAsia="zh-CN" w:bidi="ar"/>
              </w:rPr>
              <w:t>由中标企业在领取中标通知书时一次性支付</w:t>
            </w:r>
          </w:p>
          <w:p w14:paraId="61CEB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bCs/>
                <w:color w:val="auto"/>
                <w:sz w:val="24"/>
                <w:szCs w:val="24"/>
                <w:highlight w:val="none"/>
                <w:lang w:val="en-US"/>
              </w:rPr>
            </w:pPr>
            <w:r>
              <w:rPr>
                <w:rFonts w:hint="eastAsia" w:ascii="仿宋_GB2312" w:hAnsi="仿宋_GB2312" w:eastAsia="仿宋_GB2312" w:cs="仿宋_GB2312"/>
                <w:i w:val="0"/>
                <w:iCs w:val="0"/>
                <w:caps w:val="0"/>
                <w:color w:val="000000"/>
                <w:spacing w:val="0"/>
                <w:kern w:val="0"/>
                <w:sz w:val="28"/>
                <w:szCs w:val="28"/>
                <w:lang w:val="en-US" w:eastAsia="zh-CN" w:bidi="ar"/>
              </w:rPr>
              <w:t>支付形式：</w:t>
            </w:r>
            <w:r>
              <w:rPr>
                <w:rFonts w:hint="eastAsia" w:ascii="仿宋_GB2312" w:hAnsi="仿宋_GB2312" w:eastAsia="仿宋_GB2312" w:cs="仿宋_GB2312"/>
                <w:i w:val="0"/>
                <w:iCs w:val="0"/>
                <w:caps w:val="0"/>
                <w:color w:val="000000"/>
                <w:spacing w:val="0"/>
                <w:kern w:val="0"/>
                <w:sz w:val="28"/>
                <w:szCs w:val="28"/>
                <w:u w:val="single"/>
                <w:lang w:val="en-US" w:eastAsia="zh-CN" w:bidi="ar"/>
              </w:rPr>
              <w:t xml:space="preserve">  转账  </w:t>
            </w:r>
          </w:p>
        </w:tc>
      </w:tr>
      <w:tr w14:paraId="099C9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670" w:type="dxa"/>
            <w:tcBorders>
              <w:top w:val="single" w:color="auto" w:sz="4" w:space="0"/>
            </w:tcBorders>
            <w:noWrap w:val="0"/>
            <w:vAlign w:val="center"/>
          </w:tcPr>
          <w:p w14:paraId="654DF5AD">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27</w:t>
            </w:r>
          </w:p>
        </w:tc>
        <w:tc>
          <w:tcPr>
            <w:tcW w:w="1698" w:type="dxa"/>
            <w:tcBorders>
              <w:top w:val="single" w:color="auto" w:sz="4" w:space="0"/>
              <w:right w:val="single" w:color="auto" w:sz="4" w:space="0"/>
            </w:tcBorders>
            <w:noWrap w:val="0"/>
            <w:vAlign w:val="center"/>
          </w:tcPr>
          <w:p w14:paraId="2F5AD707">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中标供应商</w:t>
            </w:r>
          </w:p>
          <w:p w14:paraId="65D75D16">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须递交响应</w:t>
            </w:r>
          </w:p>
          <w:p w14:paraId="7D3AE20F">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文件的要求</w:t>
            </w:r>
          </w:p>
        </w:tc>
        <w:tc>
          <w:tcPr>
            <w:tcW w:w="7007" w:type="dxa"/>
            <w:tcBorders>
              <w:top w:val="single" w:color="auto" w:sz="4" w:space="0"/>
              <w:left w:val="single" w:color="auto" w:sz="4" w:space="0"/>
            </w:tcBorders>
            <w:noWrap w:val="0"/>
            <w:vAlign w:val="center"/>
          </w:tcPr>
          <w:p w14:paraId="60F27302">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 w:hAnsi="仿宋" w:eastAsia="仿宋" w:cs="仿宋"/>
                <w:bCs/>
                <w:kern w:val="2"/>
                <w:sz w:val="24"/>
                <w:szCs w:val="24"/>
                <w:lang w:val="en-US" w:eastAsia="zh-CN" w:bidi="ar-SA"/>
              </w:rPr>
            </w:pPr>
            <w:r>
              <w:rPr>
                <w:rFonts w:hint="eastAsia" w:ascii="仿宋_GB2312" w:hAnsi="仿宋_GB2312" w:eastAsia="仿宋_GB2312" w:cs="仿宋_GB2312"/>
                <w:i w:val="0"/>
                <w:iCs w:val="0"/>
                <w:caps w:val="0"/>
                <w:color w:val="000000"/>
                <w:spacing w:val="0"/>
                <w:kern w:val="0"/>
                <w:sz w:val="28"/>
                <w:szCs w:val="28"/>
                <w:lang w:val="en-US" w:eastAsia="zh-CN" w:bidi="ar"/>
              </w:rPr>
              <w:t>中标单位在领取中标通知书时须递交纸质投标文件三份</w:t>
            </w:r>
            <w:r>
              <w:rPr>
                <w:rFonts w:hint="eastAsia" w:ascii="仿宋_GB2312" w:hAnsi="仿宋_GB2312" w:eastAsia="仿宋_GB2312" w:cs="仿宋_GB2312"/>
                <w:i w:val="0"/>
                <w:iCs w:val="0"/>
                <w:caps w:val="0"/>
                <w:color w:val="000000"/>
                <w:spacing w:val="0"/>
                <w:kern w:val="0"/>
                <w:sz w:val="28"/>
                <w:szCs w:val="28"/>
                <w:u w:val="single"/>
                <w:lang w:val="en-US" w:eastAsia="zh-CN" w:bidi="ar"/>
              </w:rPr>
              <w:t>（正本一份，副本二份）</w:t>
            </w:r>
            <w:r>
              <w:rPr>
                <w:rFonts w:hint="eastAsia" w:ascii="仿宋_GB2312" w:hAnsi="仿宋_GB2312" w:eastAsia="仿宋_GB2312" w:cs="仿宋_GB2312"/>
                <w:i w:val="0"/>
                <w:iCs w:val="0"/>
                <w:caps w:val="0"/>
                <w:color w:val="000000"/>
                <w:spacing w:val="0"/>
                <w:kern w:val="0"/>
                <w:sz w:val="28"/>
                <w:szCs w:val="28"/>
                <w:lang w:val="en-US" w:eastAsia="zh-CN" w:bidi="ar"/>
              </w:rPr>
              <w:t>，按政采云电子投标文件格式顺序打印胶装。</w:t>
            </w:r>
          </w:p>
        </w:tc>
      </w:tr>
      <w:tr w14:paraId="4597D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9" w:hRule="atLeast"/>
          <w:jc w:val="center"/>
        </w:trPr>
        <w:tc>
          <w:tcPr>
            <w:tcW w:w="670" w:type="dxa"/>
            <w:tcBorders>
              <w:top w:val="single" w:color="auto" w:sz="4" w:space="0"/>
            </w:tcBorders>
            <w:noWrap w:val="0"/>
            <w:vAlign w:val="center"/>
          </w:tcPr>
          <w:p w14:paraId="6FCB4FDC">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28</w:t>
            </w:r>
          </w:p>
        </w:tc>
        <w:tc>
          <w:tcPr>
            <w:tcW w:w="1698" w:type="dxa"/>
            <w:tcBorders>
              <w:top w:val="single" w:color="auto" w:sz="4" w:space="0"/>
              <w:right w:val="single" w:color="auto" w:sz="4" w:space="0"/>
            </w:tcBorders>
            <w:noWrap w:val="0"/>
            <w:vAlign w:val="center"/>
          </w:tcPr>
          <w:p w14:paraId="55B81B02">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leftChars="0" w:right="0" w:rightChars="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落实政府采购政策需满足资格要求</w:t>
            </w:r>
          </w:p>
        </w:tc>
        <w:tc>
          <w:tcPr>
            <w:tcW w:w="7007" w:type="dxa"/>
            <w:tcBorders>
              <w:top w:val="single" w:color="auto" w:sz="4" w:space="0"/>
              <w:left w:val="single" w:color="auto" w:sz="4" w:space="0"/>
            </w:tcBorders>
            <w:noWrap w:val="0"/>
            <w:vAlign w:val="center"/>
          </w:tcPr>
          <w:p w14:paraId="404B4C74">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 xml:space="preserve"> （1）财政部、工业和信息化部《关于印发《政府采购促进中小企业发展管理办法》的通知》（财库[2020]46号文）《关于进一步加大政府采购支持中小企业力度的通知》（财库[2022]19号文）； </w:t>
            </w:r>
          </w:p>
          <w:p w14:paraId="601922AD">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 xml:space="preserve">（2）财政部、民政部、中国残疾人联合会《关于促进残疾人就业政府采购政策的通知》（财库[2017]141号）；  </w:t>
            </w:r>
          </w:p>
          <w:p w14:paraId="1A5E1E64">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40" w:lineRule="auto"/>
              <w:ind w:left="0" w:right="0" w:firstLine="0" w:firstLineChars="0"/>
              <w:jc w:val="both"/>
              <w:textAlignment w:val="auto"/>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（3）财政部、司法部《关于政府采购支持监狱企业发展有关问题的通知》（财库[2014]68号文）；</w:t>
            </w:r>
          </w:p>
          <w:p w14:paraId="01026C05">
            <w:pPr>
              <w:pStyle w:val="4"/>
              <w:keepNext w:val="0"/>
              <w:keepLines w:val="0"/>
              <w:suppressLineNumbers w:val="0"/>
              <w:spacing w:before="0" w:beforeAutospacing="0" w:after="0" w:afterAutospacing="0"/>
              <w:ind w:left="0" w:leftChars="0" w:right="0" w:firstLine="0" w:firstLineChars="0"/>
              <w:rPr>
                <w:rFonts w:hint="eastAsia" w:ascii="宋体" w:hAnsiTheme="minorHAnsi" w:eastAsiaTheme="minorEastAsia" w:cstheme="minorBidi"/>
                <w:kern w:val="0"/>
                <w:sz w:val="24"/>
                <w:szCs w:val="20"/>
                <w:highlight w:val="none"/>
                <w:u w:val="single"/>
                <w:lang w:val="en-US" w:eastAsia="zh-CN" w:bidi="ar-SA"/>
              </w:rPr>
            </w:pPr>
            <w:r>
              <w:rPr>
                <w:rFonts w:hint="eastAsia" w:ascii="仿宋_GB2312" w:hAnsi="仿宋_GB2312" w:eastAsia="仿宋_GB2312" w:cs="仿宋_GB2312"/>
                <w:b/>
                <w:bCs/>
                <w:i w:val="0"/>
                <w:iCs w:val="0"/>
                <w:caps w:val="0"/>
                <w:color w:val="000000"/>
                <w:spacing w:val="0"/>
                <w:kern w:val="0"/>
                <w:sz w:val="28"/>
                <w:szCs w:val="28"/>
                <w:highlight w:val="none"/>
                <w:lang w:val="en-US" w:eastAsia="zh-CN" w:bidi="ar"/>
              </w:rPr>
              <w:t>本项目所属行业：</w:t>
            </w:r>
            <w:r>
              <w:rPr>
                <w:rFonts w:hint="eastAsia" w:ascii="仿宋_GB2312" w:hAnsi="仿宋_GB2312" w:eastAsia="仿宋_GB2312" w:cs="仿宋_GB2312"/>
                <w:b/>
                <w:bCs/>
                <w:i w:val="0"/>
                <w:iCs w:val="0"/>
                <w:caps w:val="0"/>
                <w:color w:val="000000"/>
                <w:spacing w:val="0"/>
                <w:kern w:val="0"/>
                <w:sz w:val="28"/>
                <w:szCs w:val="28"/>
                <w:highlight w:val="none"/>
                <w:u w:val="single"/>
                <w:lang w:val="en-US" w:eastAsia="zh-CN" w:bidi="ar"/>
              </w:rPr>
              <w:t xml:space="preserve"> 农、林、牧、渔业 </w:t>
            </w:r>
            <w:r>
              <w:rPr>
                <w:rFonts w:hint="eastAsia" w:ascii="仿宋_GB2312" w:hAnsi="仿宋_GB2312" w:eastAsia="仿宋_GB2312" w:cs="仿宋_GB2312"/>
                <w:b/>
                <w:bCs/>
                <w:i w:val="0"/>
                <w:iCs w:val="0"/>
                <w:caps w:val="0"/>
                <w:color w:val="000000"/>
                <w:spacing w:val="0"/>
                <w:kern w:val="0"/>
                <w:sz w:val="28"/>
                <w:szCs w:val="28"/>
                <w:highlight w:val="none"/>
                <w:lang w:val="en-US" w:eastAsia="zh-CN" w:bidi="ar"/>
              </w:rPr>
              <w:t xml:space="preserve"> ；</w:t>
            </w:r>
          </w:p>
        </w:tc>
      </w:tr>
      <w:tr w14:paraId="2CC94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0" w:hRule="atLeast"/>
          <w:jc w:val="center"/>
        </w:trPr>
        <w:tc>
          <w:tcPr>
            <w:tcW w:w="670" w:type="dxa"/>
            <w:noWrap w:val="0"/>
            <w:vAlign w:val="center"/>
          </w:tcPr>
          <w:p w14:paraId="21F736E9">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29</w:t>
            </w:r>
          </w:p>
        </w:tc>
        <w:tc>
          <w:tcPr>
            <w:tcW w:w="1698" w:type="dxa"/>
            <w:tcBorders>
              <w:right w:val="single" w:color="auto" w:sz="4" w:space="0"/>
            </w:tcBorders>
            <w:noWrap w:val="0"/>
            <w:vAlign w:val="center"/>
          </w:tcPr>
          <w:p w14:paraId="195DF79D">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质疑</w:t>
            </w:r>
          </w:p>
        </w:tc>
        <w:tc>
          <w:tcPr>
            <w:tcW w:w="7007" w:type="dxa"/>
            <w:tcBorders>
              <w:left w:val="single" w:color="auto" w:sz="4" w:space="0"/>
            </w:tcBorders>
            <w:noWrap w:val="0"/>
            <w:vAlign w:val="center"/>
          </w:tcPr>
          <w:p w14:paraId="20585B58">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做出答复的，可以在答复期满后五个工作日内向有关监管部门投诉。</w:t>
            </w:r>
          </w:p>
          <w:p w14:paraId="4C34C6D7">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 w:hAnsi="仿宋" w:eastAsia="仿宋" w:cs="仿宋"/>
                <w:sz w:val="24"/>
                <w:szCs w:val="24"/>
              </w:rPr>
            </w:pPr>
            <w:r>
              <w:rPr>
                <w:rFonts w:hint="eastAsia" w:ascii="仿宋_GB2312" w:hAnsi="仿宋_GB2312" w:eastAsia="仿宋_GB2312" w:cs="仿宋_GB2312"/>
                <w:b/>
                <w:bCs/>
                <w:i w:val="0"/>
                <w:iCs w:val="0"/>
                <w:caps w:val="0"/>
                <w:color w:val="000000"/>
                <w:spacing w:val="0"/>
                <w:kern w:val="0"/>
                <w:sz w:val="28"/>
                <w:szCs w:val="28"/>
                <w:lang w:val="en-US" w:eastAsia="zh-CN" w:bidi="ar"/>
              </w:rPr>
              <w:t>注：根据《中华人民共和国政府采购法》的规定，供应商质疑不得超出公开招标文件、公开招标过程及公开招标结果的范围及时效限制。</w:t>
            </w:r>
          </w:p>
        </w:tc>
      </w:tr>
      <w:tr w14:paraId="2CD84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2" w:hRule="atLeast"/>
          <w:jc w:val="center"/>
        </w:trPr>
        <w:tc>
          <w:tcPr>
            <w:tcW w:w="670" w:type="dxa"/>
            <w:noWrap w:val="0"/>
            <w:vAlign w:val="center"/>
          </w:tcPr>
          <w:p w14:paraId="316D9B6A">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30</w:t>
            </w:r>
          </w:p>
        </w:tc>
        <w:tc>
          <w:tcPr>
            <w:tcW w:w="1698" w:type="dxa"/>
            <w:tcBorders>
              <w:right w:val="single" w:color="auto" w:sz="4" w:space="0"/>
            </w:tcBorders>
            <w:noWrap w:val="0"/>
            <w:vAlign w:val="center"/>
          </w:tcPr>
          <w:p w14:paraId="6BE3348E">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投诉</w:t>
            </w:r>
          </w:p>
        </w:tc>
        <w:tc>
          <w:tcPr>
            <w:tcW w:w="7007" w:type="dxa"/>
            <w:tcBorders>
              <w:left w:val="single" w:color="auto" w:sz="4" w:space="0"/>
            </w:tcBorders>
            <w:noWrap w:val="0"/>
            <w:vAlign w:val="center"/>
          </w:tcPr>
          <w:p w14:paraId="60C9F7CB">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（1）质疑供应商对采购人、采购代理机构的答复不满意或者采购人、采购代理机构未在规定的时间内作出答复的，可以在答复期满后十五个工作日内向同级政府采购监督管理部门投诉。</w:t>
            </w:r>
          </w:p>
          <w:p w14:paraId="37AD5435">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8"/>
                <w:szCs w:val="28"/>
                <w:lang w:val="en-US" w:eastAsia="zh-CN" w:bidi="ar"/>
              </w:rPr>
              <w:t>（2）质疑、投诉应当采用书面或邮件形式，质疑书、投诉书均应明确阐述招标文件、采购过程或中标结果中使自己合法权益受到损害的实质性内容，提供相关事实、依据和证据及其来源或线索，便于有关单位调查、答复和处理。</w:t>
            </w:r>
          </w:p>
          <w:p w14:paraId="5683F4D6">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 w:hAnsi="仿宋" w:eastAsia="仿宋" w:cs="仿宋"/>
                <w:sz w:val="24"/>
                <w:szCs w:val="24"/>
              </w:rPr>
            </w:pPr>
            <w:r>
              <w:rPr>
                <w:rFonts w:hint="eastAsia" w:ascii="仿宋_GB2312" w:hAnsi="仿宋_GB2312" w:eastAsia="仿宋_GB2312" w:cs="仿宋_GB2312"/>
                <w:b/>
                <w:bCs/>
                <w:i w:val="0"/>
                <w:iCs w:val="0"/>
                <w:caps w:val="0"/>
                <w:color w:val="000000"/>
                <w:spacing w:val="0"/>
                <w:kern w:val="0"/>
                <w:sz w:val="28"/>
                <w:szCs w:val="28"/>
                <w:lang w:val="en-US" w:eastAsia="zh-CN" w:bidi="ar"/>
              </w:rPr>
              <w:t>注：根据《中华人民共和国政府采购法实施条例》的规定，供应商投诉事项不得超出已质疑事项的范围。</w:t>
            </w:r>
          </w:p>
        </w:tc>
      </w:tr>
      <w:tr w14:paraId="5F220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2" w:hRule="atLeast"/>
          <w:jc w:val="center"/>
        </w:trPr>
        <w:tc>
          <w:tcPr>
            <w:tcW w:w="670" w:type="dxa"/>
            <w:noWrap w:val="0"/>
            <w:vAlign w:val="center"/>
          </w:tcPr>
          <w:p w14:paraId="61287372">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31</w:t>
            </w:r>
          </w:p>
        </w:tc>
        <w:tc>
          <w:tcPr>
            <w:tcW w:w="1698" w:type="dxa"/>
            <w:tcBorders>
              <w:right w:val="single" w:color="auto" w:sz="4" w:space="0"/>
            </w:tcBorders>
            <w:noWrap w:val="0"/>
            <w:vAlign w:val="center"/>
          </w:tcPr>
          <w:p w14:paraId="0112EA5B">
            <w:pPr>
              <w:keepNext w:val="0"/>
              <w:keepLines w:val="0"/>
              <w:pageBreakBefore w:val="0"/>
              <w:suppressLineNumbers w:val="0"/>
              <w:kinsoku/>
              <w:wordWrap/>
              <w:overflowPunct/>
              <w:topLinePunct w:val="0"/>
              <w:autoSpaceDE/>
              <w:autoSpaceDN/>
              <w:bidi w:val="0"/>
              <w:adjustRightInd/>
              <w:snapToGrid/>
              <w:spacing w:before="0" w:beforeLines="10" w:beforeAutospacing="0" w:after="0" w:afterLines="10" w:afterAutospacing="0" w:line="300" w:lineRule="exact"/>
              <w:ind w:left="0" w:right="0" w:firstLine="0" w:firstLineChars="0"/>
              <w:jc w:val="center"/>
              <w:textAlignment w:val="auto"/>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重要提示</w:t>
            </w:r>
          </w:p>
        </w:tc>
        <w:tc>
          <w:tcPr>
            <w:tcW w:w="7007" w:type="dxa"/>
            <w:tcBorders>
              <w:left w:val="single" w:color="auto" w:sz="4" w:space="0"/>
            </w:tcBorders>
            <w:noWrap w:val="0"/>
            <w:vAlign w:val="center"/>
          </w:tcPr>
          <w:p w14:paraId="68154239">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 xml:space="preserve">（1）中标供应商应在规定期限内领取《中标通知书》，若中标供应商未在规定期限内领取《中标通知书》采购人有权取消中标供应商中标资格，并将相关违约行为报送监管部门，实施信用惩戒； </w:t>
            </w:r>
          </w:p>
          <w:p w14:paraId="1F0E0858">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14:paraId="06D34F18">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14:paraId="55D1249A">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 xml:space="preserve">（4）中标供应商中标后被监管部门查实存在违法行为，不满足中标条件的，由采购人取消中标资格，并做好项目后续工作； </w:t>
            </w:r>
          </w:p>
          <w:p w14:paraId="79AF0895">
            <w:pPr>
              <w:keepNext w:val="0"/>
              <w:keepLines w:val="0"/>
              <w:numPr>
                <w:ilvl w:val="0"/>
                <w:numId w:val="0"/>
              </w:numPr>
              <w:suppressLineNumbers w:val="0"/>
              <w:adjustRightInd w:val="0"/>
              <w:snapToGrid w:val="0"/>
              <w:spacing w:before="0" w:beforeAutospacing="0" w:after="0" w:afterAutospacing="0" w:line="240" w:lineRule="auto"/>
              <w:ind w:left="0" w:leftChars="0" w:right="0" w:firstLine="0" w:firstLineChars="0"/>
              <w:rPr>
                <w:rFonts w:hint="eastAsia"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（5）中标供应商在中标项目发生投诉、信访举报案件、履约存在争议时，拒绝协助配合执法部门调查案件，采购人可以取消其中标资格或解除合同，并追究其违约责任。</w:t>
            </w:r>
          </w:p>
        </w:tc>
      </w:tr>
      <w:tr w14:paraId="69232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43" w:hRule="atLeast"/>
          <w:jc w:val="center"/>
        </w:trPr>
        <w:tc>
          <w:tcPr>
            <w:tcW w:w="9375" w:type="dxa"/>
            <w:gridSpan w:val="3"/>
            <w:noWrap w:val="0"/>
            <w:vAlign w:val="center"/>
          </w:tcPr>
          <w:p w14:paraId="56E4DDB5">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28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备</w:t>
            </w:r>
            <w:r>
              <w:rPr>
                <w:rFonts w:hint="eastAsia" w:ascii="仿宋_GB2312" w:hAnsi="仿宋_GB2312" w:eastAsia="仿宋_GB2312" w:cs="仿宋_GB2312"/>
                <w:b/>
                <w:bCs/>
                <w:i w:val="0"/>
                <w:iCs w:val="0"/>
                <w:caps w:val="0"/>
                <w:color w:val="000000"/>
                <w:spacing w:val="0"/>
                <w:kern w:val="0"/>
                <w:sz w:val="26"/>
                <w:szCs w:val="26"/>
                <w:lang w:val="en-US" w:eastAsia="zh-CN" w:bidi="ar"/>
              </w:rPr>
              <w:t>注：</w:t>
            </w:r>
          </w:p>
          <w:p w14:paraId="1FEC706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投标人应依照招标文件要求在投标文件中提供相关材料原件的扫描件。投标文件中未提供与之内容完全一致的扫描件，评标委员会可以视同其未提供。</w:t>
            </w:r>
          </w:p>
          <w:p w14:paraId="22A68771">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投标文件中有弄虚作假的内容，其投标文件作废（如假证书、假业绩、假合同、隐瞒不良行为记录、夸大荣誉、使用非本单位在职员工的相关证件及不符合招标文件规定的条款等）在签订合同之前，复查原件，如发现投标人的投标文件有弄虚作假内容，采购人可拒绝与其签订合同。以上情形将书面上报财政部门，按照《政府采购法》第七十七条规定“列入不良行为记录名单”处理。</w:t>
            </w:r>
          </w:p>
          <w:p w14:paraId="090FA201">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0E44E9D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60" w:lineRule="exact"/>
              <w:ind w:left="0" w:right="0" w:firstLine="261" w:firstLineChars="100"/>
              <w:textAlignment w:val="auto"/>
              <w:rPr>
                <w:rFonts w:hint="default" w:ascii="仿宋_GB2312" w:hAnsi="仿宋_GB2312" w:eastAsia="仿宋_GB2312" w:cs="仿宋_GB2312"/>
                <w:b/>
                <w:bCs/>
                <w:i w:val="0"/>
                <w:iCs w:val="0"/>
                <w:caps w:val="0"/>
                <w:color w:val="000000"/>
                <w:spacing w:val="0"/>
                <w:kern w:val="0"/>
                <w:sz w:val="28"/>
                <w:szCs w:val="28"/>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本须知前附表内容与招标文件内容相对应，如有矛盾，应以投标须知前附表为准。</w:t>
            </w:r>
          </w:p>
        </w:tc>
      </w:tr>
    </w:tbl>
    <w:p w14:paraId="3BE68AF9">
      <w:pPr>
        <w:pStyle w:val="8"/>
        <w:spacing w:line="240" w:lineRule="auto"/>
        <w:jc w:val="both"/>
        <w:rPr>
          <w:rFonts w:hint="eastAsia" w:ascii="仿宋_GB2312" w:hAnsi="仿宋_GB2312" w:eastAsia="仿宋_GB2312" w:cs="仿宋_GB2312"/>
          <w:b/>
          <w:bCs/>
          <w:i w:val="0"/>
          <w:iCs w:val="0"/>
          <w:caps w:val="0"/>
          <w:color w:val="000000"/>
          <w:spacing w:val="0"/>
          <w:kern w:val="0"/>
          <w:sz w:val="32"/>
          <w:szCs w:val="32"/>
          <w:lang w:val="en-US" w:eastAsia="zh-CN" w:bidi="ar"/>
        </w:rPr>
      </w:pPr>
    </w:p>
    <w:p w14:paraId="527313B1">
      <w:pPr>
        <w:rPr>
          <w:rFonts w:hint="eastAsia" w:ascii="仿宋_GB2312" w:hAnsi="仿宋_GB2312" w:eastAsia="仿宋_GB2312" w:cs="仿宋_GB2312"/>
          <w:b/>
          <w:bCs/>
          <w:i w:val="0"/>
          <w:iCs w:val="0"/>
          <w:caps w:val="0"/>
          <w:color w:val="000000"/>
          <w:spacing w:val="0"/>
          <w:kern w:val="0"/>
          <w:sz w:val="32"/>
          <w:szCs w:val="32"/>
          <w:lang w:val="en-US" w:eastAsia="zh-CN" w:bidi="ar"/>
        </w:rPr>
      </w:pPr>
    </w:p>
    <w:p w14:paraId="71CA2282">
      <w:pPr>
        <w:pStyle w:val="2"/>
        <w:rPr>
          <w:rFonts w:hint="eastAsia" w:ascii="仿宋_GB2312" w:hAnsi="仿宋_GB2312" w:eastAsia="仿宋_GB2312" w:cs="仿宋_GB2312"/>
          <w:b/>
          <w:bCs/>
          <w:i w:val="0"/>
          <w:iCs w:val="0"/>
          <w:caps w:val="0"/>
          <w:color w:val="000000"/>
          <w:spacing w:val="0"/>
          <w:kern w:val="0"/>
          <w:sz w:val="32"/>
          <w:szCs w:val="32"/>
          <w:lang w:val="en-US" w:eastAsia="zh-CN" w:bidi="ar"/>
        </w:rPr>
      </w:pPr>
    </w:p>
    <w:p w14:paraId="394E2511">
      <w:pPr>
        <w:pStyle w:val="4"/>
        <w:rPr>
          <w:rFonts w:hint="eastAsia" w:ascii="仿宋_GB2312" w:hAnsi="仿宋_GB2312" w:eastAsia="仿宋_GB2312" w:cs="仿宋_GB2312"/>
          <w:b/>
          <w:bCs/>
          <w:i w:val="0"/>
          <w:iCs w:val="0"/>
          <w:caps w:val="0"/>
          <w:color w:val="000000"/>
          <w:spacing w:val="0"/>
          <w:kern w:val="0"/>
          <w:sz w:val="32"/>
          <w:szCs w:val="32"/>
          <w:lang w:val="en-US" w:eastAsia="zh-CN" w:bidi="ar"/>
        </w:rPr>
      </w:pPr>
    </w:p>
    <w:p w14:paraId="354070F0">
      <w:pPr>
        <w:pStyle w:val="5"/>
        <w:rPr>
          <w:rFonts w:hint="eastAsia" w:ascii="仿宋_GB2312" w:hAnsi="仿宋_GB2312" w:eastAsia="仿宋_GB2312" w:cs="仿宋_GB2312"/>
          <w:b/>
          <w:bCs/>
          <w:i w:val="0"/>
          <w:iCs w:val="0"/>
          <w:caps w:val="0"/>
          <w:color w:val="000000"/>
          <w:spacing w:val="0"/>
          <w:kern w:val="0"/>
          <w:sz w:val="32"/>
          <w:szCs w:val="32"/>
          <w:lang w:val="en-US" w:eastAsia="zh-CN" w:bidi="ar"/>
        </w:rPr>
      </w:pPr>
    </w:p>
    <w:p w14:paraId="61568EF3">
      <w:pPr>
        <w:rPr>
          <w:rFonts w:hint="eastAsia" w:ascii="仿宋_GB2312" w:hAnsi="仿宋_GB2312" w:eastAsia="仿宋_GB2312" w:cs="仿宋_GB2312"/>
          <w:b/>
          <w:bCs/>
          <w:i w:val="0"/>
          <w:iCs w:val="0"/>
          <w:caps w:val="0"/>
          <w:color w:val="000000"/>
          <w:spacing w:val="0"/>
          <w:kern w:val="0"/>
          <w:sz w:val="32"/>
          <w:szCs w:val="32"/>
          <w:lang w:val="en-US" w:eastAsia="zh-CN" w:bidi="ar"/>
        </w:rPr>
      </w:pPr>
    </w:p>
    <w:p w14:paraId="01B614E2">
      <w:pPr>
        <w:pStyle w:val="2"/>
        <w:rPr>
          <w:rFonts w:hint="eastAsia" w:ascii="仿宋_GB2312" w:hAnsi="仿宋_GB2312" w:eastAsia="仿宋_GB2312" w:cs="仿宋_GB2312"/>
          <w:b/>
          <w:bCs/>
          <w:i w:val="0"/>
          <w:iCs w:val="0"/>
          <w:caps w:val="0"/>
          <w:color w:val="000000"/>
          <w:spacing w:val="0"/>
          <w:kern w:val="0"/>
          <w:sz w:val="32"/>
          <w:szCs w:val="32"/>
          <w:lang w:val="en-US" w:eastAsia="zh-CN" w:bidi="ar"/>
        </w:rPr>
      </w:pPr>
    </w:p>
    <w:p w14:paraId="7F16D1A8">
      <w:pPr>
        <w:rPr>
          <w:rFonts w:hint="eastAsia" w:ascii="仿宋_GB2312" w:hAnsi="仿宋_GB2312" w:eastAsia="仿宋_GB2312" w:cs="仿宋_GB2312"/>
          <w:b/>
          <w:bCs/>
          <w:i w:val="0"/>
          <w:iCs w:val="0"/>
          <w:caps w:val="0"/>
          <w:color w:val="000000"/>
          <w:spacing w:val="0"/>
          <w:kern w:val="0"/>
          <w:sz w:val="32"/>
          <w:szCs w:val="32"/>
          <w:lang w:val="en-US" w:eastAsia="zh-CN" w:bidi="ar"/>
        </w:rPr>
      </w:pPr>
    </w:p>
    <w:p w14:paraId="6D7635FF">
      <w:pPr>
        <w:pStyle w:val="8"/>
        <w:spacing w:line="240" w:lineRule="auto"/>
        <w:jc w:val="center"/>
        <w:rPr>
          <w:rFonts w:hint="eastAsia" w:ascii="仿宋_GB2312" w:hAnsi="仿宋_GB2312" w:eastAsia="仿宋_GB2312" w:cs="仿宋_GB2312"/>
          <w:b/>
          <w:bCs/>
          <w:i w:val="0"/>
          <w:iCs w:val="0"/>
          <w:caps w:val="0"/>
          <w:color w:val="000000"/>
          <w:spacing w:val="0"/>
          <w:kern w:val="0"/>
          <w:sz w:val="32"/>
          <w:szCs w:val="32"/>
          <w:lang w:val="en-US" w:eastAsia="zh-CN" w:bidi="ar"/>
        </w:rPr>
      </w:pPr>
      <w:r>
        <w:rPr>
          <w:rFonts w:hint="eastAsia" w:ascii="仿宋_GB2312" w:hAnsi="仿宋_GB2312" w:eastAsia="仿宋_GB2312" w:cs="仿宋_GB2312"/>
          <w:b/>
          <w:bCs/>
          <w:i w:val="0"/>
          <w:iCs w:val="0"/>
          <w:caps w:val="0"/>
          <w:color w:val="000000"/>
          <w:spacing w:val="0"/>
          <w:kern w:val="0"/>
          <w:sz w:val="32"/>
          <w:szCs w:val="32"/>
          <w:lang w:val="en-US" w:eastAsia="zh-CN" w:bidi="ar"/>
        </w:rPr>
        <w:t>中小企业划分标准</w:t>
      </w:r>
      <w:bookmarkStart w:id="30" w:name="bookmark5"/>
      <w:bookmarkStart w:id="31" w:name="bookmark4"/>
    </w:p>
    <w:p w14:paraId="75370711">
      <w:pPr>
        <w:pStyle w:val="8"/>
        <w:spacing w:line="240" w:lineRule="auto"/>
        <w:ind w:firstLine="280" w:firstLineChars="100"/>
        <w:jc w:val="left"/>
        <w:rPr>
          <w:rFonts w:hint="eastAsia" w:ascii="仿宋_GB2312" w:hAnsi="仿宋_GB2312" w:eastAsia="仿宋_GB2312" w:cs="仿宋_GB2312"/>
          <w:b w:val="0"/>
          <w:bCs w:val="0"/>
          <w:i w:val="0"/>
          <w:iCs w:val="0"/>
          <w:caps w:val="0"/>
          <w:color w:val="000000"/>
          <w:spacing w:val="0"/>
          <w:kern w:val="0"/>
          <w:sz w:val="28"/>
          <w:szCs w:val="28"/>
          <w:lang w:val="en-US" w:eastAsia="zh-CN" w:bidi="ar"/>
        </w:rPr>
      </w:pPr>
      <w:r>
        <w:rPr>
          <w:rFonts w:hint="eastAsia" w:ascii="仿宋_GB2312" w:hAnsi="仿宋_GB2312" w:eastAsia="仿宋_GB2312" w:cs="仿宋_GB2312"/>
          <w:b w:val="0"/>
          <w:bCs w:val="0"/>
          <w:i w:val="0"/>
          <w:iCs w:val="0"/>
          <w:caps w:val="0"/>
          <w:color w:val="000000"/>
          <w:spacing w:val="0"/>
          <w:kern w:val="0"/>
          <w:sz w:val="28"/>
          <w:szCs w:val="28"/>
          <w:lang w:val="en-US" w:eastAsia="zh-CN" w:bidi="ar"/>
        </w:rPr>
        <w:t>工业和信息化部、国家统计局、发展改革委、财政部等四部门《关于印发中小企业划型标准规定的通知》（工信部联企业〔2011〕300号）规定中小企业划型标准如表所示：</w:t>
      </w:r>
      <w:bookmarkEnd w:id="30"/>
      <w:bookmarkEnd w:id="31"/>
    </w:p>
    <w:tbl>
      <w:tblPr>
        <w:tblStyle w:val="25"/>
        <w:tblW w:w="9399" w:type="dxa"/>
        <w:jc w:val="center"/>
        <w:tblLayout w:type="fixed"/>
        <w:tblCellMar>
          <w:top w:w="0" w:type="dxa"/>
          <w:left w:w="10" w:type="dxa"/>
          <w:bottom w:w="0" w:type="dxa"/>
          <w:right w:w="10" w:type="dxa"/>
        </w:tblCellMar>
      </w:tblPr>
      <w:tblGrid>
        <w:gridCol w:w="1653"/>
        <w:gridCol w:w="1363"/>
        <w:gridCol w:w="6383"/>
      </w:tblGrid>
      <w:tr w14:paraId="60644AF0">
        <w:tblPrEx>
          <w:tblCellMar>
            <w:top w:w="0" w:type="dxa"/>
            <w:left w:w="10" w:type="dxa"/>
            <w:bottom w:w="0" w:type="dxa"/>
            <w:right w:w="10" w:type="dxa"/>
          </w:tblCellMar>
        </w:tblPrEx>
        <w:trPr>
          <w:trHeight w:val="412" w:hRule="exact"/>
          <w:jc w:val="center"/>
        </w:trPr>
        <w:tc>
          <w:tcPr>
            <w:tcW w:w="1653" w:type="dxa"/>
            <w:vMerge w:val="restart"/>
            <w:tcBorders>
              <w:top w:val="single" w:color="auto" w:sz="4" w:space="0"/>
              <w:left w:val="single" w:color="auto" w:sz="4" w:space="0"/>
            </w:tcBorders>
            <w:shd w:val="clear" w:color="auto" w:fill="FFFFFF"/>
            <w:noWrap w:val="0"/>
            <w:vAlign w:val="center"/>
          </w:tcPr>
          <w:p w14:paraId="1C77A2CB">
            <w:pPr>
              <w:pStyle w:val="52"/>
              <w:keepNext w:val="0"/>
              <w:keepLines w:val="0"/>
              <w:suppressLineNumbers w:val="0"/>
              <w:shd w:val="clear" w:color="auto" w:fill="auto"/>
              <w:spacing w:before="0" w:beforeAutospacing="0" w:after="0" w:afterAutospacing="0"/>
              <w:ind w:left="0" w:right="0" w:firstLine="2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农、林、牧、渔业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563135C7">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营业收入20000万元以下的为中小微型企业。</w:t>
            </w:r>
          </w:p>
        </w:tc>
      </w:tr>
      <w:tr w14:paraId="023462A6">
        <w:tblPrEx>
          <w:tblCellMar>
            <w:top w:w="0" w:type="dxa"/>
            <w:left w:w="10" w:type="dxa"/>
            <w:bottom w:w="0" w:type="dxa"/>
            <w:right w:w="10" w:type="dxa"/>
          </w:tblCellMar>
        </w:tblPrEx>
        <w:trPr>
          <w:trHeight w:val="270" w:hRule="exact"/>
          <w:jc w:val="center"/>
        </w:trPr>
        <w:tc>
          <w:tcPr>
            <w:tcW w:w="1653" w:type="dxa"/>
            <w:vMerge w:val="continue"/>
            <w:tcBorders>
              <w:left w:val="single" w:color="auto" w:sz="4" w:space="0"/>
            </w:tcBorders>
            <w:shd w:val="clear" w:color="auto" w:fill="FFFFFF"/>
            <w:noWrap w:val="0"/>
            <w:vAlign w:val="center"/>
          </w:tcPr>
          <w:p w14:paraId="4F018404">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50C7F6EC">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6CE9FC28">
            <w:pPr>
              <w:pStyle w:val="52"/>
              <w:keepNext w:val="0"/>
              <w:keepLines w:val="0"/>
              <w:suppressLineNumbers w:val="0"/>
              <w:shd w:val="clear" w:color="auto" w:fill="auto"/>
              <w:tabs>
                <w:tab w:val="left" w:pos="1930"/>
              </w:tabs>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500万元</w:t>
            </w:r>
            <w:r>
              <w:rPr>
                <w:rFonts w:hint="eastAsia" w:ascii="宋体" w:hAnsi="宋体" w:eastAsia="宋体" w:cs="宋体"/>
                <w:color w:val="000000"/>
                <w:sz w:val="18"/>
                <w:szCs w:val="18"/>
                <w:lang w:val="en-US"/>
              </w:rPr>
              <w:t>-</w:t>
            </w:r>
            <w:r>
              <w:rPr>
                <w:rFonts w:hint="eastAsia" w:ascii="宋体" w:hAnsi="宋体" w:eastAsia="宋体" w:cs="宋体"/>
                <w:color w:val="000000"/>
                <w:sz w:val="18"/>
                <w:szCs w:val="18"/>
              </w:rPr>
              <w:t>20</w:t>
            </w:r>
            <w:r>
              <w:rPr>
                <w:rFonts w:hint="eastAsia" w:ascii="宋体" w:hAnsi="宋体" w:eastAsia="宋体" w:cs="宋体"/>
                <w:color w:val="000000"/>
                <w:sz w:val="18"/>
                <w:szCs w:val="18"/>
                <w:lang w:val="en-US" w:eastAsia="zh-CN"/>
              </w:rPr>
              <w:t xml:space="preserve"> </w:t>
            </w:r>
            <w:r>
              <w:rPr>
                <w:rFonts w:hint="eastAsia" w:ascii="宋体" w:hAnsi="宋体" w:eastAsia="宋体" w:cs="宋体"/>
                <w:color w:val="000000"/>
                <w:sz w:val="18"/>
                <w:szCs w:val="18"/>
              </w:rPr>
              <w:t>000万元</w:t>
            </w:r>
          </w:p>
        </w:tc>
      </w:tr>
      <w:tr w14:paraId="29BD1F33">
        <w:tblPrEx>
          <w:tblCellMar>
            <w:top w:w="0" w:type="dxa"/>
            <w:left w:w="10" w:type="dxa"/>
            <w:bottom w:w="0" w:type="dxa"/>
            <w:right w:w="10" w:type="dxa"/>
          </w:tblCellMar>
        </w:tblPrEx>
        <w:trPr>
          <w:trHeight w:val="262" w:hRule="exact"/>
          <w:jc w:val="center"/>
        </w:trPr>
        <w:tc>
          <w:tcPr>
            <w:tcW w:w="1653" w:type="dxa"/>
            <w:vMerge w:val="continue"/>
            <w:tcBorders>
              <w:left w:val="single" w:color="auto" w:sz="4" w:space="0"/>
            </w:tcBorders>
            <w:shd w:val="clear" w:color="auto" w:fill="FFFFFF"/>
            <w:noWrap w:val="0"/>
            <w:vAlign w:val="center"/>
          </w:tcPr>
          <w:p w14:paraId="151E779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3635E595">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23549566">
            <w:pPr>
              <w:pStyle w:val="52"/>
              <w:keepNext w:val="0"/>
              <w:keepLines w:val="0"/>
              <w:suppressLineNumbers w:val="0"/>
              <w:shd w:val="clear" w:color="auto" w:fill="auto"/>
              <w:tabs>
                <w:tab w:val="left" w:pos="1752"/>
              </w:tabs>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50万元</w:t>
            </w:r>
            <w:r>
              <w:rPr>
                <w:rFonts w:hint="eastAsia" w:ascii="宋体" w:hAnsi="宋体" w:eastAsia="宋体" w:cs="宋体"/>
                <w:color w:val="000000"/>
                <w:sz w:val="18"/>
                <w:szCs w:val="18"/>
                <w:lang w:val="en-US"/>
              </w:rPr>
              <w:t>-</w:t>
            </w:r>
            <w:r>
              <w:rPr>
                <w:rFonts w:hint="eastAsia" w:ascii="宋体" w:hAnsi="宋体" w:eastAsia="宋体" w:cs="宋体"/>
                <w:color w:val="000000"/>
                <w:sz w:val="18"/>
                <w:szCs w:val="18"/>
              </w:rPr>
              <w:t>500万元</w:t>
            </w:r>
          </w:p>
        </w:tc>
      </w:tr>
      <w:tr w14:paraId="69F933AB">
        <w:tblPrEx>
          <w:tblCellMar>
            <w:top w:w="0" w:type="dxa"/>
            <w:left w:w="10" w:type="dxa"/>
            <w:bottom w:w="0" w:type="dxa"/>
            <w:right w:w="10" w:type="dxa"/>
          </w:tblCellMar>
        </w:tblPrEx>
        <w:trPr>
          <w:trHeight w:val="300" w:hRule="exact"/>
          <w:jc w:val="center"/>
        </w:trPr>
        <w:tc>
          <w:tcPr>
            <w:tcW w:w="1653" w:type="dxa"/>
            <w:vMerge w:val="continue"/>
            <w:tcBorders>
              <w:left w:val="single" w:color="auto" w:sz="4" w:space="0"/>
            </w:tcBorders>
            <w:shd w:val="clear" w:color="auto" w:fill="FFFFFF"/>
            <w:noWrap w:val="0"/>
            <w:vAlign w:val="center"/>
          </w:tcPr>
          <w:p w14:paraId="07AE070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62062204">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55097BA4">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50万元以下</w:t>
            </w:r>
          </w:p>
        </w:tc>
      </w:tr>
      <w:tr w14:paraId="37BFDFD3">
        <w:tblPrEx>
          <w:tblCellMar>
            <w:top w:w="0" w:type="dxa"/>
            <w:left w:w="10" w:type="dxa"/>
            <w:bottom w:w="0" w:type="dxa"/>
            <w:right w:w="10" w:type="dxa"/>
          </w:tblCellMar>
        </w:tblPrEx>
        <w:trPr>
          <w:trHeight w:val="270" w:hRule="exact"/>
          <w:jc w:val="center"/>
        </w:trPr>
        <w:tc>
          <w:tcPr>
            <w:tcW w:w="1653" w:type="dxa"/>
            <w:vMerge w:val="restart"/>
            <w:tcBorders>
              <w:top w:val="single" w:color="auto" w:sz="4" w:space="0"/>
              <w:left w:val="single" w:color="auto" w:sz="4" w:space="0"/>
            </w:tcBorders>
            <w:shd w:val="clear" w:color="auto" w:fill="FFFFFF"/>
            <w:noWrap w:val="0"/>
            <w:vAlign w:val="center"/>
          </w:tcPr>
          <w:p w14:paraId="124F1C03">
            <w:pPr>
              <w:pStyle w:val="52"/>
              <w:keepNext w:val="0"/>
              <w:keepLines w:val="0"/>
              <w:suppressLineNumbers w:val="0"/>
              <w:shd w:val="clear" w:color="auto" w:fill="auto"/>
              <w:spacing w:before="0" w:beforeAutospacing="0" w:after="0" w:afterAutospacing="0" w:line="504"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工业（包括采矿业，制造业，电力、热力、燃 气及水生产和供应</w:t>
            </w:r>
          </w:p>
          <w:p w14:paraId="75675366">
            <w:pPr>
              <w:pStyle w:val="52"/>
              <w:keepNext w:val="0"/>
              <w:keepLines w:val="0"/>
              <w:suppressLineNumbers w:val="0"/>
              <w:shd w:val="clear" w:color="auto" w:fill="auto"/>
              <w:spacing w:before="0" w:beforeAutospacing="0" w:after="0" w:afterAutospacing="0" w:line="504"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027F9433">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40000万元以下的为中小微型企业。</w:t>
            </w:r>
          </w:p>
        </w:tc>
      </w:tr>
      <w:tr w14:paraId="13E4C700">
        <w:tblPrEx>
          <w:tblCellMar>
            <w:top w:w="0" w:type="dxa"/>
            <w:left w:w="10" w:type="dxa"/>
            <w:bottom w:w="0" w:type="dxa"/>
            <w:right w:w="10" w:type="dxa"/>
          </w:tblCellMar>
        </w:tblPrEx>
        <w:trPr>
          <w:trHeight w:val="343" w:hRule="exact"/>
          <w:jc w:val="center"/>
        </w:trPr>
        <w:tc>
          <w:tcPr>
            <w:tcW w:w="1653" w:type="dxa"/>
            <w:vMerge w:val="continue"/>
            <w:tcBorders>
              <w:left w:val="single" w:color="auto" w:sz="4" w:space="0"/>
            </w:tcBorders>
            <w:shd w:val="clear" w:color="auto" w:fill="FFFFFF"/>
            <w:noWrap w:val="0"/>
            <w:vAlign w:val="center"/>
          </w:tcPr>
          <w:p w14:paraId="2D11E75E">
            <w:pPr>
              <w:keepNext w:val="0"/>
              <w:keepLines w:val="0"/>
              <w:suppressLineNumbers w:val="0"/>
              <w:spacing w:before="0" w:beforeAutospacing="0" w:after="0" w:afterAutospacing="0"/>
              <w:ind w:left="0" w:right="0"/>
              <w:jc w:val="both"/>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54375E09">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0CFB07B8">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2 000万元一40 000万元</w:t>
            </w:r>
          </w:p>
        </w:tc>
      </w:tr>
      <w:tr w14:paraId="7087C0C8">
        <w:tblPrEx>
          <w:tblCellMar>
            <w:top w:w="0" w:type="dxa"/>
            <w:left w:w="10" w:type="dxa"/>
            <w:bottom w:w="0" w:type="dxa"/>
            <w:right w:w="10" w:type="dxa"/>
          </w:tblCellMar>
        </w:tblPrEx>
        <w:trPr>
          <w:trHeight w:val="346" w:hRule="exact"/>
          <w:jc w:val="center"/>
        </w:trPr>
        <w:tc>
          <w:tcPr>
            <w:tcW w:w="1653" w:type="dxa"/>
            <w:vMerge w:val="continue"/>
            <w:tcBorders>
              <w:left w:val="single" w:color="auto" w:sz="4" w:space="0"/>
            </w:tcBorders>
            <w:shd w:val="clear" w:color="auto" w:fill="FFFFFF"/>
            <w:noWrap w:val="0"/>
            <w:vAlign w:val="center"/>
          </w:tcPr>
          <w:p w14:paraId="4AD6812E">
            <w:pPr>
              <w:keepNext w:val="0"/>
              <w:keepLines w:val="0"/>
              <w:suppressLineNumbers w:val="0"/>
              <w:spacing w:before="0" w:beforeAutospacing="0" w:after="0" w:afterAutospacing="0"/>
              <w:ind w:left="0" w:right="0"/>
              <w:jc w:val="both"/>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1F849846">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167734BF">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从业人员20人一300人，且营业收入 300万元一2 000万元</w:t>
            </w:r>
          </w:p>
        </w:tc>
      </w:tr>
      <w:tr w14:paraId="2A7F8B6D">
        <w:tblPrEx>
          <w:tblCellMar>
            <w:top w:w="0" w:type="dxa"/>
            <w:left w:w="10" w:type="dxa"/>
            <w:bottom w:w="0" w:type="dxa"/>
            <w:right w:w="10" w:type="dxa"/>
          </w:tblCellMar>
        </w:tblPrEx>
        <w:trPr>
          <w:trHeight w:val="272" w:hRule="exact"/>
          <w:jc w:val="center"/>
        </w:trPr>
        <w:tc>
          <w:tcPr>
            <w:tcW w:w="1653" w:type="dxa"/>
            <w:vMerge w:val="continue"/>
            <w:tcBorders>
              <w:left w:val="single" w:color="auto" w:sz="4" w:space="0"/>
            </w:tcBorders>
            <w:shd w:val="clear" w:color="auto" w:fill="FFFFFF"/>
            <w:noWrap w:val="0"/>
            <w:vAlign w:val="center"/>
          </w:tcPr>
          <w:p w14:paraId="46D8AA48">
            <w:pPr>
              <w:keepNext w:val="0"/>
              <w:keepLines w:val="0"/>
              <w:suppressLineNumbers w:val="0"/>
              <w:spacing w:before="0" w:beforeAutospacing="0" w:after="0" w:afterAutospacing="0"/>
              <w:ind w:left="0" w:right="0"/>
              <w:jc w:val="both"/>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05C39A41">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09E03EDE">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300万元以下</w:t>
            </w:r>
          </w:p>
        </w:tc>
      </w:tr>
      <w:tr w14:paraId="1E638F17">
        <w:tblPrEx>
          <w:tblCellMar>
            <w:top w:w="0" w:type="dxa"/>
            <w:left w:w="10" w:type="dxa"/>
            <w:bottom w:w="0" w:type="dxa"/>
            <w:right w:w="10" w:type="dxa"/>
          </w:tblCellMar>
        </w:tblPrEx>
        <w:trPr>
          <w:trHeight w:val="369" w:hRule="exact"/>
          <w:jc w:val="center"/>
        </w:trPr>
        <w:tc>
          <w:tcPr>
            <w:tcW w:w="1653" w:type="dxa"/>
            <w:vMerge w:val="restart"/>
            <w:tcBorders>
              <w:top w:val="single" w:color="auto" w:sz="4" w:space="0"/>
              <w:left w:val="single" w:color="auto" w:sz="4" w:space="0"/>
            </w:tcBorders>
            <w:shd w:val="clear" w:color="auto" w:fill="FFFFFF"/>
            <w:noWrap w:val="0"/>
            <w:vAlign w:val="center"/>
          </w:tcPr>
          <w:p w14:paraId="236C1614">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建筑业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3141A93F">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营业收入80 000万元以下或资产总额 80000万元以下的为中小微型企业。</w:t>
            </w:r>
          </w:p>
        </w:tc>
      </w:tr>
      <w:tr w14:paraId="17601D3F">
        <w:tblPrEx>
          <w:tblCellMar>
            <w:top w:w="0" w:type="dxa"/>
            <w:left w:w="10" w:type="dxa"/>
            <w:bottom w:w="0" w:type="dxa"/>
            <w:right w:w="10" w:type="dxa"/>
          </w:tblCellMar>
        </w:tblPrEx>
        <w:trPr>
          <w:trHeight w:val="468" w:hRule="exact"/>
          <w:jc w:val="center"/>
        </w:trPr>
        <w:tc>
          <w:tcPr>
            <w:tcW w:w="1653" w:type="dxa"/>
            <w:vMerge w:val="continue"/>
            <w:tcBorders>
              <w:left w:val="single" w:color="auto" w:sz="4" w:space="0"/>
            </w:tcBorders>
            <w:shd w:val="clear" w:color="auto" w:fill="FFFFFF"/>
            <w:noWrap w:val="0"/>
            <w:vAlign w:val="center"/>
          </w:tcPr>
          <w:p w14:paraId="13A19B0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0DF91F89">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5028A621">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营业收入6 000万元一80 000万元，且资产总额 5 000万元一80 000 力元</w:t>
            </w:r>
          </w:p>
        </w:tc>
      </w:tr>
      <w:tr w14:paraId="5E330F8E">
        <w:tblPrEx>
          <w:tblCellMar>
            <w:top w:w="0" w:type="dxa"/>
            <w:left w:w="10" w:type="dxa"/>
            <w:bottom w:w="0" w:type="dxa"/>
            <w:right w:w="10" w:type="dxa"/>
          </w:tblCellMar>
        </w:tblPrEx>
        <w:trPr>
          <w:trHeight w:val="278" w:hRule="exact"/>
          <w:jc w:val="center"/>
        </w:trPr>
        <w:tc>
          <w:tcPr>
            <w:tcW w:w="1653" w:type="dxa"/>
            <w:vMerge w:val="continue"/>
            <w:tcBorders>
              <w:left w:val="single" w:color="auto" w:sz="4" w:space="0"/>
            </w:tcBorders>
            <w:shd w:val="clear" w:color="auto" w:fill="FFFFFF"/>
            <w:noWrap w:val="0"/>
            <w:vAlign w:val="center"/>
          </w:tcPr>
          <w:p w14:paraId="66E5F2E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2925E533">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66438C23">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 300万元一6 000万元，且资产总额 300万一5 000万元</w:t>
            </w:r>
          </w:p>
        </w:tc>
      </w:tr>
      <w:tr w14:paraId="4A1AB2E1">
        <w:tblPrEx>
          <w:tblCellMar>
            <w:top w:w="0" w:type="dxa"/>
            <w:left w:w="10" w:type="dxa"/>
            <w:bottom w:w="0" w:type="dxa"/>
            <w:right w:w="10" w:type="dxa"/>
          </w:tblCellMar>
        </w:tblPrEx>
        <w:trPr>
          <w:trHeight w:val="320" w:hRule="exact"/>
          <w:jc w:val="center"/>
        </w:trPr>
        <w:tc>
          <w:tcPr>
            <w:tcW w:w="1653" w:type="dxa"/>
            <w:vMerge w:val="continue"/>
            <w:tcBorders>
              <w:left w:val="single" w:color="auto" w:sz="4" w:space="0"/>
            </w:tcBorders>
            <w:shd w:val="clear" w:color="auto" w:fill="FFFFFF"/>
            <w:noWrap w:val="0"/>
            <w:vAlign w:val="center"/>
          </w:tcPr>
          <w:p w14:paraId="3AE3ACD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395AD5E2">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65412EAB">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营业收入300万元以下或资产总额 300万元以下</w:t>
            </w:r>
          </w:p>
        </w:tc>
      </w:tr>
      <w:tr w14:paraId="1DE348D1">
        <w:tblPrEx>
          <w:tblCellMar>
            <w:top w:w="0" w:type="dxa"/>
            <w:left w:w="10" w:type="dxa"/>
            <w:bottom w:w="0" w:type="dxa"/>
            <w:right w:w="10" w:type="dxa"/>
          </w:tblCellMar>
        </w:tblPrEx>
        <w:trPr>
          <w:trHeight w:val="320" w:hRule="exact"/>
          <w:jc w:val="center"/>
        </w:trPr>
        <w:tc>
          <w:tcPr>
            <w:tcW w:w="1653" w:type="dxa"/>
            <w:vMerge w:val="restart"/>
            <w:tcBorders>
              <w:top w:val="single" w:color="auto" w:sz="4" w:space="0"/>
              <w:left w:val="single" w:color="auto" w:sz="4" w:space="0"/>
            </w:tcBorders>
            <w:shd w:val="clear" w:color="auto" w:fill="FFFFFF"/>
            <w:noWrap w:val="0"/>
            <w:vAlign w:val="center"/>
          </w:tcPr>
          <w:p w14:paraId="0C93342F">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批发业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0FB57376">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从业人员200人以下或营业收入 40 000万元以下的为中小微型企业。</w:t>
            </w:r>
          </w:p>
        </w:tc>
      </w:tr>
      <w:tr w14:paraId="703D4928">
        <w:tblPrEx>
          <w:tblCellMar>
            <w:top w:w="0" w:type="dxa"/>
            <w:left w:w="10" w:type="dxa"/>
            <w:bottom w:w="0" w:type="dxa"/>
            <w:right w:w="10" w:type="dxa"/>
          </w:tblCellMar>
        </w:tblPrEx>
        <w:trPr>
          <w:trHeight w:val="309" w:hRule="exact"/>
          <w:jc w:val="center"/>
        </w:trPr>
        <w:tc>
          <w:tcPr>
            <w:tcW w:w="1653" w:type="dxa"/>
            <w:vMerge w:val="continue"/>
            <w:tcBorders>
              <w:left w:val="single" w:color="auto" w:sz="4" w:space="0"/>
            </w:tcBorders>
            <w:shd w:val="clear" w:color="auto" w:fill="FFFFFF"/>
            <w:noWrap w:val="0"/>
            <w:vAlign w:val="center"/>
          </w:tcPr>
          <w:p w14:paraId="2753234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756A61B1">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60094605">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从业人员20人一200人，且营业收入 5 000万元一40 000万元</w:t>
            </w:r>
          </w:p>
        </w:tc>
      </w:tr>
      <w:tr w14:paraId="3C2BF6F7">
        <w:tblPrEx>
          <w:tblCellMar>
            <w:top w:w="0" w:type="dxa"/>
            <w:left w:w="10" w:type="dxa"/>
            <w:bottom w:w="0" w:type="dxa"/>
            <w:right w:w="10" w:type="dxa"/>
          </w:tblCellMar>
        </w:tblPrEx>
        <w:trPr>
          <w:trHeight w:val="303" w:hRule="exact"/>
          <w:jc w:val="center"/>
        </w:trPr>
        <w:tc>
          <w:tcPr>
            <w:tcW w:w="1653" w:type="dxa"/>
            <w:vMerge w:val="continue"/>
            <w:tcBorders>
              <w:left w:val="single" w:color="auto" w:sz="4" w:space="0"/>
            </w:tcBorders>
            <w:shd w:val="clear" w:color="auto" w:fill="FFFFFF"/>
            <w:noWrap w:val="0"/>
            <w:vAlign w:val="center"/>
          </w:tcPr>
          <w:p w14:paraId="1447B3DE">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52D214DE">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66E46C8D">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从业人员5人一20人，且营业收入 1 000万元一5 000万元</w:t>
            </w:r>
          </w:p>
        </w:tc>
      </w:tr>
      <w:tr w14:paraId="2A49CB6F">
        <w:tblPrEx>
          <w:tblCellMar>
            <w:top w:w="0" w:type="dxa"/>
            <w:left w:w="10" w:type="dxa"/>
            <w:bottom w:w="0" w:type="dxa"/>
            <w:right w:w="10" w:type="dxa"/>
          </w:tblCellMar>
        </w:tblPrEx>
        <w:trPr>
          <w:trHeight w:val="315" w:hRule="exact"/>
          <w:jc w:val="center"/>
        </w:trPr>
        <w:tc>
          <w:tcPr>
            <w:tcW w:w="1653" w:type="dxa"/>
            <w:vMerge w:val="continue"/>
            <w:tcBorders>
              <w:left w:val="single" w:color="auto" w:sz="4" w:space="0"/>
            </w:tcBorders>
            <w:shd w:val="clear" w:color="auto" w:fill="FFFFFF"/>
            <w:noWrap w:val="0"/>
            <w:vAlign w:val="center"/>
          </w:tcPr>
          <w:p w14:paraId="16A1D97D">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14632F58">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00CAC97F">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从业人员5人以下或营业收入 1 000万元以下</w:t>
            </w:r>
          </w:p>
        </w:tc>
      </w:tr>
      <w:tr w14:paraId="221EE572">
        <w:tblPrEx>
          <w:tblCellMar>
            <w:top w:w="0" w:type="dxa"/>
            <w:left w:w="10" w:type="dxa"/>
            <w:bottom w:w="0" w:type="dxa"/>
            <w:right w:w="10" w:type="dxa"/>
          </w:tblCellMar>
        </w:tblPrEx>
        <w:trPr>
          <w:trHeight w:val="296" w:hRule="exact"/>
          <w:jc w:val="center"/>
        </w:trPr>
        <w:tc>
          <w:tcPr>
            <w:tcW w:w="1653" w:type="dxa"/>
            <w:vMerge w:val="restart"/>
            <w:tcBorders>
              <w:top w:val="single" w:color="auto" w:sz="4" w:space="0"/>
              <w:left w:val="single" w:color="auto" w:sz="4" w:space="0"/>
            </w:tcBorders>
            <w:shd w:val="clear" w:color="auto" w:fill="FFFFFF"/>
            <w:noWrap w:val="0"/>
            <w:vAlign w:val="center"/>
          </w:tcPr>
          <w:p w14:paraId="7903CFD7">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零售业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4F7C114B">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20 000万元以下的为中小微型企业。</w:t>
            </w:r>
          </w:p>
        </w:tc>
      </w:tr>
      <w:tr w14:paraId="4EB6F5C0">
        <w:tblPrEx>
          <w:tblCellMar>
            <w:top w:w="0" w:type="dxa"/>
            <w:left w:w="10" w:type="dxa"/>
            <w:bottom w:w="0" w:type="dxa"/>
            <w:right w:w="10" w:type="dxa"/>
          </w:tblCellMar>
        </w:tblPrEx>
        <w:trPr>
          <w:trHeight w:val="300" w:hRule="exact"/>
          <w:jc w:val="center"/>
        </w:trPr>
        <w:tc>
          <w:tcPr>
            <w:tcW w:w="1653" w:type="dxa"/>
            <w:vMerge w:val="continue"/>
            <w:tcBorders>
              <w:left w:val="single" w:color="auto" w:sz="4" w:space="0"/>
            </w:tcBorders>
            <w:shd w:val="clear" w:color="auto" w:fill="FFFFFF"/>
            <w:noWrap w:val="0"/>
            <w:vAlign w:val="center"/>
          </w:tcPr>
          <w:p w14:paraId="405B3C77">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29D9889E">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29F86D2D">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50人一300人，且营业收入 500万元一20 000万元</w:t>
            </w:r>
          </w:p>
        </w:tc>
      </w:tr>
      <w:tr w14:paraId="3F8125F2">
        <w:tblPrEx>
          <w:tblCellMar>
            <w:top w:w="0" w:type="dxa"/>
            <w:left w:w="10" w:type="dxa"/>
            <w:bottom w:w="0" w:type="dxa"/>
            <w:right w:w="10" w:type="dxa"/>
          </w:tblCellMar>
        </w:tblPrEx>
        <w:trPr>
          <w:trHeight w:val="344" w:hRule="exact"/>
          <w:jc w:val="center"/>
        </w:trPr>
        <w:tc>
          <w:tcPr>
            <w:tcW w:w="1653" w:type="dxa"/>
            <w:vMerge w:val="continue"/>
            <w:tcBorders>
              <w:left w:val="single" w:color="auto" w:sz="4" w:space="0"/>
            </w:tcBorders>
            <w:shd w:val="clear" w:color="auto" w:fill="FFFFFF"/>
            <w:noWrap w:val="0"/>
            <w:vAlign w:val="center"/>
          </w:tcPr>
          <w:p w14:paraId="7B4D99D9">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60B6325A">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789277C0">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从业人员10人一50人，且营业收入 100万元一500万元</w:t>
            </w:r>
          </w:p>
        </w:tc>
      </w:tr>
      <w:tr w14:paraId="7CC61456">
        <w:tblPrEx>
          <w:tblCellMar>
            <w:top w:w="0" w:type="dxa"/>
            <w:left w:w="10" w:type="dxa"/>
            <w:bottom w:w="0" w:type="dxa"/>
            <w:right w:w="10" w:type="dxa"/>
          </w:tblCellMar>
        </w:tblPrEx>
        <w:trPr>
          <w:trHeight w:val="414" w:hRule="exact"/>
          <w:jc w:val="center"/>
        </w:trPr>
        <w:tc>
          <w:tcPr>
            <w:tcW w:w="1653" w:type="dxa"/>
            <w:vMerge w:val="continue"/>
            <w:tcBorders>
              <w:left w:val="single" w:color="auto" w:sz="4" w:space="0"/>
            </w:tcBorders>
            <w:shd w:val="clear" w:color="auto" w:fill="FFFFFF"/>
            <w:noWrap w:val="0"/>
            <w:vAlign w:val="center"/>
          </w:tcPr>
          <w:p w14:paraId="0A9F9C03">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7711136D">
            <w:pPr>
              <w:pStyle w:val="52"/>
              <w:keepNext w:val="0"/>
              <w:keepLines w:val="0"/>
              <w:suppressLineNumbers w:val="0"/>
              <w:shd w:val="clear" w:color="auto" w:fill="auto"/>
              <w:spacing w:before="8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5DBBC1B0">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14:paraId="57148978">
        <w:tblPrEx>
          <w:tblCellMar>
            <w:top w:w="0" w:type="dxa"/>
            <w:left w:w="10" w:type="dxa"/>
            <w:bottom w:w="0" w:type="dxa"/>
            <w:right w:w="10" w:type="dxa"/>
          </w:tblCellMar>
        </w:tblPrEx>
        <w:trPr>
          <w:trHeight w:val="325" w:hRule="exact"/>
          <w:jc w:val="center"/>
        </w:trPr>
        <w:tc>
          <w:tcPr>
            <w:tcW w:w="1653" w:type="dxa"/>
            <w:vMerge w:val="restart"/>
            <w:tcBorders>
              <w:top w:val="single" w:color="auto" w:sz="4" w:space="0"/>
              <w:left w:val="single" w:color="auto" w:sz="4" w:space="0"/>
            </w:tcBorders>
            <w:shd w:val="clear" w:color="auto" w:fill="FFFFFF"/>
            <w:noWrap w:val="0"/>
            <w:vAlign w:val="center"/>
          </w:tcPr>
          <w:p w14:paraId="6C5152DD">
            <w:pPr>
              <w:pStyle w:val="52"/>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交通运输业</w:t>
            </w:r>
          </w:p>
          <w:p w14:paraId="38FF27C3">
            <w:pPr>
              <w:pStyle w:val="52"/>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（不含铁路运输业）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624C9FFE">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30 000万元以下的为中小微型企业。</w:t>
            </w:r>
          </w:p>
        </w:tc>
      </w:tr>
      <w:tr w14:paraId="3D46AD3A">
        <w:tblPrEx>
          <w:tblCellMar>
            <w:top w:w="0" w:type="dxa"/>
            <w:left w:w="10" w:type="dxa"/>
            <w:bottom w:w="0" w:type="dxa"/>
            <w:right w:w="10" w:type="dxa"/>
          </w:tblCellMar>
        </w:tblPrEx>
        <w:trPr>
          <w:trHeight w:val="292" w:hRule="exact"/>
          <w:jc w:val="center"/>
        </w:trPr>
        <w:tc>
          <w:tcPr>
            <w:tcW w:w="1653" w:type="dxa"/>
            <w:vMerge w:val="continue"/>
            <w:tcBorders>
              <w:left w:val="single" w:color="auto" w:sz="4" w:space="0"/>
            </w:tcBorders>
            <w:shd w:val="clear" w:color="auto" w:fill="FFFFFF"/>
            <w:noWrap w:val="0"/>
            <w:vAlign w:val="center"/>
          </w:tcPr>
          <w:p w14:paraId="646CF4A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19D39255">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7A0A058E">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3 000万元一30 000万元</w:t>
            </w:r>
          </w:p>
        </w:tc>
      </w:tr>
      <w:tr w14:paraId="37DD860D">
        <w:tblPrEx>
          <w:tblCellMar>
            <w:top w:w="0" w:type="dxa"/>
            <w:left w:w="10" w:type="dxa"/>
            <w:bottom w:w="0" w:type="dxa"/>
            <w:right w:w="10" w:type="dxa"/>
          </w:tblCellMar>
        </w:tblPrEx>
        <w:trPr>
          <w:trHeight w:val="256" w:hRule="exact"/>
          <w:jc w:val="center"/>
        </w:trPr>
        <w:tc>
          <w:tcPr>
            <w:tcW w:w="1653" w:type="dxa"/>
            <w:vMerge w:val="continue"/>
            <w:tcBorders>
              <w:left w:val="single" w:color="auto" w:sz="4" w:space="0"/>
            </w:tcBorders>
            <w:shd w:val="clear" w:color="auto" w:fill="FFFFFF"/>
            <w:noWrap w:val="0"/>
            <w:vAlign w:val="center"/>
          </w:tcPr>
          <w:p w14:paraId="57B041F0">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517F856C">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1A048786">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从业人员20人一300人，且营业收入 200万元一3 000万元</w:t>
            </w:r>
          </w:p>
        </w:tc>
      </w:tr>
      <w:tr w14:paraId="1701586F">
        <w:tblPrEx>
          <w:tblCellMar>
            <w:top w:w="0" w:type="dxa"/>
            <w:left w:w="10" w:type="dxa"/>
            <w:bottom w:w="0" w:type="dxa"/>
            <w:right w:w="10" w:type="dxa"/>
          </w:tblCellMar>
        </w:tblPrEx>
        <w:trPr>
          <w:trHeight w:val="344" w:hRule="exact"/>
          <w:jc w:val="center"/>
        </w:trPr>
        <w:tc>
          <w:tcPr>
            <w:tcW w:w="1653" w:type="dxa"/>
            <w:vMerge w:val="continue"/>
            <w:tcBorders>
              <w:left w:val="single" w:color="auto" w:sz="4" w:space="0"/>
            </w:tcBorders>
            <w:shd w:val="clear" w:color="auto" w:fill="FFFFFF"/>
            <w:noWrap w:val="0"/>
            <w:vAlign w:val="center"/>
          </w:tcPr>
          <w:p w14:paraId="1223CC7A">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3836BBC0">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482DC8FA">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200万元以下</w:t>
            </w:r>
          </w:p>
        </w:tc>
      </w:tr>
      <w:tr w14:paraId="6DFE303F">
        <w:tblPrEx>
          <w:tblCellMar>
            <w:top w:w="0" w:type="dxa"/>
            <w:left w:w="10" w:type="dxa"/>
            <w:bottom w:w="0" w:type="dxa"/>
            <w:right w:w="10" w:type="dxa"/>
          </w:tblCellMar>
        </w:tblPrEx>
        <w:trPr>
          <w:trHeight w:val="355" w:hRule="exact"/>
          <w:jc w:val="center"/>
        </w:trPr>
        <w:tc>
          <w:tcPr>
            <w:tcW w:w="1653" w:type="dxa"/>
            <w:vMerge w:val="restart"/>
            <w:tcBorders>
              <w:top w:val="single" w:color="auto" w:sz="4" w:space="0"/>
              <w:left w:val="single" w:color="auto" w:sz="4" w:space="0"/>
            </w:tcBorders>
            <w:shd w:val="clear" w:color="auto" w:fill="FFFFFF"/>
            <w:noWrap w:val="0"/>
            <w:vAlign w:val="center"/>
          </w:tcPr>
          <w:p w14:paraId="43B92B14">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仓储业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0B8B8DBF">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从业人员200人以下或营业收入 30 000万元以下的为中小微型企业。</w:t>
            </w:r>
          </w:p>
        </w:tc>
      </w:tr>
      <w:tr w14:paraId="4268FAB9">
        <w:tblPrEx>
          <w:tblCellMar>
            <w:top w:w="0" w:type="dxa"/>
            <w:left w:w="10" w:type="dxa"/>
            <w:bottom w:w="0" w:type="dxa"/>
            <w:right w:w="10" w:type="dxa"/>
          </w:tblCellMar>
        </w:tblPrEx>
        <w:trPr>
          <w:trHeight w:val="367" w:hRule="exact"/>
          <w:jc w:val="center"/>
        </w:trPr>
        <w:tc>
          <w:tcPr>
            <w:tcW w:w="1653" w:type="dxa"/>
            <w:vMerge w:val="continue"/>
            <w:tcBorders>
              <w:left w:val="single" w:color="auto" w:sz="4" w:space="0"/>
            </w:tcBorders>
            <w:shd w:val="clear" w:color="auto" w:fill="FFFFFF"/>
            <w:noWrap w:val="0"/>
            <w:vAlign w:val="center"/>
          </w:tcPr>
          <w:p w14:paraId="24E857E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746BE5CF">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19145734">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从业人员100人一200人，且营业收入 1 000万元一30 000万元</w:t>
            </w:r>
          </w:p>
        </w:tc>
      </w:tr>
      <w:tr w14:paraId="603F9280">
        <w:tblPrEx>
          <w:tblCellMar>
            <w:top w:w="0" w:type="dxa"/>
            <w:left w:w="10" w:type="dxa"/>
            <w:bottom w:w="0" w:type="dxa"/>
            <w:right w:w="10" w:type="dxa"/>
          </w:tblCellMar>
        </w:tblPrEx>
        <w:trPr>
          <w:trHeight w:val="275" w:hRule="exact"/>
          <w:jc w:val="center"/>
        </w:trPr>
        <w:tc>
          <w:tcPr>
            <w:tcW w:w="1653" w:type="dxa"/>
            <w:vMerge w:val="continue"/>
            <w:tcBorders>
              <w:left w:val="single" w:color="auto" w:sz="4" w:space="0"/>
            </w:tcBorders>
            <w:shd w:val="clear" w:color="auto" w:fill="FFFFFF"/>
            <w:noWrap w:val="0"/>
            <w:vAlign w:val="center"/>
          </w:tcPr>
          <w:p w14:paraId="50974CA2">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10E48A36">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15386421">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从业人员20人一100人，且营业收入 100万元一1 000万元</w:t>
            </w:r>
          </w:p>
        </w:tc>
      </w:tr>
      <w:tr w14:paraId="14D9AD86">
        <w:tblPrEx>
          <w:tblCellMar>
            <w:top w:w="0" w:type="dxa"/>
            <w:left w:w="10" w:type="dxa"/>
            <w:bottom w:w="0" w:type="dxa"/>
            <w:right w:w="10" w:type="dxa"/>
          </w:tblCellMar>
        </w:tblPrEx>
        <w:trPr>
          <w:trHeight w:val="302" w:hRule="exact"/>
          <w:jc w:val="center"/>
        </w:trPr>
        <w:tc>
          <w:tcPr>
            <w:tcW w:w="1653" w:type="dxa"/>
            <w:vMerge w:val="continue"/>
            <w:tcBorders>
              <w:left w:val="single" w:color="auto" w:sz="4" w:space="0"/>
            </w:tcBorders>
            <w:shd w:val="clear" w:color="auto" w:fill="FFFFFF"/>
            <w:noWrap w:val="0"/>
            <w:vAlign w:val="center"/>
          </w:tcPr>
          <w:p w14:paraId="53D5C7A1">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593B80FD">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60E9AD74">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100万元以下</w:t>
            </w:r>
          </w:p>
        </w:tc>
      </w:tr>
      <w:tr w14:paraId="34F3F3AE">
        <w:tblPrEx>
          <w:tblCellMar>
            <w:top w:w="0" w:type="dxa"/>
            <w:left w:w="10" w:type="dxa"/>
            <w:bottom w:w="0" w:type="dxa"/>
            <w:right w:w="10" w:type="dxa"/>
          </w:tblCellMar>
        </w:tblPrEx>
        <w:trPr>
          <w:trHeight w:val="285" w:hRule="exact"/>
          <w:jc w:val="center"/>
        </w:trPr>
        <w:tc>
          <w:tcPr>
            <w:tcW w:w="1653" w:type="dxa"/>
            <w:vMerge w:val="restart"/>
            <w:tcBorders>
              <w:top w:val="single" w:color="auto" w:sz="4" w:space="0"/>
              <w:left w:val="single" w:color="auto" w:sz="4" w:space="0"/>
            </w:tcBorders>
            <w:shd w:val="clear" w:color="auto" w:fill="FFFFFF"/>
            <w:noWrap w:val="0"/>
            <w:vAlign w:val="center"/>
          </w:tcPr>
          <w:p w14:paraId="69B3400F">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邮政业</w:t>
            </w:r>
          </w:p>
        </w:tc>
        <w:tc>
          <w:tcPr>
            <w:tcW w:w="7746" w:type="dxa"/>
            <w:gridSpan w:val="2"/>
            <w:tcBorders>
              <w:top w:val="single" w:color="auto" w:sz="4" w:space="0"/>
              <w:left w:val="single" w:color="auto" w:sz="4" w:space="0"/>
              <w:right w:val="single" w:color="auto" w:sz="4" w:space="0"/>
            </w:tcBorders>
            <w:shd w:val="clear" w:color="auto" w:fill="FFFFFF"/>
            <w:noWrap w:val="0"/>
            <w:vAlign w:val="center"/>
          </w:tcPr>
          <w:p w14:paraId="77C9E900">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30 000万元以下的为中小微型企业。</w:t>
            </w:r>
          </w:p>
        </w:tc>
      </w:tr>
      <w:tr w14:paraId="12021171">
        <w:tblPrEx>
          <w:tblCellMar>
            <w:top w:w="0" w:type="dxa"/>
            <w:left w:w="10" w:type="dxa"/>
            <w:bottom w:w="0" w:type="dxa"/>
            <w:right w:w="10" w:type="dxa"/>
          </w:tblCellMar>
        </w:tblPrEx>
        <w:trPr>
          <w:trHeight w:val="361" w:hRule="exact"/>
          <w:jc w:val="center"/>
        </w:trPr>
        <w:tc>
          <w:tcPr>
            <w:tcW w:w="1653" w:type="dxa"/>
            <w:vMerge w:val="continue"/>
            <w:tcBorders>
              <w:left w:val="single" w:color="auto" w:sz="4" w:space="0"/>
            </w:tcBorders>
            <w:shd w:val="clear" w:color="auto" w:fill="FFFFFF"/>
            <w:noWrap w:val="0"/>
            <w:vAlign w:val="center"/>
          </w:tcPr>
          <w:p w14:paraId="3A0E5C32">
            <w:pPr>
              <w:keepNext w:val="0"/>
              <w:keepLines w:val="0"/>
              <w:suppressLineNumbers w:val="0"/>
              <w:spacing w:before="0" w:beforeAutospacing="0" w:after="0" w:afterAutospacing="0"/>
              <w:ind w:left="0" w:right="0"/>
              <w:jc w:val="both"/>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1567C869">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2C4BEA56">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2 000万元一30 000万元</w:t>
            </w:r>
          </w:p>
        </w:tc>
      </w:tr>
      <w:tr w14:paraId="2871821D">
        <w:tblPrEx>
          <w:tblCellMar>
            <w:top w:w="0" w:type="dxa"/>
            <w:left w:w="10" w:type="dxa"/>
            <w:bottom w:w="0" w:type="dxa"/>
            <w:right w:w="10" w:type="dxa"/>
          </w:tblCellMar>
        </w:tblPrEx>
        <w:trPr>
          <w:trHeight w:val="355" w:hRule="exact"/>
          <w:jc w:val="center"/>
        </w:trPr>
        <w:tc>
          <w:tcPr>
            <w:tcW w:w="1653" w:type="dxa"/>
            <w:vMerge w:val="continue"/>
            <w:tcBorders>
              <w:left w:val="single" w:color="auto" w:sz="4" w:space="0"/>
            </w:tcBorders>
            <w:shd w:val="clear" w:color="auto" w:fill="FFFFFF"/>
            <w:noWrap w:val="0"/>
            <w:vAlign w:val="center"/>
          </w:tcPr>
          <w:p w14:paraId="04ABE875">
            <w:pPr>
              <w:keepNext w:val="0"/>
              <w:keepLines w:val="0"/>
              <w:suppressLineNumbers w:val="0"/>
              <w:spacing w:before="0" w:beforeAutospacing="0" w:after="0" w:afterAutospacing="0"/>
              <w:ind w:left="0" w:right="0"/>
              <w:jc w:val="both"/>
              <w:rPr>
                <w:rFonts w:hint="eastAsia" w:ascii="宋体" w:hAnsi="宋体" w:eastAsia="宋体" w:cs="宋体"/>
                <w:color w:val="000000"/>
                <w:sz w:val="18"/>
                <w:szCs w:val="18"/>
              </w:rPr>
            </w:pPr>
          </w:p>
        </w:tc>
        <w:tc>
          <w:tcPr>
            <w:tcW w:w="1363" w:type="dxa"/>
            <w:tcBorders>
              <w:top w:val="single" w:color="auto" w:sz="4" w:space="0"/>
              <w:left w:val="single" w:color="auto" w:sz="4" w:space="0"/>
            </w:tcBorders>
            <w:shd w:val="clear" w:color="auto" w:fill="FFFFFF"/>
            <w:noWrap w:val="0"/>
            <w:vAlign w:val="center"/>
          </w:tcPr>
          <w:p w14:paraId="6BB4827D">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383" w:type="dxa"/>
            <w:tcBorders>
              <w:top w:val="single" w:color="auto" w:sz="4" w:space="0"/>
              <w:left w:val="single" w:color="auto" w:sz="4" w:space="0"/>
              <w:right w:val="single" w:color="auto" w:sz="4" w:space="0"/>
            </w:tcBorders>
            <w:shd w:val="clear" w:color="auto" w:fill="FFFFFF"/>
            <w:noWrap w:val="0"/>
            <w:vAlign w:val="center"/>
          </w:tcPr>
          <w:p w14:paraId="14AFEB6D">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从业人员20人一300人，且营业收入 100万元一2 000万元</w:t>
            </w:r>
          </w:p>
        </w:tc>
      </w:tr>
      <w:tr w14:paraId="364358C5">
        <w:tblPrEx>
          <w:tblCellMar>
            <w:top w:w="0" w:type="dxa"/>
            <w:left w:w="10" w:type="dxa"/>
            <w:bottom w:w="0" w:type="dxa"/>
            <w:right w:w="10" w:type="dxa"/>
          </w:tblCellMar>
        </w:tblPrEx>
        <w:trPr>
          <w:trHeight w:val="333" w:hRule="exact"/>
          <w:jc w:val="center"/>
        </w:trPr>
        <w:tc>
          <w:tcPr>
            <w:tcW w:w="1653" w:type="dxa"/>
            <w:vMerge w:val="continue"/>
            <w:tcBorders>
              <w:left w:val="single" w:color="auto" w:sz="4" w:space="0"/>
              <w:bottom w:val="single" w:color="auto" w:sz="4" w:space="0"/>
            </w:tcBorders>
            <w:shd w:val="clear" w:color="auto" w:fill="FFFFFF"/>
            <w:noWrap w:val="0"/>
            <w:vAlign w:val="center"/>
          </w:tcPr>
          <w:p w14:paraId="70D73491">
            <w:pPr>
              <w:keepNext w:val="0"/>
              <w:keepLines w:val="0"/>
              <w:suppressLineNumbers w:val="0"/>
              <w:spacing w:before="0" w:beforeAutospacing="0" w:after="0" w:afterAutospacing="0"/>
              <w:ind w:left="0" w:right="0"/>
              <w:jc w:val="both"/>
              <w:rPr>
                <w:rFonts w:hint="eastAsia" w:ascii="宋体" w:hAnsi="宋体" w:eastAsia="宋体" w:cs="宋体"/>
                <w:color w:val="000000"/>
                <w:sz w:val="18"/>
                <w:szCs w:val="18"/>
              </w:rPr>
            </w:pPr>
          </w:p>
        </w:tc>
        <w:tc>
          <w:tcPr>
            <w:tcW w:w="1363" w:type="dxa"/>
            <w:tcBorders>
              <w:top w:val="single" w:color="auto" w:sz="4" w:space="0"/>
              <w:left w:val="single" w:color="auto" w:sz="4" w:space="0"/>
              <w:bottom w:val="single" w:color="auto" w:sz="4" w:space="0"/>
            </w:tcBorders>
            <w:shd w:val="clear" w:color="auto" w:fill="FFFFFF"/>
            <w:noWrap w:val="0"/>
            <w:vAlign w:val="center"/>
          </w:tcPr>
          <w:p w14:paraId="0345A60B">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3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6AE5E3">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从业人员20人以下或营业收入 100万元以下</w:t>
            </w:r>
          </w:p>
        </w:tc>
      </w:tr>
    </w:tbl>
    <w:p w14:paraId="5CE73333">
      <w:pPr>
        <w:spacing w:line="1" w:lineRule="exact"/>
        <w:jc w:val="center"/>
        <w:rPr>
          <w:rFonts w:hint="eastAsia" w:ascii="宋体" w:hAnsi="宋体" w:cs="宋体"/>
          <w:color w:val="000000"/>
          <w:sz w:val="18"/>
          <w:szCs w:val="18"/>
        </w:rPr>
      </w:pPr>
      <w:r>
        <w:rPr>
          <w:rFonts w:hint="eastAsia" w:ascii="宋体" w:hAnsi="宋体" w:cs="宋体"/>
          <w:color w:val="000000"/>
          <w:sz w:val="18"/>
          <w:szCs w:val="18"/>
        </w:rPr>
        <w:br w:type="page"/>
      </w:r>
    </w:p>
    <w:tbl>
      <w:tblPr>
        <w:tblStyle w:val="25"/>
        <w:tblW w:w="9350" w:type="dxa"/>
        <w:jc w:val="center"/>
        <w:tblLayout w:type="fixed"/>
        <w:tblCellMar>
          <w:top w:w="0" w:type="dxa"/>
          <w:left w:w="10" w:type="dxa"/>
          <w:bottom w:w="0" w:type="dxa"/>
          <w:right w:w="10" w:type="dxa"/>
        </w:tblCellMar>
      </w:tblPr>
      <w:tblGrid>
        <w:gridCol w:w="1604"/>
        <w:gridCol w:w="1298"/>
        <w:gridCol w:w="6438"/>
      </w:tblGrid>
      <w:tr w14:paraId="3C037208">
        <w:tblPrEx>
          <w:tblCellMar>
            <w:top w:w="0" w:type="dxa"/>
            <w:left w:w="10" w:type="dxa"/>
            <w:bottom w:w="0" w:type="dxa"/>
            <w:right w:w="10" w:type="dxa"/>
          </w:tblCellMar>
        </w:tblPrEx>
        <w:trPr>
          <w:trHeight w:val="455" w:hRule="exact"/>
          <w:jc w:val="center"/>
        </w:trPr>
        <w:tc>
          <w:tcPr>
            <w:tcW w:w="1604" w:type="dxa"/>
            <w:vMerge w:val="restart"/>
            <w:tcBorders>
              <w:top w:val="single" w:color="auto" w:sz="4" w:space="0"/>
              <w:left w:val="single" w:color="auto" w:sz="4" w:space="0"/>
            </w:tcBorders>
            <w:shd w:val="clear" w:color="auto" w:fill="FFFFFF"/>
            <w:noWrap w:val="0"/>
            <w:vAlign w:val="center"/>
          </w:tcPr>
          <w:p w14:paraId="5CF3BB1C">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住宿业</w:t>
            </w:r>
          </w:p>
        </w:tc>
        <w:tc>
          <w:tcPr>
            <w:tcW w:w="7736" w:type="dxa"/>
            <w:gridSpan w:val="2"/>
            <w:tcBorders>
              <w:top w:val="single" w:color="auto" w:sz="4" w:space="0"/>
              <w:left w:val="single" w:color="auto" w:sz="4" w:space="0"/>
              <w:right w:val="single" w:color="auto" w:sz="4" w:space="0"/>
            </w:tcBorders>
            <w:shd w:val="clear" w:color="auto" w:fill="FFFFFF"/>
            <w:noWrap w:val="0"/>
            <w:vAlign w:val="center"/>
          </w:tcPr>
          <w:p w14:paraId="7FA49ECA">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10000万元以下的为中小微型企业。</w:t>
            </w:r>
          </w:p>
        </w:tc>
      </w:tr>
      <w:tr w14:paraId="02DD8D88">
        <w:tblPrEx>
          <w:tblCellMar>
            <w:top w:w="0" w:type="dxa"/>
            <w:left w:w="10" w:type="dxa"/>
            <w:bottom w:w="0" w:type="dxa"/>
            <w:right w:w="10" w:type="dxa"/>
          </w:tblCellMar>
        </w:tblPrEx>
        <w:trPr>
          <w:trHeight w:val="441" w:hRule="exact"/>
          <w:jc w:val="center"/>
        </w:trPr>
        <w:tc>
          <w:tcPr>
            <w:tcW w:w="1604" w:type="dxa"/>
            <w:vMerge w:val="continue"/>
            <w:tcBorders>
              <w:left w:val="single" w:color="auto" w:sz="4" w:space="0"/>
            </w:tcBorders>
            <w:shd w:val="clear" w:color="auto" w:fill="FFFFFF"/>
            <w:noWrap w:val="0"/>
            <w:vAlign w:val="center"/>
          </w:tcPr>
          <w:p w14:paraId="1E3DF7C6">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27EBB888">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75DE3024">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从业人员100人一300人，且营业收入 2 000万元一10 000万元</w:t>
            </w:r>
          </w:p>
        </w:tc>
      </w:tr>
      <w:tr w14:paraId="0A692645">
        <w:tblPrEx>
          <w:tblCellMar>
            <w:top w:w="0" w:type="dxa"/>
            <w:left w:w="10" w:type="dxa"/>
            <w:bottom w:w="0" w:type="dxa"/>
            <w:right w:w="10" w:type="dxa"/>
          </w:tblCellMar>
        </w:tblPrEx>
        <w:trPr>
          <w:trHeight w:val="397" w:hRule="exact"/>
          <w:jc w:val="center"/>
        </w:trPr>
        <w:tc>
          <w:tcPr>
            <w:tcW w:w="1604" w:type="dxa"/>
            <w:vMerge w:val="continue"/>
            <w:tcBorders>
              <w:left w:val="single" w:color="auto" w:sz="4" w:space="0"/>
            </w:tcBorders>
            <w:shd w:val="clear" w:color="auto" w:fill="FFFFFF"/>
            <w:noWrap w:val="0"/>
            <w:vAlign w:val="center"/>
          </w:tcPr>
          <w:p w14:paraId="095183D4">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13D09AD7">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3EF95533">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100万元一2 000万元</w:t>
            </w:r>
          </w:p>
        </w:tc>
      </w:tr>
      <w:tr w14:paraId="56BF4082">
        <w:tblPrEx>
          <w:tblCellMar>
            <w:top w:w="0" w:type="dxa"/>
            <w:left w:w="10" w:type="dxa"/>
            <w:bottom w:w="0" w:type="dxa"/>
            <w:right w:w="10" w:type="dxa"/>
          </w:tblCellMar>
        </w:tblPrEx>
        <w:trPr>
          <w:trHeight w:val="512" w:hRule="exact"/>
          <w:jc w:val="center"/>
        </w:trPr>
        <w:tc>
          <w:tcPr>
            <w:tcW w:w="1604" w:type="dxa"/>
            <w:vMerge w:val="continue"/>
            <w:tcBorders>
              <w:left w:val="single" w:color="auto" w:sz="4" w:space="0"/>
            </w:tcBorders>
            <w:shd w:val="clear" w:color="auto" w:fill="FFFFFF"/>
            <w:noWrap w:val="0"/>
            <w:vAlign w:val="center"/>
          </w:tcPr>
          <w:p w14:paraId="3788BE76">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171B46E0">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6D55264A">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14:paraId="435F71CF">
        <w:tblPrEx>
          <w:tblCellMar>
            <w:top w:w="0" w:type="dxa"/>
            <w:left w:w="10" w:type="dxa"/>
            <w:bottom w:w="0" w:type="dxa"/>
            <w:right w:w="10" w:type="dxa"/>
          </w:tblCellMar>
        </w:tblPrEx>
        <w:trPr>
          <w:trHeight w:val="417" w:hRule="exact"/>
          <w:jc w:val="center"/>
        </w:trPr>
        <w:tc>
          <w:tcPr>
            <w:tcW w:w="1604" w:type="dxa"/>
            <w:vMerge w:val="restart"/>
            <w:tcBorders>
              <w:top w:val="single" w:color="auto" w:sz="4" w:space="0"/>
              <w:left w:val="single" w:color="auto" w:sz="4" w:space="0"/>
            </w:tcBorders>
            <w:shd w:val="clear" w:color="auto" w:fill="FFFFFF"/>
            <w:noWrap w:val="0"/>
            <w:vAlign w:val="center"/>
          </w:tcPr>
          <w:p w14:paraId="2BECB2A2">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餐饮业</w:t>
            </w:r>
          </w:p>
        </w:tc>
        <w:tc>
          <w:tcPr>
            <w:tcW w:w="7736" w:type="dxa"/>
            <w:gridSpan w:val="2"/>
            <w:tcBorders>
              <w:top w:val="single" w:color="auto" w:sz="4" w:space="0"/>
              <w:left w:val="single" w:color="auto" w:sz="4" w:space="0"/>
              <w:right w:val="single" w:color="auto" w:sz="4" w:space="0"/>
            </w:tcBorders>
            <w:shd w:val="clear" w:color="auto" w:fill="FFFFFF"/>
            <w:noWrap w:val="0"/>
            <w:vAlign w:val="center"/>
          </w:tcPr>
          <w:p w14:paraId="79C72E4C">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10 000万元以下的为中小微型企业。</w:t>
            </w:r>
          </w:p>
        </w:tc>
      </w:tr>
      <w:tr w14:paraId="3B145C2A">
        <w:tblPrEx>
          <w:tblCellMar>
            <w:top w:w="0" w:type="dxa"/>
            <w:left w:w="10" w:type="dxa"/>
            <w:bottom w:w="0" w:type="dxa"/>
            <w:right w:w="10" w:type="dxa"/>
          </w:tblCellMar>
        </w:tblPrEx>
        <w:trPr>
          <w:trHeight w:val="432" w:hRule="exact"/>
          <w:jc w:val="center"/>
        </w:trPr>
        <w:tc>
          <w:tcPr>
            <w:tcW w:w="1604" w:type="dxa"/>
            <w:vMerge w:val="continue"/>
            <w:tcBorders>
              <w:left w:val="single" w:color="auto" w:sz="4" w:space="0"/>
            </w:tcBorders>
            <w:shd w:val="clear" w:color="auto" w:fill="FFFFFF"/>
            <w:noWrap w:val="0"/>
            <w:vAlign w:val="center"/>
          </w:tcPr>
          <w:p w14:paraId="0CF449EE">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1F3A1F4C">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7C9B4EF0">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 300人，且营业收入 2 000万元一10 000万元</w:t>
            </w:r>
          </w:p>
        </w:tc>
      </w:tr>
      <w:tr w14:paraId="56173D3B">
        <w:tblPrEx>
          <w:tblCellMar>
            <w:top w:w="0" w:type="dxa"/>
            <w:left w:w="10" w:type="dxa"/>
            <w:bottom w:w="0" w:type="dxa"/>
            <w:right w:w="10" w:type="dxa"/>
          </w:tblCellMar>
        </w:tblPrEx>
        <w:trPr>
          <w:trHeight w:val="388" w:hRule="exact"/>
          <w:jc w:val="center"/>
        </w:trPr>
        <w:tc>
          <w:tcPr>
            <w:tcW w:w="1604" w:type="dxa"/>
            <w:vMerge w:val="continue"/>
            <w:tcBorders>
              <w:left w:val="single" w:color="auto" w:sz="4" w:space="0"/>
            </w:tcBorders>
            <w:shd w:val="clear" w:color="auto" w:fill="FFFFFF"/>
            <w:noWrap w:val="0"/>
            <w:vAlign w:val="center"/>
          </w:tcPr>
          <w:p w14:paraId="43385B4F">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29106A0A">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60207872">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100万元一2 000万元</w:t>
            </w:r>
          </w:p>
        </w:tc>
      </w:tr>
      <w:tr w14:paraId="702BFB61">
        <w:tblPrEx>
          <w:tblCellMar>
            <w:top w:w="0" w:type="dxa"/>
            <w:left w:w="10" w:type="dxa"/>
            <w:bottom w:w="0" w:type="dxa"/>
            <w:right w:w="10" w:type="dxa"/>
          </w:tblCellMar>
        </w:tblPrEx>
        <w:trPr>
          <w:trHeight w:val="386" w:hRule="exact"/>
          <w:jc w:val="center"/>
        </w:trPr>
        <w:tc>
          <w:tcPr>
            <w:tcW w:w="1604" w:type="dxa"/>
            <w:vMerge w:val="continue"/>
            <w:tcBorders>
              <w:left w:val="single" w:color="auto" w:sz="4" w:space="0"/>
            </w:tcBorders>
            <w:shd w:val="clear" w:color="auto" w:fill="FFFFFF"/>
            <w:noWrap w:val="0"/>
            <w:vAlign w:val="center"/>
          </w:tcPr>
          <w:p w14:paraId="2AD16EAA">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6DA3970D">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4AE2DE3C">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14:paraId="12EB248D">
        <w:tblPrEx>
          <w:tblCellMar>
            <w:top w:w="0" w:type="dxa"/>
            <w:left w:w="10" w:type="dxa"/>
            <w:bottom w:w="0" w:type="dxa"/>
            <w:right w:w="10" w:type="dxa"/>
          </w:tblCellMar>
        </w:tblPrEx>
        <w:trPr>
          <w:trHeight w:val="383" w:hRule="exact"/>
          <w:jc w:val="center"/>
        </w:trPr>
        <w:tc>
          <w:tcPr>
            <w:tcW w:w="1604" w:type="dxa"/>
            <w:vMerge w:val="restart"/>
            <w:tcBorders>
              <w:top w:val="single" w:color="auto" w:sz="4" w:space="0"/>
              <w:left w:val="single" w:color="auto" w:sz="4" w:space="0"/>
            </w:tcBorders>
            <w:shd w:val="clear" w:color="auto" w:fill="FFFFFF"/>
            <w:noWrap w:val="0"/>
            <w:vAlign w:val="center"/>
          </w:tcPr>
          <w:p w14:paraId="1C536E40">
            <w:pPr>
              <w:pStyle w:val="52"/>
              <w:keepNext w:val="0"/>
              <w:keepLines w:val="0"/>
              <w:suppressLineNumbers w:val="0"/>
              <w:shd w:val="clear" w:color="auto" w:fill="auto"/>
              <w:spacing w:before="0" w:beforeAutospacing="0" w:after="0" w:afterAutospacing="0" w:line="492"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信息传输业</w:t>
            </w:r>
          </w:p>
          <w:p w14:paraId="5BE08A55">
            <w:pPr>
              <w:pStyle w:val="52"/>
              <w:keepNext w:val="0"/>
              <w:keepLines w:val="0"/>
              <w:suppressLineNumbers w:val="0"/>
              <w:shd w:val="clear" w:color="auto" w:fill="auto"/>
              <w:spacing w:before="0" w:beforeAutospacing="0" w:after="0" w:afterAutospacing="0" w:line="492"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（包括电信、互联网 和相关服务）</w:t>
            </w:r>
          </w:p>
        </w:tc>
        <w:tc>
          <w:tcPr>
            <w:tcW w:w="7736" w:type="dxa"/>
            <w:gridSpan w:val="2"/>
            <w:tcBorders>
              <w:top w:val="single" w:color="auto" w:sz="4" w:space="0"/>
              <w:left w:val="single" w:color="auto" w:sz="4" w:space="0"/>
              <w:right w:val="single" w:color="auto" w:sz="4" w:space="0"/>
            </w:tcBorders>
            <w:shd w:val="clear" w:color="auto" w:fill="FFFFFF"/>
            <w:noWrap w:val="0"/>
            <w:vAlign w:val="center"/>
          </w:tcPr>
          <w:p w14:paraId="29ACED77">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从业人员2 000人以下或营业收入 100 000万元以下的为中小微型企业。</w:t>
            </w:r>
          </w:p>
        </w:tc>
      </w:tr>
      <w:tr w14:paraId="224BAE47">
        <w:tblPrEx>
          <w:tblCellMar>
            <w:top w:w="0" w:type="dxa"/>
            <w:left w:w="10" w:type="dxa"/>
            <w:bottom w:w="0" w:type="dxa"/>
            <w:right w:w="10" w:type="dxa"/>
          </w:tblCellMar>
        </w:tblPrEx>
        <w:trPr>
          <w:trHeight w:val="351" w:hRule="exact"/>
          <w:jc w:val="center"/>
        </w:trPr>
        <w:tc>
          <w:tcPr>
            <w:tcW w:w="1604" w:type="dxa"/>
            <w:vMerge w:val="continue"/>
            <w:tcBorders>
              <w:left w:val="single" w:color="auto" w:sz="4" w:space="0"/>
            </w:tcBorders>
            <w:shd w:val="clear" w:color="auto" w:fill="FFFFFF"/>
            <w:noWrap w:val="0"/>
            <w:vAlign w:val="center"/>
          </w:tcPr>
          <w:p w14:paraId="6E5DCC75">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4698847D">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4F213AAF">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从业人员100人一2 000人，且营业收入 1 000万元一10 000万元</w:t>
            </w:r>
          </w:p>
        </w:tc>
      </w:tr>
      <w:tr w14:paraId="47EEE4FC">
        <w:tblPrEx>
          <w:tblCellMar>
            <w:top w:w="0" w:type="dxa"/>
            <w:left w:w="10" w:type="dxa"/>
            <w:bottom w:w="0" w:type="dxa"/>
            <w:right w:w="10" w:type="dxa"/>
          </w:tblCellMar>
        </w:tblPrEx>
        <w:trPr>
          <w:trHeight w:val="370" w:hRule="exact"/>
          <w:jc w:val="center"/>
        </w:trPr>
        <w:tc>
          <w:tcPr>
            <w:tcW w:w="1604" w:type="dxa"/>
            <w:vMerge w:val="continue"/>
            <w:tcBorders>
              <w:left w:val="single" w:color="auto" w:sz="4" w:space="0"/>
            </w:tcBorders>
            <w:shd w:val="clear" w:color="auto" w:fill="FFFFFF"/>
            <w:noWrap w:val="0"/>
            <w:vAlign w:val="center"/>
          </w:tcPr>
          <w:p w14:paraId="293D994D">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42097F12">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7457B069">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100万元一1 000万元</w:t>
            </w:r>
          </w:p>
        </w:tc>
      </w:tr>
      <w:tr w14:paraId="147AB16B">
        <w:tblPrEx>
          <w:tblCellMar>
            <w:top w:w="0" w:type="dxa"/>
            <w:left w:w="10" w:type="dxa"/>
            <w:bottom w:w="0" w:type="dxa"/>
            <w:right w:w="10" w:type="dxa"/>
          </w:tblCellMar>
        </w:tblPrEx>
        <w:trPr>
          <w:trHeight w:val="337" w:hRule="exact"/>
          <w:jc w:val="center"/>
        </w:trPr>
        <w:tc>
          <w:tcPr>
            <w:tcW w:w="1604" w:type="dxa"/>
            <w:vMerge w:val="continue"/>
            <w:tcBorders>
              <w:left w:val="single" w:color="auto" w:sz="4" w:space="0"/>
            </w:tcBorders>
            <w:shd w:val="clear" w:color="auto" w:fill="FFFFFF"/>
            <w:noWrap w:val="0"/>
            <w:vAlign w:val="center"/>
          </w:tcPr>
          <w:p w14:paraId="03FABB3C">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7BD2DE34">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1AD6E6DF">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100万元以下</w:t>
            </w:r>
          </w:p>
        </w:tc>
      </w:tr>
      <w:tr w14:paraId="3B703A78">
        <w:tblPrEx>
          <w:tblCellMar>
            <w:top w:w="0" w:type="dxa"/>
            <w:left w:w="10" w:type="dxa"/>
            <w:bottom w:w="0" w:type="dxa"/>
            <w:right w:w="10" w:type="dxa"/>
          </w:tblCellMar>
        </w:tblPrEx>
        <w:trPr>
          <w:trHeight w:val="351" w:hRule="exact"/>
          <w:jc w:val="center"/>
        </w:trPr>
        <w:tc>
          <w:tcPr>
            <w:tcW w:w="1604" w:type="dxa"/>
            <w:vMerge w:val="restart"/>
            <w:tcBorders>
              <w:top w:val="single" w:color="auto" w:sz="4" w:space="0"/>
              <w:left w:val="single" w:color="auto" w:sz="4" w:space="0"/>
            </w:tcBorders>
            <w:shd w:val="clear" w:color="auto" w:fill="FFFFFF"/>
            <w:noWrap w:val="0"/>
            <w:vAlign w:val="center"/>
          </w:tcPr>
          <w:p w14:paraId="3F2902BD">
            <w:pPr>
              <w:pStyle w:val="52"/>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软件和信息</w:t>
            </w:r>
          </w:p>
          <w:p w14:paraId="6F768EC5">
            <w:pPr>
              <w:pStyle w:val="52"/>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技术服务业</w:t>
            </w:r>
          </w:p>
        </w:tc>
        <w:tc>
          <w:tcPr>
            <w:tcW w:w="7736" w:type="dxa"/>
            <w:gridSpan w:val="2"/>
            <w:tcBorders>
              <w:top w:val="single" w:color="auto" w:sz="4" w:space="0"/>
              <w:left w:val="single" w:color="auto" w:sz="4" w:space="0"/>
              <w:right w:val="single" w:color="auto" w:sz="4" w:space="0"/>
            </w:tcBorders>
            <w:shd w:val="clear" w:color="auto" w:fill="FFFFFF"/>
            <w:noWrap w:val="0"/>
            <w:vAlign w:val="center"/>
          </w:tcPr>
          <w:p w14:paraId="318A9FD3">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从业人员300人以下或营业收入 10 000万元以下的为中小微型企业。</w:t>
            </w:r>
          </w:p>
        </w:tc>
      </w:tr>
      <w:tr w14:paraId="4644805D">
        <w:tblPrEx>
          <w:tblCellMar>
            <w:top w:w="0" w:type="dxa"/>
            <w:left w:w="10" w:type="dxa"/>
            <w:bottom w:w="0" w:type="dxa"/>
            <w:right w:w="10" w:type="dxa"/>
          </w:tblCellMar>
        </w:tblPrEx>
        <w:trPr>
          <w:trHeight w:val="423" w:hRule="exact"/>
          <w:jc w:val="center"/>
        </w:trPr>
        <w:tc>
          <w:tcPr>
            <w:tcW w:w="1604" w:type="dxa"/>
            <w:vMerge w:val="continue"/>
            <w:tcBorders>
              <w:left w:val="single" w:color="auto" w:sz="4" w:space="0"/>
            </w:tcBorders>
            <w:shd w:val="clear" w:color="auto" w:fill="FFFFFF"/>
            <w:noWrap w:val="0"/>
            <w:vAlign w:val="center"/>
          </w:tcPr>
          <w:p w14:paraId="26B3122C">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2E1D7C48">
            <w:pPr>
              <w:pStyle w:val="52"/>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3129E5F2">
            <w:pPr>
              <w:pStyle w:val="52"/>
              <w:keepNext w:val="0"/>
              <w:keepLines w:val="0"/>
              <w:suppressLineNumbers w:val="0"/>
              <w:shd w:val="clear" w:color="auto" w:fill="auto"/>
              <w:spacing w:before="0" w:beforeAutospacing="0" w:after="0" w:afterAutospacing="0" w:line="360" w:lineRule="auto"/>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 300人，且营业收入 1 000万元一10 000万元</w:t>
            </w:r>
          </w:p>
        </w:tc>
      </w:tr>
      <w:tr w14:paraId="572E106E">
        <w:tblPrEx>
          <w:tblCellMar>
            <w:top w:w="0" w:type="dxa"/>
            <w:left w:w="10" w:type="dxa"/>
            <w:bottom w:w="0" w:type="dxa"/>
            <w:right w:w="10" w:type="dxa"/>
          </w:tblCellMar>
        </w:tblPrEx>
        <w:trPr>
          <w:trHeight w:val="390" w:hRule="exact"/>
          <w:jc w:val="center"/>
        </w:trPr>
        <w:tc>
          <w:tcPr>
            <w:tcW w:w="1604" w:type="dxa"/>
            <w:vMerge w:val="continue"/>
            <w:tcBorders>
              <w:left w:val="single" w:color="auto" w:sz="4" w:space="0"/>
            </w:tcBorders>
            <w:shd w:val="clear" w:color="auto" w:fill="FFFFFF"/>
            <w:noWrap w:val="0"/>
            <w:vAlign w:val="center"/>
          </w:tcPr>
          <w:p w14:paraId="37417ADE">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7BBDEDAD">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6184562F">
            <w:pPr>
              <w:pStyle w:val="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从业人员10人一100人，且营业收入 50万元一1 000万元</w:t>
            </w:r>
          </w:p>
        </w:tc>
      </w:tr>
      <w:tr w14:paraId="0CF426EC">
        <w:tblPrEx>
          <w:tblCellMar>
            <w:top w:w="0" w:type="dxa"/>
            <w:left w:w="10" w:type="dxa"/>
            <w:bottom w:w="0" w:type="dxa"/>
            <w:right w:w="10" w:type="dxa"/>
          </w:tblCellMar>
        </w:tblPrEx>
        <w:trPr>
          <w:trHeight w:val="393" w:hRule="exact"/>
          <w:jc w:val="center"/>
        </w:trPr>
        <w:tc>
          <w:tcPr>
            <w:tcW w:w="1604" w:type="dxa"/>
            <w:vMerge w:val="continue"/>
            <w:tcBorders>
              <w:left w:val="single" w:color="auto" w:sz="4" w:space="0"/>
            </w:tcBorders>
            <w:shd w:val="clear" w:color="auto" w:fill="FFFFFF"/>
            <w:noWrap w:val="0"/>
            <w:vAlign w:val="center"/>
          </w:tcPr>
          <w:p w14:paraId="4A144AC8">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6C8875D5">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4C5B708E">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从业人员10人以下或营业收入 50万元以下</w:t>
            </w:r>
          </w:p>
        </w:tc>
      </w:tr>
      <w:tr w14:paraId="767C6F2C">
        <w:tblPrEx>
          <w:tblCellMar>
            <w:top w:w="0" w:type="dxa"/>
            <w:left w:w="10" w:type="dxa"/>
            <w:bottom w:w="0" w:type="dxa"/>
            <w:right w:w="10" w:type="dxa"/>
          </w:tblCellMar>
        </w:tblPrEx>
        <w:trPr>
          <w:trHeight w:val="469" w:hRule="exact"/>
          <w:jc w:val="center"/>
        </w:trPr>
        <w:tc>
          <w:tcPr>
            <w:tcW w:w="1604" w:type="dxa"/>
            <w:vMerge w:val="restart"/>
            <w:tcBorders>
              <w:top w:val="single" w:color="auto" w:sz="4" w:space="0"/>
              <w:left w:val="single" w:color="auto" w:sz="4" w:space="0"/>
            </w:tcBorders>
            <w:shd w:val="clear" w:color="auto" w:fill="FFFFFF"/>
            <w:noWrap w:val="0"/>
            <w:vAlign w:val="center"/>
          </w:tcPr>
          <w:p w14:paraId="6C08733A">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房地产开发经营</w:t>
            </w:r>
          </w:p>
        </w:tc>
        <w:tc>
          <w:tcPr>
            <w:tcW w:w="7736" w:type="dxa"/>
            <w:gridSpan w:val="2"/>
            <w:tcBorders>
              <w:top w:val="single" w:color="auto" w:sz="4" w:space="0"/>
              <w:left w:val="single" w:color="auto" w:sz="4" w:space="0"/>
              <w:right w:val="single" w:color="auto" w:sz="4" w:space="0"/>
            </w:tcBorders>
            <w:shd w:val="clear" w:color="auto" w:fill="FFFFFF"/>
            <w:noWrap w:val="0"/>
            <w:vAlign w:val="center"/>
          </w:tcPr>
          <w:p w14:paraId="3615A368">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营业收入200 000万元以下或资产总额 10 000万元以下的为中小微型企业。</w:t>
            </w:r>
          </w:p>
        </w:tc>
      </w:tr>
      <w:tr w14:paraId="2F3ECB13">
        <w:tblPrEx>
          <w:tblCellMar>
            <w:top w:w="0" w:type="dxa"/>
            <w:left w:w="10" w:type="dxa"/>
            <w:bottom w:w="0" w:type="dxa"/>
            <w:right w:w="10" w:type="dxa"/>
          </w:tblCellMar>
        </w:tblPrEx>
        <w:trPr>
          <w:trHeight w:val="417" w:hRule="exact"/>
          <w:jc w:val="center"/>
        </w:trPr>
        <w:tc>
          <w:tcPr>
            <w:tcW w:w="1604" w:type="dxa"/>
            <w:vMerge w:val="continue"/>
            <w:tcBorders>
              <w:left w:val="single" w:color="auto" w:sz="4" w:space="0"/>
            </w:tcBorders>
            <w:shd w:val="clear" w:color="auto" w:fill="FFFFFF"/>
            <w:noWrap w:val="0"/>
            <w:vAlign w:val="center"/>
          </w:tcPr>
          <w:p w14:paraId="2A157DF5">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7BF4A6C6">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40778E84">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营业收入1 000万元一200 000万元，且资产总额 5 000万元一10000力元</w:t>
            </w:r>
          </w:p>
        </w:tc>
      </w:tr>
      <w:tr w14:paraId="119418D3">
        <w:tblPrEx>
          <w:tblCellMar>
            <w:top w:w="0" w:type="dxa"/>
            <w:left w:w="10" w:type="dxa"/>
            <w:bottom w:w="0" w:type="dxa"/>
            <w:right w:w="10" w:type="dxa"/>
          </w:tblCellMar>
        </w:tblPrEx>
        <w:trPr>
          <w:trHeight w:val="410" w:hRule="exact"/>
          <w:jc w:val="center"/>
        </w:trPr>
        <w:tc>
          <w:tcPr>
            <w:tcW w:w="1604" w:type="dxa"/>
            <w:vMerge w:val="continue"/>
            <w:tcBorders>
              <w:left w:val="single" w:color="auto" w:sz="4" w:space="0"/>
            </w:tcBorders>
            <w:shd w:val="clear" w:color="auto" w:fill="FFFFFF"/>
            <w:noWrap w:val="0"/>
            <w:vAlign w:val="center"/>
          </w:tcPr>
          <w:p w14:paraId="0DF54D86">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2FDEE289">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2E180212">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营业收入100万元一1 000万元，且资产总额 2 000万元一5 000 力元</w:t>
            </w:r>
          </w:p>
        </w:tc>
      </w:tr>
      <w:tr w14:paraId="4D792144">
        <w:tblPrEx>
          <w:tblCellMar>
            <w:top w:w="0" w:type="dxa"/>
            <w:left w:w="10" w:type="dxa"/>
            <w:bottom w:w="0" w:type="dxa"/>
            <w:right w:w="10" w:type="dxa"/>
          </w:tblCellMar>
        </w:tblPrEx>
        <w:trPr>
          <w:trHeight w:val="412" w:hRule="exact"/>
          <w:jc w:val="center"/>
        </w:trPr>
        <w:tc>
          <w:tcPr>
            <w:tcW w:w="1604" w:type="dxa"/>
            <w:vMerge w:val="continue"/>
            <w:tcBorders>
              <w:left w:val="single" w:color="auto" w:sz="4" w:space="0"/>
            </w:tcBorders>
            <w:shd w:val="clear" w:color="auto" w:fill="FFFFFF"/>
            <w:noWrap w:val="0"/>
            <w:vAlign w:val="center"/>
          </w:tcPr>
          <w:p w14:paraId="6389560A">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067DAB55">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1048B017">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营业收入100万元以下或资产总额2 000万元以下的为微型企业</w:t>
            </w:r>
          </w:p>
        </w:tc>
      </w:tr>
      <w:tr w14:paraId="11E66E31">
        <w:tblPrEx>
          <w:tblCellMar>
            <w:top w:w="0" w:type="dxa"/>
            <w:left w:w="10" w:type="dxa"/>
            <w:bottom w:w="0" w:type="dxa"/>
            <w:right w:w="10" w:type="dxa"/>
          </w:tblCellMar>
        </w:tblPrEx>
        <w:trPr>
          <w:trHeight w:val="375" w:hRule="exact"/>
          <w:jc w:val="center"/>
        </w:trPr>
        <w:tc>
          <w:tcPr>
            <w:tcW w:w="1604" w:type="dxa"/>
            <w:vMerge w:val="restart"/>
            <w:tcBorders>
              <w:top w:val="single" w:color="auto" w:sz="4" w:space="0"/>
              <w:left w:val="single" w:color="auto" w:sz="4" w:space="0"/>
            </w:tcBorders>
            <w:shd w:val="clear" w:color="auto" w:fill="FFFFFF"/>
            <w:noWrap w:val="0"/>
            <w:vAlign w:val="center"/>
          </w:tcPr>
          <w:p w14:paraId="091DDCF2">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物业管理</w:t>
            </w:r>
          </w:p>
        </w:tc>
        <w:tc>
          <w:tcPr>
            <w:tcW w:w="7736" w:type="dxa"/>
            <w:gridSpan w:val="2"/>
            <w:tcBorders>
              <w:top w:val="single" w:color="auto" w:sz="4" w:space="0"/>
              <w:left w:val="single" w:color="auto" w:sz="4" w:space="0"/>
              <w:right w:val="single" w:color="auto" w:sz="4" w:space="0"/>
            </w:tcBorders>
            <w:shd w:val="clear" w:color="auto" w:fill="FFFFFF"/>
            <w:noWrap w:val="0"/>
            <w:vAlign w:val="center"/>
          </w:tcPr>
          <w:p w14:paraId="23389BB3">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从业人员1 000人以下或营业收入 5 000万元以下的为中小微型企业。</w:t>
            </w:r>
          </w:p>
        </w:tc>
      </w:tr>
      <w:tr w14:paraId="1CD9445A">
        <w:tblPrEx>
          <w:tblCellMar>
            <w:top w:w="0" w:type="dxa"/>
            <w:left w:w="10" w:type="dxa"/>
            <w:bottom w:w="0" w:type="dxa"/>
            <w:right w:w="10" w:type="dxa"/>
          </w:tblCellMar>
        </w:tblPrEx>
        <w:trPr>
          <w:trHeight w:val="365" w:hRule="exact"/>
          <w:jc w:val="center"/>
        </w:trPr>
        <w:tc>
          <w:tcPr>
            <w:tcW w:w="1604" w:type="dxa"/>
            <w:vMerge w:val="continue"/>
            <w:tcBorders>
              <w:left w:val="single" w:color="auto" w:sz="4" w:space="0"/>
            </w:tcBorders>
            <w:shd w:val="clear" w:color="auto" w:fill="FFFFFF"/>
            <w:noWrap w:val="0"/>
            <w:vAlign w:val="center"/>
          </w:tcPr>
          <w:p w14:paraId="5E362E5D">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387A6DAD">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5CA42376">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 300人一1 000人，且营业收入 1000万元一5 000万元</w:t>
            </w:r>
          </w:p>
        </w:tc>
      </w:tr>
      <w:tr w14:paraId="13096190">
        <w:tblPrEx>
          <w:tblCellMar>
            <w:top w:w="0" w:type="dxa"/>
            <w:left w:w="10" w:type="dxa"/>
            <w:bottom w:w="0" w:type="dxa"/>
            <w:right w:w="10" w:type="dxa"/>
          </w:tblCellMar>
        </w:tblPrEx>
        <w:trPr>
          <w:trHeight w:val="354" w:hRule="exact"/>
          <w:jc w:val="center"/>
        </w:trPr>
        <w:tc>
          <w:tcPr>
            <w:tcW w:w="1604" w:type="dxa"/>
            <w:vMerge w:val="continue"/>
            <w:tcBorders>
              <w:left w:val="single" w:color="auto" w:sz="4" w:space="0"/>
            </w:tcBorders>
            <w:shd w:val="clear" w:color="auto" w:fill="FFFFFF"/>
            <w:noWrap w:val="0"/>
            <w:vAlign w:val="center"/>
          </w:tcPr>
          <w:p w14:paraId="5B8F5203">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31BB59A4">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0EF1AF56">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从业人员100人一300人，且营业收入 500万元一1 000万元</w:t>
            </w:r>
          </w:p>
        </w:tc>
      </w:tr>
      <w:tr w14:paraId="4D55EA69">
        <w:tblPrEx>
          <w:tblCellMar>
            <w:top w:w="0" w:type="dxa"/>
            <w:left w:w="10" w:type="dxa"/>
            <w:bottom w:w="0" w:type="dxa"/>
            <w:right w:w="10" w:type="dxa"/>
          </w:tblCellMar>
        </w:tblPrEx>
        <w:trPr>
          <w:trHeight w:val="437" w:hRule="exact"/>
          <w:jc w:val="center"/>
        </w:trPr>
        <w:tc>
          <w:tcPr>
            <w:tcW w:w="1604" w:type="dxa"/>
            <w:vMerge w:val="continue"/>
            <w:tcBorders>
              <w:left w:val="single" w:color="auto" w:sz="4" w:space="0"/>
            </w:tcBorders>
            <w:shd w:val="clear" w:color="auto" w:fill="FFFFFF"/>
            <w:noWrap w:val="0"/>
            <w:vAlign w:val="center"/>
          </w:tcPr>
          <w:p w14:paraId="344C0B2D">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center"/>
          </w:tcPr>
          <w:p w14:paraId="374A25DD">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right w:val="single" w:color="auto" w:sz="4" w:space="0"/>
            </w:tcBorders>
            <w:shd w:val="clear" w:color="auto" w:fill="FFFFFF"/>
            <w:noWrap w:val="0"/>
            <w:vAlign w:val="center"/>
          </w:tcPr>
          <w:p w14:paraId="0C5D75ED">
            <w:pPr>
              <w:pStyle w:val="52"/>
              <w:keepNext w:val="0"/>
              <w:keepLines w:val="0"/>
              <w:suppressLineNumbers w:val="0"/>
              <w:shd w:val="clear" w:color="auto" w:fill="auto"/>
              <w:spacing w:before="0" w:beforeAutospacing="0" w:after="0" w:afterAutospacing="0" w:line="480" w:lineRule="auto"/>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从业人员100人以下或营业收入 500万元以下</w:t>
            </w:r>
          </w:p>
        </w:tc>
      </w:tr>
      <w:tr w14:paraId="7D0DAF31">
        <w:tblPrEx>
          <w:tblCellMar>
            <w:top w:w="0" w:type="dxa"/>
            <w:left w:w="10" w:type="dxa"/>
            <w:bottom w:w="0" w:type="dxa"/>
            <w:right w:w="10" w:type="dxa"/>
          </w:tblCellMar>
        </w:tblPrEx>
        <w:trPr>
          <w:trHeight w:val="1596" w:hRule="exact"/>
          <w:jc w:val="center"/>
        </w:trPr>
        <w:tc>
          <w:tcPr>
            <w:tcW w:w="1604" w:type="dxa"/>
            <w:vMerge w:val="restart"/>
            <w:tcBorders>
              <w:top w:val="single" w:color="auto" w:sz="4" w:space="0"/>
              <w:left w:val="single" w:color="auto" w:sz="4" w:space="0"/>
            </w:tcBorders>
            <w:shd w:val="clear" w:color="auto" w:fill="FFFFFF"/>
            <w:noWrap w:val="0"/>
            <w:vAlign w:val="center"/>
          </w:tcPr>
          <w:p w14:paraId="51784017">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租赁和商务服务业</w:t>
            </w:r>
          </w:p>
        </w:tc>
        <w:tc>
          <w:tcPr>
            <w:tcW w:w="7736" w:type="dxa"/>
            <w:gridSpan w:val="2"/>
            <w:tcBorders>
              <w:top w:val="single" w:color="auto" w:sz="4" w:space="0"/>
              <w:left w:val="single" w:color="auto" w:sz="4" w:space="0"/>
              <w:right w:val="single" w:color="auto" w:sz="4" w:space="0"/>
            </w:tcBorders>
            <w:shd w:val="clear" w:color="auto" w:fill="FFFFFF"/>
            <w:noWrap w:val="0"/>
            <w:vAlign w:val="center"/>
          </w:tcPr>
          <w:p w14:paraId="58B75CC4">
            <w:pPr>
              <w:pStyle w:val="52"/>
              <w:keepNext w:val="0"/>
              <w:keepLines w:val="0"/>
              <w:suppressLineNumbers w:val="0"/>
              <w:shd w:val="clear" w:color="auto" w:fill="auto"/>
              <w:tabs>
                <w:tab w:val="left" w:pos="10666"/>
              </w:tabs>
              <w:spacing w:before="0" w:beforeAutospacing="0" w:after="0" w:afterAutospacing="0" w:line="499"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000000"/>
                <w:spacing w:val="0"/>
                <w:w w:val="100"/>
                <w:position w:val="0"/>
                <w:sz w:val="18"/>
                <w:szCs w:val="18"/>
                <w:shd w:val="clear" w:color="auto" w:fill="auto"/>
              </w:rPr>
              <w:t>人以下或资产总额 100万元以下的为微型企业。</w:t>
            </w:r>
            <w:r>
              <w:rPr>
                <w:rFonts w:hint="eastAsia" w:ascii="宋体" w:hAnsi="宋体" w:eastAsia="宋体" w:cs="宋体"/>
                <w:color w:val="000000"/>
                <w:sz w:val="18"/>
                <w:szCs w:val="18"/>
              </w:rPr>
              <w:tab/>
            </w:r>
            <w:r>
              <w:rPr>
                <w:rFonts w:hint="eastAsia" w:ascii="宋体" w:hAnsi="宋体" w:eastAsia="宋体" w:cs="宋体"/>
                <w:color w:val="000000"/>
                <w:sz w:val="18"/>
                <w:szCs w:val="18"/>
              </w:rPr>
              <w:t>10人以下或资产总额 100万元以下的为微型企业。</w:t>
            </w:r>
          </w:p>
        </w:tc>
      </w:tr>
      <w:tr w14:paraId="50CA49A1">
        <w:tblPrEx>
          <w:tblCellMar>
            <w:top w:w="0" w:type="dxa"/>
            <w:left w:w="10" w:type="dxa"/>
            <w:bottom w:w="0" w:type="dxa"/>
            <w:right w:w="10" w:type="dxa"/>
          </w:tblCellMar>
        </w:tblPrEx>
        <w:trPr>
          <w:trHeight w:val="362" w:hRule="exact"/>
          <w:jc w:val="center"/>
        </w:trPr>
        <w:tc>
          <w:tcPr>
            <w:tcW w:w="1604" w:type="dxa"/>
            <w:vMerge w:val="continue"/>
            <w:tcBorders>
              <w:left w:val="single" w:color="auto" w:sz="4" w:space="0"/>
            </w:tcBorders>
            <w:shd w:val="clear" w:color="auto" w:fill="FFFFFF"/>
            <w:noWrap w:val="0"/>
            <w:vAlign w:val="center"/>
          </w:tcPr>
          <w:p w14:paraId="38873CB4">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bottom"/>
          </w:tcPr>
          <w:p w14:paraId="20EE96B6">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bottom"/>
          </w:tcPr>
          <w:p w14:paraId="054AA10F">
            <w:pPr>
              <w:pStyle w:val="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从业人员100人一300人，且资产总额 8 000万元一120 000万元</w:t>
            </w:r>
          </w:p>
        </w:tc>
      </w:tr>
      <w:tr w14:paraId="09EF36D0">
        <w:tblPrEx>
          <w:tblCellMar>
            <w:top w:w="0" w:type="dxa"/>
            <w:left w:w="10" w:type="dxa"/>
            <w:bottom w:w="0" w:type="dxa"/>
            <w:right w:w="10" w:type="dxa"/>
          </w:tblCellMar>
        </w:tblPrEx>
        <w:trPr>
          <w:trHeight w:val="336" w:hRule="exact"/>
          <w:jc w:val="center"/>
        </w:trPr>
        <w:tc>
          <w:tcPr>
            <w:tcW w:w="1604" w:type="dxa"/>
            <w:vMerge w:val="continue"/>
            <w:tcBorders>
              <w:left w:val="single" w:color="auto" w:sz="4" w:space="0"/>
            </w:tcBorders>
            <w:shd w:val="clear" w:color="auto" w:fill="FFFFFF"/>
            <w:noWrap w:val="0"/>
            <w:vAlign w:val="center"/>
          </w:tcPr>
          <w:p w14:paraId="004FC994">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bottom"/>
          </w:tcPr>
          <w:p w14:paraId="552B9601">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bottom"/>
          </w:tcPr>
          <w:p w14:paraId="326F1EF7">
            <w:pPr>
              <w:pStyle w:val="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从业人员10人一100人，且资产总额 100万元一8 000万元</w:t>
            </w:r>
          </w:p>
        </w:tc>
      </w:tr>
      <w:tr w14:paraId="483CB33B">
        <w:tblPrEx>
          <w:tblCellMar>
            <w:top w:w="0" w:type="dxa"/>
            <w:left w:w="10" w:type="dxa"/>
            <w:bottom w:w="0" w:type="dxa"/>
            <w:right w:w="10" w:type="dxa"/>
          </w:tblCellMar>
        </w:tblPrEx>
        <w:trPr>
          <w:trHeight w:val="347" w:hRule="exact"/>
          <w:jc w:val="center"/>
        </w:trPr>
        <w:tc>
          <w:tcPr>
            <w:tcW w:w="1604" w:type="dxa"/>
            <w:vMerge w:val="continue"/>
            <w:tcBorders>
              <w:left w:val="single" w:color="auto" w:sz="4" w:space="0"/>
            </w:tcBorders>
            <w:shd w:val="clear" w:color="auto" w:fill="FFFFFF"/>
            <w:noWrap w:val="0"/>
            <w:vAlign w:val="center"/>
          </w:tcPr>
          <w:p w14:paraId="5D13D8D5">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top"/>
          </w:tcPr>
          <w:p w14:paraId="339309CC">
            <w:pPr>
              <w:pStyle w:val="52"/>
              <w:keepNext w:val="0"/>
              <w:keepLines w:val="0"/>
              <w:suppressLineNumbers w:val="0"/>
              <w:shd w:val="clear" w:color="auto" w:fill="auto"/>
              <w:spacing w:before="10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right w:val="single" w:color="auto" w:sz="4" w:space="0"/>
            </w:tcBorders>
            <w:shd w:val="clear" w:color="auto" w:fill="FFFFFF"/>
            <w:noWrap w:val="0"/>
            <w:vAlign w:val="top"/>
          </w:tcPr>
          <w:p w14:paraId="7FC0D615">
            <w:pPr>
              <w:pStyle w:val="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从业人员10人以下或资产总额 100万元以下</w:t>
            </w:r>
          </w:p>
        </w:tc>
      </w:tr>
      <w:tr w14:paraId="09BE8670">
        <w:tblPrEx>
          <w:tblCellMar>
            <w:top w:w="0" w:type="dxa"/>
            <w:left w:w="10" w:type="dxa"/>
            <w:bottom w:w="0" w:type="dxa"/>
            <w:right w:w="10" w:type="dxa"/>
          </w:tblCellMar>
        </w:tblPrEx>
        <w:trPr>
          <w:trHeight w:val="350" w:hRule="exact"/>
          <w:jc w:val="center"/>
        </w:trPr>
        <w:tc>
          <w:tcPr>
            <w:tcW w:w="1604" w:type="dxa"/>
            <w:vMerge w:val="restart"/>
            <w:tcBorders>
              <w:top w:val="single" w:color="auto" w:sz="4" w:space="0"/>
              <w:left w:val="single" w:color="auto" w:sz="4" w:space="0"/>
            </w:tcBorders>
            <w:shd w:val="clear" w:color="auto" w:fill="FFFFFF"/>
            <w:noWrap w:val="0"/>
            <w:vAlign w:val="center"/>
          </w:tcPr>
          <w:p w14:paraId="41790491">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其他未列明行业</w:t>
            </w:r>
          </w:p>
        </w:tc>
        <w:tc>
          <w:tcPr>
            <w:tcW w:w="7736" w:type="dxa"/>
            <w:gridSpan w:val="2"/>
            <w:tcBorders>
              <w:top w:val="single" w:color="auto" w:sz="4" w:space="0"/>
              <w:left w:val="single" w:color="auto" w:sz="4" w:space="0"/>
              <w:right w:val="single" w:color="auto" w:sz="4" w:space="0"/>
            </w:tcBorders>
            <w:shd w:val="clear" w:color="auto" w:fill="FFFFFF"/>
            <w:noWrap w:val="0"/>
            <w:vAlign w:val="bottom"/>
          </w:tcPr>
          <w:p w14:paraId="27F94310">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从业人员300人以下的为中小微型企业。</w:t>
            </w:r>
          </w:p>
        </w:tc>
      </w:tr>
      <w:tr w14:paraId="2F246C7F">
        <w:tblPrEx>
          <w:tblCellMar>
            <w:top w:w="0" w:type="dxa"/>
            <w:left w:w="10" w:type="dxa"/>
            <w:bottom w:w="0" w:type="dxa"/>
            <w:right w:w="10" w:type="dxa"/>
          </w:tblCellMar>
        </w:tblPrEx>
        <w:trPr>
          <w:trHeight w:val="305" w:hRule="exact"/>
          <w:jc w:val="center"/>
        </w:trPr>
        <w:tc>
          <w:tcPr>
            <w:tcW w:w="1604" w:type="dxa"/>
            <w:vMerge w:val="continue"/>
            <w:tcBorders>
              <w:left w:val="single" w:color="auto" w:sz="4" w:space="0"/>
            </w:tcBorders>
            <w:shd w:val="clear" w:color="auto" w:fill="FFFFFF"/>
            <w:noWrap w:val="0"/>
            <w:vAlign w:val="center"/>
          </w:tcPr>
          <w:p w14:paraId="16E94E26">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bottom"/>
          </w:tcPr>
          <w:p w14:paraId="02F910EE">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中型</w:t>
            </w:r>
          </w:p>
        </w:tc>
        <w:tc>
          <w:tcPr>
            <w:tcW w:w="6438" w:type="dxa"/>
            <w:tcBorders>
              <w:top w:val="single" w:color="auto" w:sz="4" w:space="0"/>
              <w:left w:val="single" w:color="auto" w:sz="4" w:space="0"/>
              <w:right w:val="single" w:color="auto" w:sz="4" w:space="0"/>
            </w:tcBorders>
            <w:shd w:val="clear" w:color="auto" w:fill="FFFFFF"/>
            <w:noWrap w:val="0"/>
            <w:vAlign w:val="bottom"/>
          </w:tcPr>
          <w:p w14:paraId="56A62DB3">
            <w:pPr>
              <w:pStyle w:val="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从业人员100— 300人</w:t>
            </w:r>
          </w:p>
        </w:tc>
      </w:tr>
      <w:tr w14:paraId="7C5379AD">
        <w:tblPrEx>
          <w:tblCellMar>
            <w:top w:w="0" w:type="dxa"/>
            <w:left w:w="10" w:type="dxa"/>
            <w:bottom w:w="0" w:type="dxa"/>
            <w:right w:w="10" w:type="dxa"/>
          </w:tblCellMar>
        </w:tblPrEx>
        <w:trPr>
          <w:trHeight w:val="332" w:hRule="exact"/>
          <w:jc w:val="center"/>
        </w:trPr>
        <w:tc>
          <w:tcPr>
            <w:tcW w:w="1604" w:type="dxa"/>
            <w:vMerge w:val="continue"/>
            <w:tcBorders>
              <w:left w:val="single" w:color="auto" w:sz="4" w:space="0"/>
            </w:tcBorders>
            <w:shd w:val="clear" w:color="auto" w:fill="FFFFFF"/>
            <w:noWrap w:val="0"/>
            <w:vAlign w:val="center"/>
          </w:tcPr>
          <w:p w14:paraId="0F29B0EA">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tcBorders>
            <w:shd w:val="clear" w:color="auto" w:fill="FFFFFF"/>
            <w:noWrap w:val="0"/>
            <w:vAlign w:val="top"/>
          </w:tcPr>
          <w:p w14:paraId="02585384">
            <w:pPr>
              <w:pStyle w:val="52"/>
              <w:keepNext w:val="0"/>
              <w:keepLines w:val="0"/>
              <w:suppressLineNumbers w:val="0"/>
              <w:shd w:val="clear" w:color="auto" w:fill="auto"/>
              <w:spacing w:before="8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小型</w:t>
            </w:r>
          </w:p>
        </w:tc>
        <w:tc>
          <w:tcPr>
            <w:tcW w:w="6438" w:type="dxa"/>
            <w:tcBorders>
              <w:top w:val="single" w:color="auto" w:sz="4" w:space="0"/>
              <w:left w:val="single" w:color="auto" w:sz="4" w:space="0"/>
              <w:right w:val="single" w:color="auto" w:sz="4" w:space="0"/>
            </w:tcBorders>
            <w:shd w:val="clear" w:color="auto" w:fill="FFFFFF"/>
            <w:noWrap w:val="0"/>
            <w:vAlign w:val="top"/>
          </w:tcPr>
          <w:p w14:paraId="173BB17E">
            <w:pPr>
              <w:pStyle w:val="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从业人员10人一100人</w:t>
            </w:r>
          </w:p>
        </w:tc>
      </w:tr>
      <w:tr w14:paraId="4F764E54">
        <w:tblPrEx>
          <w:tblCellMar>
            <w:top w:w="0" w:type="dxa"/>
            <w:left w:w="10" w:type="dxa"/>
            <w:bottom w:w="0" w:type="dxa"/>
            <w:right w:w="10" w:type="dxa"/>
          </w:tblCellMar>
        </w:tblPrEx>
        <w:trPr>
          <w:trHeight w:val="308" w:hRule="exact"/>
          <w:jc w:val="center"/>
        </w:trPr>
        <w:tc>
          <w:tcPr>
            <w:tcW w:w="1604" w:type="dxa"/>
            <w:vMerge w:val="continue"/>
            <w:tcBorders>
              <w:left w:val="single" w:color="auto" w:sz="4" w:space="0"/>
              <w:bottom w:val="single" w:color="auto" w:sz="4" w:space="0"/>
            </w:tcBorders>
            <w:shd w:val="clear" w:color="auto" w:fill="FFFFFF"/>
            <w:noWrap w:val="0"/>
            <w:vAlign w:val="center"/>
          </w:tcPr>
          <w:p w14:paraId="3B3DBD58">
            <w:pPr>
              <w:keepNext w:val="0"/>
              <w:keepLines w:val="0"/>
              <w:suppressLineNumbers w:val="0"/>
              <w:spacing w:before="0" w:beforeAutospacing="0" w:after="0" w:afterAutospacing="0"/>
              <w:ind w:left="0" w:right="0"/>
              <w:jc w:val="center"/>
              <w:rPr>
                <w:rFonts w:hint="eastAsia" w:ascii="宋体" w:hAnsi="宋体" w:cs="宋体"/>
                <w:color w:val="000000"/>
                <w:sz w:val="18"/>
                <w:szCs w:val="18"/>
              </w:rPr>
            </w:pPr>
          </w:p>
        </w:tc>
        <w:tc>
          <w:tcPr>
            <w:tcW w:w="1298" w:type="dxa"/>
            <w:tcBorders>
              <w:top w:val="single" w:color="auto" w:sz="4" w:space="0"/>
              <w:left w:val="single" w:color="auto" w:sz="4" w:space="0"/>
              <w:bottom w:val="single" w:color="auto" w:sz="4" w:space="0"/>
            </w:tcBorders>
            <w:shd w:val="clear" w:color="auto" w:fill="FFFFFF"/>
            <w:noWrap w:val="0"/>
            <w:vAlign w:val="bottom"/>
          </w:tcPr>
          <w:p w14:paraId="33CC1CC9">
            <w:pPr>
              <w:pStyle w:val="52"/>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微型</w:t>
            </w:r>
          </w:p>
        </w:tc>
        <w:tc>
          <w:tcPr>
            <w:tcW w:w="6438" w:type="dxa"/>
            <w:tcBorders>
              <w:top w:val="single" w:color="auto" w:sz="4" w:space="0"/>
              <w:left w:val="single" w:color="auto" w:sz="4" w:space="0"/>
              <w:bottom w:val="single" w:color="auto" w:sz="4" w:space="0"/>
              <w:right w:val="single" w:color="auto" w:sz="4" w:space="0"/>
            </w:tcBorders>
            <w:shd w:val="clear" w:color="auto" w:fill="FFFFFF"/>
            <w:noWrap w:val="0"/>
            <w:vAlign w:val="bottom"/>
          </w:tcPr>
          <w:p w14:paraId="19D72457">
            <w:pPr>
              <w:pStyle w:val="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从业人员10人以下</w:t>
            </w:r>
          </w:p>
        </w:tc>
      </w:tr>
    </w:tbl>
    <w:p w14:paraId="2ADA7F6D">
      <w:pPr>
        <w:spacing w:line="1" w:lineRule="exact"/>
        <w:rPr>
          <w:rFonts w:hint="eastAsia" w:ascii="宋体" w:hAnsi="宋体" w:eastAsia="宋体" w:cs="宋体"/>
          <w:color w:val="auto"/>
          <w:sz w:val="24"/>
          <w:szCs w:val="24"/>
          <w:highlight w:val="none"/>
        </w:rPr>
        <w:sectPr>
          <w:pgSz w:w="11906" w:h="16838"/>
          <w:pgMar w:top="1440" w:right="1489"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5A300DAE">
      <w:pPr>
        <w:pStyle w:val="7"/>
        <w:numPr>
          <w:ilvl w:val="0"/>
          <w:numId w:val="0"/>
        </w:numPr>
        <w:spacing w:before="0" w:after="0" w:line="500" w:lineRule="exact"/>
        <w:jc w:val="center"/>
        <w:rPr>
          <w:rFonts w:hint="eastAsia" w:ascii="仿宋_GB2312" w:hAnsi="仿宋_GB2312" w:eastAsia="仿宋_GB2312" w:cs="仿宋_GB2312"/>
          <w:b/>
          <w:bCs/>
          <w:i w:val="0"/>
          <w:iCs w:val="0"/>
          <w:caps w:val="0"/>
          <w:color w:val="000000"/>
          <w:spacing w:val="0"/>
          <w:kern w:val="0"/>
          <w:sz w:val="32"/>
          <w:szCs w:val="32"/>
          <w:lang w:val="en-US" w:eastAsia="zh-CN" w:bidi="ar"/>
        </w:rPr>
      </w:pPr>
      <w:bookmarkStart w:id="32" w:name="_Toc503212208"/>
      <w:bookmarkStart w:id="33" w:name="_Toc23498"/>
      <w:bookmarkStart w:id="34" w:name="_Toc18108"/>
      <w:bookmarkStart w:id="35" w:name="_Toc521014776"/>
      <w:bookmarkStart w:id="36" w:name="_Toc67"/>
      <w:r>
        <w:rPr>
          <w:rFonts w:hint="eastAsia" w:ascii="仿宋_GB2312" w:hAnsi="仿宋_GB2312" w:eastAsia="仿宋_GB2312" w:cs="仿宋_GB2312"/>
          <w:b/>
          <w:bCs/>
          <w:i w:val="0"/>
          <w:iCs w:val="0"/>
          <w:caps w:val="0"/>
          <w:color w:val="000000"/>
          <w:spacing w:val="0"/>
          <w:kern w:val="0"/>
          <w:sz w:val="32"/>
          <w:szCs w:val="32"/>
          <w:lang w:val="en-US" w:eastAsia="zh-CN" w:bidi="ar"/>
        </w:rPr>
        <w:t>一、总  则</w:t>
      </w:r>
      <w:bookmarkEnd w:id="32"/>
      <w:bookmarkEnd w:id="33"/>
      <w:bookmarkEnd w:id="34"/>
      <w:bookmarkEnd w:id="35"/>
      <w:bookmarkEnd w:id="36"/>
    </w:p>
    <w:p w14:paraId="77A2AAC2">
      <w:pPr>
        <w:spacing w:line="500" w:lineRule="exact"/>
        <w:rPr>
          <w:rFonts w:hint="eastAsia" w:ascii="仿宋" w:hAnsi="仿宋" w:eastAsia="仿宋" w:cs="仿宋"/>
          <w:b/>
          <w:bCs/>
          <w:sz w:val="26"/>
          <w:szCs w:val="26"/>
        </w:rPr>
      </w:pPr>
      <w:r>
        <w:rPr>
          <w:rFonts w:hint="eastAsia" w:ascii="仿宋_GB2312" w:hAnsi="仿宋_GB2312" w:eastAsia="仿宋_GB2312" w:cs="仿宋_GB2312"/>
          <w:b/>
          <w:bCs/>
          <w:i w:val="0"/>
          <w:iCs w:val="0"/>
          <w:caps w:val="0"/>
          <w:color w:val="000000"/>
          <w:spacing w:val="0"/>
          <w:kern w:val="0"/>
          <w:sz w:val="26"/>
          <w:szCs w:val="26"/>
          <w:lang w:val="en-US" w:eastAsia="zh-CN" w:bidi="ar"/>
        </w:rPr>
        <w:t>（一） 适用范围</w:t>
      </w:r>
    </w:p>
    <w:p w14:paraId="250CFD01">
      <w:pPr>
        <w:snapToGrid w:val="0"/>
        <w:spacing w:line="500" w:lineRule="exact"/>
        <w:ind w:firstLine="520" w:firstLineChars="200"/>
        <w:jc w:val="left"/>
        <w:rPr>
          <w:rFonts w:hint="eastAsia" w:ascii="仿宋" w:hAnsi="仿宋" w:eastAsia="仿宋" w:cs="仿宋"/>
          <w:sz w:val="26"/>
          <w:szCs w:val="26"/>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本招标文件适用于本项目的招标、投标、评标、定标、验收、合同履约、付款等行为（法律、法规另有规定的，从其规定）。</w:t>
      </w:r>
    </w:p>
    <w:p w14:paraId="5A30F30B">
      <w:pPr>
        <w:spacing w:line="500" w:lineRule="exact"/>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（二）定义</w:t>
      </w:r>
    </w:p>
    <w:p w14:paraId="3B1B9EDD">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1.招标采购单位系指组织本次招标的代理机构（“招标人”）和采购单位。</w:t>
      </w:r>
    </w:p>
    <w:p w14:paraId="5641E4D1">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2.“投标人”系指向招标方提交投标文件的单位或个人。</w:t>
      </w:r>
    </w:p>
    <w:p w14:paraId="14175B8D">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3.“产品”系指供方按招标文件规定，须向招标人提供的一切货物、设备、保险、税金、备品备件、工具、手册及其它有关技术资料和材料。</w:t>
      </w:r>
    </w:p>
    <w:p w14:paraId="4878BCD6">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4.“服务”系指招标文件规定投标人须承担的技术协助、校准、培训、技术指导以及其他类似的义务。</w:t>
      </w:r>
    </w:p>
    <w:p w14:paraId="5B755A58">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5.“项目”系指投标人按招标文件规定向招标人提供的产品和服务。</w:t>
      </w:r>
    </w:p>
    <w:p w14:paraId="6552B60D">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6.“书面形式”包括信函、传真、电报等。</w:t>
      </w:r>
    </w:p>
    <w:p w14:paraId="59F65DF9">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7.“▲”系指实质性要求条款。</w:t>
      </w:r>
    </w:p>
    <w:p w14:paraId="61959BBF">
      <w:pPr>
        <w:spacing w:line="500" w:lineRule="exact"/>
        <w:rPr>
          <w:rFonts w:hint="eastAsia" w:ascii="仿宋" w:hAnsi="仿宋" w:eastAsia="仿宋" w:cs="仿宋"/>
          <w:b/>
          <w:bCs/>
          <w:sz w:val="24"/>
        </w:rPr>
      </w:pPr>
      <w:r>
        <w:rPr>
          <w:rFonts w:hint="eastAsia" w:ascii="仿宋" w:hAnsi="仿宋" w:eastAsia="仿宋" w:cs="仿宋"/>
          <w:b/>
          <w:bCs/>
          <w:sz w:val="24"/>
        </w:rPr>
        <w:t xml:space="preserve"> </w:t>
      </w:r>
      <w:r>
        <w:rPr>
          <w:rFonts w:hint="eastAsia" w:ascii="仿宋_GB2312" w:hAnsi="仿宋_GB2312" w:eastAsia="仿宋_GB2312" w:cs="仿宋_GB2312"/>
          <w:b/>
          <w:bCs/>
          <w:i w:val="0"/>
          <w:iCs w:val="0"/>
          <w:caps w:val="0"/>
          <w:color w:val="000000"/>
          <w:spacing w:val="0"/>
          <w:kern w:val="0"/>
          <w:sz w:val="26"/>
          <w:szCs w:val="26"/>
          <w:lang w:val="en-US" w:eastAsia="zh-CN" w:bidi="ar"/>
        </w:rPr>
        <w:t>（三）招标方式</w:t>
      </w:r>
    </w:p>
    <w:p w14:paraId="7EC2C78C">
      <w:pPr>
        <w:snapToGrid w:val="0"/>
        <w:spacing w:line="500" w:lineRule="exact"/>
        <w:ind w:firstLine="520" w:firstLineChars="200"/>
        <w:jc w:val="left"/>
        <w:rPr>
          <w:rFonts w:hint="eastAsia" w:ascii="仿宋" w:hAnsi="仿宋" w:eastAsia="仿宋" w:cs="仿宋"/>
          <w:sz w:val="24"/>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本次招标采用公开招标方式进行。</w:t>
      </w:r>
    </w:p>
    <w:p w14:paraId="2ECD22AD">
      <w:pPr>
        <w:spacing w:line="500" w:lineRule="exact"/>
        <w:rPr>
          <w:rFonts w:hint="eastAsia" w:ascii="仿宋" w:hAnsi="仿宋" w:eastAsia="仿宋" w:cs="仿宋"/>
          <w:b/>
          <w:bCs/>
          <w:sz w:val="24"/>
        </w:rPr>
      </w:pPr>
      <w:r>
        <w:rPr>
          <w:rFonts w:hint="eastAsia" w:ascii="仿宋" w:hAnsi="仿宋" w:eastAsia="仿宋" w:cs="仿宋"/>
          <w:b/>
          <w:bCs/>
          <w:sz w:val="24"/>
        </w:rPr>
        <w:t xml:space="preserve"> </w:t>
      </w:r>
      <w:r>
        <w:rPr>
          <w:rFonts w:hint="eastAsia" w:ascii="仿宋_GB2312" w:hAnsi="仿宋_GB2312" w:eastAsia="仿宋_GB2312" w:cs="仿宋_GB2312"/>
          <w:b/>
          <w:bCs/>
          <w:i w:val="0"/>
          <w:iCs w:val="0"/>
          <w:caps w:val="0"/>
          <w:color w:val="000000"/>
          <w:spacing w:val="0"/>
          <w:kern w:val="0"/>
          <w:sz w:val="26"/>
          <w:szCs w:val="26"/>
          <w:lang w:val="en-US" w:eastAsia="zh-CN" w:bidi="ar"/>
        </w:rPr>
        <w:t>（四）投标报名</w:t>
      </w:r>
    </w:p>
    <w:p w14:paraId="1806EBBD">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有意参加本次招标项目的投标企业，在符合招标公告报名条件的前提下，自行至</w:t>
      </w:r>
      <w:r>
        <w:rPr>
          <w:rFonts w:hint="eastAsia" w:ascii="仿宋_GB2312" w:hAnsi="仿宋_GB2312" w:eastAsia="仿宋_GB2312" w:cs="仿宋_GB2312"/>
          <w:b w:val="0"/>
          <w:bCs w:val="0"/>
          <w:i w:val="0"/>
          <w:iCs w:val="0"/>
          <w:caps w:val="0"/>
          <w:color w:val="000000"/>
          <w:spacing w:val="0"/>
          <w:kern w:val="0"/>
          <w:sz w:val="26"/>
          <w:szCs w:val="26"/>
          <w:u w:val="single"/>
          <w:lang w:val="en-US" w:eastAsia="zh-CN" w:bidi="ar"/>
        </w:rPr>
        <w:t>新疆政府采购网</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获取招标文件并参与投标，在开标时一并进行资格审查。</w:t>
      </w:r>
    </w:p>
    <w:p w14:paraId="30E3D1C6">
      <w:pPr>
        <w:spacing w:line="500" w:lineRule="exact"/>
        <w:rPr>
          <w:rFonts w:hint="eastAsia" w:ascii="仿宋" w:hAnsi="仿宋" w:eastAsia="仿宋" w:cs="仿宋"/>
          <w:b/>
          <w:bCs/>
          <w:sz w:val="24"/>
        </w:rPr>
      </w:pPr>
      <w:r>
        <w:rPr>
          <w:rFonts w:hint="eastAsia" w:ascii="仿宋" w:hAnsi="仿宋" w:eastAsia="仿宋" w:cs="仿宋"/>
          <w:b/>
          <w:bCs/>
          <w:sz w:val="24"/>
        </w:rPr>
        <w:t xml:space="preserve">  </w:t>
      </w:r>
      <w:r>
        <w:rPr>
          <w:rFonts w:hint="eastAsia" w:ascii="仿宋_GB2312" w:hAnsi="仿宋_GB2312" w:eastAsia="仿宋_GB2312" w:cs="仿宋_GB2312"/>
          <w:b/>
          <w:bCs/>
          <w:i w:val="0"/>
          <w:iCs w:val="0"/>
          <w:caps w:val="0"/>
          <w:color w:val="000000"/>
          <w:spacing w:val="0"/>
          <w:kern w:val="0"/>
          <w:sz w:val="26"/>
          <w:szCs w:val="26"/>
          <w:lang w:val="en-US" w:eastAsia="zh-CN" w:bidi="ar"/>
        </w:rPr>
        <w:t>（五）投标费用</w:t>
      </w:r>
    </w:p>
    <w:p w14:paraId="31210DA6">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不论投标结果如何，投标人均应自行承担所有与投标有关的全部费用。</w:t>
      </w:r>
    </w:p>
    <w:p w14:paraId="372B342E">
      <w:pPr>
        <w:spacing w:line="500" w:lineRule="exact"/>
        <w:rPr>
          <w:rFonts w:hint="eastAsia" w:ascii="仿宋" w:hAnsi="仿宋" w:eastAsia="仿宋" w:cs="仿宋"/>
          <w:b/>
          <w:bCs/>
          <w:sz w:val="24"/>
        </w:rPr>
      </w:pPr>
      <w:r>
        <w:rPr>
          <w:rFonts w:hint="eastAsia" w:ascii="仿宋" w:hAnsi="仿宋" w:eastAsia="仿宋" w:cs="仿宋"/>
          <w:b/>
          <w:bCs/>
          <w:sz w:val="24"/>
        </w:rPr>
        <w:t xml:space="preserve">  </w:t>
      </w:r>
      <w:r>
        <w:rPr>
          <w:rFonts w:hint="eastAsia" w:ascii="仿宋_GB2312" w:hAnsi="仿宋_GB2312" w:eastAsia="仿宋_GB2312" w:cs="仿宋_GB2312"/>
          <w:b/>
          <w:bCs/>
          <w:i w:val="0"/>
          <w:iCs w:val="0"/>
          <w:caps w:val="0"/>
          <w:color w:val="000000"/>
          <w:spacing w:val="0"/>
          <w:kern w:val="0"/>
          <w:sz w:val="26"/>
          <w:szCs w:val="26"/>
          <w:lang w:val="en-US" w:eastAsia="zh-CN" w:bidi="ar"/>
        </w:rPr>
        <w:t>（六）联合体投标</w:t>
      </w:r>
    </w:p>
    <w:p w14:paraId="131F5006">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本项目不接受联合体投标。</w:t>
      </w:r>
    </w:p>
    <w:p w14:paraId="256141D7">
      <w:pPr>
        <w:spacing w:line="500" w:lineRule="exact"/>
        <w:rPr>
          <w:rFonts w:hint="eastAsia" w:ascii="仿宋" w:hAnsi="仿宋" w:eastAsia="仿宋" w:cs="仿宋"/>
          <w:b/>
          <w:bCs/>
          <w:sz w:val="24"/>
        </w:rPr>
      </w:pPr>
      <w:r>
        <w:rPr>
          <w:rFonts w:hint="eastAsia" w:ascii="仿宋" w:hAnsi="仿宋" w:eastAsia="仿宋" w:cs="仿宋"/>
          <w:b/>
          <w:bCs/>
          <w:sz w:val="24"/>
        </w:rPr>
        <w:t xml:space="preserve">  </w:t>
      </w:r>
      <w:r>
        <w:rPr>
          <w:rFonts w:hint="eastAsia" w:ascii="仿宋_GB2312" w:hAnsi="仿宋_GB2312" w:eastAsia="仿宋_GB2312" w:cs="仿宋_GB2312"/>
          <w:b/>
          <w:bCs/>
          <w:i w:val="0"/>
          <w:iCs w:val="0"/>
          <w:caps w:val="0"/>
          <w:color w:val="000000"/>
          <w:spacing w:val="0"/>
          <w:kern w:val="0"/>
          <w:sz w:val="26"/>
          <w:szCs w:val="26"/>
          <w:lang w:val="en-US" w:eastAsia="zh-CN" w:bidi="ar"/>
        </w:rPr>
        <w:t>（七）转包与分包</w:t>
      </w:r>
    </w:p>
    <w:p w14:paraId="1477405A">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1.本项目不允许转包。</w:t>
      </w:r>
    </w:p>
    <w:p w14:paraId="5AA90362">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2.本项目不可以分包。</w:t>
      </w:r>
    </w:p>
    <w:p w14:paraId="0ADB6EBD">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3.投标人应仔细阅读招标文件的所有内容，按照招标文件的要求提交投标文件，并对所提供的全部资料的真实性承担法律责任。</w:t>
      </w:r>
    </w:p>
    <w:p w14:paraId="6E427412">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14:paraId="53E1AD57">
      <w:pPr>
        <w:spacing w:line="500" w:lineRule="exact"/>
        <w:rPr>
          <w:rFonts w:hint="eastAsia" w:ascii="仿宋" w:hAnsi="仿宋" w:eastAsia="仿宋" w:cs="仿宋"/>
          <w:b/>
          <w:bCs/>
          <w:sz w:val="24"/>
        </w:rPr>
      </w:pPr>
      <w:r>
        <w:rPr>
          <w:rFonts w:hint="eastAsia" w:ascii="仿宋" w:hAnsi="仿宋" w:eastAsia="仿宋" w:cs="仿宋"/>
          <w:b/>
          <w:bCs/>
          <w:sz w:val="24"/>
        </w:rPr>
        <w:t xml:space="preserve">  </w:t>
      </w:r>
      <w:r>
        <w:rPr>
          <w:rFonts w:hint="eastAsia" w:ascii="仿宋_GB2312" w:hAnsi="仿宋_GB2312" w:eastAsia="仿宋_GB2312" w:cs="仿宋_GB2312"/>
          <w:b/>
          <w:bCs/>
          <w:i w:val="0"/>
          <w:iCs w:val="0"/>
          <w:caps w:val="0"/>
          <w:color w:val="000000"/>
          <w:spacing w:val="0"/>
          <w:kern w:val="0"/>
          <w:sz w:val="26"/>
          <w:szCs w:val="26"/>
          <w:lang w:val="en-US" w:eastAsia="zh-CN" w:bidi="ar"/>
        </w:rPr>
        <w:t>（八）质疑和投诉</w:t>
      </w:r>
    </w:p>
    <w:p w14:paraId="5A6FBF94">
      <w:pPr>
        <w:pStyle w:val="15"/>
        <w:snapToGrid w:val="0"/>
        <w:spacing w:line="500" w:lineRule="exact"/>
        <w:ind w:firstLine="520" w:firstLineChars="2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人认为招标文件、招标过程或中标结果使自己的合法权益受到损害，应当在知道或者应知其权益受到损害之日起七个工作日内，以书面形式向招标人、招标代理机构提出质疑。投标人对招标采购单位质疑答复不满意或者招标采购单位未在规定时间内作出答复的，可以在答复期满后十五个工作日内向招标人投诉。</w:t>
      </w:r>
    </w:p>
    <w:p w14:paraId="0E5C08FB">
      <w:pPr>
        <w:pStyle w:val="15"/>
        <w:snapToGrid w:val="0"/>
        <w:spacing w:line="500" w:lineRule="exact"/>
        <w:ind w:firstLine="520" w:firstLineChars="2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37" w:name="_Toc521014777"/>
      <w:bookmarkStart w:id="38" w:name="_Toc30350"/>
      <w:bookmarkStart w:id="39" w:name="_Toc503212209"/>
      <w:bookmarkStart w:id="40" w:name="_Toc32144"/>
      <w:bookmarkStart w:id="41" w:name="_Toc31674"/>
    </w:p>
    <w:p w14:paraId="09C6C2FA">
      <w:pPr>
        <w:pStyle w:val="15"/>
        <w:snapToGrid w:val="0"/>
        <w:spacing w:line="500" w:lineRule="exact"/>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二、招标文件</w:t>
      </w:r>
      <w:bookmarkEnd w:id="37"/>
      <w:bookmarkEnd w:id="38"/>
      <w:bookmarkEnd w:id="39"/>
      <w:bookmarkEnd w:id="40"/>
      <w:bookmarkEnd w:id="41"/>
    </w:p>
    <w:p w14:paraId="391A31B4">
      <w:pPr>
        <w:snapToGrid w:val="0"/>
        <w:spacing w:line="500" w:lineRule="exact"/>
        <w:ind w:firstLine="261" w:firstLineChars="100"/>
        <w:jc w:val="both"/>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（一）招标文件的构成。本招标文件由以下部份组成：</w:t>
      </w:r>
    </w:p>
    <w:p w14:paraId="3CEDF810">
      <w:pPr>
        <w:pStyle w:val="18"/>
        <w:tabs>
          <w:tab w:val="left" w:pos="840"/>
          <w:tab w:val="right" w:leader="dot" w:pos="9008"/>
        </w:tabs>
        <w:spacing w:before="0" w:after="0"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begin"/>
      </w:r>
      <w:r>
        <w:rPr>
          <w:rFonts w:hint="eastAsia" w:ascii="仿宋_GB2312" w:hAnsi="仿宋_GB2312" w:eastAsia="仿宋_GB2312" w:cs="仿宋_GB2312"/>
          <w:b w:val="0"/>
          <w:bCs w:val="0"/>
          <w:i w:val="0"/>
          <w:iCs w:val="0"/>
          <w:caps w:val="0"/>
          <w:color w:val="000000"/>
          <w:spacing w:val="0"/>
          <w:kern w:val="0"/>
          <w:sz w:val="26"/>
          <w:szCs w:val="26"/>
          <w:lang w:val="en-US" w:eastAsia="zh-CN" w:bidi="ar"/>
        </w:rPr>
        <w:instrText xml:space="preserve"> HYPERLINK \l "_Toc521014774" </w:instrTex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separate"/>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第一章  招标公告</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end"/>
      </w:r>
    </w:p>
    <w:p w14:paraId="404FCBCD">
      <w:pPr>
        <w:pStyle w:val="18"/>
        <w:tabs>
          <w:tab w:val="left" w:pos="840"/>
          <w:tab w:val="right" w:leader="dot" w:pos="9008"/>
        </w:tabs>
        <w:spacing w:before="0" w:after="0"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begin"/>
      </w:r>
      <w:r>
        <w:rPr>
          <w:rFonts w:hint="eastAsia" w:ascii="仿宋_GB2312" w:hAnsi="仿宋_GB2312" w:eastAsia="仿宋_GB2312" w:cs="仿宋_GB2312"/>
          <w:b w:val="0"/>
          <w:bCs w:val="0"/>
          <w:i w:val="0"/>
          <w:iCs w:val="0"/>
          <w:caps w:val="0"/>
          <w:color w:val="000000"/>
          <w:spacing w:val="0"/>
          <w:kern w:val="0"/>
          <w:sz w:val="26"/>
          <w:szCs w:val="26"/>
          <w:lang w:val="en-US" w:eastAsia="zh-CN" w:bidi="ar"/>
        </w:rPr>
        <w:instrText xml:space="preserve"> HYPERLINK \l "_Toc521014775" </w:instrTex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separate"/>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第二章  投标人须知</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end"/>
      </w:r>
    </w:p>
    <w:p w14:paraId="4AB0179B">
      <w:pPr>
        <w:pStyle w:val="18"/>
        <w:tabs>
          <w:tab w:val="left" w:pos="840"/>
          <w:tab w:val="right" w:leader="dot" w:pos="9008"/>
        </w:tabs>
        <w:spacing w:before="0" w:after="0"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begin"/>
      </w:r>
      <w:r>
        <w:rPr>
          <w:rFonts w:hint="eastAsia" w:ascii="仿宋_GB2312" w:hAnsi="仿宋_GB2312" w:eastAsia="仿宋_GB2312" w:cs="仿宋_GB2312"/>
          <w:b w:val="0"/>
          <w:bCs w:val="0"/>
          <w:i w:val="0"/>
          <w:iCs w:val="0"/>
          <w:caps w:val="0"/>
          <w:color w:val="000000"/>
          <w:spacing w:val="0"/>
          <w:kern w:val="0"/>
          <w:sz w:val="26"/>
          <w:szCs w:val="26"/>
          <w:lang w:val="en-US" w:eastAsia="zh-CN" w:bidi="ar"/>
        </w:rPr>
        <w:instrText xml:space="preserve"> HYPERLINK \l "_Toc521014791" </w:instrTex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separate"/>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第三章  评标办法及标准</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end"/>
      </w:r>
    </w:p>
    <w:p w14:paraId="3B1D3576">
      <w:pPr>
        <w:pStyle w:val="18"/>
        <w:tabs>
          <w:tab w:val="left" w:pos="840"/>
          <w:tab w:val="right" w:leader="dot" w:pos="9008"/>
        </w:tabs>
        <w:spacing w:before="0" w:after="0" w:line="500" w:lineRule="exact"/>
        <w:ind w:firstLine="260" w:firstLineChars="100"/>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begin"/>
      </w:r>
      <w:r>
        <w:rPr>
          <w:rFonts w:hint="eastAsia" w:ascii="仿宋_GB2312" w:hAnsi="仿宋_GB2312" w:eastAsia="仿宋_GB2312" w:cs="仿宋_GB2312"/>
          <w:b w:val="0"/>
          <w:bCs w:val="0"/>
          <w:i w:val="0"/>
          <w:iCs w:val="0"/>
          <w:caps w:val="0"/>
          <w:color w:val="000000"/>
          <w:spacing w:val="0"/>
          <w:kern w:val="0"/>
          <w:sz w:val="26"/>
          <w:szCs w:val="26"/>
          <w:lang w:val="en-US" w:eastAsia="zh-CN" w:bidi="ar"/>
        </w:rPr>
        <w:instrText xml:space="preserve"> HYPERLINK \l "_Toc521014792" </w:instrTex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separate"/>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第四章  货物需求</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end"/>
      </w:r>
      <w:r>
        <w:rPr>
          <w:rFonts w:hint="eastAsia" w:ascii="仿宋_GB2312" w:hAnsi="仿宋_GB2312" w:eastAsia="仿宋_GB2312" w:cs="仿宋_GB2312"/>
          <w:b w:val="0"/>
          <w:bCs w:val="0"/>
          <w:i w:val="0"/>
          <w:iCs w:val="0"/>
          <w:caps w:val="0"/>
          <w:color w:val="000000"/>
          <w:spacing w:val="0"/>
          <w:kern w:val="0"/>
          <w:sz w:val="26"/>
          <w:szCs w:val="26"/>
          <w:lang w:val="en-US" w:eastAsia="zh-CN" w:bidi="ar"/>
        </w:rPr>
        <w:t>及技术要求</w:t>
      </w:r>
    </w:p>
    <w:p w14:paraId="59C1F247">
      <w:pPr>
        <w:pStyle w:val="18"/>
        <w:tabs>
          <w:tab w:val="left" w:pos="840"/>
          <w:tab w:val="right" w:leader="dot" w:pos="9008"/>
        </w:tabs>
        <w:spacing w:before="0" w:after="0"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begin"/>
      </w:r>
      <w:r>
        <w:rPr>
          <w:rFonts w:hint="eastAsia" w:ascii="仿宋_GB2312" w:hAnsi="仿宋_GB2312" w:eastAsia="仿宋_GB2312" w:cs="仿宋_GB2312"/>
          <w:b w:val="0"/>
          <w:bCs w:val="0"/>
          <w:i w:val="0"/>
          <w:iCs w:val="0"/>
          <w:caps w:val="0"/>
          <w:color w:val="000000"/>
          <w:spacing w:val="0"/>
          <w:kern w:val="0"/>
          <w:sz w:val="26"/>
          <w:szCs w:val="26"/>
          <w:lang w:val="en-US" w:eastAsia="zh-CN" w:bidi="ar"/>
        </w:rPr>
        <w:instrText xml:space="preserve"> HYPERLINK \l "_Toc521014793" </w:instrTex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separate"/>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第五章  合同条款及合同格式</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end"/>
      </w:r>
    </w:p>
    <w:p w14:paraId="6A1B7AE9">
      <w:pPr>
        <w:pStyle w:val="18"/>
        <w:tabs>
          <w:tab w:val="left" w:pos="840"/>
          <w:tab w:val="right" w:leader="dot" w:pos="9008"/>
        </w:tabs>
        <w:spacing w:before="0" w:after="0"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begin"/>
      </w:r>
      <w:r>
        <w:rPr>
          <w:rFonts w:hint="eastAsia" w:ascii="仿宋_GB2312" w:hAnsi="仿宋_GB2312" w:eastAsia="仿宋_GB2312" w:cs="仿宋_GB2312"/>
          <w:b w:val="0"/>
          <w:bCs w:val="0"/>
          <w:i w:val="0"/>
          <w:iCs w:val="0"/>
          <w:caps w:val="0"/>
          <w:color w:val="000000"/>
          <w:spacing w:val="0"/>
          <w:kern w:val="0"/>
          <w:sz w:val="26"/>
          <w:szCs w:val="26"/>
          <w:lang w:val="en-US" w:eastAsia="zh-CN" w:bidi="ar"/>
        </w:rPr>
        <w:instrText xml:space="preserve"> HYPERLINK \l "_Toc521014794" </w:instrTex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separate"/>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第六章  投标文件格式</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fldChar w:fldCharType="end"/>
      </w:r>
    </w:p>
    <w:p w14:paraId="5FBD9F5A">
      <w:pPr>
        <w:snapToGrid w:val="0"/>
        <w:spacing w:line="500" w:lineRule="exact"/>
        <w:ind w:firstLine="512" w:firstLineChars="196"/>
        <w:jc w:val="left"/>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（二）投标人的风险</w:t>
      </w:r>
    </w:p>
    <w:p w14:paraId="003778E3">
      <w:pPr>
        <w:pStyle w:val="22"/>
        <w:spacing w:line="500" w:lineRule="exac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投标人没有按照招标文件要求提供全部资料，或者投标人没有对招标文件在各方面作出实质性响应是投标人的风险，并可能导致其投标为无效标。</w:t>
      </w:r>
    </w:p>
    <w:p w14:paraId="28B82FCD">
      <w:pPr>
        <w:pStyle w:val="22"/>
        <w:spacing w:line="500" w:lineRule="exact"/>
        <w:ind w:firstLine="482"/>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（三）招标文件的澄清与修改</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w:t>
      </w:r>
    </w:p>
    <w:p w14:paraId="1EDD3526">
      <w:pPr>
        <w:pStyle w:val="15"/>
        <w:snapToGrid w:val="0"/>
        <w:spacing w:line="500" w:lineRule="exact"/>
        <w:ind w:firstLine="520" w:firstLineChars="2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1.招标代理机构必须以书面形式答复投标人要求澄清的问题，并将不包含问题来源的答复书面通知所有购买招标文件的投标人；除书面答复以外的其他澄清方式及澄清内容均无效。</w:t>
      </w:r>
    </w:p>
    <w:p w14:paraId="0613BF4B">
      <w:pPr>
        <w:pStyle w:val="15"/>
        <w:snapToGrid w:val="0"/>
        <w:spacing w:line="500" w:lineRule="exact"/>
        <w:ind w:firstLine="520" w:firstLineChars="2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2.招标文件澄清、答复、修改、补充的内容为招标文件的组成部分。当招标文件与招标文件的答复、澄清、修改、补充通知就同一内容的表述不一致时，以最后发出</w:t>
      </w:r>
    </w:p>
    <w:p w14:paraId="36970D1B">
      <w:pPr>
        <w:pStyle w:val="15"/>
        <w:snapToGrid w:val="0"/>
        <w:spacing w:line="500" w:lineRule="exact"/>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的书面文件为准。</w:t>
      </w:r>
    </w:p>
    <w:p w14:paraId="4C60124F">
      <w:pPr>
        <w:pStyle w:val="15"/>
        <w:snapToGrid w:val="0"/>
        <w:spacing w:line="500" w:lineRule="exact"/>
        <w:ind w:firstLine="520" w:firstLineChars="2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3.招标文件的澄清、答复、修改或补充都应该通过本代理机构以法定形式发布，招标人非通过本机构，不得擅自澄清、答复、修改或补充招标文件。</w:t>
      </w:r>
    </w:p>
    <w:p w14:paraId="04EA4210">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42" w:name="_Toc503212210"/>
      <w:bookmarkStart w:id="43" w:name="_Toc27918"/>
      <w:bookmarkStart w:id="44" w:name="_Toc521014778"/>
      <w:bookmarkStart w:id="45" w:name="_Toc27456"/>
      <w:bookmarkStart w:id="46" w:name="_Toc12173"/>
      <w:r>
        <w:rPr>
          <w:rFonts w:hint="eastAsia" w:ascii="仿宋_GB2312" w:hAnsi="仿宋_GB2312" w:eastAsia="仿宋_GB2312" w:cs="仿宋_GB2312"/>
          <w:b/>
          <w:bCs/>
          <w:i w:val="0"/>
          <w:iCs w:val="0"/>
          <w:caps w:val="0"/>
          <w:color w:val="000000"/>
          <w:spacing w:val="0"/>
          <w:kern w:val="0"/>
          <w:sz w:val="26"/>
          <w:szCs w:val="26"/>
          <w:lang w:val="en-US" w:eastAsia="zh-CN" w:bidi="ar"/>
        </w:rPr>
        <w:t>三、投标文件的编制</w:t>
      </w:r>
      <w:bookmarkEnd w:id="42"/>
      <w:bookmarkEnd w:id="43"/>
      <w:bookmarkEnd w:id="44"/>
      <w:bookmarkEnd w:id="45"/>
      <w:bookmarkEnd w:id="46"/>
    </w:p>
    <w:p w14:paraId="32BC96FA">
      <w:pPr>
        <w:pStyle w:val="7"/>
        <w:numPr>
          <w:ilvl w:val="0"/>
          <w:numId w:val="0"/>
        </w:numPr>
        <w:spacing w:before="0" w:after="0" w:line="500" w:lineRule="exact"/>
        <w:ind w:firstLine="3393" w:firstLineChars="1300"/>
        <w:jc w:val="both"/>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47" w:name="_Toc503212211"/>
      <w:bookmarkStart w:id="48" w:name="_Toc9753"/>
      <w:bookmarkStart w:id="49" w:name="_Toc521014779"/>
      <w:bookmarkStart w:id="50" w:name="_Toc23068"/>
      <w:bookmarkStart w:id="51" w:name="_Toc29977"/>
      <w:r>
        <w:rPr>
          <w:rFonts w:hint="eastAsia" w:ascii="仿宋_GB2312" w:hAnsi="仿宋_GB2312" w:eastAsia="仿宋_GB2312" w:cs="仿宋_GB2312"/>
          <w:b/>
          <w:bCs/>
          <w:i w:val="0"/>
          <w:iCs w:val="0"/>
          <w:caps w:val="0"/>
          <w:color w:val="000000"/>
          <w:spacing w:val="0"/>
          <w:kern w:val="0"/>
          <w:sz w:val="26"/>
          <w:szCs w:val="26"/>
          <w:lang w:val="en-US" w:eastAsia="zh-CN" w:bidi="ar"/>
        </w:rPr>
        <w:t>（一）投标文件的组成</w:t>
      </w:r>
      <w:bookmarkEnd w:id="47"/>
      <w:bookmarkEnd w:id="48"/>
      <w:bookmarkEnd w:id="49"/>
      <w:bookmarkEnd w:id="50"/>
      <w:bookmarkEnd w:id="51"/>
    </w:p>
    <w:p w14:paraId="02F8EF96">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投标文件由以下内容组成：</w:t>
      </w:r>
    </w:p>
    <w:p w14:paraId="0ECA7D46">
      <w:pPr>
        <w:snapToGrid w:val="0"/>
        <w:spacing w:line="500" w:lineRule="exact"/>
        <w:ind w:firstLine="509" w:firstLineChars="196"/>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1.商务技术部分：</w:t>
      </w:r>
    </w:p>
    <w:p w14:paraId="6C9EC85D">
      <w:pPr>
        <w:spacing w:line="500" w:lineRule="exac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1、投标单位应按招标文件的要求提供招标文件，并保证所有材料的真实性，以确保其投标对招标文件做出实质性的响应。</w:t>
      </w:r>
    </w:p>
    <w:p w14:paraId="48BD898D">
      <w:pPr>
        <w:spacing w:line="500" w:lineRule="exac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2、招标文件使用的计量单位，应采用国家法定的计量单位。</w:t>
      </w:r>
    </w:p>
    <w:p w14:paraId="2E5FF311">
      <w:pPr>
        <w:spacing w:line="500" w:lineRule="exact"/>
        <w:ind w:firstLine="52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3、投标人所递交的投标文件应包含但不限于以下文件：</w:t>
      </w:r>
    </w:p>
    <w:p w14:paraId="37774C67">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（1）投标书（投标文件格式五）</w:t>
      </w:r>
    </w:p>
    <w:p w14:paraId="215BE808">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（2）投标保证金缴纳有效证明（见投标文件格式六）</w:t>
      </w:r>
    </w:p>
    <w:p w14:paraId="5C582EC1">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（3）投标分项报价表（投标文件格式七）</w:t>
      </w:r>
    </w:p>
    <w:p w14:paraId="14844644">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（4）服务说明一览表（投标文件格式八）</w:t>
      </w:r>
    </w:p>
    <w:p w14:paraId="4F47FE16">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（5）技术规格偏离表（投标文件格式九）</w:t>
      </w:r>
    </w:p>
    <w:p w14:paraId="425DF5D9">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（6）商务条款偏离表（投标文件格式十）</w:t>
      </w:r>
    </w:p>
    <w:p w14:paraId="370D5313">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（7）符合《政府采购促进中小企业发展暂行办法》《关于政府采购支持监狱企业发展有关问题的通知》和《三部门联合发布关于促进残疾人就业政府采购政策的通知》价格扣减条件的投标人须提交）</w:t>
      </w:r>
    </w:p>
    <w:p w14:paraId="36601560">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（7-1）《投标人企业（单位）类型声明函》（投标文件格式十一）</w:t>
      </w:r>
    </w:p>
    <w:p w14:paraId="3EE90A57">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（7-2）《中小企业声明函（服务）》（投标文件格式十二）</w:t>
      </w:r>
    </w:p>
    <w:p w14:paraId="091C08F8">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（7-3）《残疾人福利性单位声明函》（投标文件格式十三）</w:t>
      </w:r>
    </w:p>
    <w:p w14:paraId="2DD93D38">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（8）投标人关联单位的说明（格式自拟）</w:t>
      </w:r>
    </w:p>
    <w:p w14:paraId="0AF05D25">
      <w:pPr>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（9）投标文件还应包括投标人须知里的所有技术文件</w:t>
      </w:r>
    </w:p>
    <w:p w14:paraId="0D370614">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52" w:name="_Toc521014780"/>
      <w:bookmarkStart w:id="53" w:name="_Toc13056"/>
      <w:bookmarkStart w:id="54" w:name="_Toc503212212"/>
      <w:bookmarkStart w:id="55" w:name="_Toc14838"/>
      <w:bookmarkStart w:id="56" w:name="_Toc18015"/>
      <w:r>
        <w:rPr>
          <w:rFonts w:hint="eastAsia" w:ascii="仿宋_GB2312" w:hAnsi="仿宋_GB2312" w:eastAsia="仿宋_GB2312" w:cs="仿宋_GB2312"/>
          <w:b/>
          <w:bCs/>
          <w:i w:val="0"/>
          <w:iCs w:val="0"/>
          <w:caps w:val="0"/>
          <w:color w:val="000000"/>
          <w:spacing w:val="0"/>
          <w:kern w:val="0"/>
          <w:sz w:val="26"/>
          <w:szCs w:val="26"/>
          <w:lang w:val="en-US" w:eastAsia="zh-CN" w:bidi="ar"/>
        </w:rPr>
        <w:t>（二）投标文件的语言及计量</w:t>
      </w:r>
      <w:bookmarkEnd w:id="52"/>
      <w:bookmarkEnd w:id="53"/>
      <w:bookmarkEnd w:id="54"/>
      <w:bookmarkEnd w:id="55"/>
      <w:bookmarkEnd w:id="56"/>
    </w:p>
    <w:p w14:paraId="05C0C9F2">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▲1.投标文件以及投标方与招标方就有关投标事宜的所有来往函电，均应以中文汉语书写。除签名、盖章、专用名称等特殊情形外，以中文汉语以外的文字表述的投标文件视同未提供。</w:t>
      </w:r>
    </w:p>
    <w:p w14:paraId="7F4C57E2">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▲2.投标计量单位，招标文件已有明确规定的，使用招标文件规定的计量单位；招标文件没有规定的，应采用中华人民共和国法定计量单位（货币单位：人民币元），否则视同未响应。</w:t>
      </w:r>
    </w:p>
    <w:p w14:paraId="13E12E07">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57" w:name="_Toc503212213"/>
      <w:bookmarkStart w:id="58" w:name="_Toc6985"/>
      <w:bookmarkStart w:id="59" w:name="_Toc1770"/>
      <w:bookmarkStart w:id="60" w:name="_Toc521014781"/>
      <w:bookmarkStart w:id="61" w:name="_Toc3970"/>
      <w:r>
        <w:rPr>
          <w:rFonts w:hint="eastAsia" w:ascii="仿宋_GB2312" w:hAnsi="仿宋_GB2312" w:eastAsia="仿宋_GB2312" w:cs="仿宋_GB2312"/>
          <w:b/>
          <w:bCs/>
          <w:i w:val="0"/>
          <w:iCs w:val="0"/>
          <w:caps w:val="0"/>
          <w:color w:val="000000"/>
          <w:spacing w:val="0"/>
          <w:kern w:val="0"/>
          <w:sz w:val="26"/>
          <w:szCs w:val="26"/>
          <w:lang w:val="en-US" w:eastAsia="zh-CN" w:bidi="ar"/>
        </w:rPr>
        <w:t>（三）投标报价</w:t>
      </w:r>
      <w:bookmarkEnd w:id="57"/>
      <w:bookmarkEnd w:id="58"/>
      <w:bookmarkEnd w:id="59"/>
      <w:bookmarkEnd w:id="60"/>
      <w:bookmarkEnd w:id="61"/>
    </w:p>
    <w:p w14:paraId="47AA5102">
      <w:pPr>
        <w:pStyle w:val="15"/>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▲1.投标报价应按招标文件中相关附表格式填写。</w:t>
      </w:r>
    </w:p>
    <w:p w14:paraId="04160F5D">
      <w:pPr>
        <w:pStyle w:val="15"/>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▲2.投标报价（开标一览表）必须按投标须知中标准要求执行，否则其报价无效，不进入评审阶段。</w:t>
      </w:r>
    </w:p>
    <w:p w14:paraId="4F1AFFD7">
      <w:pPr>
        <w:tabs>
          <w:tab w:val="left" w:pos="525"/>
        </w:tabs>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▲3.投标文件只允许有一个报价，有选择的或有条件的报价将不予接受。</w:t>
      </w:r>
    </w:p>
    <w:p w14:paraId="4B109922">
      <w:pPr>
        <w:tabs>
          <w:tab w:val="left" w:pos="525"/>
        </w:tabs>
        <w:snapToGrid w:val="0"/>
        <w:spacing w:line="500" w:lineRule="exact"/>
        <w:ind w:firstLine="520" w:firstLineChars="200"/>
        <w:jc w:val="left"/>
        <w:rPr>
          <w:rFonts w:hint="eastAsia" w:ascii="仿宋" w:hAnsi="仿宋" w:eastAsia="仿宋" w:cs="仿宋"/>
          <w:sz w:val="26"/>
          <w:szCs w:val="26"/>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▲4.招标代理服务费由中标单位支付，投标单位在报价时请考虑。</w:t>
      </w:r>
    </w:p>
    <w:p w14:paraId="79BE82AB">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62" w:name="_Toc21211"/>
      <w:bookmarkStart w:id="63" w:name="_Toc503212214"/>
      <w:bookmarkStart w:id="64" w:name="_Toc21800"/>
      <w:bookmarkStart w:id="65" w:name="_Toc17019"/>
      <w:bookmarkStart w:id="66" w:name="_Toc521014782"/>
      <w:r>
        <w:rPr>
          <w:rFonts w:hint="eastAsia" w:ascii="仿宋_GB2312" w:hAnsi="仿宋_GB2312" w:eastAsia="仿宋_GB2312" w:cs="仿宋_GB2312"/>
          <w:b/>
          <w:bCs/>
          <w:i w:val="0"/>
          <w:iCs w:val="0"/>
          <w:caps w:val="0"/>
          <w:color w:val="000000"/>
          <w:spacing w:val="0"/>
          <w:kern w:val="0"/>
          <w:sz w:val="26"/>
          <w:szCs w:val="26"/>
          <w:lang w:val="en-US" w:eastAsia="zh-CN" w:bidi="ar"/>
        </w:rPr>
        <w:t>（四）投标文件的有效期</w:t>
      </w:r>
      <w:bookmarkEnd w:id="62"/>
      <w:bookmarkEnd w:id="63"/>
      <w:bookmarkEnd w:id="64"/>
      <w:bookmarkEnd w:id="65"/>
      <w:bookmarkEnd w:id="66"/>
    </w:p>
    <w:p w14:paraId="3619D7C6">
      <w:pPr>
        <w:pStyle w:val="11"/>
        <w:widowControl w:val="0"/>
        <w:numPr>
          <w:ilvl w:val="0"/>
          <w:numId w:val="0"/>
        </w:numPr>
        <w:tabs>
          <w:tab w:val="left" w:pos="0"/>
          <w:tab w:val="left" w:pos="454"/>
        </w:tabs>
        <w:snapToGrid w:val="0"/>
        <w:spacing w:after="0" w:afterLines="0" w:line="500" w:lineRule="exac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 w:hAnsi="仿宋" w:eastAsia="仿宋" w:cs="仿宋"/>
          <w:b w:val="0"/>
          <w:bCs w:val="0"/>
          <w:kern w:val="2"/>
          <w:sz w:val="26"/>
          <w:szCs w:val="26"/>
          <w:lang w:val="en-US" w:eastAsia="zh-CN" w:bidi="ar-SA"/>
        </w:rPr>
        <w:t xml:space="preserve">    </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▲1.自投标截止日起 90 日历日内投标文件应保持有效。有效期不足的投标文件将被拒绝。</w:t>
      </w:r>
    </w:p>
    <w:p w14:paraId="3FE0BCE6">
      <w:pPr>
        <w:pStyle w:val="11"/>
        <w:widowControl w:val="0"/>
        <w:numPr>
          <w:ilvl w:val="0"/>
          <w:numId w:val="0"/>
        </w:numPr>
        <w:tabs>
          <w:tab w:val="left" w:pos="0"/>
          <w:tab w:val="left" w:pos="454"/>
        </w:tabs>
        <w:snapToGrid w:val="0"/>
        <w:spacing w:after="0" w:afterLines="0" w:line="500" w:lineRule="exac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2.在特殊情况下，招标人可与投标人协商延长投标书的有效期，这种要求和答复均以书面形式进行。</w:t>
      </w:r>
    </w:p>
    <w:p w14:paraId="173D6568">
      <w:pPr>
        <w:pStyle w:val="11"/>
        <w:widowControl w:val="0"/>
        <w:numPr>
          <w:ilvl w:val="0"/>
          <w:numId w:val="0"/>
        </w:numPr>
        <w:tabs>
          <w:tab w:val="left" w:pos="0"/>
          <w:tab w:val="left" w:pos="454"/>
        </w:tabs>
        <w:snapToGrid w:val="0"/>
        <w:spacing w:after="0" w:afterLines="0" w:line="500" w:lineRule="exac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3.投标人可拒绝接受延期要求而不会导致投标保证金被没收。同意延长有效期的投标人需要相应延长投标保证金的有效期，但不能修改投标文件。 </w:t>
      </w:r>
    </w:p>
    <w:p w14:paraId="6028260F">
      <w:pPr>
        <w:pStyle w:val="11"/>
        <w:widowControl w:val="0"/>
        <w:numPr>
          <w:ilvl w:val="0"/>
          <w:numId w:val="0"/>
        </w:numPr>
        <w:tabs>
          <w:tab w:val="left" w:pos="0"/>
          <w:tab w:val="left" w:pos="454"/>
        </w:tabs>
        <w:snapToGrid w:val="0"/>
        <w:spacing w:after="0" w:afterLines="0" w:line="500" w:lineRule="exac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4.中标人的投标文件自开标之日起至合同履行完毕止均应保持有效。</w:t>
      </w:r>
    </w:p>
    <w:p w14:paraId="667110FB">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67" w:name="_Toc16117"/>
      <w:bookmarkStart w:id="68" w:name="_Toc13386"/>
      <w:bookmarkStart w:id="69" w:name="_Toc521014783"/>
      <w:bookmarkStart w:id="70" w:name="_Toc503212215"/>
      <w:bookmarkStart w:id="71" w:name="_Toc22838"/>
      <w:r>
        <w:rPr>
          <w:rFonts w:hint="eastAsia" w:ascii="仿宋_GB2312" w:hAnsi="仿宋_GB2312" w:eastAsia="仿宋_GB2312" w:cs="仿宋_GB2312"/>
          <w:b/>
          <w:bCs/>
          <w:i w:val="0"/>
          <w:iCs w:val="0"/>
          <w:caps w:val="0"/>
          <w:color w:val="000000"/>
          <w:spacing w:val="0"/>
          <w:kern w:val="0"/>
          <w:sz w:val="26"/>
          <w:szCs w:val="26"/>
          <w:lang w:val="en-US" w:eastAsia="zh-CN" w:bidi="ar"/>
        </w:rPr>
        <w:t>（五）投标保证金</w:t>
      </w:r>
      <w:bookmarkEnd w:id="67"/>
      <w:bookmarkEnd w:id="68"/>
      <w:bookmarkEnd w:id="69"/>
      <w:bookmarkEnd w:id="70"/>
      <w:bookmarkEnd w:id="71"/>
    </w:p>
    <w:p w14:paraId="611ACBEF">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▲1.投标人须按规定提交投标保证金。否则，其投标将被拒绝。</w:t>
      </w:r>
    </w:p>
    <w:p w14:paraId="45B9C559">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2.保证金形式： 投标保证金可以支票、汇票、本票、或者金融机构、担保机构出具的保函等非现金形式提交。</w:t>
      </w:r>
    </w:p>
    <w:p w14:paraId="468C3702">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3.未中标人的投标保证金在公示期截止后退还。</w:t>
      </w:r>
    </w:p>
    <w:p w14:paraId="34844063">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4.中标人的投标保证金在中标通知书发出签订正式采购合同，履约保证金打到指定账户后退还。</w:t>
      </w:r>
    </w:p>
    <w:p w14:paraId="65C67C86">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5.保证金不计息。</w:t>
      </w:r>
    </w:p>
    <w:p w14:paraId="35DCB848">
      <w:pPr>
        <w:snapToGrid w:val="0"/>
        <w:spacing w:line="500" w:lineRule="exact"/>
        <w:ind w:firstLine="512" w:firstLineChars="196"/>
        <w:jc w:val="left"/>
        <w:rPr>
          <w:rFonts w:hint="eastAsia" w:ascii="仿宋" w:hAnsi="仿宋" w:eastAsia="仿宋" w:cs="仿宋"/>
          <w:b/>
          <w:bCs/>
          <w:sz w:val="26"/>
          <w:szCs w:val="26"/>
        </w:rPr>
      </w:pPr>
      <w:r>
        <w:rPr>
          <w:rFonts w:hint="eastAsia" w:ascii="仿宋" w:hAnsi="仿宋" w:eastAsia="仿宋" w:cs="仿宋"/>
          <w:b/>
          <w:bCs/>
          <w:sz w:val="26"/>
          <w:szCs w:val="26"/>
        </w:rPr>
        <w:t>6.投标人有下列情形之一的，投标保证金将不予退还：</w:t>
      </w:r>
    </w:p>
    <w:p w14:paraId="52034CF6">
      <w:pPr>
        <w:snapToGrid w:val="0"/>
        <w:spacing w:line="500" w:lineRule="exact"/>
        <w:ind w:firstLine="512" w:firstLineChars="196"/>
        <w:jc w:val="left"/>
        <w:rPr>
          <w:rFonts w:hint="eastAsia" w:ascii="仿宋" w:hAnsi="仿宋" w:eastAsia="仿宋" w:cs="仿宋"/>
          <w:b/>
          <w:bCs w:val="0"/>
          <w:sz w:val="26"/>
          <w:szCs w:val="26"/>
        </w:rPr>
      </w:pPr>
      <w:r>
        <w:rPr>
          <w:rFonts w:hint="eastAsia" w:ascii="仿宋" w:hAnsi="仿宋" w:eastAsia="仿宋" w:cs="仿宋"/>
          <w:b/>
          <w:bCs w:val="0"/>
          <w:sz w:val="26"/>
          <w:szCs w:val="26"/>
        </w:rPr>
        <w:t>（1）投标人在投标有效期内撤回投标文件的；</w:t>
      </w:r>
    </w:p>
    <w:p w14:paraId="019A7225">
      <w:pPr>
        <w:snapToGrid w:val="0"/>
        <w:spacing w:line="500" w:lineRule="exact"/>
        <w:ind w:firstLine="512" w:firstLineChars="196"/>
        <w:jc w:val="left"/>
        <w:rPr>
          <w:rFonts w:hint="eastAsia" w:ascii="仿宋" w:hAnsi="仿宋" w:eastAsia="仿宋" w:cs="仿宋"/>
          <w:b/>
          <w:bCs w:val="0"/>
          <w:sz w:val="26"/>
          <w:szCs w:val="26"/>
        </w:rPr>
      </w:pPr>
      <w:r>
        <w:rPr>
          <w:rFonts w:hint="eastAsia" w:ascii="仿宋" w:hAnsi="仿宋" w:eastAsia="仿宋" w:cs="仿宋"/>
          <w:b/>
          <w:bCs w:val="0"/>
          <w:sz w:val="26"/>
          <w:szCs w:val="26"/>
        </w:rPr>
        <w:t>（2）投标人在投标过程中弄虚作假，提供虚假材料的；</w:t>
      </w:r>
    </w:p>
    <w:p w14:paraId="092CBB42">
      <w:pPr>
        <w:snapToGrid w:val="0"/>
        <w:spacing w:line="500" w:lineRule="exact"/>
        <w:ind w:firstLine="512" w:firstLineChars="196"/>
        <w:rPr>
          <w:rFonts w:hint="eastAsia" w:ascii="仿宋" w:hAnsi="仿宋" w:eastAsia="仿宋" w:cs="仿宋"/>
          <w:b/>
          <w:bCs w:val="0"/>
          <w:sz w:val="26"/>
          <w:szCs w:val="26"/>
        </w:rPr>
      </w:pPr>
      <w:r>
        <w:rPr>
          <w:rFonts w:hint="eastAsia" w:ascii="仿宋" w:hAnsi="仿宋" w:eastAsia="仿宋" w:cs="仿宋"/>
          <w:b/>
          <w:bCs w:val="0"/>
          <w:sz w:val="26"/>
          <w:szCs w:val="26"/>
        </w:rPr>
        <w:t>（3）中标人无正当理由不与招标人签订合同的；</w:t>
      </w:r>
    </w:p>
    <w:p w14:paraId="430E22A8">
      <w:pPr>
        <w:snapToGrid w:val="0"/>
        <w:spacing w:line="500" w:lineRule="exact"/>
        <w:ind w:firstLine="522" w:firstLineChars="200"/>
        <w:rPr>
          <w:rFonts w:hint="eastAsia" w:ascii="仿宋" w:hAnsi="仿宋" w:eastAsia="仿宋" w:cs="仿宋"/>
          <w:b/>
          <w:bCs w:val="0"/>
          <w:sz w:val="26"/>
          <w:szCs w:val="26"/>
        </w:rPr>
      </w:pPr>
      <w:r>
        <w:rPr>
          <w:rFonts w:hint="eastAsia" w:ascii="仿宋" w:hAnsi="仿宋" w:eastAsia="仿宋" w:cs="仿宋"/>
          <w:b/>
          <w:bCs w:val="0"/>
          <w:sz w:val="26"/>
          <w:szCs w:val="26"/>
        </w:rPr>
        <w:t>（4）其他严重扰乱招投标程序的。</w:t>
      </w:r>
      <w:bookmarkStart w:id="72" w:name="_Toc4584"/>
      <w:bookmarkStart w:id="73" w:name="_Toc21003"/>
      <w:bookmarkStart w:id="74" w:name="_Toc503212216"/>
      <w:bookmarkStart w:id="75" w:name="_Toc521014784"/>
      <w:bookmarkStart w:id="76" w:name="_Toc25982"/>
    </w:p>
    <w:p w14:paraId="4ED4E7F2">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（六）投标文件的签署和份数</w:t>
      </w:r>
      <w:bookmarkEnd w:id="72"/>
      <w:bookmarkEnd w:id="73"/>
      <w:bookmarkEnd w:id="74"/>
      <w:bookmarkEnd w:id="75"/>
      <w:bookmarkEnd w:id="76"/>
    </w:p>
    <w:p w14:paraId="50E7640E">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（本项目为政采云不见面开评标，纸质版投标文件开标结束后提供）</w:t>
      </w:r>
    </w:p>
    <w:p w14:paraId="173C18E0">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人应按本招标文件规定的格式和顺序编制、装订投标文件并标注页码，投标文件内容不完整、编排混乱导致投标文件被误读、漏读或者查找不到相关内容的，是投标人的责任。投标文件应装订成册用死页胶装方式装订,装订应牢固、不易拆散和换页，不得采用活页装订。</w:t>
      </w:r>
    </w:p>
    <w:p w14:paraId="6CCDBF32">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投标人将投标文件1正2副本分别装订成册并密封，开标一览表1份（单独密封）投标文件电子版1份（单独密封）。</w:t>
      </w:r>
    </w:p>
    <w:p w14:paraId="17BB763B">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3.供应商应严格按照招标文件要求的份数准备投标文件，每份投标文件须在投标文件封面左上角清楚地标明“正本”或“副本”字样。一旦正本和副本不符，以正本为准。</w:t>
      </w:r>
    </w:p>
    <w:p w14:paraId="2B82F458">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4.投标文件具有法律效力,若投标文件与招标需求要求不一致，其内容影响成交结果时，责任由供应商自行承担。</w:t>
      </w:r>
    </w:p>
    <w:p w14:paraId="39C6B224">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5.为了保证投标文件的合法性、安全性和完整性，招标文件的正本和所有的副本均需打印，由供应商法定代表人或其授权代表逐页签字。授权代表须将 “法人授权书”（原件）附在招标文件中。</w:t>
      </w:r>
    </w:p>
    <w:p w14:paraId="22459B34">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6.除供应商对错处做必要修改外，投标文件不得行间插字、涂改或增删。如有修改错漏处，必须由投标文件签署人签字或盖章。</w:t>
      </w:r>
    </w:p>
    <w:p w14:paraId="526996C9">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7.电子标书应提供带签章的纸质版投标文件最终稿的PDF格式。</w:t>
      </w:r>
    </w:p>
    <w:p w14:paraId="2F4167AF">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77" w:name="_Toc15659"/>
      <w:bookmarkStart w:id="78" w:name="_Toc9280"/>
      <w:bookmarkStart w:id="79" w:name="_Toc521014785"/>
      <w:bookmarkStart w:id="80" w:name="_Toc503212217"/>
      <w:bookmarkStart w:id="81" w:name="_Toc28926"/>
      <w:r>
        <w:rPr>
          <w:rFonts w:hint="eastAsia" w:ascii="仿宋_GB2312" w:hAnsi="仿宋_GB2312" w:eastAsia="仿宋_GB2312" w:cs="仿宋_GB2312"/>
          <w:b/>
          <w:bCs/>
          <w:i w:val="0"/>
          <w:iCs w:val="0"/>
          <w:caps w:val="0"/>
          <w:color w:val="000000"/>
          <w:spacing w:val="0"/>
          <w:kern w:val="0"/>
          <w:sz w:val="26"/>
          <w:szCs w:val="26"/>
          <w:lang w:val="en-US" w:eastAsia="zh-CN" w:bidi="ar"/>
        </w:rPr>
        <w:t>（七）投标文件的包装、递交、修改和撤回</w:t>
      </w:r>
      <w:bookmarkEnd w:id="77"/>
      <w:bookmarkEnd w:id="78"/>
      <w:bookmarkEnd w:id="79"/>
      <w:bookmarkEnd w:id="80"/>
      <w:bookmarkEnd w:id="81"/>
    </w:p>
    <w:p w14:paraId="668EC446">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（本项目为政采云不见面开标，一切以政采云不见面系统为准）</w:t>
      </w:r>
    </w:p>
    <w:p w14:paraId="56260731">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1.投标人应将投标文件、报价明细表、投标文件电子版，按招标文件规定要求密封，所有投标文件信封上均应贴上封条,且加盖公章；封套上应写明：</w:t>
      </w:r>
    </w:p>
    <w:p w14:paraId="46F637B0">
      <w:pPr>
        <w:snapToGrid w:val="0"/>
        <w:spacing w:line="500" w:lineRule="exact"/>
        <w:ind w:firstLine="520" w:firstLineChars="2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项目名称、项目编号、投标人名称、年  月  日；并加盖单位公章。注明“开标前不准启封”等字样。</w:t>
      </w:r>
    </w:p>
    <w:p w14:paraId="37C62FA6">
      <w:pPr>
        <w:snapToGrid w:val="0"/>
        <w:spacing w:line="500" w:lineRule="exact"/>
        <w:ind w:firstLine="520" w:firstLineChars="200"/>
        <w:jc w:val="left"/>
        <w:rPr>
          <w:rFonts w:hint="eastAsia" w:ascii="仿宋" w:hAnsi="仿宋" w:eastAsia="仿宋" w:cs="仿宋"/>
          <w:sz w:val="26"/>
          <w:szCs w:val="26"/>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14:paraId="4353618D">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82" w:name="_Toc503212218"/>
      <w:bookmarkStart w:id="83" w:name="_Toc5328"/>
      <w:bookmarkStart w:id="84" w:name="_Toc521014786"/>
      <w:bookmarkStart w:id="85" w:name="_Toc6355"/>
      <w:bookmarkStart w:id="86" w:name="_Toc4197"/>
      <w:r>
        <w:rPr>
          <w:rFonts w:hint="eastAsia" w:ascii="仿宋_GB2312" w:hAnsi="仿宋_GB2312" w:eastAsia="仿宋_GB2312" w:cs="仿宋_GB2312"/>
          <w:b/>
          <w:bCs/>
          <w:i w:val="0"/>
          <w:iCs w:val="0"/>
          <w:caps w:val="0"/>
          <w:color w:val="000000"/>
          <w:spacing w:val="0"/>
          <w:kern w:val="0"/>
          <w:sz w:val="26"/>
          <w:szCs w:val="26"/>
          <w:lang w:val="en-US" w:eastAsia="zh-CN" w:bidi="ar"/>
        </w:rPr>
        <w:t>（八）投标无效、废标的情形</w:t>
      </w:r>
      <w:bookmarkEnd w:id="82"/>
      <w:bookmarkEnd w:id="83"/>
      <w:bookmarkEnd w:id="84"/>
      <w:bookmarkEnd w:id="85"/>
      <w:bookmarkEnd w:id="86"/>
    </w:p>
    <w:p w14:paraId="05BE5FA2">
      <w:pPr>
        <w:snapToGrid w:val="0"/>
        <w:spacing w:line="500" w:lineRule="exact"/>
        <w:ind w:firstLine="420"/>
        <w:jc w:val="left"/>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87" w:name="_Toc489694845"/>
      <w:bookmarkStart w:id="88" w:name="_Toc147"/>
      <w:bookmarkStart w:id="89" w:name="_Toc4106"/>
      <w:bookmarkStart w:id="90" w:name="_Toc18383"/>
      <w:bookmarkStart w:id="91" w:name="_Toc8983614"/>
      <w:bookmarkStart w:id="92" w:name="_Toc490155548"/>
      <w:bookmarkStart w:id="93" w:name="_Toc13224"/>
      <w:bookmarkStart w:id="94" w:name="_Toc4280"/>
      <w:r>
        <w:rPr>
          <w:rFonts w:hint="eastAsia" w:ascii="仿宋_GB2312" w:hAnsi="仿宋_GB2312" w:eastAsia="仿宋_GB2312" w:cs="仿宋_GB2312"/>
          <w:b/>
          <w:bCs/>
          <w:i w:val="0"/>
          <w:iCs w:val="0"/>
          <w:caps w:val="0"/>
          <w:color w:val="000000"/>
          <w:spacing w:val="0"/>
          <w:kern w:val="0"/>
          <w:sz w:val="26"/>
          <w:szCs w:val="26"/>
          <w:lang w:val="en-US" w:eastAsia="zh-CN" w:bidi="ar"/>
        </w:rPr>
        <w:t>1.无效投标条款</w:t>
      </w:r>
      <w:bookmarkEnd w:id="87"/>
      <w:bookmarkEnd w:id="88"/>
      <w:bookmarkEnd w:id="89"/>
      <w:bookmarkEnd w:id="90"/>
      <w:bookmarkEnd w:id="91"/>
      <w:bookmarkEnd w:id="92"/>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405A5895">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95" w:name="_Toc3014"/>
      <w:bookmarkStart w:id="96" w:name="_Toc489694846"/>
      <w:bookmarkStart w:id="97" w:name="_Toc8983615"/>
      <w:bookmarkStart w:id="98" w:name="_Toc490155549"/>
      <w:bookmarkStart w:id="99" w:name="_Toc24648"/>
      <w:bookmarkStart w:id="100" w:name="_Toc30360"/>
      <w:r>
        <w:rPr>
          <w:rFonts w:hint="eastAsia" w:ascii="仿宋_GB2312" w:hAnsi="仿宋_GB2312" w:eastAsia="仿宋_GB2312" w:cs="仿宋_GB2312"/>
          <w:b w:val="0"/>
          <w:bCs w:val="0"/>
          <w:i w:val="0"/>
          <w:iCs w:val="0"/>
          <w:caps w:val="0"/>
          <w:color w:val="000000"/>
          <w:spacing w:val="0"/>
          <w:kern w:val="0"/>
          <w:sz w:val="26"/>
          <w:szCs w:val="26"/>
          <w:lang w:val="en-US" w:eastAsia="zh-CN" w:bidi="ar"/>
        </w:rPr>
        <w:t>（1）未按照招标文件的规定提交投标保证金的；</w:t>
      </w:r>
    </w:p>
    <w:p w14:paraId="339836C5">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（2）投标文件未按招标文件要求签署、盖章的；</w:t>
      </w:r>
    </w:p>
    <w:p w14:paraId="0E4FC501">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（3）不具备招标文件中规定的资格要求的；</w:t>
      </w:r>
    </w:p>
    <w:p w14:paraId="02B0CBCD">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（4）报价超过招标文件中规定的预算金额或者最高限价的；</w:t>
      </w:r>
    </w:p>
    <w:p w14:paraId="3FBDE703">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（5）投标文件含有采购人不能接受的附加条件的;</w:t>
      </w:r>
    </w:p>
    <w:p w14:paraId="67D7D92C">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（6）法律、法规和招标文件规定的其他无效情形。</w:t>
      </w:r>
    </w:p>
    <w:p w14:paraId="31D25BCC">
      <w:pPr>
        <w:snapToGrid w:val="0"/>
        <w:spacing w:line="500" w:lineRule="exact"/>
        <w:ind w:firstLine="420"/>
        <w:jc w:val="left"/>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2.废标条款</w:t>
      </w:r>
      <w:bookmarkEnd w:id="95"/>
      <w:bookmarkEnd w:id="96"/>
      <w:bookmarkEnd w:id="97"/>
      <w:bookmarkEnd w:id="98"/>
      <w:bookmarkEnd w:id="99"/>
      <w:bookmarkEnd w:id="100"/>
    </w:p>
    <w:p w14:paraId="55AD0874">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（1）符合专业条件的投标人或者对招标文件作实质响应的投标人不足三家；</w:t>
      </w:r>
    </w:p>
    <w:p w14:paraId="66503421">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（2）出现影响采购公正的违法、违规行为的；</w:t>
      </w:r>
    </w:p>
    <w:p w14:paraId="6D74E381">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（3）投标人的报价均超过了采购预算，采购人不能支付的；</w:t>
      </w:r>
    </w:p>
    <w:p w14:paraId="6082ABCE">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（4）因重大变故，采购任务取消的。</w:t>
      </w:r>
    </w:p>
    <w:p w14:paraId="4BB4BA08">
      <w:pPr>
        <w:snapToGrid w:val="0"/>
        <w:spacing w:line="500" w:lineRule="exact"/>
        <w:ind w:firstLine="520" w:firstLineChars="200"/>
        <w:jc w:val="both"/>
        <w:rPr>
          <w:rFonts w:hint="eastAsia" w:ascii="仿宋" w:hAnsi="仿宋" w:eastAsia="仿宋" w:cs="仿宋"/>
          <w:sz w:val="26"/>
          <w:szCs w:val="26"/>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废标后，采购人应当将废标理由通知所有投标人。</w:t>
      </w:r>
    </w:p>
    <w:p w14:paraId="3DDDE6F6">
      <w:pPr>
        <w:snapToGrid w:val="0"/>
        <w:spacing w:line="500" w:lineRule="exact"/>
        <w:ind w:firstLine="420"/>
        <w:jc w:val="left"/>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01" w:name="_Toc490155550"/>
      <w:bookmarkStart w:id="102" w:name="_Toc8983616"/>
      <w:bookmarkStart w:id="103" w:name="_Toc19310"/>
      <w:bookmarkStart w:id="104" w:name="_Toc15294"/>
      <w:bookmarkStart w:id="105" w:name="_Toc26457"/>
      <w:bookmarkStart w:id="106" w:name="_Toc489694847"/>
      <w:r>
        <w:rPr>
          <w:rFonts w:hint="eastAsia" w:ascii="仿宋_GB2312" w:hAnsi="仿宋_GB2312" w:eastAsia="仿宋_GB2312" w:cs="仿宋_GB2312"/>
          <w:b/>
          <w:bCs/>
          <w:i w:val="0"/>
          <w:iCs w:val="0"/>
          <w:caps w:val="0"/>
          <w:color w:val="000000"/>
          <w:spacing w:val="0"/>
          <w:kern w:val="0"/>
          <w:sz w:val="26"/>
          <w:szCs w:val="26"/>
          <w:lang w:val="en-US" w:eastAsia="zh-CN" w:bidi="ar"/>
        </w:rPr>
        <w:t>3.投标人不足三家情形处理</w:t>
      </w:r>
      <w:bookmarkEnd w:id="101"/>
      <w:bookmarkEnd w:id="102"/>
      <w:bookmarkEnd w:id="103"/>
      <w:bookmarkEnd w:id="104"/>
      <w:bookmarkEnd w:id="105"/>
      <w:bookmarkEnd w:id="106"/>
    </w:p>
    <w:p w14:paraId="7DD23886">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如出现投标截止时间结束后参加的投标人不足三家的，采购单位应当报告财政部门，按照以下原则处理：</w:t>
      </w:r>
    </w:p>
    <w:p w14:paraId="60F711AB">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（1）招标文件存在不合理条款或者招标程序不符合规定的，采购人、采购代理机构改正后依法重新招标；</w:t>
      </w:r>
    </w:p>
    <w:p w14:paraId="6B8F4670">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（2）招标文件没有不合理条款、招标程序符合规定，需要采用其他采购人式采购的，采购人应当依法报财政部门批准。</w:t>
      </w:r>
    </w:p>
    <w:p w14:paraId="44ACD9A9">
      <w:pPr>
        <w:snapToGrid w:val="0"/>
        <w:spacing w:line="500" w:lineRule="exact"/>
        <w:ind w:firstLine="420"/>
        <w:jc w:val="left"/>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07" w:name="_Toc11755"/>
      <w:bookmarkStart w:id="108" w:name="_Toc489694848"/>
      <w:bookmarkStart w:id="109" w:name="_Toc8983617"/>
      <w:bookmarkStart w:id="110" w:name="_Toc5435"/>
      <w:bookmarkStart w:id="111" w:name="_Toc21037"/>
      <w:bookmarkStart w:id="112" w:name="_Toc490155551"/>
      <w:r>
        <w:rPr>
          <w:rFonts w:hint="eastAsia" w:ascii="仿宋_GB2312" w:hAnsi="仿宋_GB2312" w:eastAsia="仿宋_GB2312" w:cs="仿宋_GB2312"/>
          <w:b/>
          <w:bCs/>
          <w:i w:val="0"/>
          <w:iCs w:val="0"/>
          <w:caps w:val="0"/>
          <w:color w:val="000000"/>
          <w:spacing w:val="0"/>
          <w:kern w:val="0"/>
          <w:sz w:val="26"/>
          <w:szCs w:val="26"/>
          <w:lang w:val="en-US" w:eastAsia="zh-CN" w:bidi="ar"/>
        </w:rPr>
        <w:t>4.中标、成交无效条款</w:t>
      </w:r>
      <w:bookmarkEnd w:id="107"/>
      <w:bookmarkEnd w:id="108"/>
      <w:bookmarkEnd w:id="109"/>
      <w:bookmarkEnd w:id="110"/>
      <w:bookmarkEnd w:id="111"/>
      <w:bookmarkEnd w:id="112"/>
    </w:p>
    <w:p w14:paraId="523471B6">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（1）提供虚假材料谋取成交的；</w:t>
      </w:r>
    </w:p>
    <w:p w14:paraId="63D3CBC3">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（2）采取不正当手段诋毁、排挤其他投标人的；</w:t>
      </w:r>
    </w:p>
    <w:p w14:paraId="00E49EF9">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（3）与采购人、其他投标人或者采购代理机构恶意串通的；</w:t>
      </w:r>
    </w:p>
    <w:p w14:paraId="0CE8DAC5">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（4）向采购人、采购代理机构行贿或者提供其他不正当利益的；</w:t>
      </w:r>
    </w:p>
    <w:p w14:paraId="20DCBF62">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（5）在规定的时间内未与采购人签订采购合同的；</w:t>
      </w:r>
    </w:p>
    <w:p w14:paraId="5C991B2E">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（6）在招标采购过程中与采购人进行协商谈判的;</w:t>
      </w:r>
    </w:p>
    <w:p w14:paraId="1D0C7C91">
      <w:pPr>
        <w:snapToGrid w:val="0"/>
        <w:spacing w:line="500" w:lineRule="exact"/>
        <w:ind w:firstLine="520" w:firstLineChars="200"/>
        <w:jc w:val="both"/>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（7）法律、法规规定的其他情况。</w:t>
      </w:r>
    </w:p>
    <w:p w14:paraId="468E8A40">
      <w:pPr>
        <w:pStyle w:val="7"/>
        <w:numPr>
          <w:ilvl w:val="0"/>
          <w:numId w:val="0"/>
        </w:numPr>
        <w:spacing w:before="0" w:after="0" w:line="500" w:lineRule="exact"/>
        <w:ind w:left="-420" w:leftChars="0"/>
        <w:jc w:val="center"/>
        <w:rPr>
          <w:rFonts w:hint="default" w:ascii="仿宋_GB2312" w:hAnsi="仿宋_GB2312" w:eastAsia="仿宋_GB2312" w:cs="仿宋_GB2312"/>
          <w:b/>
          <w:bCs/>
          <w:i w:val="0"/>
          <w:iCs w:val="0"/>
          <w:caps w:val="0"/>
          <w:color w:val="000000"/>
          <w:spacing w:val="0"/>
          <w:kern w:val="0"/>
          <w:sz w:val="26"/>
          <w:szCs w:val="26"/>
          <w:lang w:val="en-US" w:eastAsia="zh-CN" w:bidi="ar"/>
        </w:rPr>
      </w:pPr>
      <w:bookmarkStart w:id="113" w:name="_Toc503212219"/>
      <w:bookmarkStart w:id="114" w:name="_Toc521014787"/>
      <w:bookmarkStart w:id="115" w:name="_Toc20547"/>
      <w:r>
        <w:rPr>
          <w:rFonts w:hint="eastAsia" w:ascii="仿宋_GB2312" w:hAnsi="仿宋_GB2312" w:eastAsia="仿宋_GB2312" w:cs="仿宋_GB2312"/>
          <w:b/>
          <w:bCs/>
          <w:i w:val="0"/>
          <w:iCs w:val="0"/>
          <w:caps w:val="0"/>
          <w:color w:val="000000"/>
          <w:spacing w:val="0"/>
          <w:kern w:val="0"/>
          <w:sz w:val="26"/>
          <w:szCs w:val="26"/>
          <w:lang w:val="en-US" w:eastAsia="zh-CN" w:bidi="ar"/>
        </w:rPr>
        <w:t>（九）开标</w:t>
      </w:r>
      <w:bookmarkEnd w:id="93"/>
      <w:bookmarkEnd w:id="94"/>
      <w:bookmarkEnd w:id="113"/>
      <w:bookmarkEnd w:id="114"/>
      <w:bookmarkEnd w:id="115"/>
      <w:r>
        <w:rPr>
          <w:rFonts w:hint="eastAsia" w:ascii="仿宋_GB2312" w:hAnsi="仿宋_GB2312" w:eastAsia="仿宋_GB2312" w:cs="仿宋_GB2312"/>
          <w:b/>
          <w:bCs/>
          <w:i w:val="0"/>
          <w:iCs w:val="0"/>
          <w:caps w:val="0"/>
          <w:color w:val="000000"/>
          <w:spacing w:val="0"/>
          <w:kern w:val="0"/>
          <w:sz w:val="26"/>
          <w:szCs w:val="26"/>
          <w:lang w:val="en-US" w:eastAsia="zh-CN" w:bidi="ar"/>
        </w:rPr>
        <w:t>、评标</w:t>
      </w:r>
    </w:p>
    <w:p w14:paraId="34B58DA1">
      <w:pPr>
        <w:pStyle w:val="15"/>
        <w:snapToGrid w:val="0"/>
        <w:spacing w:line="500" w:lineRule="exact"/>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（一）开标程序：</w:t>
      </w:r>
      <w:bookmarkStart w:id="116" w:name="_Toc28275"/>
    </w:p>
    <w:p w14:paraId="47A7A47E">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1.采购人按招标文件规定的时间、地点组织投标。采购单位代表及有关工作人员参加，政府采购监管部门视情况参与。</w:t>
      </w:r>
      <w:bookmarkStart w:id="117" w:name="_Hlk139879362"/>
    </w:p>
    <w:p w14:paraId="09D4C6F4">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2.经采购人委托，开标由采购代理机构主持。投标人应在30分钟内完成在线解密。</w:t>
      </w:r>
      <w:bookmarkEnd w:id="117"/>
    </w:p>
    <w:p w14:paraId="1FD3CCAD">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对各投标人报价进行唱标，投标文件中投标报价表内容与投标承诺书内容不一致的，以投标报价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60C3CA4">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4.开标结束后30分钟内完成“开标一览表”在线签章。完毕之后进入资格审查及评标环节。</w:t>
      </w:r>
    </w:p>
    <w:p w14:paraId="4DCFCCDB">
      <w:pPr>
        <w:pStyle w:val="15"/>
        <w:snapToGrid w:val="0"/>
        <w:spacing w:line="500" w:lineRule="exact"/>
        <w:ind w:firstLine="260" w:firstLineChars="100"/>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5.开标时，由采购代理机构辅助采购人对投标人进行资格审查，未通过资格审查的投标人，未通过资格审查的投标人不进入评标；进入评标的投标人不足3家的，不得评标。</w:t>
      </w:r>
      <w:r>
        <w:rPr>
          <w:rFonts w:hint="eastAsia" w:ascii="仿宋_GB2312" w:hAnsi="仿宋_GB2312" w:eastAsia="仿宋_GB2312" w:cs="仿宋_GB2312"/>
          <w:b/>
          <w:bCs/>
          <w:i w:val="0"/>
          <w:iCs w:val="0"/>
          <w:caps w:val="0"/>
          <w:color w:val="000000"/>
          <w:spacing w:val="0"/>
          <w:kern w:val="0"/>
          <w:sz w:val="26"/>
          <w:szCs w:val="26"/>
          <w:lang w:val="en-US" w:eastAsia="zh-CN" w:bidi="ar"/>
        </w:rPr>
        <w:t>本项目资格要求必须提供证件：</w:t>
      </w:r>
    </w:p>
    <w:p w14:paraId="7DCBC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（1）投标人须具备有效经年检合格的“三证合一”营业执照；</w:t>
      </w:r>
    </w:p>
    <w:p w14:paraId="4FF2E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（2）法定代表人、委托人的身份证明及授权委托书；</w:t>
      </w:r>
    </w:p>
    <w:p w14:paraId="3FDD74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（3）投标人需提供本单位依法缴纳投标截止时间前半年内任意连续近三个月社保缴纳证明单位缴费个人明细表（社保证明可含：社保缴费凭证、社保缴费证明、社保缴费汇总单、依法缴纳社保的完税证明）；</w:t>
      </w:r>
    </w:p>
    <w:p w14:paraId="72608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（4）投标人需提供2023年度第三方审计机构出具的财务审计报告(会计周期不满一年的提供近三个月银行出具的资信证明）和健全的财务会计制度；</w:t>
      </w:r>
    </w:p>
    <w:p w14:paraId="37F52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（5）投标人需提供税务部门出具投标截止时间前半年内任意连续近三个月缴纳税收的完税证明（需含增值税、印花税等税种；如当月无需缴税需提供税务机关出具的无欠税证明）；</w:t>
      </w:r>
    </w:p>
    <w:p w14:paraId="6047B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_GB2312" w:hAnsi="仿宋_GB2312" w:eastAsia="仿宋_GB2312" w:cs="仿宋_GB2312"/>
          <w:i w:val="0"/>
          <w:iCs w:val="0"/>
          <w:caps w:val="0"/>
          <w:color w:val="000000"/>
          <w:spacing w:val="0"/>
          <w:kern w:val="0"/>
          <w:sz w:val="28"/>
          <w:szCs w:val="28"/>
          <w:highlight w:val="green"/>
          <w:lang w:val="en-US" w:eastAsia="zh-CN" w:bidi="ar"/>
        </w:rPr>
      </w:pPr>
      <w:r>
        <w:rPr>
          <w:rFonts w:hint="eastAsia" w:ascii="仿宋" w:hAnsi="仿宋" w:eastAsia="仿宋" w:cs="仿宋"/>
          <w:i w:val="0"/>
          <w:iCs w:val="0"/>
          <w:caps w:val="0"/>
          <w:color w:val="000000"/>
          <w:spacing w:val="0"/>
          <w:kern w:val="0"/>
          <w:sz w:val="26"/>
          <w:szCs w:val="26"/>
          <w:lang w:val="en-US" w:eastAsia="zh-CN" w:bidi="ar"/>
        </w:rPr>
        <w:t>（6）凡拟参加本次招标项目的投标人，近三年内如在“信用中国（www.creditchina.gov.cn）”被列入失信被执行人、企业经营异常名录、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严重违法失信名单（黑名单）信息（尚在处罚期内的）；将拒绝其参与本次政府采购活动；提供上述网页查询截图并加盖公章，</w:t>
      </w:r>
      <w:r>
        <w:rPr>
          <w:rFonts w:hint="eastAsia" w:ascii="仿宋_GB2312" w:hAnsi="仿宋_GB2312" w:eastAsia="仿宋_GB2312" w:cs="仿宋_GB2312"/>
          <w:i w:val="0"/>
          <w:iCs w:val="0"/>
          <w:caps w:val="0"/>
          <w:color w:val="000000"/>
          <w:spacing w:val="0"/>
          <w:kern w:val="0"/>
          <w:sz w:val="26"/>
          <w:szCs w:val="26"/>
          <w:highlight w:val="green"/>
          <w:lang w:val="en-US" w:eastAsia="zh-CN" w:bidi="ar"/>
        </w:rPr>
        <w:t>查询日期必须为此项目公告发布至开标截止时间前一日内有效；</w:t>
      </w:r>
    </w:p>
    <w:p w14:paraId="0E8C3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（7）投标人提供针对本次项目《反商业贿赂承诺书》；</w:t>
      </w:r>
    </w:p>
    <w:p w14:paraId="03D3A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（8）参加政府采购活动前3年内在经营活动中没有重大违法记录的书面声明；</w:t>
      </w:r>
    </w:p>
    <w:p w14:paraId="636A4C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（9）投标人提供有效期内《食品经营许可证》或《食品流通许可证》或《食品生产许可证》；</w:t>
      </w:r>
    </w:p>
    <w:p w14:paraId="66C03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8"/>
          <w:szCs w:val="28"/>
          <w:lang w:val="en-US" w:eastAsia="zh-CN" w:bidi="ar"/>
        </w:rPr>
      </w:pPr>
      <w:r>
        <w:rPr>
          <w:rFonts w:hint="eastAsia" w:ascii="仿宋" w:hAnsi="仿宋" w:eastAsia="仿宋" w:cs="仿宋"/>
          <w:i w:val="0"/>
          <w:iCs w:val="0"/>
          <w:caps w:val="0"/>
          <w:color w:val="000000"/>
          <w:spacing w:val="0"/>
          <w:kern w:val="0"/>
          <w:sz w:val="26"/>
          <w:szCs w:val="26"/>
          <w:lang w:val="en-US" w:eastAsia="zh-CN" w:bidi="ar"/>
        </w:rPr>
        <w:t>（10）投标保证金有效凭证</w:t>
      </w:r>
      <w:r>
        <w:rPr>
          <w:rFonts w:hint="eastAsia" w:ascii="仿宋" w:hAnsi="仿宋" w:eastAsia="仿宋" w:cs="仿宋"/>
          <w:i w:val="0"/>
          <w:iCs w:val="0"/>
          <w:caps w:val="0"/>
          <w:color w:val="000000"/>
          <w:spacing w:val="0"/>
          <w:kern w:val="0"/>
          <w:sz w:val="28"/>
          <w:szCs w:val="28"/>
          <w:lang w:val="en-US" w:eastAsia="zh-CN" w:bidi="ar"/>
        </w:rPr>
        <w:t>；</w:t>
      </w:r>
    </w:p>
    <w:p w14:paraId="1C96D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20" w:firstLineChars="200"/>
        <w:jc w:val="both"/>
        <w:textAlignment w:val="auto"/>
        <w:rPr>
          <w:rFonts w:hint="eastAsia" w:ascii="仿宋" w:hAnsi="仿宋" w:eastAsia="仿宋" w:cs="仿宋"/>
          <w:i w:val="0"/>
          <w:iCs w:val="0"/>
          <w:caps w:val="0"/>
          <w:color w:val="000000"/>
          <w:spacing w:val="0"/>
          <w:kern w:val="0"/>
          <w:sz w:val="26"/>
          <w:szCs w:val="26"/>
          <w:lang w:val="en-US" w:eastAsia="zh-CN" w:bidi="ar"/>
        </w:rPr>
      </w:pPr>
      <w:r>
        <w:rPr>
          <w:rFonts w:hint="eastAsia" w:ascii="仿宋" w:hAnsi="仿宋" w:eastAsia="仿宋" w:cs="仿宋"/>
          <w:i w:val="0"/>
          <w:iCs w:val="0"/>
          <w:caps w:val="0"/>
          <w:color w:val="000000"/>
          <w:spacing w:val="0"/>
          <w:kern w:val="0"/>
          <w:sz w:val="26"/>
          <w:szCs w:val="26"/>
          <w:lang w:val="en-US" w:eastAsia="zh-CN" w:bidi="ar"/>
        </w:rPr>
        <w:t>(11)落实政府采购政策需满足的资格要求：本项目专门面向中小微企业采购，不再执行价格评审优惠政策。请根据要求单独上传《中小企业声明函》，格式以采购文件中要求为准。</w:t>
      </w:r>
    </w:p>
    <w:p w14:paraId="64AC8B19">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仿宋" w:hAnsi="仿宋" w:eastAsia="仿宋" w:cs="仿宋"/>
          <w:b w:val="0"/>
          <w:bCs w:val="0"/>
          <w:i w:val="0"/>
          <w:iCs w:val="0"/>
          <w:caps w:val="0"/>
          <w:color w:val="000000"/>
          <w:spacing w:val="0"/>
          <w:kern w:val="0"/>
          <w:sz w:val="28"/>
          <w:szCs w:val="28"/>
          <w:lang w:val="en-US" w:eastAsia="zh-CN" w:bidi="ar"/>
        </w:rPr>
      </w:pPr>
      <w:r>
        <w:rPr>
          <w:rFonts w:hint="eastAsia" w:ascii="仿宋" w:hAnsi="仿宋" w:eastAsia="仿宋" w:cs="仿宋"/>
          <w:b w:val="0"/>
          <w:bCs w:val="0"/>
          <w:i w:val="0"/>
          <w:iCs w:val="0"/>
          <w:caps w:val="0"/>
          <w:color w:val="000000"/>
          <w:spacing w:val="0"/>
          <w:kern w:val="0"/>
          <w:sz w:val="28"/>
          <w:szCs w:val="28"/>
          <w:lang w:val="en-US" w:eastAsia="zh-CN" w:bidi="ar"/>
        </w:rPr>
        <w:t>6.开标时，由监督人员对开标全过程进行监督评标和定标。</w:t>
      </w:r>
      <w:bookmarkEnd w:id="116"/>
      <w:bookmarkStart w:id="118" w:name="_Toc29773"/>
      <w:bookmarkStart w:id="119" w:name="_Toc12185"/>
      <w:bookmarkStart w:id="120" w:name="_Toc489694850"/>
      <w:bookmarkStart w:id="121" w:name="_Toc26675"/>
      <w:bookmarkStart w:id="122" w:name="_Toc490155553"/>
      <w:bookmarkStart w:id="123" w:name="_Toc8983619"/>
    </w:p>
    <w:p w14:paraId="60B0019A">
      <w:pPr>
        <w:keepNext w:val="0"/>
        <w:keepLines w:val="0"/>
        <w:pageBreakBefore w:val="0"/>
        <w:widowControl w:val="0"/>
        <w:kinsoku/>
        <w:wordWrap/>
        <w:overflowPunct/>
        <w:topLinePunct w:val="0"/>
        <w:autoSpaceDE/>
        <w:autoSpaceDN/>
        <w:bidi w:val="0"/>
        <w:adjustRightInd/>
        <w:snapToGrid/>
        <w:spacing w:line="360" w:lineRule="auto"/>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（二）评标委员会</w:t>
      </w:r>
      <w:bookmarkEnd w:id="118"/>
      <w:bookmarkEnd w:id="119"/>
      <w:bookmarkEnd w:id="120"/>
      <w:bookmarkEnd w:id="121"/>
      <w:bookmarkEnd w:id="122"/>
      <w:bookmarkEnd w:id="123"/>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1888FD90">
      <w:pPr>
        <w:pStyle w:val="15"/>
        <w:snapToGrid w:val="0"/>
        <w:spacing w:line="500" w:lineRule="exact"/>
        <w:ind w:firstLine="520" w:firstLineChars="2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招标采购单位根据本项目的特点，于开标前48小时，从政采云评审专家库中随机抽取组建评标委员会，其组员由1名采购人代表及有关技术、经济等方面的4名专家组成。评标委员会在监督人员的监督下独立完成评标工作，负责对投标文件进行评审、推荐中标候选人。</w:t>
      </w:r>
    </w:p>
    <w:p w14:paraId="6DD56979">
      <w:pPr>
        <w:pStyle w:val="15"/>
        <w:snapToGrid w:val="0"/>
        <w:spacing w:line="500" w:lineRule="exact"/>
        <w:ind w:firstLine="522" w:firstLineChars="200"/>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24" w:name="_Toc490155554"/>
      <w:bookmarkStart w:id="125" w:name="_Toc489694851"/>
      <w:bookmarkStart w:id="126" w:name="_Toc12278"/>
      <w:bookmarkStart w:id="127" w:name="_Toc8983620"/>
      <w:bookmarkStart w:id="128" w:name="_Toc18181"/>
      <w:bookmarkStart w:id="129" w:name="_Toc4724"/>
      <w:r>
        <w:rPr>
          <w:rFonts w:hint="eastAsia" w:ascii="仿宋_GB2312" w:hAnsi="仿宋_GB2312" w:eastAsia="仿宋_GB2312" w:cs="仿宋_GB2312"/>
          <w:b/>
          <w:bCs/>
          <w:i w:val="0"/>
          <w:iCs w:val="0"/>
          <w:caps w:val="0"/>
          <w:color w:val="000000"/>
          <w:spacing w:val="0"/>
          <w:kern w:val="0"/>
          <w:sz w:val="26"/>
          <w:szCs w:val="26"/>
          <w:lang w:val="en-US" w:eastAsia="zh-CN" w:bidi="ar"/>
        </w:rPr>
        <w:t>1、评标事务由评标委员会负责，并独立履行下列职责：</w:t>
      </w:r>
      <w:bookmarkEnd w:id="124"/>
      <w:bookmarkEnd w:id="125"/>
      <w:bookmarkEnd w:id="126"/>
      <w:bookmarkEnd w:id="127"/>
      <w:bookmarkEnd w:id="128"/>
      <w:bookmarkEnd w:id="129"/>
    </w:p>
    <w:p w14:paraId="3B5C87A8">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（1）审查、评价投标文件是否符合招标文件的商务、技术等实质性要求；</w:t>
      </w:r>
    </w:p>
    <w:p w14:paraId="506DAB80">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（2）要求投标人对投标文件有关事项作出澄清或者说明；</w:t>
      </w:r>
    </w:p>
    <w:p w14:paraId="3776101F">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（3）对投标文件进行比较和评价；</w:t>
      </w:r>
    </w:p>
    <w:p w14:paraId="40F283D4">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（4）确定中标候选人名单；</w:t>
      </w:r>
    </w:p>
    <w:p w14:paraId="32DB1A96">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（5）向采购人、采购代理机构或者有关部门报告评标中发现的违法行为。</w:t>
      </w:r>
    </w:p>
    <w:p w14:paraId="3AB62A11">
      <w:pPr>
        <w:pStyle w:val="15"/>
        <w:snapToGrid w:val="0"/>
        <w:spacing w:line="500" w:lineRule="exact"/>
        <w:ind w:firstLine="522" w:firstLineChars="200"/>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30" w:name="_Toc8983624"/>
      <w:bookmarkStart w:id="131" w:name="_Toc490155558"/>
      <w:bookmarkStart w:id="132" w:name="_Toc19411"/>
      <w:bookmarkStart w:id="133" w:name="_Toc11377"/>
      <w:bookmarkStart w:id="134" w:name="_Toc489694855"/>
      <w:bookmarkStart w:id="135" w:name="_Toc16997"/>
      <w:r>
        <w:rPr>
          <w:rFonts w:hint="eastAsia" w:ascii="仿宋_GB2312" w:hAnsi="仿宋_GB2312" w:eastAsia="仿宋_GB2312" w:cs="仿宋_GB2312"/>
          <w:b/>
          <w:bCs/>
          <w:i w:val="0"/>
          <w:iCs w:val="0"/>
          <w:caps w:val="0"/>
          <w:color w:val="000000"/>
          <w:spacing w:val="0"/>
          <w:kern w:val="0"/>
          <w:sz w:val="26"/>
          <w:szCs w:val="26"/>
          <w:lang w:val="en-US" w:eastAsia="zh-CN" w:bidi="ar"/>
        </w:rPr>
        <w:t>2、评标委员会成员的义务</w:t>
      </w:r>
      <w:bookmarkEnd w:id="130"/>
      <w:bookmarkEnd w:id="131"/>
      <w:bookmarkEnd w:id="132"/>
      <w:bookmarkEnd w:id="133"/>
      <w:bookmarkEnd w:id="134"/>
      <w:bookmarkEnd w:id="135"/>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0F0F1AE7">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（1）遵纪守法，客观、公正、廉洁地履行职责；</w:t>
      </w:r>
    </w:p>
    <w:p w14:paraId="13451ABB">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（2）按照招标文件规定的评标方法和标准进行评标，对评审意见承担个人责任；</w:t>
      </w:r>
    </w:p>
    <w:p w14:paraId="003906CE">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136" w:name="_Toc17202"/>
      <w:bookmarkStart w:id="137" w:name="_Toc6429"/>
      <w:bookmarkStart w:id="138" w:name="_Toc31699"/>
      <w:bookmarkStart w:id="139" w:name="_Toc8983625"/>
      <w:bookmarkStart w:id="140" w:name="_Toc489694856"/>
      <w:bookmarkStart w:id="141" w:name="_Toc490155559"/>
      <w:r>
        <w:rPr>
          <w:rFonts w:hint="eastAsia" w:ascii="仿宋_GB2312" w:hAnsi="仿宋_GB2312" w:eastAsia="仿宋_GB2312" w:cs="仿宋_GB2312"/>
          <w:b w:val="0"/>
          <w:bCs w:val="0"/>
          <w:i w:val="0"/>
          <w:iCs w:val="0"/>
          <w:caps w:val="0"/>
          <w:color w:val="000000"/>
          <w:spacing w:val="0"/>
          <w:kern w:val="0"/>
          <w:sz w:val="26"/>
          <w:szCs w:val="26"/>
          <w:lang w:val="en-US" w:eastAsia="zh-CN" w:bidi="ar"/>
        </w:rPr>
        <w:t>（3）对评标过程和结果，以及投标人的商业秘密保密；</w:t>
      </w:r>
      <w:bookmarkEnd w:id="136"/>
      <w:bookmarkEnd w:id="137"/>
      <w:bookmarkEnd w:id="138"/>
      <w:bookmarkEnd w:id="139"/>
      <w:bookmarkEnd w:id="140"/>
      <w:bookmarkEnd w:id="141"/>
    </w:p>
    <w:p w14:paraId="3CF2590C">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（4）参与评标报告的起草；</w:t>
      </w:r>
    </w:p>
    <w:p w14:paraId="6E393010">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（5）配合财政部门的投诉处理工作；</w:t>
      </w:r>
    </w:p>
    <w:p w14:paraId="28FCE3D0">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（6）配合采购单位答复投标人提出的质疑。</w:t>
      </w:r>
    </w:p>
    <w:p w14:paraId="152E05B7">
      <w:pPr>
        <w:pStyle w:val="15"/>
        <w:snapToGrid w:val="0"/>
        <w:spacing w:line="500" w:lineRule="exact"/>
        <w:ind w:firstLine="522" w:firstLineChars="200"/>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42" w:name="_Toc490155560"/>
      <w:bookmarkStart w:id="143" w:name="_Toc1754"/>
      <w:bookmarkStart w:id="144" w:name="_Toc15007"/>
      <w:bookmarkStart w:id="145" w:name="_Toc31075"/>
      <w:bookmarkStart w:id="146" w:name="_Toc489694857"/>
      <w:bookmarkStart w:id="147" w:name="_Toc8983626"/>
      <w:r>
        <w:rPr>
          <w:rFonts w:hint="eastAsia" w:ascii="仿宋_GB2312" w:hAnsi="仿宋_GB2312" w:eastAsia="仿宋_GB2312" w:cs="仿宋_GB2312"/>
          <w:b/>
          <w:bCs/>
          <w:i w:val="0"/>
          <w:iCs w:val="0"/>
          <w:caps w:val="0"/>
          <w:color w:val="000000"/>
          <w:spacing w:val="0"/>
          <w:kern w:val="0"/>
          <w:sz w:val="26"/>
          <w:szCs w:val="26"/>
          <w:lang w:val="en-US" w:eastAsia="zh-CN" w:bidi="ar"/>
        </w:rPr>
        <w:t>3、评标原则</w:t>
      </w:r>
      <w:bookmarkEnd w:id="142"/>
      <w:bookmarkEnd w:id="143"/>
      <w:bookmarkEnd w:id="144"/>
      <w:bookmarkEnd w:id="145"/>
      <w:bookmarkEnd w:id="146"/>
      <w:bookmarkEnd w:id="147"/>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2829F75A">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“公开、公平、公正、客观、择优”为评标的基本原则，评标委员会将根据这一原则，公正、平等地对待各投标人。</w:t>
      </w:r>
    </w:p>
    <w:p w14:paraId="72CC0D91">
      <w:pPr>
        <w:pStyle w:val="15"/>
        <w:snapToGrid w:val="0"/>
        <w:spacing w:line="500" w:lineRule="exact"/>
        <w:ind w:firstLine="522" w:firstLineChars="200"/>
        <w:rPr>
          <w:rFonts w:hint="eastAsia" w:ascii="仿宋" w:hAnsi="仿宋" w:eastAsia="仿宋" w:cs="仿宋"/>
          <w:b/>
          <w:bCs/>
          <w:sz w:val="26"/>
          <w:szCs w:val="26"/>
          <w:lang w:eastAsia="zh-CN"/>
        </w:rPr>
      </w:pPr>
      <w:bookmarkStart w:id="148" w:name="_Toc182"/>
      <w:bookmarkStart w:id="149" w:name="_Toc490155561"/>
      <w:bookmarkStart w:id="150" w:name="_Toc8983627"/>
      <w:bookmarkStart w:id="151" w:name="_Toc489694858"/>
      <w:bookmarkStart w:id="152" w:name="_Toc19537"/>
      <w:bookmarkStart w:id="153" w:name="_Toc22722"/>
      <w:r>
        <w:rPr>
          <w:rFonts w:hint="eastAsia" w:ascii="仿宋" w:hAnsi="仿宋" w:eastAsia="仿宋" w:cs="仿宋"/>
          <w:b/>
          <w:bCs/>
          <w:sz w:val="26"/>
          <w:szCs w:val="26"/>
        </w:rPr>
        <w:t>4</w:t>
      </w:r>
      <w:r>
        <w:rPr>
          <w:rFonts w:hint="eastAsia" w:ascii="仿宋_GB2312" w:hAnsi="仿宋_GB2312" w:eastAsia="仿宋_GB2312" w:cs="仿宋_GB2312"/>
          <w:b/>
          <w:bCs/>
          <w:i w:val="0"/>
          <w:iCs w:val="0"/>
          <w:caps w:val="0"/>
          <w:color w:val="000000"/>
          <w:spacing w:val="0"/>
          <w:kern w:val="0"/>
          <w:sz w:val="26"/>
          <w:szCs w:val="26"/>
          <w:lang w:val="en-US" w:eastAsia="zh-CN" w:bidi="ar"/>
        </w:rPr>
        <w:t>、评标程序</w:t>
      </w:r>
      <w:bookmarkEnd w:id="148"/>
      <w:bookmarkEnd w:id="149"/>
      <w:bookmarkEnd w:id="150"/>
      <w:bookmarkEnd w:id="151"/>
      <w:bookmarkEnd w:id="152"/>
      <w:bookmarkEnd w:id="153"/>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54B22711">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（1）评标会议由评标委员会组长主持。评标委员会首先对各投标文件进行符合性审查，未通过审查的为无效标。</w:t>
      </w:r>
    </w:p>
    <w:p w14:paraId="60EB2BF0">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（2）评标委员会判断“投标文件”的响应性，仅基于“投标文件”本身而不靠外部证据。对非实质性响应的投标文件，投标人不能通过修正或撤销不符之处，而使其成为实质性响应。</w:t>
      </w:r>
    </w:p>
    <w:p w14:paraId="44F4D594">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（3）评标委员会根据招标文件要求，讨论、通过评标工作流程和评标要点。</w:t>
      </w:r>
    </w:p>
    <w:p w14:paraId="07949D3A">
      <w:pPr>
        <w:pStyle w:val="15"/>
        <w:snapToGrid w:val="0"/>
        <w:spacing w:line="500" w:lineRule="exact"/>
        <w:ind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（4）围绕评标要点，评标委员会全体成员对有效投标人递交投标文件分别进行评标。</w:t>
      </w:r>
    </w:p>
    <w:p w14:paraId="20605649">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14:paraId="51BD31BE">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（6）根据国家计委等七部委颁发的《评标委员会和评标方法暂行规定》为重大偏离：</w:t>
      </w:r>
    </w:p>
    <w:p w14:paraId="3C0EFC2C">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（一）投标保证金的缴纳主体与投标人不一致的，没有按照招标文件要求提供投标担保，或者所提供的投标担保有瑕疵的；</w:t>
      </w:r>
    </w:p>
    <w:p w14:paraId="621E1C42">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（二）投标文件没有投标人法定代表人或其授权代表签字（章）和加盖公章的；</w:t>
      </w:r>
    </w:p>
    <w:p w14:paraId="0CA188A3">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（三）投标文件记载的招标项目完成期限超过招标文件规定的完成期限；</w:t>
      </w:r>
    </w:p>
    <w:p w14:paraId="4A9E0737">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（四）明显不符合技术规格和技术标准（技术规格、合同条款有偏离情况的）；</w:t>
      </w:r>
    </w:p>
    <w:p w14:paraId="145DED01">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（五）商务条款有偏离情况的；</w:t>
      </w:r>
    </w:p>
    <w:p w14:paraId="7C0A9BE5">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（六）投标附有招标人不能接受的条件；</w:t>
      </w:r>
    </w:p>
    <w:p w14:paraId="04EB65D4">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（七）不符合招标文件中规定的其他实质性要求。</w:t>
      </w:r>
    </w:p>
    <w:p w14:paraId="63A74724">
      <w:pPr>
        <w:pStyle w:val="15"/>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lang w:val="en-US" w:eastAsia="zh-CN"/>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（八) 投标报价不符合招标文件规定的要求。</w:t>
      </w:r>
    </w:p>
    <w:p w14:paraId="05F876B6">
      <w:pPr>
        <w:pStyle w:val="19"/>
        <w:keepNext w:val="0"/>
        <w:keepLines w:val="0"/>
        <w:pageBreakBefore w:val="0"/>
        <w:widowControl w:val="0"/>
        <w:numPr>
          <w:ilvl w:val="0"/>
          <w:numId w:val="0"/>
        </w:numPr>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14:paraId="07C64B8F">
      <w:pPr>
        <w:pStyle w:val="19"/>
        <w:keepNext w:val="0"/>
        <w:keepLines w:val="0"/>
        <w:pageBreakBefore w:val="0"/>
        <w:widowControl w:val="0"/>
        <w:numPr>
          <w:ilvl w:val="0"/>
          <w:numId w:val="0"/>
        </w:numPr>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（8）本项目</w:t>
      </w:r>
      <w:r>
        <w:rPr>
          <w:rFonts w:hint="eastAsia" w:ascii="仿宋_GB2312" w:hAnsi="仿宋_GB2312" w:eastAsia="仿宋_GB2312" w:cs="仿宋_GB2312"/>
          <w:b w:val="0"/>
          <w:bCs w:val="0"/>
          <w:i w:val="0"/>
          <w:iCs w:val="0"/>
          <w:caps w:val="0"/>
          <w:color w:val="auto"/>
          <w:spacing w:val="0"/>
          <w:kern w:val="0"/>
          <w:sz w:val="26"/>
          <w:szCs w:val="26"/>
          <w:lang w:val="en-US" w:eastAsia="zh-CN" w:bidi="ar"/>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7E512E1D">
      <w:pPr>
        <w:pStyle w:val="16"/>
        <w:keepNext w:val="0"/>
        <w:keepLines w:val="0"/>
        <w:pageBreakBefore w:val="0"/>
        <w:widowControl w:val="0"/>
        <w:kinsoku/>
        <w:wordWrap/>
        <w:overflowPunct/>
        <w:topLinePunct w:val="0"/>
        <w:autoSpaceDE/>
        <w:autoSpaceDN/>
        <w:bidi w:val="0"/>
        <w:adjustRightInd/>
        <w:snapToGrid w:val="0"/>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54" w:name="_Toc490155562"/>
      <w:bookmarkStart w:id="155" w:name="_Toc8983628"/>
      <w:r>
        <w:rPr>
          <w:rFonts w:hint="eastAsia" w:ascii="仿宋_GB2312" w:hAnsi="仿宋_GB2312" w:eastAsia="仿宋_GB2312" w:cs="仿宋_GB2312"/>
          <w:b/>
          <w:bCs/>
          <w:i w:val="0"/>
          <w:iCs w:val="0"/>
          <w:caps w:val="0"/>
          <w:color w:val="000000"/>
          <w:spacing w:val="0"/>
          <w:kern w:val="0"/>
          <w:sz w:val="26"/>
          <w:szCs w:val="26"/>
          <w:lang w:val="en-US" w:eastAsia="zh-CN" w:bidi="ar"/>
        </w:rPr>
        <w:t>5.中标人</w:t>
      </w:r>
      <w:bookmarkEnd w:id="154"/>
      <w:bookmarkEnd w:id="155"/>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6E729188">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评标委员会统一签署评标汇总表，并按最大程度满足招标文件各项综合评价标准为中标人的原则，推荐中标候选人。得分相同的，以报价低的中标候选人优先。</w:t>
      </w:r>
      <w:bookmarkStart w:id="156" w:name="_Toc213839741"/>
      <w:bookmarkStart w:id="157" w:name="_Toc5998"/>
      <w:bookmarkStart w:id="158" w:name="_Toc489694860"/>
      <w:bookmarkStart w:id="159" w:name="_Toc231"/>
      <w:bookmarkStart w:id="160" w:name="_Toc23278"/>
    </w:p>
    <w:p w14:paraId="163836FD">
      <w:pPr>
        <w:pStyle w:val="16"/>
        <w:keepNext w:val="0"/>
        <w:keepLines w:val="0"/>
        <w:pageBreakBefore w:val="0"/>
        <w:widowControl w:val="0"/>
        <w:kinsoku/>
        <w:wordWrap/>
        <w:overflowPunct/>
        <w:topLinePunct w:val="0"/>
        <w:autoSpaceDE/>
        <w:autoSpaceDN/>
        <w:bidi w:val="0"/>
        <w:adjustRightInd/>
        <w:snapToGrid w:val="0"/>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61" w:name="_Toc8983629"/>
      <w:bookmarkStart w:id="162" w:name="_Toc490155563"/>
      <w:r>
        <w:rPr>
          <w:rFonts w:hint="eastAsia" w:ascii="仿宋_GB2312" w:hAnsi="仿宋_GB2312" w:eastAsia="仿宋_GB2312" w:cs="仿宋_GB2312"/>
          <w:b/>
          <w:bCs/>
          <w:i w:val="0"/>
          <w:iCs w:val="0"/>
          <w:caps w:val="0"/>
          <w:color w:val="000000"/>
          <w:spacing w:val="0"/>
          <w:kern w:val="0"/>
          <w:sz w:val="26"/>
          <w:szCs w:val="26"/>
          <w:lang w:val="en-US" w:eastAsia="zh-CN" w:bidi="ar"/>
        </w:rPr>
        <w:t>6.评标过程</w:t>
      </w:r>
      <w:bookmarkEnd w:id="156"/>
      <w:r>
        <w:rPr>
          <w:rFonts w:hint="eastAsia" w:ascii="仿宋_GB2312" w:hAnsi="仿宋_GB2312" w:eastAsia="仿宋_GB2312" w:cs="仿宋_GB2312"/>
          <w:b/>
          <w:bCs/>
          <w:i w:val="0"/>
          <w:iCs w:val="0"/>
          <w:caps w:val="0"/>
          <w:color w:val="000000"/>
          <w:spacing w:val="0"/>
          <w:kern w:val="0"/>
          <w:sz w:val="26"/>
          <w:szCs w:val="26"/>
          <w:lang w:val="en-US" w:eastAsia="zh-CN" w:bidi="ar"/>
        </w:rPr>
        <w:t>保密</w:t>
      </w:r>
      <w:bookmarkEnd w:id="157"/>
      <w:bookmarkEnd w:id="158"/>
      <w:bookmarkEnd w:id="159"/>
      <w:bookmarkEnd w:id="160"/>
      <w:bookmarkEnd w:id="161"/>
      <w:bookmarkEnd w:id="162"/>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3503CCCD">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在评标过程中和评标结束后，凡属于审查、澄清、评价、比较招标文件等有关信息，评标委员会的研究情况和所有投标人的商业秘密都属于保密内容相关当事人均不得泄露给任何投标人或与评标工作无关的人员。</w:t>
      </w:r>
    </w:p>
    <w:p w14:paraId="1B5CE44A">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（2）投标人不得探听上述信息，不得以任何行为影响评标过程。</w:t>
      </w:r>
    </w:p>
    <w:p w14:paraId="22630D7F">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14:paraId="11A075E8">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（4）采购人和评标委员会不向未成交的投标人解释未成交原因，也不对评标过程中的细节问题进行公布。</w:t>
      </w:r>
    </w:p>
    <w:p w14:paraId="627FA02D">
      <w:pPr>
        <w:pStyle w:val="16"/>
        <w:keepNext w:val="0"/>
        <w:keepLines w:val="0"/>
        <w:pageBreakBefore w:val="0"/>
        <w:widowControl w:val="0"/>
        <w:kinsoku/>
        <w:wordWrap/>
        <w:overflowPunct/>
        <w:topLinePunct w:val="0"/>
        <w:autoSpaceDE/>
        <w:autoSpaceDN/>
        <w:bidi w:val="0"/>
        <w:adjustRightInd/>
        <w:snapToGrid w:val="0"/>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63" w:name="_Toc489694861"/>
      <w:bookmarkStart w:id="164" w:name="_Toc490155564"/>
      <w:bookmarkStart w:id="165" w:name="_Toc8361"/>
      <w:bookmarkStart w:id="166" w:name="_Toc21319"/>
      <w:bookmarkStart w:id="167" w:name="_Toc19075"/>
      <w:bookmarkStart w:id="168" w:name="_Toc8983630"/>
      <w:r>
        <w:rPr>
          <w:rFonts w:hint="eastAsia" w:ascii="仿宋_GB2312" w:hAnsi="仿宋_GB2312" w:eastAsia="仿宋_GB2312" w:cs="仿宋_GB2312"/>
          <w:b/>
          <w:bCs/>
          <w:i w:val="0"/>
          <w:iCs w:val="0"/>
          <w:caps w:val="0"/>
          <w:color w:val="000000"/>
          <w:spacing w:val="0"/>
          <w:kern w:val="0"/>
          <w:sz w:val="26"/>
          <w:szCs w:val="26"/>
          <w:lang w:val="en-US" w:eastAsia="zh-CN" w:bidi="ar"/>
        </w:rPr>
        <w:t>7.投标人有下列情形之一的，视为无效投标</w:t>
      </w:r>
      <w:bookmarkEnd w:id="163"/>
      <w:bookmarkEnd w:id="164"/>
      <w:bookmarkEnd w:id="165"/>
      <w:bookmarkEnd w:id="166"/>
      <w:bookmarkEnd w:id="167"/>
      <w:bookmarkEnd w:id="168"/>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41F8C510">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（1）投标文件所投标段中的应标范围小于本文件对应标段要求的采购范围；</w:t>
      </w:r>
    </w:p>
    <w:p w14:paraId="427224AF">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（2）投标文件与事实不符的；</w:t>
      </w:r>
    </w:p>
    <w:p w14:paraId="6CFD343A">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（3）经评标委员会一致认定为重大偏离的；</w:t>
      </w:r>
    </w:p>
    <w:p w14:paraId="5885B8C8">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（4）不符合本文件中规定的其他实质性要求的；</w:t>
      </w:r>
    </w:p>
    <w:p w14:paraId="3ED1632F">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（5）不符合法律、法规有关规定的。</w:t>
      </w:r>
    </w:p>
    <w:p w14:paraId="021B4F6A">
      <w:pPr>
        <w:pStyle w:val="16"/>
        <w:keepNext w:val="0"/>
        <w:keepLines w:val="0"/>
        <w:pageBreakBefore w:val="0"/>
        <w:widowControl w:val="0"/>
        <w:kinsoku/>
        <w:wordWrap/>
        <w:overflowPunct/>
        <w:topLinePunct w:val="0"/>
        <w:autoSpaceDE/>
        <w:autoSpaceDN/>
        <w:bidi w:val="0"/>
        <w:adjustRightInd/>
        <w:snapToGrid w:val="0"/>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69" w:name="_Toc29065"/>
      <w:bookmarkStart w:id="170" w:name="_Toc19492"/>
      <w:bookmarkStart w:id="171" w:name="_Toc490155565"/>
      <w:bookmarkStart w:id="172" w:name="_Toc8983631"/>
      <w:bookmarkStart w:id="173" w:name="_Toc23164"/>
      <w:bookmarkStart w:id="174" w:name="_Toc489694862"/>
      <w:r>
        <w:rPr>
          <w:rFonts w:hint="eastAsia" w:ascii="仿宋_GB2312" w:hAnsi="仿宋_GB2312" w:eastAsia="仿宋_GB2312" w:cs="仿宋_GB2312"/>
          <w:b/>
          <w:bCs/>
          <w:i w:val="0"/>
          <w:iCs w:val="0"/>
          <w:caps w:val="0"/>
          <w:color w:val="000000"/>
          <w:spacing w:val="0"/>
          <w:kern w:val="0"/>
          <w:sz w:val="26"/>
          <w:szCs w:val="26"/>
          <w:lang w:val="en-US" w:eastAsia="zh-CN" w:bidi="ar"/>
        </w:rPr>
        <w:t>8.出现下列情形之一的，本项目作废标处理，除采购任务取消外，重新组织采购</w:t>
      </w:r>
      <w:bookmarkEnd w:id="169"/>
      <w:bookmarkEnd w:id="170"/>
      <w:bookmarkEnd w:id="171"/>
      <w:bookmarkEnd w:id="172"/>
      <w:bookmarkEnd w:id="173"/>
      <w:bookmarkEnd w:id="174"/>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440F5778">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（1）本文件存在不合理条款，公告时间及程序不符合规定的；</w:t>
      </w:r>
    </w:p>
    <w:p w14:paraId="09CFD34F">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（2）出现影响采购公正的违法、违规行为的；</w:t>
      </w:r>
    </w:p>
    <w:p w14:paraId="199ED261">
      <w:pPr>
        <w:pStyle w:val="16"/>
        <w:keepNext w:val="0"/>
        <w:keepLines w:val="0"/>
        <w:pageBreakBefore w:val="0"/>
        <w:widowControl w:val="0"/>
        <w:kinsoku/>
        <w:wordWrap/>
        <w:overflowPunct/>
        <w:topLinePunct w:val="0"/>
        <w:autoSpaceDE/>
        <w:autoSpaceDN/>
        <w:bidi w:val="0"/>
        <w:adjustRightInd/>
        <w:snapToGrid w:val="0"/>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（3）因重大变故，采购任务取消的。</w:t>
      </w:r>
    </w:p>
    <w:p w14:paraId="64039AB2">
      <w:pPr>
        <w:pStyle w:val="16"/>
        <w:keepNext w:val="0"/>
        <w:keepLines w:val="0"/>
        <w:pageBreakBefore w:val="0"/>
        <w:widowControl w:val="0"/>
        <w:kinsoku/>
        <w:wordWrap/>
        <w:overflowPunct/>
        <w:topLinePunct w:val="0"/>
        <w:autoSpaceDE/>
        <w:autoSpaceDN/>
        <w:bidi w:val="0"/>
        <w:adjustRightInd/>
        <w:snapToGrid w:val="0"/>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75" w:name="_Toc490155566"/>
      <w:bookmarkStart w:id="176" w:name="_Toc229"/>
      <w:bookmarkStart w:id="177" w:name="_Toc8983632"/>
      <w:bookmarkStart w:id="178" w:name="_Toc30155"/>
      <w:bookmarkStart w:id="179" w:name="_Toc30501"/>
      <w:bookmarkStart w:id="180" w:name="_Toc489694863"/>
      <w:r>
        <w:rPr>
          <w:rFonts w:hint="eastAsia" w:ascii="仿宋_GB2312" w:hAnsi="仿宋_GB2312" w:eastAsia="仿宋_GB2312" w:cs="仿宋_GB2312"/>
          <w:b/>
          <w:bCs/>
          <w:i w:val="0"/>
          <w:iCs w:val="0"/>
          <w:caps w:val="0"/>
          <w:color w:val="000000"/>
          <w:spacing w:val="0"/>
          <w:kern w:val="0"/>
          <w:sz w:val="26"/>
          <w:szCs w:val="26"/>
          <w:lang w:val="en-US" w:eastAsia="zh-CN" w:bidi="ar"/>
        </w:rPr>
        <w:t>9.评标办法</w:t>
      </w:r>
      <w:bookmarkEnd w:id="175"/>
      <w:bookmarkEnd w:id="176"/>
      <w:bookmarkEnd w:id="177"/>
      <w:bookmarkEnd w:id="178"/>
      <w:bookmarkEnd w:id="179"/>
      <w:bookmarkEnd w:id="180"/>
      <w:r>
        <w:rPr>
          <w:rFonts w:hint="eastAsia" w:ascii="仿宋_GB2312" w:hAnsi="仿宋_GB2312" w:eastAsia="仿宋_GB2312" w:cs="仿宋_GB2312"/>
          <w:b/>
          <w:bCs/>
          <w:i w:val="0"/>
          <w:iCs w:val="0"/>
          <w:caps w:val="0"/>
          <w:color w:val="000000"/>
          <w:spacing w:val="0"/>
          <w:kern w:val="0"/>
          <w:sz w:val="26"/>
          <w:szCs w:val="26"/>
          <w:lang w:val="en-US" w:eastAsia="zh-CN" w:bidi="ar"/>
        </w:rPr>
        <w:t>：</w:t>
      </w:r>
    </w:p>
    <w:p w14:paraId="273D3260">
      <w:pPr>
        <w:pStyle w:val="16"/>
        <w:keepNext w:val="0"/>
        <w:keepLines w:val="0"/>
        <w:pageBreakBefore w:val="0"/>
        <w:widowControl w:val="0"/>
        <w:numPr>
          <w:ilvl w:val="0"/>
          <w:numId w:val="8"/>
        </w:numPr>
        <w:kinsoku/>
        <w:wordWrap/>
        <w:overflowPunct/>
        <w:topLinePunct w:val="0"/>
        <w:autoSpaceDE/>
        <w:autoSpaceDN/>
        <w:bidi w:val="0"/>
        <w:adjustRightInd/>
        <w:snapToGrid w:val="0"/>
        <w:spacing w:line="500" w:lineRule="exact"/>
        <w:ind w:left="-50" w:leftChars="0" w:firstLine="260" w:firstLineChars="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本项目采用</w:t>
      </w:r>
      <w:r>
        <w:rPr>
          <w:rFonts w:hint="eastAsia" w:ascii="仿宋_GB2312" w:hAnsi="仿宋_GB2312" w:eastAsia="仿宋_GB2312" w:cs="仿宋_GB2312"/>
          <w:b/>
          <w:bCs/>
          <w:i w:val="0"/>
          <w:iCs w:val="0"/>
          <w:caps w:val="0"/>
          <w:color w:val="000000"/>
          <w:spacing w:val="0"/>
          <w:kern w:val="0"/>
          <w:sz w:val="26"/>
          <w:szCs w:val="26"/>
          <w:u w:val="single"/>
          <w:lang w:val="en-US" w:eastAsia="zh-CN" w:bidi="ar"/>
        </w:rPr>
        <w:t>综合评分法</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，投标文件满足招标文件全部实质性要求，且按照评审因素的量化指标评审得分最高的投标人为中标候选人的评标方法。</w:t>
      </w:r>
    </w:p>
    <w:p w14:paraId="0C8CA59B">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（十）成交及合同签订</w:t>
      </w:r>
    </w:p>
    <w:p w14:paraId="7872E731">
      <w:pPr>
        <w:ind w:firstLine="261" w:firstLineChars="100"/>
        <w:jc w:val="left"/>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81" w:name="_Toc490155596"/>
      <w:bookmarkStart w:id="182" w:name="_Toc24108"/>
      <w:bookmarkStart w:id="183" w:name="_Toc31101"/>
      <w:bookmarkStart w:id="184" w:name="_Toc489694893"/>
      <w:bookmarkStart w:id="185" w:name="_Toc4233"/>
      <w:bookmarkStart w:id="186" w:name="_Toc8983656"/>
      <w:r>
        <w:rPr>
          <w:rFonts w:hint="eastAsia" w:ascii="仿宋_GB2312" w:hAnsi="仿宋_GB2312" w:eastAsia="仿宋_GB2312" w:cs="仿宋_GB2312"/>
          <w:b/>
          <w:bCs/>
          <w:i w:val="0"/>
          <w:iCs w:val="0"/>
          <w:caps w:val="0"/>
          <w:color w:val="000000"/>
          <w:spacing w:val="0"/>
          <w:kern w:val="0"/>
          <w:sz w:val="26"/>
          <w:szCs w:val="26"/>
          <w:lang w:val="en-US" w:eastAsia="zh-CN" w:bidi="ar"/>
        </w:rPr>
        <w:t>1.中标人</w:t>
      </w:r>
      <w:bookmarkEnd w:id="181"/>
      <w:bookmarkEnd w:id="182"/>
      <w:bookmarkEnd w:id="183"/>
      <w:bookmarkEnd w:id="184"/>
      <w:bookmarkEnd w:id="185"/>
      <w:bookmarkEnd w:id="186"/>
    </w:p>
    <w:p w14:paraId="2648E4AE">
      <w:pPr>
        <w:ind w:firstLine="260" w:firstLineChars="100"/>
        <w:jc w:val="left"/>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采购代理机构应当在评标结束后2个工作日内将评标报告送采购人。</w:t>
      </w:r>
    </w:p>
    <w:p w14:paraId="3CFE938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采购人应当自收到评标报告之日起５个工作日内，在评标报告确定的中标候选人名单中按顺序确定中标人。中标候选人并列的，由采购人或者采购人委托评标委员会按照招标文件规定的方式确定中标人；</w:t>
      </w:r>
    </w:p>
    <w:p w14:paraId="2EE3053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招标文件未规定的，采取随机抽取的方式确定。</w:t>
      </w:r>
    </w:p>
    <w:p w14:paraId="028E84E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采购人自行组织招标的，应当在评标结束后5个工作日内确定中标人。</w:t>
      </w:r>
    </w:p>
    <w:p w14:paraId="1718643F">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采购人在收到评标报告5个工作日内未按评标报告推荐的中标候选人顺序确定中标人，又不能说明合法理由的，视同按评标报告推荐的顺序确定排名第一的中标候选人为中标人。</w:t>
      </w:r>
    </w:p>
    <w:p w14:paraId="6D7BF7A6">
      <w:pPr>
        <w:keepNext w:val="0"/>
        <w:keepLines w:val="0"/>
        <w:pageBreakBefore w:val="0"/>
        <w:widowControl w:val="0"/>
        <w:kinsoku/>
        <w:wordWrap/>
        <w:overflowPunct/>
        <w:topLinePunct w:val="0"/>
        <w:autoSpaceDE/>
        <w:autoSpaceDN/>
        <w:bidi w:val="0"/>
        <w:adjustRightInd/>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87" w:name="_Toc11718"/>
      <w:bookmarkStart w:id="188" w:name="_Toc489694894"/>
      <w:bookmarkStart w:id="189" w:name="_Toc3696"/>
      <w:bookmarkStart w:id="190" w:name="_Toc8983657"/>
      <w:bookmarkStart w:id="191" w:name="_Toc490155597"/>
      <w:bookmarkStart w:id="192" w:name="_Toc3926"/>
      <w:r>
        <w:rPr>
          <w:rFonts w:hint="eastAsia" w:ascii="仿宋_GB2312" w:hAnsi="仿宋_GB2312" w:eastAsia="仿宋_GB2312" w:cs="仿宋_GB2312"/>
          <w:b/>
          <w:bCs/>
          <w:i w:val="0"/>
          <w:iCs w:val="0"/>
          <w:caps w:val="0"/>
          <w:color w:val="000000"/>
          <w:spacing w:val="0"/>
          <w:kern w:val="0"/>
          <w:sz w:val="26"/>
          <w:szCs w:val="26"/>
          <w:lang w:val="en-US" w:eastAsia="zh-CN" w:bidi="ar"/>
        </w:rPr>
        <w:t>2.</w:t>
      </w:r>
      <w:bookmarkEnd w:id="187"/>
      <w:bookmarkEnd w:id="188"/>
      <w:bookmarkEnd w:id="189"/>
      <w:bookmarkEnd w:id="190"/>
      <w:bookmarkEnd w:id="191"/>
      <w:bookmarkEnd w:id="192"/>
      <w:r>
        <w:rPr>
          <w:rFonts w:hint="eastAsia" w:ascii="仿宋_GB2312" w:hAnsi="仿宋_GB2312" w:eastAsia="仿宋_GB2312" w:cs="仿宋_GB2312"/>
          <w:b/>
          <w:bCs/>
          <w:i w:val="0"/>
          <w:iCs w:val="0"/>
          <w:caps w:val="0"/>
          <w:color w:val="000000"/>
          <w:spacing w:val="0"/>
          <w:kern w:val="0"/>
          <w:sz w:val="26"/>
          <w:szCs w:val="26"/>
          <w:lang w:val="en-US" w:eastAsia="zh-CN" w:bidi="ar"/>
        </w:rPr>
        <w:t>履行合同能力审查</w:t>
      </w:r>
    </w:p>
    <w:p w14:paraId="057558C7">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14:paraId="58A96DD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（2）采购人若发现中标候选人在投标过程中提供虚假证明文件，故意隐瞒公司不良信誉和财务状况，以及存在可能对合同圆满履行造成风险的其他因素等，则按规定取消其成交资格，监管部门依法进行处理。</w:t>
      </w:r>
    </w:p>
    <w:p w14:paraId="58B6F85D">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（3）如果中标候选人被确认为不具备执行合同的能力，采购人将考虑按同样的程序审查下一个中标候选人。</w:t>
      </w:r>
    </w:p>
    <w:p w14:paraId="63D6B841">
      <w:pPr>
        <w:keepNext w:val="0"/>
        <w:keepLines w:val="0"/>
        <w:pageBreakBefore w:val="0"/>
        <w:widowControl w:val="0"/>
        <w:kinsoku/>
        <w:wordWrap/>
        <w:overflowPunct/>
        <w:topLinePunct w:val="0"/>
        <w:autoSpaceDE/>
        <w:autoSpaceDN/>
        <w:bidi w:val="0"/>
        <w:adjustRightInd/>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193" w:name="_Toc490155598"/>
      <w:bookmarkStart w:id="194" w:name="_Toc8983658"/>
      <w:bookmarkStart w:id="195" w:name="_Toc7149"/>
      <w:bookmarkStart w:id="196" w:name="_Toc489694895"/>
      <w:bookmarkStart w:id="197" w:name="_Toc16618"/>
      <w:bookmarkStart w:id="198" w:name="_Toc12865"/>
      <w:r>
        <w:rPr>
          <w:rFonts w:hint="eastAsia" w:ascii="仿宋_GB2312" w:hAnsi="仿宋_GB2312" w:eastAsia="仿宋_GB2312" w:cs="仿宋_GB2312"/>
          <w:b/>
          <w:bCs/>
          <w:i w:val="0"/>
          <w:iCs w:val="0"/>
          <w:caps w:val="0"/>
          <w:color w:val="000000"/>
          <w:spacing w:val="0"/>
          <w:kern w:val="0"/>
          <w:sz w:val="26"/>
          <w:szCs w:val="26"/>
          <w:lang w:val="en-US" w:eastAsia="zh-CN" w:bidi="ar"/>
        </w:rPr>
        <w:t>3.中标通知书</w:t>
      </w:r>
      <w:bookmarkEnd w:id="193"/>
      <w:bookmarkEnd w:id="194"/>
      <w:bookmarkEnd w:id="195"/>
      <w:bookmarkEnd w:id="196"/>
      <w:bookmarkEnd w:id="197"/>
      <w:bookmarkEnd w:id="198"/>
    </w:p>
    <w:p w14:paraId="37F25143">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199" w:name="_Toc22669"/>
      <w:bookmarkStart w:id="200" w:name="_Toc489694896"/>
      <w:bookmarkStart w:id="201" w:name="_Toc20838"/>
      <w:bookmarkStart w:id="202" w:name="_Toc19456"/>
      <w:bookmarkStart w:id="203" w:name="_Toc490155599"/>
      <w:r>
        <w:rPr>
          <w:rFonts w:hint="eastAsia" w:ascii="仿宋_GB2312" w:hAnsi="仿宋_GB2312" w:eastAsia="仿宋_GB2312" w:cs="仿宋_GB2312"/>
          <w:b w:val="0"/>
          <w:bCs w:val="0"/>
          <w:i w:val="0"/>
          <w:iCs w:val="0"/>
          <w:caps w:val="0"/>
          <w:color w:val="000000"/>
          <w:spacing w:val="0"/>
          <w:kern w:val="0"/>
          <w:sz w:val="26"/>
          <w:szCs w:val="26"/>
          <w:lang w:val="en-US" w:eastAsia="zh-CN" w:bidi="ar"/>
        </w:rPr>
        <w:t>（1）中标公告期1个工作日期满后，采购人或者采购代理机构应当向中标人发出中标通知书。</w:t>
      </w:r>
    </w:p>
    <w:p w14:paraId="2D49D14A">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（2）中标人应及时到采购代理机构领取中标通知书，中标通知书是签订合同的依据和组成部分。</w:t>
      </w:r>
    </w:p>
    <w:p w14:paraId="1A600AFB">
      <w:pPr>
        <w:keepNext w:val="0"/>
        <w:keepLines w:val="0"/>
        <w:pageBreakBefore w:val="0"/>
        <w:widowControl w:val="0"/>
        <w:kinsoku/>
        <w:wordWrap/>
        <w:overflowPunct/>
        <w:topLinePunct w:val="0"/>
        <w:autoSpaceDE/>
        <w:autoSpaceDN/>
        <w:bidi w:val="0"/>
        <w:adjustRightInd/>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204" w:name="_Toc8983659"/>
      <w:r>
        <w:rPr>
          <w:rFonts w:hint="eastAsia" w:ascii="仿宋_GB2312" w:hAnsi="仿宋_GB2312" w:eastAsia="仿宋_GB2312" w:cs="仿宋_GB2312"/>
          <w:b/>
          <w:bCs/>
          <w:i w:val="0"/>
          <w:iCs w:val="0"/>
          <w:caps w:val="0"/>
          <w:color w:val="000000"/>
          <w:spacing w:val="0"/>
          <w:kern w:val="0"/>
          <w:sz w:val="26"/>
          <w:szCs w:val="26"/>
          <w:lang w:val="en-US" w:eastAsia="zh-CN" w:bidi="ar"/>
        </w:rPr>
        <w:t>4.签订合同</w:t>
      </w:r>
      <w:bookmarkEnd w:id="199"/>
      <w:bookmarkEnd w:id="200"/>
      <w:bookmarkEnd w:id="201"/>
      <w:bookmarkEnd w:id="202"/>
      <w:bookmarkEnd w:id="203"/>
      <w:bookmarkEnd w:id="204"/>
    </w:p>
    <w:p w14:paraId="002613C7">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中标人应在规定的时间、地点与采购人签订合同，招标文件、中标人的投标文件、分次报价及服务承诺文件以及评标过程中有关澄清文件均作为合同附件，合同经采购人审核盖章后实施。</w:t>
      </w:r>
    </w:p>
    <w:p w14:paraId="19016B55">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（1）中标人无正当理由未在规定时间内与采购人签订合同的，采购人有权建议取消其成交资格，监管部门将对其依法处理。</w:t>
      </w:r>
    </w:p>
    <w:p w14:paraId="0392E160">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（2）采购人不得向中标人提出任何不合理的要求，作为签订合同的条件；不得与中标人私下订立背离合同实质性内容的协议。</w:t>
      </w:r>
    </w:p>
    <w:p w14:paraId="6303FA1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中标人因不可抗力或自身原因不能签订采购合同或者不能履行合同的，参照《中华人民共和国政府采购法实施条例》第四十九条，采购人可以按中标候选顺序确定新的中标人并签订合同，以此类推，或重新进行采购。</w:t>
      </w:r>
    </w:p>
    <w:p w14:paraId="61FA4FEA">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（4）采购人在授予合同时有权对本文件规定的货物和服务予以适当的增加或减少，但不得改变单价或其他条款和条件。</w:t>
      </w:r>
    </w:p>
    <w:p w14:paraId="7EC1C641">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（5）中标人应当按照合同约定履行义务，完成中标项目，不得将中标项目转让给他人。除本文件另有规定外，也不得将中标项目进行分包给他人。</w:t>
      </w:r>
    </w:p>
    <w:p w14:paraId="031FE5FA">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（十一）验收及付款</w:t>
      </w:r>
    </w:p>
    <w:p w14:paraId="3179F47E">
      <w:pPr>
        <w:keepNext w:val="0"/>
        <w:keepLines w:val="0"/>
        <w:pageBreakBefore w:val="0"/>
        <w:widowControl w:val="0"/>
        <w:kinsoku/>
        <w:wordWrap/>
        <w:overflowPunct/>
        <w:topLinePunct w:val="0"/>
        <w:autoSpaceDE/>
        <w:autoSpaceDN/>
        <w:bidi w:val="0"/>
        <w:adjustRightInd/>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205" w:name="_Toc10138"/>
      <w:bookmarkStart w:id="206" w:name="_Toc17247"/>
      <w:bookmarkStart w:id="207" w:name="_Toc489694897"/>
      <w:bookmarkStart w:id="208" w:name="_Toc4855"/>
      <w:bookmarkStart w:id="209" w:name="_Toc8983660"/>
      <w:bookmarkStart w:id="210" w:name="_Toc490155600"/>
      <w:r>
        <w:rPr>
          <w:rFonts w:hint="eastAsia" w:ascii="仿宋_GB2312" w:hAnsi="仿宋_GB2312" w:eastAsia="仿宋_GB2312" w:cs="仿宋_GB2312"/>
          <w:b/>
          <w:bCs/>
          <w:i w:val="0"/>
          <w:iCs w:val="0"/>
          <w:caps w:val="0"/>
          <w:color w:val="000000"/>
          <w:spacing w:val="0"/>
          <w:kern w:val="0"/>
          <w:sz w:val="26"/>
          <w:szCs w:val="26"/>
          <w:lang w:val="en-US" w:eastAsia="zh-CN" w:bidi="ar"/>
        </w:rPr>
        <w:t>1.验收</w:t>
      </w:r>
      <w:bookmarkEnd w:id="205"/>
      <w:bookmarkEnd w:id="206"/>
      <w:bookmarkEnd w:id="207"/>
      <w:bookmarkEnd w:id="208"/>
      <w:bookmarkEnd w:id="209"/>
      <w:bookmarkEnd w:id="210"/>
    </w:p>
    <w:p w14:paraId="53F5D6A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中标人根据初步验收的结果进行整改并满足合同技术要求后，由中标人提交完备的项目实施文档及书面申请，经采购人审核通过后，由采购人组织开展验收工作，签署项目验收文件。</w:t>
      </w:r>
    </w:p>
    <w:p w14:paraId="7193D0DA">
      <w:pPr>
        <w:keepNext w:val="0"/>
        <w:keepLines w:val="0"/>
        <w:pageBreakBefore w:val="0"/>
        <w:widowControl w:val="0"/>
        <w:kinsoku/>
        <w:wordWrap/>
        <w:overflowPunct/>
        <w:topLinePunct w:val="0"/>
        <w:autoSpaceDE/>
        <w:autoSpaceDN/>
        <w:bidi w:val="0"/>
        <w:adjustRightInd/>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211" w:name="_Toc3365"/>
      <w:bookmarkStart w:id="212" w:name="_Toc16133"/>
      <w:bookmarkStart w:id="213" w:name="_Toc489694898"/>
      <w:bookmarkStart w:id="214" w:name="_Toc12537"/>
      <w:bookmarkStart w:id="215" w:name="_Toc490155601"/>
      <w:bookmarkStart w:id="216" w:name="_Toc8983661"/>
      <w:r>
        <w:rPr>
          <w:rFonts w:hint="eastAsia" w:ascii="仿宋_GB2312" w:hAnsi="仿宋_GB2312" w:eastAsia="仿宋_GB2312" w:cs="仿宋_GB2312"/>
          <w:b/>
          <w:bCs/>
          <w:i w:val="0"/>
          <w:iCs w:val="0"/>
          <w:caps w:val="0"/>
          <w:color w:val="000000"/>
          <w:spacing w:val="0"/>
          <w:kern w:val="0"/>
          <w:sz w:val="26"/>
          <w:szCs w:val="26"/>
          <w:lang w:val="en-US" w:eastAsia="zh-CN" w:bidi="ar"/>
        </w:rPr>
        <w:t>2.</w:t>
      </w:r>
      <w:bookmarkEnd w:id="211"/>
      <w:bookmarkEnd w:id="212"/>
      <w:bookmarkEnd w:id="213"/>
      <w:bookmarkEnd w:id="214"/>
      <w:r>
        <w:rPr>
          <w:rFonts w:hint="eastAsia" w:ascii="仿宋_GB2312" w:hAnsi="仿宋_GB2312" w:eastAsia="仿宋_GB2312" w:cs="仿宋_GB2312"/>
          <w:b/>
          <w:bCs/>
          <w:i w:val="0"/>
          <w:iCs w:val="0"/>
          <w:caps w:val="0"/>
          <w:color w:val="000000"/>
          <w:spacing w:val="0"/>
          <w:kern w:val="0"/>
          <w:sz w:val="26"/>
          <w:szCs w:val="26"/>
          <w:lang w:val="en-US" w:eastAsia="zh-CN" w:bidi="ar"/>
        </w:rPr>
        <w:t>付款</w:t>
      </w:r>
      <w:bookmarkEnd w:id="215"/>
      <w:bookmarkEnd w:id="216"/>
    </w:p>
    <w:p w14:paraId="053FA8A0">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 w:hAnsi="仿宋" w:eastAsia="仿宋" w:cs="仿宋"/>
          <w:sz w:val="26"/>
          <w:szCs w:val="26"/>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采购人凭项目合同、验收报告合同约定的时间内办理采购款支付手续。</w:t>
      </w:r>
    </w:p>
    <w:p w14:paraId="6E9C8E46">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（十二）法律责任</w:t>
      </w:r>
    </w:p>
    <w:p w14:paraId="230BF66A">
      <w:pPr>
        <w:keepNext w:val="0"/>
        <w:keepLines w:val="0"/>
        <w:pageBreakBefore w:val="0"/>
        <w:widowControl w:val="0"/>
        <w:kinsoku/>
        <w:wordWrap/>
        <w:overflowPunct/>
        <w:topLinePunct w:val="0"/>
        <w:autoSpaceDE/>
        <w:autoSpaceDN/>
        <w:bidi w:val="0"/>
        <w:adjustRightInd/>
        <w:spacing w:line="500" w:lineRule="exact"/>
        <w:ind w:firstLine="261" w:firstLineChars="100"/>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bookmarkStart w:id="217" w:name="_Toc490155602"/>
      <w:bookmarkStart w:id="218" w:name="_Toc32052"/>
      <w:bookmarkStart w:id="219" w:name="_Toc489694899"/>
      <w:bookmarkStart w:id="220" w:name="_Toc23082"/>
      <w:bookmarkStart w:id="221" w:name="_Toc15425"/>
      <w:bookmarkStart w:id="222" w:name="_Toc8983662"/>
      <w:r>
        <w:rPr>
          <w:rFonts w:hint="eastAsia" w:ascii="仿宋_GB2312" w:hAnsi="仿宋_GB2312" w:eastAsia="仿宋_GB2312" w:cs="仿宋_GB2312"/>
          <w:b/>
          <w:bCs/>
          <w:i w:val="0"/>
          <w:iCs w:val="0"/>
          <w:caps w:val="0"/>
          <w:color w:val="000000"/>
          <w:spacing w:val="0"/>
          <w:kern w:val="0"/>
          <w:sz w:val="26"/>
          <w:szCs w:val="26"/>
          <w:lang w:val="en-US" w:eastAsia="zh-CN" w:bidi="ar"/>
        </w:rPr>
        <w:t>1.法律责任</w:t>
      </w:r>
      <w:bookmarkEnd w:id="217"/>
      <w:bookmarkEnd w:id="218"/>
      <w:bookmarkEnd w:id="219"/>
      <w:bookmarkEnd w:id="220"/>
      <w:bookmarkEnd w:id="221"/>
      <w:bookmarkEnd w:id="222"/>
    </w:p>
    <w:p w14:paraId="452CBD13">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 w:hAnsi="仿宋" w:eastAsia="仿宋" w:cs="仿宋"/>
          <w:sz w:val="26"/>
          <w:szCs w:val="26"/>
        </w:rPr>
      </w:pPr>
      <w:bookmarkStart w:id="223" w:name="_Toc8983663"/>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bookmarkEnd w:id="223"/>
    </w:p>
    <w:p w14:paraId="62353135">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24" w:name="_Toc8983664"/>
      <w:r>
        <w:rPr>
          <w:rFonts w:hint="eastAsia" w:ascii="仿宋" w:hAnsi="仿宋" w:eastAsia="仿宋" w:cs="仿宋"/>
          <w:sz w:val="26"/>
          <w:szCs w:val="26"/>
        </w:rPr>
        <w:t>（1）</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提供虚假材料谋取中标的；</w:t>
      </w:r>
      <w:bookmarkEnd w:id="224"/>
    </w:p>
    <w:p w14:paraId="2590DB20">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25" w:name="_Toc8983665"/>
      <w:r>
        <w:rPr>
          <w:rFonts w:hint="eastAsia" w:ascii="仿宋_GB2312" w:hAnsi="仿宋_GB2312" w:eastAsia="仿宋_GB2312" w:cs="仿宋_GB2312"/>
          <w:b w:val="0"/>
          <w:bCs w:val="0"/>
          <w:i w:val="0"/>
          <w:iCs w:val="0"/>
          <w:caps w:val="0"/>
          <w:color w:val="000000"/>
          <w:spacing w:val="0"/>
          <w:kern w:val="0"/>
          <w:sz w:val="26"/>
          <w:szCs w:val="26"/>
          <w:lang w:val="en-US" w:eastAsia="zh-CN" w:bidi="ar"/>
        </w:rPr>
        <w:t>（2）采取不正当手段诋毁、排挤其他投标人的；</w:t>
      </w:r>
      <w:bookmarkEnd w:id="225"/>
    </w:p>
    <w:p w14:paraId="65014D7F">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26" w:name="_Toc8983666"/>
      <w:r>
        <w:rPr>
          <w:rFonts w:hint="eastAsia" w:ascii="仿宋_GB2312" w:hAnsi="仿宋_GB2312" w:eastAsia="仿宋_GB2312" w:cs="仿宋_GB2312"/>
          <w:b w:val="0"/>
          <w:bCs w:val="0"/>
          <w:i w:val="0"/>
          <w:iCs w:val="0"/>
          <w:caps w:val="0"/>
          <w:color w:val="000000"/>
          <w:spacing w:val="0"/>
          <w:kern w:val="0"/>
          <w:sz w:val="26"/>
          <w:szCs w:val="26"/>
          <w:lang w:val="en-US" w:eastAsia="zh-CN" w:bidi="ar"/>
        </w:rPr>
        <w:t>（3）与采购人、其他投标人或采购代理机构恶意串通的；</w:t>
      </w:r>
      <w:bookmarkEnd w:id="226"/>
    </w:p>
    <w:p w14:paraId="4DF19677">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27" w:name="_Toc8983667"/>
      <w:r>
        <w:rPr>
          <w:rFonts w:hint="eastAsia" w:ascii="仿宋_GB2312" w:hAnsi="仿宋_GB2312" w:eastAsia="仿宋_GB2312" w:cs="仿宋_GB2312"/>
          <w:b w:val="0"/>
          <w:bCs w:val="0"/>
          <w:i w:val="0"/>
          <w:iCs w:val="0"/>
          <w:caps w:val="0"/>
          <w:color w:val="000000"/>
          <w:spacing w:val="0"/>
          <w:kern w:val="0"/>
          <w:sz w:val="26"/>
          <w:szCs w:val="26"/>
          <w:lang w:val="en-US" w:eastAsia="zh-CN" w:bidi="ar"/>
        </w:rPr>
        <w:t>（4）向采购人、采购代理机构行贿或者提供其他不正当利益的；</w:t>
      </w:r>
      <w:bookmarkEnd w:id="227"/>
      <w:bookmarkStart w:id="228" w:name="_Toc8983668"/>
    </w:p>
    <w:p w14:paraId="7FA09931">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（5）在招标过程中与招标采购单位进行协商谈判、不按照招标文件和中标投标人的投标文件订立合同，或者与采购人另行订立背离合同实质性内容的协议的；</w:t>
      </w:r>
      <w:bookmarkEnd w:id="228"/>
    </w:p>
    <w:p w14:paraId="79A977C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29" w:name="_Toc8983669"/>
      <w:r>
        <w:rPr>
          <w:rFonts w:hint="eastAsia" w:ascii="仿宋_GB2312" w:hAnsi="仿宋_GB2312" w:eastAsia="仿宋_GB2312" w:cs="仿宋_GB2312"/>
          <w:b w:val="0"/>
          <w:bCs w:val="0"/>
          <w:i w:val="0"/>
          <w:iCs w:val="0"/>
          <w:caps w:val="0"/>
          <w:color w:val="000000"/>
          <w:spacing w:val="0"/>
          <w:kern w:val="0"/>
          <w:sz w:val="26"/>
          <w:szCs w:val="26"/>
          <w:lang w:val="en-US" w:eastAsia="zh-CN" w:bidi="ar"/>
        </w:rPr>
        <w:t>（6）拒绝有关部门监督检查或者提供虚假情况的。投标人有前款情形之一中标无效。</w:t>
      </w:r>
      <w:bookmarkEnd w:id="229"/>
    </w:p>
    <w:p w14:paraId="0A00465D">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30" w:name="_Toc8983670"/>
      <w:r>
        <w:rPr>
          <w:rFonts w:hint="eastAsia" w:ascii="仿宋_GB2312" w:hAnsi="仿宋_GB2312" w:eastAsia="仿宋_GB2312" w:cs="仿宋_GB2312"/>
          <w:b w:val="0"/>
          <w:bCs w:val="0"/>
          <w:i w:val="0"/>
          <w:iCs w:val="0"/>
          <w:caps w:val="0"/>
          <w:color w:val="000000"/>
          <w:spacing w:val="0"/>
          <w:kern w:val="0"/>
          <w:sz w:val="26"/>
          <w:szCs w:val="26"/>
          <w:lang w:val="en-US" w:eastAsia="zh-CN" w:bidi="ar"/>
        </w:rPr>
        <w:t>2、中标人有下列情形之一的，招标采购单位不予退还其交纳的投标保证金；情节严重的，由财政部门将其列入不良行为记录名单，在一至三年内禁止参加政府采购活动，并予以通报：</w:t>
      </w:r>
      <w:bookmarkEnd w:id="230"/>
    </w:p>
    <w:p w14:paraId="0E7395E7">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31" w:name="_Toc8983671"/>
      <w:r>
        <w:rPr>
          <w:rFonts w:hint="eastAsia" w:ascii="仿宋_GB2312" w:hAnsi="仿宋_GB2312" w:eastAsia="仿宋_GB2312" w:cs="仿宋_GB2312"/>
          <w:b w:val="0"/>
          <w:bCs w:val="0"/>
          <w:i w:val="0"/>
          <w:iCs w:val="0"/>
          <w:caps w:val="0"/>
          <w:color w:val="000000"/>
          <w:spacing w:val="0"/>
          <w:kern w:val="0"/>
          <w:sz w:val="26"/>
          <w:szCs w:val="26"/>
          <w:lang w:val="en-US" w:eastAsia="zh-CN" w:bidi="ar"/>
        </w:rPr>
        <w:t>（1）中标后无正当理由不与采购人签订合同，或者与采购人另行订立背离合同实质性内容的协议的；</w:t>
      </w:r>
      <w:bookmarkEnd w:id="231"/>
    </w:p>
    <w:p w14:paraId="19C94935">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32" w:name="_Toc8983672"/>
      <w:r>
        <w:rPr>
          <w:rFonts w:hint="eastAsia" w:ascii="仿宋_GB2312" w:hAnsi="仿宋_GB2312" w:eastAsia="仿宋_GB2312" w:cs="仿宋_GB2312"/>
          <w:b w:val="0"/>
          <w:bCs w:val="0"/>
          <w:i w:val="0"/>
          <w:iCs w:val="0"/>
          <w:caps w:val="0"/>
          <w:color w:val="000000"/>
          <w:spacing w:val="0"/>
          <w:kern w:val="0"/>
          <w:sz w:val="26"/>
          <w:szCs w:val="26"/>
          <w:lang w:val="en-US" w:eastAsia="zh-CN" w:bidi="ar"/>
        </w:rPr>
        <w:t>（2）将中标项目转让给他人，或者在投标文件中未说明，且未经采购人同意，将中标项目分包给他人的；</w:t>
      </w:r>
      <w:bookmarkEnd w:id="232"/>
    </w:p>
    <w:p w14:paraId="6D3E66B4">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33" w:name="_Toc8983673"/>
      <w:r>
        <w:rPr>
          <w:rFonts w:hint="eastAsia" w:ascii="仿宋_GB2312" w:hAnsi="仿宋_GB2312" w:eastAsia="仿宋_GB2312" w:cs="仿宋_GB2312"/>
          <w:b w:val="0"/>
          <w:bCs w:val="0"/>
          <w:i w:val="0"/>
          <w:iCs w:val="0"/>
          <w:caps w:val="0"/>
          <w:color w:val="000000"/>
          <w:spacing w:val="0"/>
          <w:kern w:val="0"/>
          <w:sz w:val="26"/>
          <w:szCs w:val="26"/>
          <w:lang w:val="en-US" w:eastAsia="zh-CN" w:bidi="ar"/>
        </w:rPr>
        <w:t>（3）拒绝履行合同义务的。</w:t>
      </w:r>
      <w:bookmarkEnd w:id="233"/>
    </w:p>
    <w:p w14:paraId="562656D5">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bookmarkStart w:id="234" w:name="_Toc8983674"/>
      <w:r>
        <w:rPr>
          <w:rFonts w:hint="eastAsia" w:ascii="仿宋_GB2312" w:hAnsi="仿宋_GB2312" w:eastAsia="仿宋_GB2312" w:cs="仿宋_GB2312"/>
          <w:b w:val="0"/>
          <w:bCs w:val="0"/>
          <w:i w:val="0"/>
          <w:iCs w:val="0"/>
          <w:caps w:val="0"/>
          <w:color w:val="000000"/>
          <w:spacing w:val="0"/>
          <w:kern w:val="0"/>
          <w:sz w:val="26"/>
          <w:szCs w:val="26"/>
          <w:lang w:val="en-US" w:eastAsia="zh-CN" w:bidi="ar"/>
        </w:rPr>
        <w:t>中标人有前款情形之一的，中标无效。</w:t>
      </w:r>
      <w:bookmarkEnd w:id="234"/>
      <w:bookmarkStart w:id="235" w:name="_Toc8983675"/>
    </w:p>
    <w:p w14:paraId="572FB9A1">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按照以上条款规定，经同级或其上级财政部门认定中标无效的，可按中标候选顺序重新确定，或重新进行采购。</w:t>
      </w:r>
      <w:bookmarkEnd w:id="235"/>
    </w:p>
    <w:p w14:paraId="5D137734">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3、发生下列情况之一，投标人将被列入不良记录名单，在1～3年内禁止参加政府采购活动，并予以公告：</w:t>
      </w:r>
    </w:p>
    <w:p w14:paraId="1B77732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(1)开标后在投标有效期内，投标人撤回其投标；</w:t>
      </w:r>
    </w:p>
    <w:p w14:paraId="1BF136AD">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(2)中标后无正当理由不与采购人签订政府采购合同；</w:t>
      </w:r>
    </w:p>
    <w:p w14:paraId="137ACAD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(3)中标后未按照招标文件和中标投标人的投标文件订立政府采购合同，或者与采购人另行订立背离合同实质性内容的协议的；</w:t>
      </w:r>
    </w:p>
    <w:p w14:paraId="742342AF">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(4)将中标项目转让给他人，或者在投标文件中未说明，且未经采购招标机构同意，将中标项目分包给他人；</w:t>
      </w:r>
    </w:p>
    <w:p w14:paraId="2BCDDD4F">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(5)拒绝履行合同义务的；</w:t>
      </w:r>
    </w:p>
    <w:p w14:paraId="05797708">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(6)《政府采购法》第七十七条和《政府采购法实施条例》第七十二条规定其他情形；</w:t>
      </w:r>
    </w:p>
    <w:p w14:paraId="569A260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(7)其他违反法律法规相关规定的情形。</w:t>
      </w:r>
    </w:p>
    <w:p w14:paraId="4412F2A3">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3.1 《政府采购法》七十七条：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604B5B">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（1）提供虚假材料谋取中标、成交的；</w:t>
      </w:r>
    </w:p>
    <w:p w14:paraId="2C7D93F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（2）采取不正当手段诋毁、排挤其他投标人的；</w:t>
      </w:r>
    </w:p>
    <w:p w14:paraId="4D37941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（3）与采购人、其他投标人或者采购代理机构恶意串通的；</w:t>
      </w:r>
    </w:p>
    <w:p w14:paraId="775B829B">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（4）向采购人、采购代理机构行贿或者提供其他不正当利益的；</w:t>
      </w:r>
    </w:p>
    <w:p w14:paraId="581E32EB">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（5）在招标采购过程中与采购人进行协商谈判的；</w:t>
      </w:r>
    </w:p>
    <w:p w14:paraId="0250F118">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（6）拒绝有关部门监督检查或者提供虚假情况的。</w:t>
      </w:r>
    </w:p>
    <w:p w14:paraId="03E9125F">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3.2《政府采购法实施条例》第七十二条：投标人有下列情形之一的，依照政府采购法第七十七条第一款的规定追究法律责任：</w:t>
      </w:r>
    </w:p>
    <w:p w14:paraId="6886457A">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（1）向评标委员会、竞争性谈判小组或询价小组成员行贿或者提供其他不正当利益；</w:t>
      </w:r>
    </w:p>
    <w:p w14:paraId="65116DA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（2）中标或者成交后无正当理由拒不与采购人签订政府采购合同；</w:t>
      </w:r>
    </w:p>
    <w:p w14:paraId="3B7DA36D">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（3）未按照招标文件确定的事项签订政府采购合同；</w:t>
      </w:r>
    </w:p>
    <w:p w14:paraId="7E53CF9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（4）将政府采购合同转包；</w:t>
      </w:r>
    </w:p>
    <w:p w14:paraId="61E2585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（5）提供假冒伪劣产品；</w:t>
      </w:r>
    </w:p>
    <w:p w14:paraId="06C8A0F7">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（6）擅自变更、中止或者终止政府采购合同。</w:t>
      </w:r>
    </w:p>
    <w:p w14:paraId="53FE1D68">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投标人有前款第一项规定情形的，中标、成交无效，列入不良行为记录名单。</w:t>
      </w:r>
    </w:p>
    <w:p w14:paraId="75C6C6A2">
      <w:pPr>
        <w:pStyle w:val="7"/>
        <w:numPr>
          <w:ilvl w:val="0"/>
          <w:numId w:val="0"/>
        </w:numPr>
        <w:spacing w:before="0" w:after="0" w:line="500" w:lineRule="exact"/>
        <w:ind w:left="-420" w:left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（十三）质疑及处理</w:t>
      </w:r>
    </w:p>
    <w:p w14:paraId="470EB4CB">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人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3AF37976">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质疑投标人应按照财政部制定的《政府采购质疑函范本》格式（可从财政部官方网站下载）和《政府采购质疑和投诉办法》的要求，在法定质疑期内以纸质形式提出质疑，针对同一采购程序环节的质疑应一次性提出。</w:t>
      </w:r>
    </w:p>
    <w:p w14:paraId="091E723B">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超出法定质疑期的、重复提出的、分次提出的或内容、形式不符合《政府采购质疑和投诉办法》的，质疑投标人将依法承担不利后果。</w:t>
      </w:r>
    </w:p>
    <w:p w14:paraId="795E3876">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3、采购代理机构质疑函接收部门、联系电话和通讯地址, 投标人须知资料表。</w:t>
      </w:r>
    </w:p>
    <w:p w14:paraId="37951A89">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4、质疑的提出</w:t>
      </w:r>
    </w:p>
    <w:p w14:paraId="524E9450">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5、本采购文件中所称质疑及答复，是指参加本次采购活动的投标人对政府采购活动中的采购文件、采购过程和成交结果向采购人提出质疑，采购人答复质疑的行为。</w:t>
      </w:r>
    </w:p>
    <w:p w14:paraId="5C03EBBA">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6、投标人认为采购文件、采购过程和成交结果使自己的权益受到损害的，可以在知道或者应知其权益受到损害之日起7个工作日内，以书面形式向采购人提出质疑。投标人应知其权益受到损害之日，是指：</w:t>
      </w:r>
    </w:p>
    <w:p w14:paraId="75095D30">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（1）对可以质疑的采购文件提出质疑，为收到采购文件之日或者采购文件公告期限届满之日；</w:t>
      </w:r>
    </w:p>
    <w:p w14:paraId="63778AB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（2）对采购过程提出质疑的，为各采购程序环节结束之日；</w:t>
      </w:r>
    </w:p>
    <w:p w14:paraId="1753E363">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（3）对成交结果提出质疑的，为成交结果公告期限届满之日。</w:t>
      </w:r>
    </w:p>
    <w:p w14:paraId="737FC6C4">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7、对可以质疑的采购文件提出质疑的，质疑人为参与本项目的报价方或潜在报价方。可质疑的文件为采购公告以及采购文件（包括属于其组成部分的澄清、修改、补充文件和评审标准、合同文本等）。</w:t>
      </w:r>
    </w:p>
    <w:p w14:paraId="24FA0615">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8、对采购过程和成交结果提出质疑的，质疑人为直接参与本项目的报价方。采购过程,即从采购项目信息公告发布起到成交结果公告止，包括采购文件的发出、提交响应文件、响应文件开启、评审等各个采购程序环节。</w:t>
      </w:r>
    </w:p>
    <w:p w14:paraId="4E34F93B">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9、提出质疑应当符合下列条件：</w:t>
      </w:r>
    </w:p>
    <w:p w14:paraId="135290F0">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（1）质疑主体应当符合有关规定；</w:t>
      </w:r>
    </w:p>
    <w:p w14:paraId="4EC6A7E4">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（2）在质疑法定期限内提出；</w:t>
      </w:r>
    </w:p>
    <w:p w14:paraId="63CBC6ED">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（3）属于可以提出质疑的政府采购事项受理范围和本项目采购人的管辖权范围；</w:t>
      </w:r>
    </w:p>
    <w:p w14:paraId="19B29AFD">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（4）政府采购法律、法规、规章规定的其他条件。</w:t>
      </w:r>
    </w:p>
    <w:p w14:paraId="2FC94995">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10、提出质疑应当具有明确的请求和提供必要的证明材料。明确请求,即质疑人在质疑函中提出的，要求采购人对其予以支持的主张。必要的证明材料,即能够证明质疑人的质疑请求成立的必要材料，包括相关证据、依据和其他有关材料。</w:t>
      </w:r>
    </w:p>
    <w:p w14:paraId="7261EBED">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11、质疑人所提供的证明材料应当具有真实性、合法性以及与质疑事项的关联性和证明力，否则不能作为认定该质疑事项成立的依据。</w:t>
      </w:r>
    </w:p>
    <w:p w14:paraId="3EA4382D">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12、质疑人提出质疑时应当提交质疑函。质疑函包括下列内容：</w:t>
      </w:r>
    </w:p>
    <w:p w14:paraId="72FEAEE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（1）提出质疑的质疑人的名称、地址、邮编、联系人及联系电话等；</w:t>
      </w:r>
    </w:p>
    <w:p w14:paraId="669A9BD0">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（2）质疑项目的名称、编号；</w:t>
      </w:r>
    </w:p>
    <w:p w14:paraId="1A370075">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（3）质疑事项；</w:t>
      </w:r>
    </w:p>
    <w:p w14:paraId="5201860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（4）事实依据和证明材料；</w:t>
      </w:r>
    </w:p>
    <w:p w14:paraId="4D8D508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（5）法律依据；</w:t>
      </w:r>
    </w:p>
    <w:p w14:paraId="3BCF54E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（6）提出质疑的日期。</w:t>
      </w:r>
    </w:p>
    <w:p w14:paraId="2B0F364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质疑函采用实名制。质疑人为自然人的应当由本人签字，并附有效身份证明文件；质疑人为法人或者非法人组织的应当由法定代表人或者负责人签字并加盖公章，并附有效身份证明文件。</w:t>
      </w:r>
    </w:p>
    <w:p w14:paraId="419F6373">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13、质疑人可以委托代理人进行质疑。代理人应当提交授权委托书。授权委托书应当载明委托代理的具体权限、期限和相关事项。</w:t>
      </w:r>
    </w:p>
    <w:p w14:paraId="76766429">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14、质疑的审查和受理</w:t>
      </w:r>
    </w:p>
    <w:p w14:paraId="5C638234">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采购人在收到质疑函后应当及时审查是否符合质疑受理条件，对符合质疑受理条件的，及时予以受理。</w:t>
      </w:r>
    </w:p>
    <w:p w14:paraId="12473B25">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15、对不符合质疑受理条件的，分别按照下列不同情形予以处理：</w:t>
      </w:r>
    </w:p>
    <w:p w14:paraId="7C1BF3B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（1）质疑函内容不符合规定的，告知质疑人进行修改并重新提出质疑。修改后质疑事项仍不具体、不明确或者最终递交质疑函的时间超过质疑法定期限的，不予受理；</w:t>
      </w:r>
    </w:p>
    <w:p w14:paraId="7FAD80E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（2）质疑主体不符合有关规定的，告知质疑人不予受理；</w:t>
      </w:r>
    </w:p>
    <w:p w14:paraId="6B4DE0CF">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（3）超过质疑法定期限提出质疑的，告知质疑人不予受理；</w:t>
      </w:r>
    </w:p>
    <w:p w14:paraId="3DBFF8DB">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（4）对不属于可以提出质疑的政府采购事项提出质疑，告知质疑人不予受理；</w:t>
      </w:r>
    </w:p>
    <w:p w14:paraId="3787947F">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（5）质疑不属于本项目采购人管辖的，告知质疑人向有管辖权的采购人提出质疑；</w:t>
      </w:r>
    </w:p>
    <w:p w14:paraId="6B78F048">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（6）质疑不符合其他条件的，告知质疑人不予受理。</w:t>
      </w:r>
    </w:p>
    <w:p w14:paraId="636CC70C">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16、质疑的处理和答复</w:t>
      </w:r>
    </w:p>
    <w:p w14:paraId="1CB3C29D">
      <w:pPr>
        <w:keepNext w:val="0"/>
        <w:keepLines w:val="0"/>
        <w:pageBreakBefore w:val="0"/>
        <w:widowControl w:val="0"/>
        <w:kinsoku/>
        <w:wordWrap/>
        <w:overflowPunct/>
        <w:topLinePunct w:val="0"/>
        <w:autoSpaceDE/>
        <w:autoSpaceDN/>
        <w:bidi w:val="0"/>
        <w:adjustRightInd/>
        <w:spacing w:line="500" w:lineRule="exact"/>
        <w:ind w:firstLine="520" w:firstLineChars="2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17、采购人受理质疑后，将及时把质疑函发送给被质疑人，并要求其在一定限期内提交书面答复，同时提供有关证据、依据和相关材料。</w:t>
      </w:r>
    </w:p>
    <w:p w14:paraId="2948C3FA">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18、对于质疑事项中涉及的问题较多、情况比较复杂的，为了全面查清事实、取得充分的证据，采购人认为有必要时，可以进行调查取证或者组织质证。</w:t>
      </w:r>
    </w:p>
    <w:p w14:paraId="1B5786A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19、对评审过程、成交结果提出质疑，采购人可以组织原评审委员会协助答复质疑。</w:t>
      </w:r>
    </w:p>
    <w:p w14:paraId="5BF6DA4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20、质疑处理过程中，质疑人书面申请撤回质疑的，将终止质疑处理程序。</w:t>
      </w:r>
    </w:p>
    <w:p w14:paraId="096875EB">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21、质疑人拒绝配合采购人依法对质疑进行调查处理的，采购人将按质疑人自动撤回质疑处理；被质疑人拒绝配合采购人依法对质疑进行调查处理的，采购人将视同其认可质疑事项。</w:t>
      </w:r>
    </w:p>
    <w:p w14:paraId="16759F94">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22、质疑人拒绝配合采购人依法对质疑进行调查处理的，采购人将按质疑人自动撤回质疑处理；被质疑人拒绝配合采购人依法对质疑进行调查处理的，采购人将视同其认可质疑事项。</w:t>
      </w:r>
    </w:p>
    <w:p w14:paraId="4E01F09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23、采购人将在正式受理质疑后7个工作日内作出答复。</w:t>
      </w:r>
    </w:p>
    <w:p w14:paraId="6A7D2953">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24、质疑答复应当包括下列内容：</w:t>
      </w:r>
    </w:p>
    <w:p w14:paraId="4E75209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（1）质疑人的姓名或者名称；</w:t>
      </w:r>
    </w:p>
    <w:p w14:paraId="534A492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（2）收到质疑函的日期、质疑项目名称及编号；</w:t>
      </w:r>
    </w:p>
    <w:p w14:paraId="0E781B5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（3）质疑事项、质疑答复的具体内容、事实依据和法律依据；</w:t>
      </w:r>
    </w:p>
    <w:p w14:paraId="7060B323">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（4）告知质疑投标人依法投诉的权利；</w:t>
      </w:r>
    </w:p>
    <w:p w14:paraId="0428210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（5）质疑答复人名称；</w:t>
      </w:r>
    </w:p>
    <w:p w14:paraId="68A5E5C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 w:hAnsi="仿宋" w:eastAsia="仿宋" w:cs="仿宋"/>
          <w:sz w:val="26"/>
          <w:szCs w:val="26"/>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（6）答复质疑的日期。</w:t>
      </w:r>
    </w:p>
    <w:p w14:paraId="34C69D9B">
      <w:pPr>
        <w:keepNext w:val="0"/>
        <w:keepLines w:val="0"/>
        <w:pageBreakBefore w:val="0"/>
        <w:widowControl w:val="0"/>
        <w:kinsoku/>
        <w:wordWrap/>
        <w:overflowPunct/>
        <w:topLinePunct w:val="0"/>
        <w:autoSpaceDE/>
        <w:autoSpaceDN/>
        <w:bidi w:val="0"/>
        <w:adjustRightInd/>
        <w:spacing w:line="500" w:lineRule="exact"/>
        <w:ind w:firstLine="261" w:firstLineChars="10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质疑函范本</w:t>
      </w:r>
    </w:p>
    <w:p w14:paraId="07361FF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 w:hAnsi="仿宋" w:eastAsia="仿宋" w:cs="仿宋"/>
          <w:sz w:val="26"/>
          <w:szCs w:val="26"/>
        </w:rPr>
      </w:pPr>
      <w:r>
        <w:rPr>
          <w:rFonts w:hint="eastAsia" w:ascii="仿宋" w:hAnsi="仿宋" w:eastAsia="仿宋" w:cs="仿宋"/>
          <w:sz w:val="26"/>
          <w:szCs w:val="26"/>
        </w:rPr>
        <w:t>一、</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质疑投标人基本信息</w:t>
      </w:r>
    </w:p>
    <w:p w14:paraId="226CB5E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质疑投标人：                  地址：                          邮编：                                                   </w:t>
      </w:r>
    </w:p>
    <w:p w14:paraId="42C1708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联系人：                      联系电话：                              </w:t>
      </w:r>
    </w:p>
    <w:p w14:paraId="4DBF9AC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授权代表：                    联系电话：</w:t>
      </w:r>
      <w:r>
        <w:rPr>
          <w:rFonts w:hint="eastAsia" w:ascii="仿宋" w:hAnsi="仿宋" w:eastAsia="仿宋" w:cs="仿宋"/>
          <w:sz w:val="26"/>
          <w:szCs w:val="26"/>
        </w:rPr>
        <w:t xml:space="preserve">                </w:t>
      </w:r>
      <w:r>
        <w:rPr>
          <w:rFonts w:hint="eastAsia" w:ascii="仿宋" w:hAnsi="仿宋" w:eastAsia="仿宋" w:cs="仿宋"/>
          <w:sz w:val="26"/>
          <w:szCs w:val="26"/>
          <w:lang w:val="en-US" w:eastAsia="zh-CN"/>
        </w:rPr>
        <w:t xml:space="preserve">    </w:t>
      </w:r>
      <w:r>
        <w:rPr>
          <w:rFonts w:hint="eastAsia" w:ascii="仿宋" w:hAnsi="仿宋" w:eastAsia="仿宋" w:cs="仿宋"/>
          <w:sz w:val="26"/>
          <w:szCs w:val="26"/>
        </w:rPr>
        <w:t xml:space="preserve">  </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邮编：  </w:t>
      </w:r>
      <w:r>
        <w:rPr>
          <w:rFonts w:hint="eastAsia" w:ascii="仿宋" w:hAnsi="仿宋" w:eastAsia="仿宋" w:cs="仿宋"/>
          <w:sz w:val="26"/>
          <w:szCs w:val="26"/>
        </w:rPr>
        <w:t xml:space="preserve">                          </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w:t>
      </w:r>
    </w:p>
    <w:p w14:paraId="79F164C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二、质疑项目基本情况</w:t>
      </w:r>
    </w:p>
    <w:p w14:paraId="2EF798C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质疑项目的名称：               质疑项目的编号：               包号：                 </w:t>
      </w:r>
    </w:p>
    <w:p w14:paraId="51EE277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采购人名称：                   招标文件获取日期：                                           </w:t>
      </w:r>
    </w:p>
    <w:p w14:paraId="275686F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三、质疑事项具体内容</w:t>
      </w:r>
    </w:p>
    <w:p w14:paraId="1B8FD06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质疑事项1：                                         </w:t>
      </w:r>
    </w:p>
    <w:p w14:paraId="23832A7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事实依据：                                                                                              </w:t>
      </w:r>
    </w:p>
    <w:p w14:paraId="0C7D87B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法律依据：                                                                                          </w:t>
      </w:r>
    </w:p>
    <w:p w14:paraId="4072A5B7">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质疑事项2</w:t>
      </w:r>
    </w:p>
    <w:p w14:paraId="5C725E5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p>
    <w:p w14:paraId="660A24DB">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四、与质疑事项相关的质疑请求</w:t>
      </w:r>
    </w:p>
    <w:p w14:paraId="08D89DB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请求：              签字(签章)：           公章：               日期：    </w:t>
      </w:r>
    </w:p>
    <w:p w14:paraId="5E5CA33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质疑函制作说明：</w:t>
      </w:r>
    </w:p>
    <w:p w14:paraId="71F8346B">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1.投标人提出质疑时，应提交质疑函和必要的证明材料。</w:t>
      </w:r>
    </w:p>
    <w:p w14:paraId="77F678F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9390A2C">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3.质疑投标人若对项目的某一分包进行质疑，质疑函中应列明具体分包号。</w:t>
      </w:r>
    </w:p>
    <w:p w14:paraId="776B6D7A">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4.质疑函的质疑事项应具体、明确，并有必要的事实依据和法律依据。</w:t>
      </w:r>
    </w:p>
    <w:p w14:paraId="040F7AA2">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5.质疑函的质疑请求应与质疑事项相关。</w:t>
      </w:r>
    </w:p>
    <w:p w14:paraId="26AFC7F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6.质疑投标人为自然人的，质疑函应由本人签字；质疑投标人为法人或者其他组织，质疑函应由法定代表人、主要负责人，或者其授权代表签字或者盖章，并加盖公章。</w:t>
      </w:r>
    </w:p>
    <w:p w14:paraId="588EEE3E">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备注：</w:t>
      </w:r>
    </w:p>
    <w:p w14:paraId="1BC99FE8">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1、质疑人的法定代表人办理质疑事务的，在提交质疑函（无需填写授权委托人）的同时，还应提交加盖质疑人公章的营业执照副本复印件和法定代表人的身份证复印件。请持身份证原件用于核对。</w:t>
      </w:r>
    </w:p>
    <w:p w14:paraId="033D44F6">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身份证复印件。</w:t>
      </w:r>
    </w:p>
    <w:p w14:paraId="7AED704D">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3、与质疑事项有关的材料应与质疑函合并装订。</w:t>
      </w:r>
    </w:p>
    <w:p w14:paraId="3D6777ED">
      <w:pPr>
        <w:keepNext w:val="0"/>
        <w:keepLines w:val="0"/>
        <w:pageBreakBefore w:val="0"/>
        <w:widowControl w:val="0"/>
        <w:kinsoku/>
        <w:wordWrap/>
        <w:overflowPunct/>
        <w:topLinePunct w:val="0"/>
        <w:autoSpaceDE/>
        <w:autoSpaceDN/>
        <w:bidi w:val="0"/>
        <w:adjustRightInd/>
        <w:spacing w:line="500" w:lineRule="exact"/>
        <w:ind w:firstLine="260" w:firstLineChars="100"/>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4、质疑函一式三份。</w:t>
      </w:r>
    </w:p>
    <w:p w14:paraId="53733F6E">
      <w:pPr>
        <w:rPr>
          <w:rFonts w:hint="eastAsia"/>
          <w:lang w:val="en-US" w:eastAsia="zh-CN"/>
        </w:rPr>
      </w:pPr>
      <w:bookmarkStart w:id="236" w:name="_Toc132362808"/>
    </w:p>
    <w:p w14:paraId="08D3F588">
      <w:pPr>
        <w:pStyle w:val="2"/>
        <w:rPr>
          <w:rFonts w:hint="eastAsia"/>
          <w:lang w:val="en-US" w:eastAsia="zh-CN"/>
        </w:rPr>
      </w:pPr>
    </w:p>
    <w:p w14:paraId="006B57D9">
      <w:pPr>
        <w:pStyle w:val="4"/>
        <w:rPr>
          <w:rFonts w:hint="eastAsia"/>
          <w:lang w:val="en-US" w:eastAsia="zh-CN"/>
        </w:rPr>
      </w:pPr>
    </w:p>
    <w:p w14:paraId="455BBD1F">
      <w:pPr>
        <w:pStyle w:val="5"/>
        <w:rPr>
          <w:rFonts w:hint="eastAsia"/>
          <w:lang w:val="en-US" w:eastAsia="zh-CN"/>
        </w:rPr>
      </w:pPr>
    </w:p>
    <w:p w14:paraId="2974AD88">
      <w:pPr>
        <w:rPr>
          <w:rFonts w:hint="eastAsia"/>
          <w:lang w:val="en-US" w:eastAsia="zh-CN"/>
        </w:rPr>
      </w:pPr>
    </w:p>
    <w:p w14:paraId="1FA8FDCD">
      <w:pPr>
        <w:pStyle w:val="2"/>
        <w:rPr>
          <w:rFonts w:hint="eastAsia"/>
          <w:lang w:val="en-US" w:eastAsia="zh-CN"/>
        </w:rPr>
      </w:pPr>
    </w:p>
    <w:p w14:paraId="25A46574">
      <w:pPr>
        <w:pStyle w:val="4"/>
        <w:rPr>
          <w:rFonts w:hint="eastAsia"/>
          <w:lang w:val="en-US" w:eastAsia="zh-CN"/>
        </w:rPr>
      </w:pPr>
    </w:p>
    <w:p w14:paraId="3B8172D2">
      <w:pPr>
        <w:pStyle w:val="5"/>
        <w:rPr>
          <w:rFonts w:hint="eastAsia"/>
          <w:lang w:val="en-US" w:eastAsia="zh-CN"/>
        </w:rPr>
      </w:pPr>
    </w:p>
    <w:p w14:paraId="041009B3">
      <w:pPr>
        <w:rPr>
          <w:rFonts w:hint="eastAsia"/>
          <w:lang w:val="en-US" w:eastAsia="zh-CN"/>
        </w:rPr>
      </w:pPr>
    </w:p>
    <w:p w14:paraId="0E8C3F6D">
      <w:pPr>
        <w:pStyle w:val="34"/>
        <w:pageBreakBefore w:val="0"/>
        <w:kinsoku/>
        <w:wordWrap/>
        <w:overflowPunct/>
        <w:topLinePunct w:val="0"/>
        <w:autoSpaceDE/>
        <w:autoSpaceDN/>
        <w:bidi w:val="0"/>
        <w:adjustRightInd/>
        <w:spacing w:line="240" w:lineRule="auto"/>
        <w:jc w:val="center"/>
        <w:textAlignment w:val="auto"/>
        <w:rPr>
          <w:rFonts w:hint="default" w:ascii="仿宋_GB2312" w:hAnsi="仿宋_GB2312" w:eastAsia="仿宋_GB2312" w:cs="仿宋_GB2312"/>
          <w:b/>
          <w:bCs/>
          <w:i w:val="0"/>
          <w:iCs w:val="0"/>
          <w:caps w:val="0"/>
          <w:color w:val="000000"/>
          <w:spacing w:val="0"/>
          <w:kern w:val="0"/>
          <w:sz w:val="36"/>
          <w:szCs w:val="36"/>
          <w:lang w:val="en-US" w:eastAsia="zh-CN" w:bidi="ar"/>
        </w:rPr>
      </w:pPr>
      <w:r>
        <w:rPr>
          <w:rFonts w:hint="eastAsia" w:ascii="仿宋_GB2312" w:hAnsi="仿宋_GB2312" w:eastAsia="仿宋_GB2312" w:cs="仿宋_GB2312"/>
          <w:b/>
          <w:bCs/>
          <w:i w:val="0"/>
          <w:iCs w:val="0"/>
          <w:caps w:val="0"/>
          <w:color w:val="000000"/>
          <w:spacing w:val="0"/>
          <w:kern w:val="0"/>
          <w:sz w:val="36"/>
          <w:szCs w:val="36"/>
          <w:lang w:val="en-US" w:eastAsia="zh-CN" w:bidi="ar"/>
        </w:rPr>
        <w:t>第三章  评审的方法和标准</w:t>
      </w:r>
    </w:p>
    <w:p w14:paraId="4AFB4C8B">
      <w:pPr>
        <w:keepNext w:val="0"/>
        <w:keepLines w:val="0"/>
        <w:pageBreakBefore w:val="0"/>
        <w:widowControl w:val="0"/>
        <w:kinsoku/>
        <w:wordWrap/>
        <w:overflowPunct/>
        <w:topLinePunct w:val="0"/>
        <w:autoSpaceDE/>
        <w:autoSpaceDN/>
        <w:bidi w:val="0"/>
        <w:adjustRightInd/>
        <w:spacing w:line="500" w:lineRule="exact"/>
        <w:ind w:firstLine="261" w:firstLineChars="100"/>
        <w:jc w:val="center"/>
        <w:textAlignment w:val="auto"/>
        <w:rPr>
          <w:rFonts w:hint="default"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初步评审标准—资格性审查</w:t>
      </w:r>
    </w:p>
    <w:tbl>
      <w:tblPr>
        <w:tblStyle w:val="25"/>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660"/>
        <w:gridCol w:w="8421"/>
      </w:tblGrid>
      <w:tr w14:paraId="5FFB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25" w:type="dxa"/>
            <w:gridSpan w:val="2"/>
            <w:noWrap w:val="0"/>
            <w:vAlign w:val="center"/>
          </w:tcPr>
          <w:p w14:paraId="216AC72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firstLine="261" w:firstLineChars="10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条款号</w:t>
            </w:r>
          </w:p>
        </w:tc>
        <w:tc>
          <w:tcPr>
            <w:tcW w:w="8421" w:type="dxa"/>
            <w:noWrap w:val="0"/>
            <w:vAlign w:val="center"/>
          </w:tcPr>
          <w:p w14:paraId="25DBAA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90" w:lineRule="exact"/>
              <w:ind w:left="0" w:right="0" w:firstLine="261" w:firstLineChars="10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评审标准</w:t>
            </w:r>
          </w:p>
        </w:tc>
      </w:tr>
      <w:tr w14:paraId="5552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restart"/>
            <w:noWrap w:val="0"/>
            <w:vAlign w:val="center"/>
          </w:tcPr>
          <w:p w14:paraId="52B695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lang w:val="en-US" w:eastAsia="zh-CN"/>
              </w:rPr>
            </w:pPr>
            <w:r>
              <w:rPr>
                <w:rFonts w:hint="eastAsia" w:ascii="仿宋_GB2312" w:hAnsi="仿宋_GB2312" w:eastAsia="仿宋_GB2312" w:cs="仿宋_GB2312"/>
                <w:kern w:val="2"/>
                <w:sz w:val="26"/>
                <w:szCs w:val="26"/>
                <w:lang w:val="en-US" w:eastAsia="zh-CN" w:bidi="ar-SA"/>
              </w:rPr>
              <w:t>资格性审查</w:t>
            </w:r>
          </w:p>
        </w:tc>
        <w:tc>
          <w:tcPr>
            <w:tcW w:w="660" w:type="dxa"/>
            <w:noWrap w:val="0"/>
            <w:vAlign w:val="center"/>
          </w:tcPr>
          <w:p w14:paraId="3434BC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1</w:t>
            </w:r>
          </w:p>
        </w:tc>
        <w:tc>
          <w:tcPr>
            <w:tcW w:w="8421" w:type="dxa"/>
            <w:noWrap w:val="0"/>
            <w:vAlign w:val="center"/>
          </w:tcPr>
          <w:p w14:paraId="2AB13F16">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eastAsia"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投标人须具备有效经年检合格的“三证合一”营业执照；</w:t>
            </w:r>
          </w:p>
        </w:tc>
      </w:tr>
      <w:tr w14:paraId="3943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tcBorders/>
            <w:noWrap w:val="0"/>
            <w:vAlign w:val="center"/>
          </w:tcPr>
          <w:p w14:paraId="59AD9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680E5F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2</w:t>
            </w:r>
          </w:p>
        </w:tc>
        <w:tc>
          <w:tcPr>
            <w:tcW w:w="8421" w:type="dxa"/>
            <w:noWrap w:val="0"/>
            <w:vAlign w:val="center"/>
          </w:tcPr>
          <w:p w14:paraId="30EF6961">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eastAsia"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法定代表人、委托人的身份证明及授权委托书；</w:t>
            </w:r>
          </w:p>
        </w:tc>
      </w:tr>
      <w:tr w14:paraId="0618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65" w:type="dxa"/>
            <w:vMerge w:val="continue"/>
            <w:tcBorders/>
            <w:noWrap w:val="0"/>
            <w:vAlign w:val="center"/>
          </w:tcPr>
          <w:p w14:paraId="4D3D1D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04B7C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3</w:t>
            </w:r>
          </w:p>
        </w:tc>
        <w:tc>
          <w:tcPr>
            <w:tcW w:w="8421" w:type="dxa"/>
            <w:noWrap w:val="0"/>
            <w:vAlign w:val="center"/>
          </w:tcPr>
          <w:p w14:paraId="28B53BBE">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eastAsia"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投标人需提供本单位依法缴纳投标截止时间前半年内任意连续近三个月社保缴纳证明单位缴费个人明细表（社保证明可含：社保缴费凭证、社保缴费证明、社保缴费汇总单、依法缴纳社保的完税证明）；</w:t>
            </w:r>
          </w:p>
        </w:tc>
      </w:tr>
      <w:tr w14:paraId="3D82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65" w:type="dxa"/>
            <w:vMerge w:val="continue"/>
            <w:tcBorders/>
            <w:noWrap w:val="0"/>
            <w:vAlign w:val="center"/>
          </w:tcPr>
          <w:p w14:paraId="7867F4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5FCA08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4</w:t>
            </w:r>
          </w:p>
        </w:tc>
        <w:tc>
          <w:tcPr>
            <w:tcW w:w="8421" w:type="dxa"/>
            <w:noWrap w:val="0"/>
            <w:vAlign w:val="center"/>
          </w:tcPr>
          <w:p w14:paraId="76A2CD33">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eastAsia"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投标人需提供2023年度第三方审计机构出具的财务审计报告(会计</w:t>
            </w:r>
            <w:r>
              <w:rPr>
                <w:rFonts w:hint="eastAsia" w:ascii="仿宋_GB2312" w:hAnsi="仿宋_GB2312" w:eastAsia="仿宋_GB2312" w:cs="仿宋_GB2312"/>
                <w:color w:val="auto"/>
                <w:kern w:val="2"/>
                <w:sz w:val="26"/>
                <w:szCs w:val="26"/>
                <w:lang w:val="en-US" w:eastAsia="zh-CN" w:bidi="ar-SA"/>
              </w:rPr>
              <w:t>周期不满一年的提供近三个月银行出具的资信证明）和健全的财务会计制度；</w:t>
            </w:r>
          </w:p>
        </w:tc>
      </w:tr>
      <w:tr w14:paraId="2E2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65" w:type="dxa"/>
            <w:vMerge w:val="continue"/>
            <w:tcBorders/>
            <w:noWrap w:val="0"/>
            <w:vAlign w:val="center"/>
          </w:tcPr>
          <w:p w14:paraId="2BDA1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5FAC8A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5</w:t>
            </w:r>
          </w:p>
        </w:tc>
        <w:tc>
          <w:tcPr>
            <w:tcW w:w="8421" w:type="dxa"/>
            <w:noWrap w:val="0"/>
            <w:vAlign w:val="center"/>
          </w:tcPr>
          <w:p w14:paraId="60683029">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eastAsia"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投标人需提供税务部门出具投标截止时间前半年内任意连续近三个月缴纳税收的完税证明（需含增值税、印花税等税种；如当月无需缴税需提供税务机关出具的无欠税证明）；</w:t>
            </w:r>
          </w:p>
        </w:tc>
      </w:tr>
      <w:tr w14:paraId="52ED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1065" w:type="dxa"/>
            <w:vMerge w:val="continue"/>
            <w:tcBorders/>
            <w:noWrap w:val="0"/>
            <w:vAlign w:val="center"/>
          </w:tcPr>
          <w:p w14:paraId="7D87D2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0EDF81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6</w:t>
            </w:r>
          </w:p>
        </w:tc>
        <w:tc>
          <w:tcPr>
            <w:tcW w:w="8421" w:type="dxa"/>
            <w:noWrap w:val="0"/>
            <w:vAlign w:val="center"/>
          </w:tcPr>
          <w:p w14:paraId="0DA03A12">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default"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凡拟参加本次招标项目的投标人，近三年内如在“信用中国（www.creditchina.gov.cn）”被列入失信被执行人、企业经营异常名录、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严重违法失信名单（黑名单）信息（尚在处罚期内的）；将拒绝其参与本次政府采购活动；提供上述网页查询截图并加盖公章，</w:t>
            </w:r>
            <w:r>
              <w:rPr>
                <w:rFonts w:hint="eastAsia" w:ascii="仿宋_GB2312" w:hAnsi="仿宋_GB2312" w:eastAsia="仿宋_GB2312" w:cs="仿宋_GB2312"/>
                <w:kern w:val="2"/>
                <w:sz w:val="26"/>
                <w:szCs w:val="26"/>
                <w:highlight w:val="green"/>
                <w:lang w:val="en-US" w:eastAsia="zh-CN" w:bidi="ar-SA"/>
              </w:rPr>
              <w:t>查询日期必须为此项目公告发布至开标截止时间前一日内有效；</w:t>
            </w:r>
          </w:p>
        </w:tc>
      </w:tr>
      <w:tr w14:paraId="16B3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tcBorders/>
            <w:noWrap w:val="0"/>
            <w:vAlign w:val="center"/>
          </w:tcPr>
          <w:p w14:paraId="422AF1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6A22E2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7</w:t>
            </w:r>
          </w:p>
        </w:tc>
        <w:tc>
          <w:tcPr>
            <w:tcW w:w="8421" w:type="dxa"/>
            <w:noWrap w:val="0"/>
            <w:vAlign w:val="center"/>
          </w:tcPr>
          <w:p w14:paraId="43AEA8E7">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default"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投标人提供针对本次项目《反商业贿赂承诺书》；</w:t>
            </w:r>
          </w:p>
        </w:tc>
      </w:tr>
      <w:tr w14:paraId="7EE7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tcBorders/>
            <w:noWrap w:val="0"/>
            <w:vAlign w:val="center"/>
          </w:tcPr>
          <w:p w14:paraId="7B40D7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2F1C9B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8</w:t>
            </w:r>
          </w:p>
        </w:tc>
        <w:tc>
          <w:tcPr>
            <w:tcW w:w="8421" w:type="dxa"/>
            <w:noWrap w:val="0"/>
            <w:vAlign w:val="center"/>
          </w:tcPr>
          <w:p w14:paraId="51488520">
            <w:pPr>
              <w:pStyle w:val="15"/>
              <w:keepNext w:val="0"/>
              <w:keepLines w:val="0"/>
              <w:pageBreakBefore w:val="0"/>
              <w:widowControl w:val="0"/>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jc w:val="both"/>
              <w:textAlignment w:val="auto"/>
              <w:outlineLvl w:val="2"/>
              <w:rPr>
                <w:rFonts w:hint="default" w:ascii="仿宋" w:hAnsi="仿宋" w:eastAsia="仿宋" w:cs="仿宋"/>
                <w:color w:val="0000FF"/>
                <w:kern w:val="2"/>
                <w:sz w:val="26"/>
                <w:szCs w:val="26"/>
                <w:highlight w:val="none"/>
                <w:lang w:val="en-US" w:eastAsia="zh-CN" w:bidi="ar-SA"/>
              </w:rPr>
            </w:pPr>
            <w:r>
              <w:rPr>
                <w:rFonts w:hint="eastAsia" w:ascii="仿宋_GB2312" w:hAnsi="仿宋_GB2312" w:eastAsia="仿宋_GB2312" w:cs="仿宋_GB2312"/>
                <w:kern w:val="2"/>
                <w:sz w:val="26"/>
                <w:szCs w:val="26"/>
                <w:lang w:val="en-US" w:eastAsia="zh-CN" w:bidi="ar-SA"/>
              </w:rPr>
              <w:t>参加政府采购活动前3年内在经营活动中没有重大违法记录的书面声明；</w:t>
            </w:r>
          </w:p>
        </w:tc>
      </w:tr>
      <w:tr w14:paraId="3C8F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65" w:type="dxa"/>
            <w:vMerge w:val="continue"/>
            <w:tcBorders/>
            <w:noWrap w:val="0"/>
            <w:vAlign w:val="center"/>
          </w:tcPr>
          <w:p w14:paraId="0AF1B7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1E565F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9</w:t>
            </w:r>
          </w:p>
        </w:tc>
        <w:tc>
          <w:tcPr>
            <w:tcW w:w="8421" w:type="dxa"/>
            <w:noWrap w:val="0"/>
            <w:vAlign w:val="center"/>
          </w:tcPr>
          <w:p w14:paraId="7CE20619">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Lines="10" w:beforeAutospacing="0" w:after="0" w:afterLines="10" w:afterAutospacing="0" w:line="290" w:lineRule="exact"/>
              <w:ind w:left="0" w:leftChars="0" w:right="0" w:rightChars="0" w:firstLine="0" w:firstLineChars="0"/>
              <w:jc w:val="both"/>
              <w:textAlignment w:val="auto"/>
              <w:outlineLvl w:val="2"/>
              <w:rPr>
                <w:rFonts w:hint="default" w:ascii="仿宋" w:hAnsi="仿宋" w:eastAsia="仿宋" w:cs="仿宋"/>
                <w:color w:val="auto"/>
                <w:kern w:val="2"/>
                <w:sz w:val="26"/>
                <w:szCs w:val="26"/>
                <w:highlight w:val="none"/>
                <w:lang w:val="en-US" w:eastAsia="zh-CN" w:bidi="ar-SA"/>
              </w:rPr>
            </w:pPr>
            <w:r>
              <w:rPr>
                <w:rFonts w:hint="eastAsia" w:ascii="仿宋_GB2312" w:hAnsi="仿宋_GB2312" w:eastAsia="仿宋_GB2312" w:cs="仿宋_GB2312"/>
                <w:b w:val="0"/>
                <w:bCs w:val="0"/>
                <w:kern w:val="2"/>
                <w:sz w:val="26"/>
                <w:szCs w:val="26"/>
                <w:lang w:val="en-US" w:eastAsia="zh-CN" w:bidi="ar-SA"/>
              </w:rPr>
              <w:t>投标人提供有效期内《食品经营许可证》或《食品流通许可证》或《食品生产许可证》；</w:t>
            </w:r>
          </w:p>
        </w:tc>
      </w:tr>
      <w:tr w14:paraId="38EC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tcBorders/>
            <w:noWrap w:val="0"/>
            <w:vAlign w:val="center"/>
          </w:tcPr>
          <w:p w14:paraId="3DEF8C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76B45E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10</w:t>
            </w:r>
          </w:p>
        </w:tc>
        <w:tc>
          <w:tcPr>
            <w:tcW w:w="8421" w:type="dxa"/>
            <w:noWrap w:val="0"/>
            <w:vAlign w:val="center"/>
          </w:tcPr>
          <w:p w14:paraId="46838D78">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90" w:lineRule="exact"/>
              <w:ind w:left="0" w:leftChars="0" w:right="0" w:rightChars="0" w:firstLine="0" w:firstLineChars="0"/>
              <w:jc w:val="both"/>
              <w:textAlignment w:val="auto"/>
              <w:rPr>
                <w:rFonts w:hint="eastAsia" w:ascii="仿宋_GB2312" w:hAnsi="仿宋_GB2312" w:eastAsia="仿宋_GB2312" w:cs="仿宋_GB2312"/>
                <w:i w:val="0"/>
                <w:iCs w:val="0"/>
                <w:caps w:val="0"/>
                <w:color w:val="000000"/>
                <w:spacing w:val="0"/>
                <w:kern w:val="0"/>
                <w:sz w:val="28"/>
                <w:szCs w:val="28"/>
                <w:lang w:val="en-US" w:eastAsia="zh-CN" w:bidi="ar"/>
              </w:rPr>
            </w:pPr>
            <w:r>
              <w:rPr>
                <w:rFonts w:hint="eastAsia" w:ascii="仿宋_GB2312" w:hAnsi="仿宋_GB2312" w:eastAsia="仿宋_GB2312" w:cs="仿宋_GB2312"/>
                <w:i w:val="0"/>
                <w:iCs w:val="0"/>
                <w:caps w:val="0"/>
                <w:color w:val="000000"/>
                <w:spacing w:val="0"/>
                <w:kern w:val="0"/>
                <w:sz w:val="26"/>
                <w:szCs w:val="26"/>
                <w:lang w:val="en-US" w:eastAsia="zh-CN" w:bidi="ar"/>
              </w:rPr>
              <w:t>投标保证金有效凭证；</w:t>
            </w:r>
          </w:p>
        </w:tc>
      </w:tr>
      <w:tr w14:paraId="6475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tcBorders/>
            <w:noWrap w:val="0"/>
            <w:vAlign w:val="center"/>
          </w:tcPr>
          <w:p w14:paraId="382FF1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rPr>
            </w:pPr>
          </w:p>
        </w:tc>
        <w:tc>
          <w:tcPr>
            <w:tcW w:w="660" w:type="dxa"/>
            <w:noWrap w:val="0"/>
            <w:vAlign w:val="center"/>
          </w:tcPr>
          <w:p w14:paraId="789B97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eastAsia" w:ascii="仿宋" w:hAnsi="仿宋" w:eastAsia="仿宋" w:cs="仿宋"/>
                <w:sz w:val="26"/>
                <w:szCs w:val="26"/>
                <w:lang w:val="en-US" w:eastAsia="zh-CN"/>
              </w:rPr>
            </w:pPr>
            <w:r>
              <w:rPr>
                <w:rFonts w:hint="eastAsia" w:ascii="仿宋_GB2312" w:hAnsi="仿宋_GB2312" w:eastAsia="仿宋_GB2312" w:cs="仿宋_GB2312"/>
                <w:kern w:val="2"/>
                <w:sz w:val="28"/>
                <w:szCs w:val="28"/>
                <w:lang w:val="en-US" w:eastAsia="zh-CN" w:bidi="ar-SA"/>
              </w:rPr>
              <w:t>11</w:t>
            </w:r>
          </w:p>
        </w:tc>
        <w:tc>
          <w:tcPr>
            <w:tcW w:w="8421" w:type="dxa"/>
            <w:noWrap w:val="0"/>
            <w:vAlign w:val="center"/>
          </w:tcPr>
          <w:p w14:paraId="505082E3">
            <w:pPr>
              <w:keepNext w:val="0"/>
              <w:keepLines w:val="0"/>
              <w:pageBreakBefore w:val="0"/>
              <w:widowControl w:val="0"/>
              <w:suppressLineNumbers w:val="0"/>
              <w:kinsoku/>
              <w:wordWrap/>
              <w:overflowPunct/>
              <w:topLinePunct w:val="0"/>
              <w:autoSpaceDE/>
              <w:autoSpaceDN/>
              <w:bidi w:val="0"/>
              <w:adjustRightInd/>
              <w:snapToGrid/>
              <w:spacing w:before="0" w:beforeLines="10" w:beforeAutospacing="0" w:after="0" w:afterLines="10" w:afterAutospacing="0" w:line="290" w:lineRule="exact"/>
              <w:ind w:left="0" w:leftChars="0" w:right="0" w:rightChars="0" w:firstLine="0" w:firstLineChars="0"/>
              <w:jc w:val="both"/>
              <w:textAlignment w:val="auto"/>
              <w:rPr>
                <w:rFonts w:hint="eastAsia" w:ascii="仿宋_GB2312" w:hAnsi="仿宋_GB2312" w:eastAsia="仿宋_GB2312" w:cs="仿宋_GB2312"/>
                <w:i w:val="0"/>
                <w:iCs w:val="0"/>
                <w:caps w:val="0"/>
                <w:color w:val="000000"/>
                <w:spacing w:val="0"/>
                <w:kern w:val="0"/>
                <w:sz w:val="26"/>
                <w:szCs w:val="26"/>
                <w:lang w:val="en-US" w:eastAsia="zh-CN" w:bidi="ar"/>
              </w:rPr>
            </w:pPr>
            <w:r>
              <w:rPr>
                <w:rFonts w:hint="eastAsia" w:ascii="仿宋_GB2312" w:hAnsi="仿宋_GB2312" w:eastAsia="仿宋_GB2312" w:cs="仿宋_GB2312"/>
                <w:kern w:val="2"/>
                <w:sz w:val="28"/>
                <w:szCs w:val="28"/>
                <w:lang w:val="en-US" w:eastAsia="zh-CN" w:bidi="ar-SA"/>
              </w:rPr>
              <w:t>落实政府采购政策需满足的资格要求：本项目专门面向中小微企业采购，不再执行价格评审优惠政策。请根据要求单独上传《中小企业声明函》，格式以采购文件中要求为准。</w:t>
            </w:r>
          </w:p>
        </w:tc>
      </w:tr>
      <w:tr w14:paraId="4CD8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25" w:type="dxa"/>
            <w:gridSpan w:val="2"/>
            <w:noWrap w:val="0"/>
            <w:vAlign w:val="top"/>
          </w:tcPr>
          <w:p w14:paraId="13C28C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90" w:lineRule="exact"/>
              <w:ind w:left="0" w:right="0"/>
              <w:jc w:val="center"/>
              <w:textAlignment w:val="auto"/>
              <w:rPr>
                <w:rFonts w:hint="default" w:ascii="仿宋" w:hAnsi="仿宋" w:eastAsia="仿宋" w:cs="仿宋"/>
                <w:sz w:val="26"/>
                <w:szCs w:val="26"/>
                <w:lang w:val="en-US" w:eastAsia="zh-CN"/>
              </w:rPr>
            </w:pPr>
            <w:r>
              <w:rPr>
                <w:rFonts w:hint="eastAsia" w:ascii="仿宋_GB2312" w:hAnsi="仿宋_GB2312" w:eastAsia="仿宋_GB2312" w:cs="仿宋_GB2312"/>
                <w:i w:val="0"/>
                <w:iCs w:val="0"/>
                <w:caps w:val="0"/>
                <w:color w:val="000000"/>
                <w:spacing w:val="0"/>
                <w:kern w:val="0"/>
                <w:sz w:val="26"/>
                <w:szCs w:val="26"/>
                <w:lang w:val="en-US" w:eastAsia="zh-CN" w:bidi="ar"/>
              </w:rPr>
              <w:t>结论</w:t>
            </w:r>
          </w:p>
        </w:tc>
        <w:tc>
          <w:tcPr>
            <w:tcW w:w="8421" w:type="dxa"/>
            <w:noWrap w:val="0"/>
            <w:vAlign w:val="center"/>
          </w:tcPr>
          <w:p w14:paraId="61264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90" w:lineRule="exact"/>
              <w:ind w:left="0" w:right="0"/>
              <w:jc w:val="left"/>
              <w:textAlignment w:val="auto"/>
              <w:rPr>
                <w:rFonts w:hint="eastAsia" w:ascii="仿宋" w:hAnsi="仿宋" w:eastAsia="仿宋" w:cs="仿宋"/>
                <w:color w:val="auto"/>
                <w:kern w:val="0"/>
                <w:sz w:val="26"/>
                <w:szCs w:val="26"/>
                <w:highlight w:val="none"/>
              </w:rPr>
            </w:pPr>
          </w:p>
        </w:tc>
      </w:tr>
    </w:tbl>
    <w:p w14:paraId="25E70552">
      <w:pPr>
        <w:rPr>
          <w:rFonts w:hint="eastAsia" w:ascii="仿宋" w:hAnsi="仿宋" w:eastAsia="仿宋" w:cs="仿宋"/>
          <w:b/>
          <w:sz w:val="26"/>
          <w:szCs w:val="26"/>
        </w:rPr>
      </w:pPr>
    </w:p>
    <w:p w14:paraId="05987E46">
      <w:pPr>
        <w:keepNext w:val="0"/>
        <w:keepLines w:val="0"/>
        <w:pageBreakBefore w:val="0"/>
        <w:widowControl w:val="0"/>
        <w:kinsoku/>
        <w:wordWrap/>
        <w:overflowPunct/>
        <w:topLinePunct w:val="0"/>
        <w:autoSpaceDE/>
        <w:autoSpaceDN/>
        <w:bidi w:val="0"/>
        <w:adjustRightInd/>
        <w:snapToGrid/>
        <w:spacing w:beforeLines="10" w:afterLines="10" w:line="250" w:lineRule="exact"/>
        <w:ind w:left="0" w:leftChars="0" w:right="0" w:rightChars="0" w:firstLine="0" w:firstLineChars="0"/>
        <w:jc w:val="both"/>
        <w:textAlignment w:val="auto"/>
        <w:rPr>
          <w:rFonts w:hint="eastAsia" w:ascii="仿宋_GB2312" w:hAnsi="仿宋_GB2312" w:eastAsia="仿宋_GB2312" w:cs="仿宋_GB2312"/>
          <w:b/>
          <w:bCs/>
          <w:i w:val="0"/>
          <w:iCs w:val="0"/>
          <w:caps w:val="0"/>
          <w:color w:val="000000"/>
          <w:spacing w:val="0"/>
          <w:kern w:val="0"/>
          <w:sz w:val="22"/>
          <w:szCs w:val="22"/>
          <w:lang w:val="en-US" w:eastAsia="zh-CN" w:bidi="ar"/>
        </w:rPr>
      </w:pPr>
      <w:r>
        <w:rPr>
          <w:rFonts w:hint="eastAsia" w:ascii="仿宋_GB2312" w:hAnsi="仿宋_GB2312" w:eastAsia="仿宋_GB2312" w:cs="仿宋_GB2312"/>
          <w:b/>
          <w:bCs/>
          <w:i w:val="0"/>
          <w:iCs w:val="0"/>
          <w:caps w:val="0"/>
          <w:color w:val="000000"/>
          <w:spacing w:val="0"/>
          <w:kern w:val="0"/>
          <w:sz w:val="22"/>
          <w:szCs w:val="22"/>
          <w:lang w:val="en-US" w:eastAsia="zh-CN" w:bidi="ar"/>
        </w:rPr>
        <w:t>备注：</w:t>
      </w:r>
    </w:p>
    <w:p w14:paraId="1EDAB454">
      <w:pPr>
        <w:keepNext w:val="0"/>
        <w:keepLines w:val="0"/>
        <w:pageBreakBefore w:val="0"/>
        <w:widowControl w:val="0"/>
        <w:kinsoku/>
        <w:wordWrap/>
        <w:overflowPunct/>
        <w:topLinePunct w:val="0"/>
        <w:autoSpaceDE/>
        <w:autoSpaceDN/>
        <w:bidi w:val="0"/>
        <w:adjustRightInd/>
        <w:snapToGrid/>
        <w:spacing w:beforeLines="10" w:afterLines="10" w:line="250" w:lineRule="exact"/>
        <w:ind w:left="0" w:leftChars="0" w:right="0" w:rightChars="0" w:firstLine="221" w:firstLineChars="100"/>
        <w:jc w:val="both"/>
        <w:textAlignment w:val="auto"/>
        <w:rPr>
          <w:rFonts w:hint="eastAsia" w:ascii="仿宋_GB2312" w:hAnsi="仿宋_GB2312" w:eastAsia="仿宋_GB2312" w:cs="仿宋_GB2312"/>
          <w:b/>
          <w:bCs/>
          <w:i w:val="0"/>
          <w:iCs w:val="0"/>
          <w:caps w:val="0"/>
          <w:color w:val="000000"/>
          <w:spacing w:val="0"/>
          <w:kern w:val="0"/>
          <w:sz w:val="22"/>
          <w:szCs w:val="22"/>
          <w:lang w:val="en-US" w:eastAsia="zh-CN" w:bidi="ar"/>
        </w:rPr>
      </w:pPr>
      <w:r>
        <w:rPr>
          <w:rFonts w:hint="eastAsia" w:ascii="仿宋_GB2312" w:hAnsi="仿宋_GB2312" w:eastAsia="仿宋_GB2312" w:cs="仿宋_GB2312"/>
          <w:b/>
          <w:bCs/>
          <w:i w:val="0"/>
          <w:iCs w:val="0"/>
          <w:caps w:val="0"/>
          <w:color w:val="000000"/>
          <w:spacing w:val="0"/>
          <w:kern w:val="0"/>
          <w:sz w:val="22"/>
          <w:szCs w:val="22"/>
          <w:lang w:val="en-US" w:eastAsia="zh-CN" w:bidi="ar"/>
        </w:rPr>
        <w:t>1.本表与招标文件中相关评审条款内容不一致的，以本表内容为准。</w:t>
      </w:r>
    </w:p>
    <w:p w14:paraId="7D9F3B31">
      <w:pPr>
        <w:keepNext w:val="0"/>
        <w:keepLines w:val="0"/>
        <w:pageBreakBefore w:val="0"/>
        <w:widowControl w:val="0"/>
        <w:kinsoku/>
        <w:wordWrap/>
        <w:overflowPunct/>
        <w:topLinePunct w:val="0"/>
        <w:autoSpaceDE/>
        <w:autoSpaceDN/>
        <w:bidi w:val="0"/>
        <w:adjustRightInd/>
        <w:snapToGrid/>
        <w:spacing w:beforeLines="10" w:afterLines="10" w:line="250" w:lineRule="exact"/>
        <w:ind w:left="0" w:leftChars="0" w:right="0" w:rightChars="0" w:firstLine="221" w:firstLineChars="100"/>
        <w:jc w:val="both"/>
        <w:textAlignment w:val="auto"/>
        <w:rPr>
          <w:rFonts w:hint="eastAsia" w:ascii="仿宋_GB2312" w:hAnsi="仿宋_GB2312" w:eastAsia="仿宋_GB2312" w:cs="仿宋_GB2312"/>
          <w:b/>
          <w:bCs/>
          <w:i w:val="0"/>
          <w:iCs w:val="0"/>
          <w:caps w:val="0"/>
          <w:color w:val="000000"/>
          <w:spacing w:val="0"/>
          <w:kern w:val="0"/>
          <w:sz w:val="22"/>
          <w:szCs w:val="22"/>
          <w:lang w:val="en-US" w:eastAsia="zh-CN" w:bidi="ar"/>
        </w:rPr>
      </w:pPr>
      <w:r>
        <w:rPr>
          <w:rFonts w:hint="eastAsia" w:ascii="仿宋_GB2312" w:hAnsi="仿宋_GB2312" w:eastAsia="仿宋_GB2312" w:cs="仿宋_GB2312"/>
          <w:b/>
          <w:bCs/>
          <w:i w:val="0"/>
          <w:iCs w:val="0"/>
          <w:caps w:val="0"/>
          <w:color w:val="000000"/>
          <w:spacing w:val="0"/>
          <w:kern w:val="0"/>
          <w:sz w:val="22"/>
          <w:szCs w:val="22"/>
          <w:lang w:val="en-US" w:eastAsia="zh-CN" w:bidi="ar"/>
        </w:rPr>
        <w:t>2.每一项符合的打“√”，不符合的打“×”。</w:t>
      </w:r>
    </w:p>
    <w:p w14:paraId="00E7E626">
      <w:pPr>
        <w:keepNext w:val="0"/>
        <w:keepLines w:val="0"/>
        <w:pageBreakBefore w:val="0"/>
        <w:widowControl w:val="0"/>
        <w:kinsoku/>
        <w:wordWrap/>
        <w:overflowPunct/>
        <w:topLinePunct w:val="0"/>
        <w:autoSpaceDE/>
        <w:autoSpaceDN/>
        <w:bidi w:val="0"/>
        <w:adjustRightInd/>
        <w:snapToGrid/>
        <w:spacing w:beforeLines="10" w:afterLines="10" w:line="250" w:lineRule="exact"/>
        <w:ind w:left="0" w:leftChars="0" w:right="0" w:rightChars="0" w:firstLine="221" w:firstLineChars="100"/>
        <w:jc w:val="both"/>
        <w:textAlignment w:val="auto"/>
        <w:rPr>
          <w:rFonts w:hint="eastAsia" w:ascii="仿宋_GB2312" w:hAnsi="仿宋_GB2312" w:eastAsia="仿宋_GB2312" w:cs="仿宋_GB2312"/>
          <w:b/>
          <w:bCs/>
          <w:i w:val="0"/>
          <w:iCs w:val="0"/>
          <w:caps w:val="0"/>
          <w:color w:val="000000"/>
          <w:spacing w:val="0"/>
          <w:kern w:val="0"/>
          <w:sz w:val="22"/>
          <w:szCs w:val="22"/>
          <w:lang w:val="en-US" w:eastAsia="zh-CN" w:bidi="ar"/>
        </w:rPr>
      </w:pPr>
      <w:r>
        <w:rPr>
          <w:rFonts w:hint="eastAsia" w:ascii="仿宋_GB2312" w:hAnsi="仿宋_GB2312" w:eastAsia="仿宋_GB2312" w:cs="仿宋_GB2312"/>
          <w:b/>
          <w:bCs/>
          <w:i w:val="0"/>
          <w:iCs w:val="0"/>
          <w:caps w:val="0"/>
          <w:color w:val="000000"/>
          <w:spacing w:val="0"/>
          <w:kern w:val="0"/>
          <w:sz w:val="22"/>
          <w:szCs w:val="22"/>
          <w:lang w:val="en-US" w:eastAsia="zh-CN" w:bidi="ar"/>
        </w:rPr>
        <w:t>3.“结论”一栏填写“通过”或“不通过”；任何一项出现“×”的，结论为不通过。</w:t>
      </w:r>
    </w:p>
    <w:p w14:paraId="283CF8A2">
      <w:pPr>
        <w:keepNext w:val="0"/>
        <w:keepLines w:val="0"/>
        <w:pageBreakBefore w:val="0"/>
        <w:widowControl w:val="0"/>
        <w:kinsoku/>
        <w:wordWrap/>
        <w:overflowPunct/>
        <w:topLinePunct w:val="0"/>
        <w:autoSpaceDE/>
        <w:autoSpaceDN/>
        <w:bidi w:val="0"/>
        <w:adjustRightInd/>
        <w:snapToGrid/>
        <w:spacing w:beforeLines="10" w:afterLines="10" w:line="250" w:lineRule="exact"/>
        <w:ind w:left="0" w:leftChars="0" w:right="0" w:rightChars="0" w:firstLine="221" w:firstLineChars="100"/>
        <w:jc w:val="both"/>
        <w:textAlignment w:val="auto"/>
        <w:rPr>
          <w:rFonts w:hint="eastAsia" w:ascii="仿宋_GB2312" w:hAnsi="仿宋_GB2312" w:eastAsia="仿宋_GB2312" w:cs="仿宋_GB2312"/>
          <w:b/>
          <w:bCs/>
          <w:i w:val="0"/>
          <w:iCs w:val="0"/>
          <w:caps w:val="0"/>
          <w:color w:val="000000"/>
          <w:spacing w:val="0"/>
          <w:kern w:val="0"/>
          <w:sz w:val="22"/>
          <w:szCs w:val="22"/>
          <w:lang w:val="en-US" w:eastAsia="zh-CN" w:bidi="ar"/>
        </w:rPr>
      </w:pPr>
      <w:r>
        <w:rPr>
          <w:rFonts w:hint="eastAsia" w:ascii="仿宋_GB2312" w:hAnsi="仿宋_GB2312" w:eastAsia="仿宋_GB2312" w:cs="仿宋_GB2312"/>
          <w:b/>
          <w:bCs/>
          <w:i w:val="0"/>
          <w:iCs w:val="0"/>
          <w:caps w:val="0"/>
          <w:color w:val="000000"/>
          <w:spacing w:val="0"/>
          <w:kern w:val="0"/>
          <w:sz w:val="22"/>
          <w:szCs w:val="22"/>
          <w:lang w:val="en-US" w:eastAsia="zh-CN" w:bidi="ar"/>
        </w:rPr>
        <w:t>4.汇总时出现不同意见的，资格审查小组按少数服从多数原则表决决定。</w:t>
      </w:r>
    </w:p>
    <w:p w14:paraId="77DE3F72">
      <w:pPr>
        <w:keepNext w:val="0"/>
        <w:keepLines w:val="0"/>
        <w:pageBreakBefore w:val="0"/>
        <w:widowControl w:val="0"/>
        <w:kinsoku/>
        <w:wordWrap/>
        <w:overflowPunct/>
        <w:topLinePunct w:val="0"/>
        <w:autoSpaceDE/>
        <w:autoSpaceDN/>
        <w:bidi w:val="0"/>
        <w:adjustRightInd/>
        <w:snapToGrid/>
        <w:spacing w:beforeLines="10" w:afterLines="10" w:line="250" w:lineRule="exact"/>
        <w:ind w:left="0" w:leftChars="0" w:right="0" w:rightChars="0" w:firstLine="221" w:firstLineChars="100"/>
        <w:jc w:val="both"/>
        <w:textAlignment w:val="auto"/>
        <w:rPr>
          <w:rFonts w:hint="eastAsia" w:ascii="仿宋_GB2312" w:hAnsi="仿宋_GB2312" w:eastAsia="仿宋_GB2312" w:cs="仿宋_GB2312"/>
          <w:b/>
          <w:bCs/>
          <w:i w:val="0"/>
          <w:iCs w:val="0"/>
          <w:caps w:val="0"/>
          <w:color w:val="000000"/>
          <w:spacing w:val="0"/>
          <w:kern w:val="0"/>
          <w:sz w:val="22"/>
          <w:szCs w:val="22"/>
          <w:lang w:val="en-US" w:eastAsia="zh-CN" w:bidi="ar"/>
        </w:rPr>
      </w:pPr>
      <w:r>
        <w:rPr>
          <w:rFonts w:hint="eastAsia" w:ascii="仿宋_GB2312" w:hAnsi="仿宋_GB2312" w:eastAsia="仿宋_GB2312" w:cs="仿宋_GB2312"/>
          <w:b/>
          <w:bCs/>
          <w:i w:val="0"/>
          <w:iCs w:val="0"/>
          <w:caps w:val="0"/>
          <w:color w:val="000000"/>
          <w:spacing w:val="0"/>
          <w:kern w:val="0"/>
          <w:sz w:val="22"/>
          <w:szCs w:val="22"/>
          <w:lang w:val="en-US" w:eastAsia="zh-CN" w:bidi="ar"/>
        </w:rPr>
        <w:t>5.未通过资格审查的供应商不进入评标；通过资格审查的供应商少于不足三家的，不得评标。</w:t>
      </w:r>
    </w:p>
    <w:p w14:paraId="6604B298">
      <w:pPr>
        <w:pStyle w:val="4"/>
        <w:ind w:left="0" w:leftChars="0" w:firstLine="0" w:firstLineChars="0"/>
        <w:jc w:val="center"/>
        <w:rPr>
          <w:rFonts w:hint="eastAsia" w:ascii="仿宋_GB2312" w:hAnsi="仿宋_GB2312" w:eastAsia="仿宋_GB2312" w:cs="仿宋_GB2312"/>
          <w:b/>
          <w:bCs/>
          <w:i w:val="0"/>
          <w:iCs w:val="0"/>
          <w:caps w:val="0"/>
          <w:color w:val="000000"/>
          <w:spacing w:val="0"/>
          <w:kern w:val="0"/>
          <w:sz w:val="28"/>
          <w:szCs w:val="28"/>
          <w:lang w:val="en-US" w:eastAsia="zh-CN" w:bidi="ar"/>
        </w:rPr>
      </w:pPr>
    </w:p>
    <w:p w14:paraId="3F92C32A">
      <w:pPr>
        <w:pStyle w:val="4"/>
        <w:ind w:left="0" w:leftChars="0" w:firstLine="0" w:firstLineChars="0"/>
        <w:jc w:val="center"/>
        <w:rPr>
          <w:rFonts w:hint="eastAsia" w:ascii="仿宋_GB2312" w:hAnsi="仿宋_GB2312" w:eastAsia="仿宋_GB2312" w:cs="仿宋_GB2312"/>
          <w:b/>
          <w:bCs/>
          <w:i w:val="0"/>
          <w:iCs w:val="0"/>
          <w:caps w:val="0"/>
          <w:color w:val="000000"/>
          <w:spacing w:val="0"/>
          <w:kern w:val="0"/>
          <w:sz w:val="28"/>
          <w:szCs w:val="28"/>
          <w:lang w:val="en-US" w:eastAsia="zh-CN" w:bidi="ar"/>
        </w:rPr>
      </w:pPr>
    </w:p>
    <w:p w14:paraId="1ED1AF1F">
      <w:pPr>
        <w:pStyle w:val="4"/>
        <w:ind w:left="0" w:leftChars="0" w:firstLine="0" w:firstLineChars="0"/>
        <w:jc w:val="center"/>
        <w:rPr>
          <w:rFonts w:hint="eastAsia" w:ascii="仿宋_GB2312" w:hAnsi="仿宋_GB2312" w:eastAsia="仿宋_GB2312" w:cs="仿宋_GB2312"/>
          <w:b/>
          <w:bCs/>
          <w:i w:val="0"/>
          <w:iCs w:val="0"/>
          <w:caps w:val="0"/>
          <w:color w:val="000000"/>
          <w:spacing w:val="0"/>
          <w:kern w:val="0"/>
          <w:sz w:val="28"/>
          <w:szCs w:val="28"/>
          <w:lang w:val="en-US" w:eastAsia="zh-CN" w:bidi="ar"/>
        </w:rPr>
      </w:pPr>
    </w:p>
    <w:p w14:paraId="15A0BBBD">
      <w:pPr>
        <w:pStyle w:val="4"/>
        <w:ind w:left="0" w:leftChars="0" w:firstLine="0" w:firstLineChars="0"/>
        <w:jc w:val="center"/>
        <w:rPr>
          <w:rFonts w:hint="eastAsia" w:ascii="仿宋_GB2312" w:hAnsi="仿宋_GB2312" w:eastAsia="仿宋_GB2312" w:cs="仿宋_GB2312"/>
          <w:b/>
          <w:bCs/>
          <w:i w:val="0"/>
          <w:iCs w:val="0"/>
          <w:caps w:val="0"/>
          <w:color w:val="000000"/>
          <w:spacing w:val="0"/>
          <w:kern w:val="0"/>
          <w:sz w:val="28"/>
          <w:szCs w:val="28"/>
          <w:lang w:val="en-US" w:eastAsia="zh-CN" w:bidi="ar"/>
        </w:rPr>
      </w:pPr>
    </w:p>
    <w:p w14:paraId="044D0617">
      <w:pPr>
        <w:pStyle w:val="4"/>
        <w:ind w:left="0" w:leftChars="0" w:firstLine="0" w:firstLineChars="0"/>
        <w:jc w:val="center"/>
        <w:rPr>
          <w:rFonts w:hint="eastAsia" w:ascii="仿宋_GB2312" w:hAnsi="仿宋_GB2312" w:eastAsia="仿宋_GB2312" w:cs="仿宋_GB2312"/>
          <w:b/>
          <w:bCs/>
          <w:i w:val="0"/>
          <w:iCs w:val="0"/>
          <w:caps w:val="0"/>
          <w:color w:val="000000"/>
          <w:spacing w:val="0"/>
          <w:kern w:val="0"/>
          <w:sz w:val="28"/>
          <w:szCs w:val="28"/>
          <w:lang w:val="en-US" w:eastAsia="zh-CN" w:bidi="ar"/>
        </w:rPr>
      </w:pPr>
    </w:p>
    <w:p w14:paraId="7D08A371">
      <w:pPr>
        <w:pStyle w:val="4"/>
        <w:ind w:left="0" w:leftChars="0" w:firstLine="0" w:firstLineChars="0"/>
        <w:jc w:val="center"/>
        <w:rPr>
          <w:rFonts w:hint="eastAsia" w:ascii="仿宋_GB2312" w:hAnsi="仿宋_GB2312" w:eastAsia="仿宋_GB2312" w:cs="仿宋_GB2312"/>
          <w:b/>
          <w:bCs/>
          <w:i w:val="0"/>
          <w:iCs w:val="0"/>
          <w:caps w:val="0"/>
          <w:color w:val="000000"/>
          <w:spacing w:val="0"/>
          <w:kern w:val="0"/>
          <w:sz w:val="28"/>
          <w:szCs w:val="28"/>
          <w:lang w:val="en-US" w:eastAsia="zh-CN" w:bidi="ar"/>
        </w:rPr>
      </w:pPr>
    </w:p>
    <w:p w14:paraId="7B099DD7">
      <w:pPr>
        <w:pStyle w:val="4"/>
        <w:ind w:left="0" w:leftChars="0" w:firstLine="0" w:firstLineChars="0"/>
        <w:jc w:val="center"/>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8"/>
          <w:szCs w:val="28"/>
          <w:lang w:val="en-US" w:eastAsia="zh-CN" w:bidi="ar"/>
        </w:rPr>
        <w:t>初步评审标准—符合性审查</w:t>
      </w:r>
    </w:p>
    <w:p w14:paraId="5C6E2F1B">
      <w:pPr>
        <w:pStyle w:val="5"/>
        <w:rPr>
          <w:rFonts w:hint="eastAsia"/>
        </w:rPr>
      </w:pPr>
    </w:p>
    <w:p w14:paraId="65418748">
      <w:pPr>
        <w:rPr>
          <w:rFonts w:hint="eastAsia"/>
        </w:rPr>
      </w:pPr>
    </w:p>
    <w:tbl>
      <w:tblPr>
        <w:tblStyle w:val="25"/>
        <w:tblW w:w="10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660"/>
        <w:gridCol w:w="8421"/>
      </w:tblGrid>
      <w:tr w14:paraId="0AF9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25" w:type="dxa"/>
            <w:gridSpan w:val="2"/>
            <w:noWrap w:val="0"/>
            <w:vAlign w:val="center"/>
          </w:tcPr>
          <w:p w14:paraId="29459B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条款号</w:t>
            </w:r>
          </w:p>
        </w:tc>
        <w:tc>
          <w:tcPr>
            <w:tcW w:w="8421" w:type="dxa"/>
            <w:noWrap w:val="0"/>
            <w:vAlign w:val="center"/>
          </w:tcPr>
          <w:p w14:paraId="00DD5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评审标准</w:t>
            </w:r>
          </w:p>
        </w:tc>
      </w:tr>
      <w:tr w14:paraId="0AAC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restart"/>
            <w:noWrap w:val="0"/>
            <w:vAlign w:val="center"/>
          </w:tcPr>
          <w:p w14:paraId="30F9E0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符合性审查</w:t>
            </w:r>
          </w:p>
        </w:tc>
        <w:tc>
          <w:tcPr>
            <w:tcW w:w="660" w:type="dxa"/>
            <w:noWrap w:val="0"/>
            <w:vAlign w:val="center"/>
          </w:tcPr>
          <w:p w14:paraId="72F207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w:t>
            </w:r>
          </w:p>
        </w:tc>
        <w:tc>
          <w:tcPr>
            <w:tcW w:w="8421" w:type="dxa"/>
            <w:noWrap w:val="0"/>
            <w:vAlign w:val="center"/>
          </w:tcPr>
          <w:p w14:paraId="7CDF97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响应文件格式符合招标文件要求</w:t>
            </w:r>
          </w:p>
        </w:tc>
      </w:tr>
      <w:tr w14:paraId="5D64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noWrap w:val="0"/>
            <w:vAlign w:val="top"/>
          </w:tcPr>
          <w:p w14:paraId="009D8F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tc>
        <w:tc>
          <w:tcPr>
            <w:tcW w:w="660" w:type="dxa"/>
            <w:noWrap w:val="0"/>
            <w:vAlign w:val="center"/>
          </w:tcPr>
          <w:p w14:paraId="53BE4F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w:t>
            </w:r>
          </w:p>
        </w:tc>
        <w:tc>
          <w:tcPr>
            <w:tcW w:w="8421" w:type="dxa"/>
            <w:noWrap w:val="0"/>
            <w:vAlign w:val="center"/>
          </w:tcPr>
          <w:p w14:paraId="72CAA6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响应文件的签名盖章符合招标文件要求</w:t>
            </w:r>
          </w:p>
        </w:tc>
      </w:tr>
      <w:tr w14:paraId="6CE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noWrap w:val="0"/>
            <w:vAlign w:val="top"/>
          </w:tcPr>
          <w:p w14:paraId="3C3D98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tc>
        <w:tc>
          <w:tcPr>
            <w:tcW w:w="660" w:type="dxa"/>
            <w:noWrap w:val="0"/>
            <w:vAlign w:val="center"/>
          </w:tcPr>
          <w:p w14:paraId="55F7E6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w:t>
            </w:r>
          </w:p>
        </w:tc>
        <w:tc>
          <w:tcPr>
            <w:tcW w:w="8421" w:type="dxa"/>
            <w:noWrap w:val="0"/>
            <w:vAlign w:val="center"/>
          </w:tcPr>
          <w:p w14:paraId="578CB9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投标有效期符合招标文件要求</w:t>
            </w:r>
          </w:p>
        </w:tc>
      </w:tr>
      <w:tr w14:paraId="7A89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noWrap w:val="0"/>
            <w:vAlign w:val="top"/>
          </w:tcPr>
          <w:p w14:paraId="60A498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tc>
        <w:tc>
          <w:tcPr>
            <w:tcW w:w="660" w:type="dxa"/>
            <w:noWrap w:val="0"/>
            <w:vAlign w:val="center"/>
          </w:tcPr>
          <w:p w14:paraId="64EA01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w:t>
            </w:r>
          </w:p>
        </w:tc>
        <w:tc>
          <w:tcPr>
            <w:tcW w:w="8421" w:type="dxa"/>
            <w:noWrap w:val="0"/>
            <w:vAlign w:val="center"/>
          </w:tcPr>
          <w:p w14:paraId="73F64A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供货期符合招标文件要求</w:t>
            </w:r>
          </w:p>
        </w:tc>
      </w:tr>
      <w:tr w14:paraId="3E80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noWrap w:val="0"/>
            <w:vAlign w:val="top"/>
          </w:tcPr>
          <w:p w14:paraId="4066D9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tc>
        <w:tc>
          <w:tcPr>
            <w:tcW w:w="660" w:type="dxa"/>
            <w:noWrap w:val="0"/>
            <w:vAlign w:val="center"/>
          </w:tcPr>
          <w:p w14:paraId="6E359F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w:t>
            </w:r>
          </w:p>
        </w:tc>
        <w:tc>
          <w:tcPr>
            <w:tcW w:w="8421" w:type="dxa"/>
            <w:noWrap w:val="0"/>
            <w:vAlign w:val="center"/>
          </w:tcPr>
          <w:p w14:paraId="4F10C1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质量目标符合招标文件要求</w:t>
            </w:r>
          </w:p>
        </w:tc>
      </w:tr>
      <w:tr w14:paraId="5D94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noWrap w:val="0"/>
            <w:vAlign w:val="top"/>
          </w:tcPr>
          <w:p w14:paraId="52C730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tc>
        <w:tc>
          <w:tcPr>
            <w:tcW w:w="660" w:type="dxa"/>
            <w:noWrap w:val="0"/>
            <w:vAlign w:val="center"/>
          </w:tcPr>
          <w:p w14:paraId="18E96D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6</w:t>
            </w:r>
          </w:p>
        </w:tc>
        <w:tc>
          <w:tcPr>
            <w:tcW w:w="8421" w:type="dxa"/>
            <w:noWrap w:val="0"/>
            <w:vAlign w:val="center"/>
          </w:tcPr>
          <w:p w14:paraId="1D7AB1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按照招标文件规定报价且没有漏项</w:t>
            </w:r>
          </w:p>
        </w:tc>
      </w:tr>
      <w:tr w14:paraId="05B7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noWrap w:val="0"/>
            <w:vAlign w:val="top"/>
          </w:tcPr>
          <w:p w14:paraId="3A99E6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tc>
        <w:tc>
          <w:tcPr>
            <w:tcW w:w="660" w:type="dxa"/>
            <w:noWrap w:val="0"/>
            <w:vAlign w:val="center"/>
          </w:tcPr>
          <w:p w14:paraId="179C19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7</w:t>
            </w:r>
          </w:p>
        </w:tc>
        <w:tc>
          <w:tcPr>
            <w:tcW w:w="8421" w:type="dxa"/>
            <w:noWrap w:val="0"/>
            <w:vAlign w:val="center"/>
          </w:tcPr>
          <w:p w14:paraId="4AA13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投标文件附有采购人不能接受的其他条件；</w:t>
            </w:r>
          </w:p>
        </w:tc>
      </w:tr>
      <w:tr w14:paraId="2772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65" w:type="dxa"/>
            <w:vMerge w:val="continue"/>
            <w:noWrap w:val="0"/>
            <w:vAlign w:val="top"/>
          </w:tcPr>
          <w:p w14:paraId="744068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tc>
        <w:tc>
          <w:tcPr>
            <w:tcW w:w="660" w:type="dxa"/>
            <w:noWrap w:val="0"/>
            <w:vAlign w:val="center"/>
          </w:tcPr>
          <w:p w14:paraId="038C69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8</w:t>
            </w:r>
          </w:p>
        </w:tc>
        <w:tc>
          <w:tcPr>
            <w:tcW w:w="8421" w:type="dxa"/>
            <w:noWrap w:val="0"/>
            <w:vAlign w:val="center"/>
          </w:tcPr>
          <w:p w14:paraId="0971AC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不符合法律、法规和招标文件规定的其他实质性要求</w:t>
            </w:r>
          </w:p>
        </w:tc>
      </w:tr>
      <w:tr w14:paraId="76D8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25" w:type="dxa"/>
            <w:gridSpan w:val="2"/>
            <w:noWrap w:val="0"/>
            <w:vAlign w:val="top"/>
          </w:tcPr>
          <w:p w14:paraId="3B0573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结论</w:t>
            </w:r>
          </w:p>
        </w:tc>
        <w:tc>
          <w:tcPr>
            <w:tcW w:w="8421" w:type="dxa"/>
            <w:noWrap w:val="0"/>
            <w:vAlign w:val="center"/>
          </w:tcPr>
          <w:p w14:paraId="1C4C5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color w:val="auto"/>
                <w:kern w:val="0"/>
                <w:sz w:val="26"/>
                <w:szCs w:val="26"/>
                <w:highlight w:val="none"/>
              </w:rPr>
            </w:pPr>
          </w:p>
        </w:tc>
      </w:tr>
    </w:tbl>
    <w:p w14:paraId="1C5C8205">
      <w:pPr>
        <w:ind w:firstLine="422" w:firstLineChars="200"/>
        <w:rPr>
          <w:rFonts w:hint="eastAsia" w:ascii="仿宋" w:hAnsi="仿宋" w:eastAsia="仿宋" w:cs="仿宋"/>
          <w:b/>
          <w:szCs w:val="32"/>
        </w:rPr>
      </w:pPr>
    </w:p>
    <w:p w14:paraId="020CA1F6">
      <w:pPr>
        <w:rPr>
          <w:rFonts w:hint="eastAsia" w:ascii="仿宋" w:hAnsi="仿宋" w:eastAsia="仿宋" w:cs="仿宋"/>
          <w:b/>
          <w:szCs w:val="32"/>
        </w:rPr>
      </w:pPr>
    </w:p>
    <w:p w14:paraId="1CCD537D">
      <w:pPr>
        <w:ind w:firstLine="422" w:firstLineChars="200"/>
        <w:rPr>
          <w:rFonts w:hint="eastAsia" w:ascii="仿宋" w:hAnsi="仿宋" w:eastAsia="仿宋" w:cs="仿宋"/>
          <w:b/>
          <w:szCs w:val="32"/>
        </w:rPr>
      </w:pPr>
    </w:p>
    <w:p w14:paraId="43EAF9C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i w:val="0"/>
          <w:iCs w:val="0"/>
          <w:caps w:val="0"/>
          <w:color w:val="000000"/>
          <w:spacing w:val="0"/>
          <w:kern w:val="0"/>
          <w:sz w:val="21"/>
          <w:szCs w:val="21"/>
          <w:lang w:val="en-US" w:eastAsia="zh-CN" w:bidi="ar"/>
        </w:rPr>
      </w:pPr>
      <w:r>
        <w:rPr>
          <w:rFonts w:hint="eastAsia" w:ascii="仿宋_GB2312" w:hAnsi="仿宋_GB2312" w:eastAsia="仿宋_GB2312" w:cs="仿宋_GB2312"/>
          <w:b/>
          <w:bCs/>
          <w:i w:val="0"/>
          <w:iCs w:val="0"/>
          <w:caps w:val="0"/>
          <w:color w:val="000000"/>
          <w:spacing w:val="0"/>
          <w:kern w:val="0"/>
          <w:sz w:val="21"/>
          <w:szCs w:val="21"/>
          <w:lang w:val="en-US" w:eastAsia="zh-CN" w:bidi="ar"/>
        </w:rPr>
        <w:t>备注：</w:t>
      </w:r>
    </w:p>
    <w:p w14:paraId="1ABA3F05">
      <w:pPr>
        <w:keepNext w:val="0"/>
        <w:keepLines w:val="0"/>
        <w:pageBreakBefore w:val="0"/>
        <w:widowControl/>
        <w:kinsoku/>
        <w:wordWrap/>
        <w:overflowPunct/>
        <w:topLinePunct w:val="0"/>
        <w:autoSpaceDE/>
        <w:autoSpaceDN/>
        <w:bidi w:val="0"/>
        <w:adjustRightInd/>
        <w:snapToGrid/>
        <w:spacing w:line="480" w:lineRule="exact"/>
        <w:ind w:firstLine="211" w:firstLineChars="100"/>
        <w:jc w:val="left"/>
        <w:textAlignment w:val="auto"/>
        <w:rPr>
          <w:rFonts w:hint="eastAsia" w:ascii="仿宋_GB2312" w:hAnsi="仿宋_GB2312" w:eastAsia="仿宋_GB2312" w:cs="仿宋_GB2312"/>
          <w:b/>
          <w:bCs/>
          <w:i w:val="0"/>
          <w:iCs w:val="0"/>
          <w:caps w:val="0"/>
          <w:color w:val="000000"/>
          <w:spacing w:val="0"/>
          <w:kern w:val="0"/>
          <w:sz w:val="21"/>
          <w:szCs w:val="21"/>
          <w:lang w:val="en-US" w:eastAsia="zh-CN" w:bidi="ar"/>
        </w:rPr>
      </w:pPr>
      <w:r>
        <w:rPr>
          <w:rFonts w:hint="eastAsia" w:ascii="仿宋_GB2312" w:hAnsi="仿宋_GB2312" w:eastAsia="仿宋_GB2312" w:cs="仿宋_GB2312"/>
          <w:b/>
          <w:bCs/>
          <w:i w:val="0"/>
          <w:iCs w:val="0"/>
          <w:caps w:val="0"/>
          <w:color w:val="000000"/>
          <w:spacing w:val="0"/>
          <w:kern w:val="0"/>
          <w:sz w:val="21"/>
          <w:szCs w:val="21"/>
          <w:lang w:val="en-US" w:eastAsia="zh-CN" w:bidi="ar"/>
        </w:rPr>
        <w:t>1.本表与招标文件中相关评审条款内容不一致的，以本表内容为准。</w:t>
      </w:r>
    </w:p>
    <w:p w14:paraId="2D55FA26">
      <w:pPr>
        <w:keepNext w:val="0"/>
        <w:keepLines w:val="0"/>
        <w:pageBreakBefore w:val="0"/>
        <w:widowControl/>
        <w:kinsoku/>
        <w:wordWrap/>
        <w:overflowPunct/>
        <w:topLinePunct w:val="0"/>
        <w:autoSpaceDE/>
        <w:autoSpaceDN/>
        <w:bidi w:val="0"/>
        <w:adjustRightInd/>
        <w:snapToGrid/>
        <w:spacing w:line="480" w:lineRule="exact"/>
        <w:ind w:firstLine="211" w:firstLineChars="100"/>
        <w:jc w:val="left"/>
        <w:textAlignment w:val="auto"/>
        <w:rPr>
          <w:rFonts w:hint="eastAsia" w:ascii="仿宋_GB2312" w:hAnsi="仿宋_GB2312" w:eastAsia="仿宋_GB2312" w:cs="仿宋_GB2312"/>
          <w:b/>
          <w:bCs/>
          <w:i w:val="0"/>
          <w:iCs w:val="0"/>
          <w:caps w:val="0"/>
          <w:color w:val="000000"/>
          <w:spacing w:val="0"/>
          <w:kern w:val="0"/>
          <w:sz w:val="21"/>
          <w:szCs w:val="21"/>
          <w:lang w:val="en-US" w:eastAsia="zh-CN" w:bidi="ar"/>
        </w:rPr>
      </w:pPr>
      <w:r>
        <w:rPr>
          <w:rFonts w:hint="eastAsia" w:ascii="仿宋_GB2312" w:hAnsi="仿宋_GB2312" w:eastAsia="仿宋_GB2312" w:cs="仿宋_GB2312"/>
          <w:b/>
          <w:bCs/>
          <w:i w:val="0"/>
          <w:iCs w:val="0"/>
          <w:caps w:val="0"/>
          <w:color w:val="000000"/>
          <w:spacing w:val="0"/>
          <w:kern w:val="0"/>
          <w:sz w:val="21"/>
          <w:szCs w:val="21"/>
          <w:lang w:val="en-US" w:eastAsia="zh-CN" w:bidi="ar"/>
        </w:rPr>
        <w:t>2.每一项符合的打“√”，不符合的打“×”。</w:t>
      </w:r>
    </w:p>
    <w:p w14:paraId="2E3F6732">
      <w:pPr>
        <w:keepNext w:val="0"/>
        <w:keepLines w:val="0"/>
        <w:pageBreakBefore w:val="0"/>
        <w:widowControl/>
        <w:kinsoku/>
        <w:wordWrap/>
        <w:overflowPunct/>
        <w:topLinePunct w:val="0"/>
        <w:autoSpaceDE/>
        <w:autoSpaceDN/>
        <w:bidi w:val="0"/>
        <w:adjustRightInd/>
        <w:snapToGrid/>
        <w:spacing w:line="480" w:lineRule="exact"/>
        <w:ind w:firstLine="211" w:firstLineChars="100"/>
        <w:jc w:val="left"/>
        <w:textAlignment w:val="auto"/>
        <w:rPr>
          <w:rFonts w:hint="eastAsia" w:ascii="仿宋_GB2312" w:hAnsi="仿宋_GB2312" w:eastAsia="仿宋_GB2312" w:cs="仿宋_GB2312"/>
          <w:b/>
          <w:bCs/>
          <w:i w:val="0"/>
          <w:iCs w:val="0"/>
          <w:caps w:val="0"/>
          <w:color w:val="000000"/>
          <w:spacing w:val="0"/>
          <w:kern w:val="0"/>
          <w:sz w:val="21"/>
          <w:szCs w:val="21"/>
          <w:lang w:val="en-US" w:eastAsia="zh-CN" w:bidi="ar"/>
        </w:rPr>
      </w:pPr>
      <w:r>
        <w:rPr>
          <w:rFonts w:hint="eastAsia" w:ascii="仿宋_GB2312" w:hAnsi="仿宋_GB2312" w:eastAsia="仿宋_GB2312" w:cs="仿宋_GB2312"/>
          <w:b/>
          <w:bCs/>
          <w:i w:val="0"/>
          <w:iCs w:val="0"/>
          <w:caps w:val="0"/>
          <w:color w:val="000000"/>
          <w:spacing w:val="0"/>
          <w:kern w:val="0"/>
          <w:sz w:val="21"/>
          <w:szCs w:val="21"/>
          <w:lang w:val="en-US" w:eastAsia="zh-CN" w:bidi="ar"/>
        </w:rPr>
        <w:t>3.“结论”一栏填写“通过”或“不通过”；任何一项出现“×”的，结论为不通过。</w:t>
      </w:r>
    </w:p>
    <w:p w14:paraId="77F7A42D">
      <w:pPr>
        <w:keepNext w:val="0"/>
        <w:keepLines w:val="0"/>
        <w:pageBreakBefore w:val="0"/>
        <w:widowControl/>
        <w:kinsoku/>
        <w:wordWrap/>
        <w:overflowPunct/>
        <w:topLinePunct w:val="0"/>
        <w:autoSpaceDE/>
        <w:autoSpaceDN/>
        <w:bidi w:val="0"/>
        <w:adjustRightInd/>
        <w:snapToGrid/>
        <w:spacing w:line="480" w:lineRule="exact"/>
        <w:ind w:firstLine="211" w:firstLineChars="100"/>
        <w:jc w:val="left"/>
        <w:textAlignment w:val="auto"/>
        <w:rPr>
          <w:rFonts w:hint="eastAsia" w:ascii="仿宋_GB2312" w:hAnsi="仿宋_GB2312" w:eastAsia="仿宋_GB2312" w:cs="仿宋_GB2312"/>
          <w:b/>
          <w:bCs/>
          <w:i w:val="0"/>
          <w:iCs w:val="0"/>
          <w:caps w:val="0"/>
          <w:color w:val="000000"/>
          <w:spacing w:val="0"/>
          <w:kern w:val="0"/>
          <w:sz w:val="21"/>
          <w:szCs w:val="21"/>
          <w:lang w:val="en-US" w:eastAsia="zh-CN" w:bidi="ar"/>
        </w:rPr>
      </w:pPr>
      <w:r>
        <w:rPr>
          <w:rFonts w:hint="eastAsia" w:ascii="仿宋_GB2312" w:hAnsi="仿宋_GB2312" w:eastAsia="仿宋_GB2312" w:cs="仿宋_GB2312"/>
          <w:b/>
          <w:bCs/>
          <w:i w:val="0"/>
          <w:iCs w:val="0"/>
          <w:caps w:val="0"/>
          <w:color w:val="000000"/>
          <w:spacing w:val="0"/>
          <w:kern w:val="0"/>
          <w:sz w:val="21"/>
          <w:szCs w:val="21"/>
          <w:lang w:val="en-US" w:eastAsia="zh-CN" w:bidi="ar"/>
        </w:rPr>
        <w:t>4.汇总时出现不同意见的，资格审查小组按少数服从多数原则表决决定。</w:t>
      </w:r>
    </w:p>
    <w:p w14:paraId="4C726C9D">
      <w:pPr>
        <w:keepNext w:val="0"/>
        <w:keepLines w:val="0"/>
        <w:pageBreakBefore w:val="0"/>
        <w:widowControl/>
        <w:kinsoku/>
        <w:wordWrap/>
        <w:overflowPunct/>
        <w:topLinePunct w:val="0"/>
        <w:autoSpaceDE/>
        <w:autoSpaceDN/>
        <w:bidi w:val="0"/>
        <w:adjustRightInd/>
        <w:snapToGrid/>
        <w:spacing w:line="480" w:lineRule="exact"/>
        <w:ind w:firstLine="211" w:firstLineChars="100"/>
        <w:jc w:val="left"/>
        <w:textAlignment w:val="auto"/>
        <w:rPr>
          <w:rFonts w:hint="eastAsia" w:ascii="仿宋_GB2312" w:hAnsi="仿宋_GB2312" w:eastAsia="仿宋_GB2312" w:cs="仿宋_GB2312"/>
          <w:b/>
          <w:bCs/>
          <w:i w:val="0"/>
          <w:iCs w:val="0"/>
          <w:caps w:val="0"/>
          <w:color w:val="000000"/>
          <w:spacing w:val="0"/>
          <w:kern w:val="0"/>
          <w:sz w:val="21"/>
          <w:szCs w:val="21"/>
          <w:lang w:val="en-US" w:eastAsia="zh-CN" w:bidi="ar"/>
        </w:rPr>
      </w:pPr>
      <w:r>
        <w:rPr>
          <w:rFonts w:hint="eastAsia" w:ascii="仿宋_GB2312" w:hAnsi="仿宋_GB2312" w:eastAsia="仿宋_GB2312" w:cs="仿宋_GB2312"/>
          <w:b/>
          <w:bCs/>
          <w:i w:val="0"/>
          <w:iCs w:val="0"/>
          <w:caps w:val="0"/>
          <w:color w:val="000000"/>
          <w:spacing w:val="0"/>
          <w:kern w:val="0"/>
          <w:sz w:val="21"/>
          <w:szCs w:val="21"/>
          <w:lang w:val="en-US" w:eastAsia="zh-CN" w:bidi="ar"/>
        </w:rPr>
        <w:t>5.未通过资格审查的供应商不进入评标；通过资格审查的供应商少于不足三家的，不得评标。</w:t>
      </w:r>
    </w:p>
    <w:p w14:paraId="3A03D5DB">
      <w:pPr>
        <w:jc w:val="center"/>
        <w:rPr>
          <w:rFonts w:hint="eastAsia" w:ascii="仿宋" w:hAnsi="仿宋" w:eastAsia="仿宋" w:cs="仿宋"/>
          <w:b/>
          <w:bCs/>
          <w:sz w:val="28"/>
          <w:szCs w:val="28"/>
          <w:lang w:val="en-US" w:eastAsia="zh-CN"/>
        </w:rPr>
      </w:pPr>
    </w:p>
    <w:p w14:paraId="60FD016D">
      <w:pPr>
        <w:jc w:val="center"/>
        <w:rPr>
          <w:rFonts w:hint="eastAsia" w:ascii="仿宋" w:hAnsi="仿宋" w:eastAsia="仿宋" w:cs="仿宋"/>
          <w:b/>
          <w:bCs/>
          <w:sz w:val="28"/>
          <w:szCs w:val="28"/>
          <w:lang w:val="en-US" w:eastAsia="zh-CN"/>
        </w:rPr>
      </w:pPr>
    </w:p>
    <w:p w14:paraId="4BE68742">
      <w:pPr>
        <w:pStyle w:val="2"/>
        <w:rPr>
          <w:rFonts w:hint="eastAsia" w:ascii="仿宋" w:hAnsi="仿宋" w:eastAsia="仿宋" w:cs="仿宋"/>
          <w:b/>
          <w:bCs/>
          <w:sz w:val="28"/>
          <w:szCs w:val="28"/>
          <w:lang w:val="en-US" w:eastAsia="zh-CN"/>
        </w:rPr>
      </w:pPr>
    </w:p>
    <w:p w14:paraId="1372E1FE">
      <w:pPr>
        <w:pStyle w:val="4"/>
        <w:rPr>
          <w:rFonts w:hint="eastAsia" w:ascii="仿宋" w:hAnsi="仿宋" w:eastAsia="仿宋" w:cs="仿宋"/>
          <w:b/>
          <w:bCs/>
          <w:sz w:val="28"/>
          <w:szCs w:val="28"/>
          <w:lang w:val="en-US" w:eastAsia="zh-CN"/>
        </w:rPr>
      </w:pPr>
    </w:p>
    <w:p w14:paraId="6DF01409">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1DDB8956">
      <w:pPr>
        <w:pStyle w:val="13"/>
        <w:spacing w:before="133" w:line="189" w:lineRule="auto"/>
        <w:jc w:val="center"/>
        <w:outlineLvl w:val="1"/>
        <w:rPr>
          <w:rFonts w:hint="eastAsia" w:eastAsiaTheme="minorEastAsia"/>
          <w:b/>
          <w:bCs/>
          <w:spacing w:val="11"/>
          <w:sz w:val="31"/>
          <w:szCs w:val="31"/>
          <w:highlight w:val="green"/>
          <w:lang w:eastAsia="zh-CN"/>
        </w:rPr>
      </w:pPr>
      <w:r>
        <w:rPr>
          <w:b/>
          <w:bCs/>
          <w:spacing w:val="11"/>
          <w:sz w:val="31"/>
          <w:szCs w:val="31"/>
          <w:highlight w:val="none"/>
        </w:rPr>
        <w:t>综合评分法评分标准</w:t>
      </w:r>
    </w:p>
    <w:tbl>
      <w:tblPr>
        <w:tblStyle w:val="26"/>
        <w:tblW w:w="9357"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086"/>
        <w:gridCol w:w="767"/>
        <w:gridCol w:w="5437"/>
        <w:gridCol w:w="1307"/>
      </w:tblGrid>
      <w:tr w14:paraId="1A5A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15A63BD2">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序号</w:t>
            </w:r>
          </w:p>
        </w:tc>
        <w:tc>
          <w:tcPr>
            <w:tcW w:w="1086" w:type="dxa"/>
            <w:vAlign w:val="center"/>
          </w:tcPr>
          <w:p w14:paraId="3CA62C29">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评分因素及权重</w:t>
            </w:r>
          </w:p>
        </w:tc>
        <w:tc>
          <w:tcPr>
            <w:tcW w:w="767" w:type="dxa"/>
            <w:vAlign w:val="center"/>
          </w:tcPr>
          <w:p w14:paraId="05B2F757">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分值</w:t>
            </w:r>
          </w:p>
        </w:tc>
        <w:tc>
          <w:tcPr>
            <w:tcW w:w="5437" w:type="dxa"/>
            <w:vAlign w:val="center"/>
          </w:tcPr>
          <w:p w14:paraId="00BBE8BC">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评分标准</w:t>
            </w:r>
          </w:p>
          <w:p w14:paraId="7AC60043">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价格 ：</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0 分       商务及技术 ：</w:t>
            </w:r>
            <w:r>
              <w:rPr>
                <w:rFonts w:hint="eastAsia" w:ascii="仿宋" w:hAnsi="仿宋" w:eastAsia="仿宋" w:cs="仿宋"/>
                <w:sz w:val="22"/>
                <w:szCs w:val="22"/>
                <w:highlight w:val="none"/>
                <w:lang w:val="en-US" w:eastAsia="zh-CN"/>
              </w:rPr>
              <w:t>7</w:t>
            </w:r>
            <w:r>
              <w:rPr>
                <w:rFonts w:hint="eastAsia" w:ascii="仿宋" w:hAnsi="仿宋" w:eastAsia="仿宋" w:cs="仿宋"/>
                <w:sz w:val="22"/>
                <w:szCs w:val="22"/>
                <w:highlight w:val="none"/>
              </w:rPr>
              <w:t>0 分</w:t>
            </w:r>
          </w:p>
        </w:tc>
        <w:tc>
          <w:tcPr>
            <w:tcW w:w="1307" w:type="dxa"/>
            <w:vAlign w:val="center"/>
          </w:tcPr>
          <w:p w14:paraId="5CB7DD96">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说明</w:t>
            </w:r>
          </w:p>
        </w:tc>
      </w:tr>
      <w:tr w14:paraId="4C5B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Align w:val="center"/>
          </w:tcPr>
          <w:p w14:paraId="443BDE0F">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价格评分标准</w:t>
            </w:r>
          </w:p>
        </w:tc>
        <w:tc>
          <w:tcPr>
            <w:tcW w:w="1086" w:type="dxa"/>
            <w:vAlign w:val="center"/>
          </w:tcPr>
          <w:p w14:paraId="5D478326">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rPr>
            </w:pPr>
          </w:p>
          <w:p w14:paraId="78C135D4">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投标</w:t>
            </w:r>
          </w:p>
          <w:p w14:paraId="48CD3615">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报价</w:t>
            </w:r>
          </w:p>
        </w:tc>
        <w:tc>
          <w:tcPr>
            <w:tcW w:w="767" w:type="dxa"/>
            <w:vAlign w:val="center"/>
          </w:tcPr>
          <w:p w14:paraId="77542DDE">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rPr>
            </w:pPr>
          </w:p>
          <w:p w14:paraId="0DEC9156">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0</w:t>
            </w:r>
          </w:p>
        </w:tc>
        <w:tc>
          <w:tcPr>
            <w:tcW w:w="5437" w:type="dxa"/>
            <w:vAlign w:val="top"/>
          </w:tcPr>
          <w:p w14:paraId="6E0280FD">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完全满足招标文件参数的投标报价中的最</w:t>
            </w:r>
            <w:r>
              <w:rPr>
                <w:rFonts w:hint="eastAsia" w:ascii="仿宋" w:hAnsi="仿宋" w:eastAsia="仿宋" w:cs="仿宋"/>
                <w:sz w:val="22"/>
                <w:szCs w:val="22"/>
                <w:highlight w:val="none"/>
                <w:lang w:eastAsia="zh-CN"/>
              </w:rPr>
              <w:t>高下浮率的</w:t>
            </w:r>
            <w:r>
              <w:rPr>
                <w:rFonts w:hint="eastAsia" w:ascii="仿宋" w:hAnsi="仿宋" w:eastAsia="仿宋" w:cs="仿宋"/>
                <w:sz w:val="22"/>
                <w:szCs w:val="22"/>
                <w:highlight w:val="none"/>
              </w:rPr>
              <w:t>为评审基准价</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按照下列公式计算每个供应商的投标价格得分。投标报价得分＝（基准价/投标报价）×价格权重 × 100。</w:t>
            </w:r>
          </w:p>
        </w:tc>
        <w:tc>
          <w:tcPr>
            <w:tcW w:w="1307" w:type="dxa"/>
            <w:vAlign w:val="center"/>
          </w:tcPr>
          <w:p w14:paraId="34AEE155">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vertAlign w:val="baseline"/>
              </w:rPr>
            </w:pPr>
            <w:r>
              <w:rPr>
                <w:rFonts w:hint="eastAsia" w:ascii="仿宋" w:hAnsi="仿宋" w:eastAsia="仿宋" w:cs="仿宋"/>
                <w:sz w:val="22"/>
                <w:szCs w:val="22"/>
                <w:highlight w:val="none"/>
              </w:rPr>
              <w:t>投标报价</w:t>
            </w:r>
            <w:r>
              <w:rPr>
                <w:rFonts w:hint="eastAsia" w:ascii="仿宋" w:hAnsi="仿宋" w:eastAsia="仿宋" w:cs="仿宋"/>
                <w:sz w:val="22"/>
                <w:szCs w:val="22"/>
                <w:highlight w:val="none"/>
                <w:lang w:val="en-US" w:eastAsia="zh-CN"/>
              </w:rPr>
              <w:t>不得</w:t>
            </w:r>
            <w:r>
              <w:rPr>
                <w:rFonts w:hint="eastAsia" w:ascii="仿宋" w:hAnsi="仿宋" w:eastAsia="仿宋" w:cs="仿宋"/>
                <w:sz w:val="22"/>
                <w:szCs w:val="22"/>
                <w:highlight w:val="none"/>
              </w:rPr>
              <w:t xml:space="preserve">超过采购预算 </w:t>
            </w:r>
          </w:p>
        </w:tc>
      </w:tr>
      <w:tr w14:paraId="6688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restart"/>
            <w:shd w:val="clear" w:color="auto" w:fill="auto"/>
            <w:vAlign w:val="center"/>
          </w:tcPr>
          <w:p w14:paraId="3A41F70E">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rPr>
              <w:t>商务及技术评 分标准</w:t>
            </w:r>
          </w:p>
        </w:tc>
        <w:tc>
          <w:tcPr>
            <w:tcW w:w="1086" w:type="dxa"/>
            <w:shd w:val="clear" w:color="auto" w:fill="auto"/>
            <w:vAlign w:val="center"/>
          </w:tcPr>
          <w:p w14:paraId="315932E8">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项目</w:t>
            </w:r>
          </w:p>
          <w:p w14:paraId="73C4BBD7">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 xml:space="preserve">实施 </w:t>
            </w:r>
          </w:p>
          <w:p w14:paraId="4BABCCF6">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rPr>
              <w:t>方案</w:t>
            </w:r>
          </w:p>
        </w:tc>
        <w:tc>
          <w:tcPr>
            <w:tcW w:w="767" w:type="dxa"/>
            <w:shd w:val="clear" w:color="auto" w:fill="auto"/>
            <w:vAlign w:val="center"/>
          </w:tcPr>
          <w:p w14:paraId="48733CF8">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z w:val="22"/>
                <w:szCs w:val="22"/>
                <w:highlight w:val="none"/>
              </w:rPr>
              <w:t>1</w:t>
            </w:r>
            <w:r>
              <w:rPr>
                <w:rFonts w:hint="eastAsia" w:ascii="仿宋" w:hAnsi="仿宋" w:eastAsia="仿宋" w:cs="仿宋"/>
                <w:sz w:val="22"/>
                <w:szCs w:val="22"/>
                <w:highlight w:val="none"/>
                <w:lang w:val="en-US" w:eastAsia="zh-CN"/>
              </w:rPr>
              <w:t>5</w:t>
            </w:r>
          </w:p>
        </w:tc>
        <w:tc>
          <w:tcPr>
            <w:tcW w:w="5437" w:type="dxa"/>
            <w:shd w:val="clear" w:color="auto" w:fill="auto"/>
            <w:vAlign w:val="top"/>
          </w:tcPr>
          <w:p w14:paraId="331AA602">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根据供应商针对本项目提供实施方案，至少包含：1、管理制度建设方案（含日常管理）；2、服务质量控制体系及措施；3、正规进货渠道、货源供应渠道链的货源保障方案；4、实施进度计划方案；5、仓储能力及出入库管理方案；6、配送交接方案；7、验收方案；8、服务人员管理方案。</w:t>
            </w:r>
          </w:p>
          <w:p w14:paraId="001E97AD">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rPr>
              <w:t>方案贴合本项目实际情况</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逻辑清晰</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方案内容全面</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完全满足项目采购需求的得</w:t>
            </w:r>
            <w:r>
              <w:rPr>
                <w:rFonts w:hint="eastAsia" w:ascii="仿宋" w:hAnsi="仿宋" w:eastAsia="仿宋" w:cs="仿宋"/>
                <w:sz w:val="22"/>
                <w:szCs w:val="22"/>
                <w:highlight w:val="none"/>
                <w:lang w:val="en-US" w:eastAsia="zh-CN"/>
              </w:rPr>
              <w:t>15</w:t>
            </w:r>
            <w:r>
              <w:rPr>
                <w:rFonts w:hint="eastAsia" w:ascii="仿宋" w:hAnsi="仿宋" w:eastAsia="仿宋" w:cs="仿宋"/>
                <w:sz w:val="22"/>
                <w:szCs w:val="22"/>
                <w:highlight w:val="none"/>
              </w:rPr>
              <w:t>分 ；其中缺项漏项或内容不全面或内容不具体或文字表述不清晰或与项目内容无关的</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每有一项扣</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扣完为止。</w:t>
            </w:r>
          </w:p>
        </w:tc>
        <w:tc>
          <w:tcPr>
            <w:tcW w:w="1307" w:type="dxa"/>
          </w:tcPr>
          <w:p w14:paraId="3CA91349">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r w14:paraId="13EF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0E8E36E4">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c>
          <w:tcPr>
            <w:tcW w:w="1086" w:type="dxa"/>
            <w:shd w:val="clear" w:color="auto" w:fill="auto"/>
            <w:vAlign w:val="center"/>
          </w:tcPr>
          <w:p w14:paraId="5A28F58B">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z w:val="22"/>
                <w:szCs w:val="22"/>
                <w:highlight w:val="none"/>
              </w:rPr>
              <w:t>配送</w:t>
            </w:r>
            <w:r>
              <w:rPr>
                <w:rFonts w:hint="eastAsia" w:ascii="仿宋" w:hAnsi="仿宋" w:eastAsia="仿宋" w:cs="仿宋"/>
                <w:sz w:val="22"/>
                <w:szCs w:val="22"/>
                <w:highlight w:val="none"/>
                <w:lang w:val="en-US" w:eastAsia="zh-CN"/>
              </w:rPr>
              <w:t>服务</w:t>
            </w:r>
            <w:r>
              <w:rPr>
                <w:rFonts w:hint="eastAsia" w:ascii="仿宋" w:hAnsi="仿宋" w:eastAsia="仿宋" w:cs="仿宋"/>
                <w:sz w:val="22"/>
                <w:szCs w:val="22"/>
                <w:highlight w:val="none"/>
              </w:rPr>
              <w:t>方案</w:t>
            </w:r>
          </w:p>
        </w:tc>
        <w:tc>
          <w:tcPr>
            <w:tcW w:w="767" w:type="dxa"/>
            <w:shd w:val="clear" w:color="auto" w:fill="auto"/>
            <w:vAlign w:val="center"/>
          </w:tcPr>
          <w:p w14:paraId="75BBACE0">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z w:val="22"/>
                <w:szCs w:val="22"/>
                <w:highlight w:val="none"/>
                <w:lang w:val="en-US" w:eastAsia="zh-CN"/>
              </w:rPr>
              <w:t>8</w:t>
            </w:r>
          </w:p>
        </w:tc>
        <w:tc>
          <w:tcPr>
            <w:tcW w:w="5437" w:type="dxa"/>
            <w:shd w:val="clear" w:color="auto" w:fill="auto"/>
            <w:vAlign w:val="top"/>
          </w:tcPr>
          <w:p w14:paraId="5A7D8FA8">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rPr>
              <w:t>投标人需提供</w:t>
            </w:r>
            <w:r>
              <w:rPr>
                <w:rFonts w:hint="eastAsia" w:ascii="仿宋" w:hAnsi="仿宋" w:eastAsia="仿宋" w:cs="仿宋"/>
                <w:sz w:val="22"/>
                <w:szCs w:val="22"/>
                <w:highlight w:val="none"/>
                <w:lang w:val="en-US" w:eastAsia="zh-CN"/>
              </w:rPr>
              <w:t>完整的</w:t>
            </w:r>
            <w:r>
              <w:rPr>
                <w:rFonts w:hint="eastAsia" w:ascii="仿宋" w:hAnsi="仿宋" w:eastAsia="仿宋" w:cs="仿宋"/>
                <w:sz w:val="22"/>
                <w:szCs w:val="22"/>
                <w:highlight w:val="none"/>
              </w:rPr>
              <w:t>配送服务方案（</w:t>
            </w:r>
            <w:r>
              <w:rPr>
                <w:rFonts w:hint="eastAsia" w:ascii="仿宋" w:hAnsi="仿宋" w:eastAsia="仿宋" w:cs="仿宋"/>
                <w:sz w:val="22"/>
                <w:szCs w:val="22"/>
                <w:highlight w:val="none"/>
                <w:lang w:val="en-US" w:eastAsia="zh-CN"/>
              </w:rPr>
              <w:t>至少</w:t>
            </w:r>
            <w:r>
              <w:rPr>
                <w:rFonts w:hint="eastAsia" w:ascii="仿宋" w:hAnsi="仿宋" w:eastAsia="仿宋" w:cs="仿宋"/>
                <w:sz w:val="22"/>
                <w:szCs w:val="22"/>
                <w:highlight w:val="none"/>
              </w:rPr>
              <w:t>包含：</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配送方式及配送</w:t>
            </w:r>
            <w:r>
              <w:rPr>
                <w:rFonts w:hint="eastAsia" w:ascii="仿宋" w:hAnsi="仿宋" w:eastAsia="仿宋" w:cs="仿宋"/>
                <w:sz w:val="22"/>
                <w:szCs w:val="22"/>
                <w:highlight w:val="none"/>
                <w:lang w:val="en-US" w:eastAsia="zh-CN"/>
              </w:rPr>
              <w:t>过程中具体方案，2、</w:t>
            </w:r>
            <w:r>
              <w:rPr>
                <w:rFonts w:hint="eastAsia" w:ascii="仿宋" w:hAnsi="仿宋" w:eastAsia="仿宋" w:cs="仿宋"/>
                <w:sz w:val="22"/>
                <w:szCs w:val="22"/>
                <w:highlight w:val="none"/>
              </w:rPr>
              <w:t>不合格产品的退换</w:t>
            </w:r>
            <w:r>
              <w:rPr>
                <w:rFonts w:hint="eastAsia" w:ascii="仿宋" w:hAnsi="仿宋" w:eastAsia="仿宋" w:cs="仿宋"/>
                <w:sz w:val="22"/>
                <w:szCs w:val="22"/>
                <w:highlight w:val="none"/>
                <w:lang w:val="en-US" w:eastAsia="zh-CN"/>
              </w:rPr>
              <w:t>货</w:t>
            </w:r>
            <w:r>
              <w:rPr>
                <w:rFonts w:hint="eastAsia" w:ascii="仿宋" w:hAnsi="仿宋" w:eastAsia="仿宋" w:cs="仿宋"/>
                <w:sz w:val="22"/>
                <w:szCs w:val="22"/>
                <w:highlight w:val="none"/>
              </w:rPr>
              <w:t>方案</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3</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配送</w:t>
            </w:r>
            <w:r>
              <w:rPr>
                <w:rFonts w:hint="eastAsia" w:ascii="仿宋" w:hAnsi="仿宋" w:eastAsia="仿宋" w:cs="仿宋"/>
                <w:sz w:val="22"/>
                <w:szCs w:val="22"/>
                <w:highlight w:val="none"/>
              </w:rPr>
              <w:t>食材安全保障措施</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4、</w:t>
            </w:r>
            <w:r>
              <w:rPr>
                <w:rFonts w:hint="eastAsia" w:ascii="仿宋" w:hAnsi="仿宋" w:eastAsia="仿宋" w:cs="仿宋"/>
                <w:sz w:val="22"/>
                <w:szCs w:val="22"/>
                <w:highlight w:val="none"/>
              </w:rPr>
              <w:t>食材保鲜的供货计划评标委员会根据项目实际情况</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有利于项目实施且资料详细完整的每提供一项得</w:t>
            </w:r>
            <w:r>
              <w:rPr>
                <w:rFonts w:hint="eastAsia" w:ascii="仿宋" w:hAnsi="仿宋" w:eastAsia="仿宋" w:cs="仿宋"/>
                <w:sz w:val="22"/>
                <w:szCs w:val="22"/>
                <w:highlight w:val="none"/>
                <w:lang w:val="en-US" w:eastAsia="zh-CN"/>
              </w:rPr>
              <w:t>2</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green"/>
              </w:rPr>
              <w:t>最高</w:t>
            </w:r>
            <w:r>
              <w:rPr>
                <w:rFonts w:hint="eastAsia" w:ascii="仿宋" w:hAnsi="仿宋" w:eastAsia="仿宋" w:cs="仿宋"/>
                <w:sz w:val="22"/>
                <w:szCs w:val="22"/>
                <w:highlight w:val="green"/>
                <w:lang w:val="en-US" w:eastAsia="zh-CN"/>
              </w:rPr>
              <w:t>8</w:t>
            </w:r>
            <w:r>
              <w:rPr>
                <w:rFonts w:hint="eastAsia" w:ascii="仿宋" w:hAnsi="仿宋" w:eastAsia="仿宋" w:cs="仿宋"/>
                <w:sz w:val="22"/>
                <w:szCs w:val="22"/>
                <w:highlight w:val="green"/>
              </w:rPr>
              <w:t>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提供不全或不提供不得分。</w:t>
            </w:r>
          </w:p>
        </w:tc>
        <w:tc>
          <w:tcPr>
            <w:tcW w:w="1307" w:type="dxa"/>
          </w:tcPr>
          <w:p w14:paraId="658377F7">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r w14:paraId="2AFF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7D66BE9B">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c>
          <w:tcPr>
            <w:tcW w:w="1086" w:type="dxa"/>
            <w:shd w:val="clear" w:color="auto" w:fill="auto"/>
            <w:vAlign w:val="center"/>
          </w:tcPr>
          <w:p w14:paraId="7794D1F7">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配送</w:t>
            </w:r>
          </w:p>
          <w:p w14:paraId="775AD6B2">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lang w:val="en-US" w:eastAsia="zh-CN"/>
              </w:rPr>
              <w:t>能力</w:t>
            </w:r>
          </w:p>
        </w:tc>
        <w:tc>
          <w:tcPr>
            <w:tcW w:w="767" w:type="dxa"/>
            <w:shd w:val="clear" w:color="auto" w:fill="auto"/>
            <w:vAlign w:val="center"/>
          </w:tcPr>
          <w:p w14:paraId="1EC3B697">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lang w:val="en-US" w:eastAsia="zh-CN"/>
              </w:rPr>
              <w:t>15</w:t>
            </w:r>
          </w:p>
        </w:tc>
        <w:tc>
          <w:tcPr>
            <w:tcW w:w="5437" w:type="dxa"/>
            <w:shd w:val="clear" w:color="auto" w:fill="auto"/>
            <w:vAlign w:val="top"/>
          </w:tcPr>
          <w:p w14:paraId="4FE69718">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rPr>
              <w:t>投标人需提供普通运输车辆</w:t>
            </w:r>
            <w:r>
              <w:rPr>
                <w:rFonts w:hint="eastAsia" w:ascii="仿宋" w:hAnsi="仿宋" w:eastAsia="仿宋" w:cs="仿宋"/>
                <w:sz w:val="22"/>
                <w:szCs w:val="22"/>
                <w:highlight w:val="none"/>
                <w:lang w:val="en-US" w:eastAsia="zh-CN"/>
              </w:rPr>
              <w:t>9</w:t>
            </w:r>
            <w:r>
              <w:rPr>
                <w:rFonts w:hint="eastAsia" w:ascii="仿宋" w:hAnsi="仿宋" w:eastAsia="仿宋" w:cs="仿宋"/>
                <w:sz w:val="22"/>
                <w:szCs w:val="22"/>
                <w:highlight w:val="none"/>
              </w:rPr>
              <w:t>辆、冷藏车辆</w:t>
            </w:r>
            <w:r>
              <w:rPr>
                <w:rFonts w:hint="eastAsia" w:ascii="仿宋" w:hAnsi="仿宋" w:eastAsia="仿宋" w:cs="仿宋"/>
                <w:sz w:val="22"/>
                <w:szCs w:val="22"/>
                <w:highlight w:val="none"/>
                <w:lang w:val="en-US" w:eastAsia="zh-CN"/>
              </w:rPr>
              <w:t>6</w:t>
            </w:r>
            <w:r>
              <w:rPr>
                <w:rFonts w:hint="eastAsia" w:ascii="仿宋" w:hAnsi="仿宋" w:eastAsia="仿宋" w:cs="仿宋"/>
                <w:sz w:val="22"/>
                <w:szCs w:val="22"/>
                <w:highlight w:val="none"/>
              </w:rPr>
              <w:t>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需</w:t>
            </w:r>
            <w:r>
              <w:rPr>
                <w:rFonts w:hint="eastAsia" w:ascii="仿宋" w:hAnsi="仿宋" w:eastAsia="仿宋" w:cs="仿宋"/>
                <w:sz w:val="22"/>
                <w:szCs w:val="22"/>
                <w:highlight w:val="none"/>
              </w:rPr>
              <w:t>提供相关证明材料</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包括但不限于</w:t>
            </w:r>
            <w:r>
              <w:rPr>
                <w:rFonts w:hint="eastAsia" w:ascii="仿宋" w:hAnsi="仿宋" w:eastAsia="仿宋" w:cs="仿宋"/>
                <w:sz w:val="22"/>
                <w:szCs w:val="22"/>
                <w:highlight w:val="none"/>
              </w:rPr>
              <w:t>车辆行驶证</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有效期内车辆保险</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车辆照片</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体现车牌号</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租赁车辆</w:t>
            </w:r>
            <w:r>
              <w:rPr>
                <w:rFonts w:hint="eastAsia" w:ascii="仿宋" w:hAnsi="仿宋" w:eastAsia="仿宋" w:cs="仿宋"/>
                <w:sz w:val="22"/>
                <w:szCs w:val="22"/>
                <w:highlight w:val="none"/>
                <w:lang w:val="en-US" w:eastAsia="zh-CN"/>
              </w:rPr>
              <w:t>需同时</w:t>
            </w:r>
            <w:r>
              <w:rPr>
                <w:rFonts w:hint="eastAsia" w:ascii="仿宋" w:hAnsi="仿宋" w:eastAsia="仿宋" w:cs="仿宋"/>
                <w:sz w:val="22"/>
                <w:szCs w:val="22"/>
                <w:highlight w:val="none"/>
              </w:rPr>
              <w:t>提供租赁合同；</w:t>
            </w:r>
            <w:r>
              <w:rPr>
                <w:rFonts w:hint="eastAsia" w:ascii="仿宋" w:hAnsi="仿宋" w:eastAsia="仿宋" w:cs="仿宋"/>
                <w:sz w:val="22"/>
                <w:szCs w:val="22"/>
                <w:highlight w:val="none"/>
                <w:lang w:val="en-US" w:eastAsia="zh-CN"/>
              </w:rPr>
              <w:t>每辆车配备一名驾驶员，驾驶员需有</w:t>
            </w:r>
            <w:r>
              <w:rPr>
                <w:rFonts w:hint="eastAsia" w:ascii="仿宋" w:hAnsi="仿宋" w:eastAsia="仿宋" w:cs="仿宋"/>
                <w:sz w:val="22"/>
                <w:szCs w:val="22"/>
                <w:highlight w:val="none"/>
              </w:rPr>
              <w:t>有效期内的劳务合同</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驾驶证</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健康证</w:t>
            </w:r>
            <w:r>
              <w:rPr>
                <w:rFonts w:hint="eastAsia" w:ascii="仿宋" w:hAnsi="仿宋" w:eastAsia="仿宋" w:cs="仿宋"/>
                <w:sz w:val="22"/>
                <w:szCs w:val="22"/>
                <w:highlight w:val="none"/>
                <w:lang w:val="en-US" w:eastAsia="zh-CN"/>
              </w:rPr>
              <w:t>等</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lang w:val="en-US" w:eastAsia="zh-CN"/>
              </w:rPr>
              <w:t>资料</w:t>
            </w:r>
            <w:r>
              <w:rPr>
                <w:rFonts w:hint="eastAsia" w:ascii="仿宋" w:hAnsi="仿宋" w:eastAsia="仿宋" w:cs="仿宋"/>
                <w:sz w:val="22"/>
                <w:szCs w:val="22"/>
                <w:highlight w:val="none"/>
              </w:rPr>
              <w:t>配备齐全共计得</w:t>
            </w:r>
            <w:r>
              <w:rPr>
                <w:rFonts w:hint="eastAsia" w:ascii="仿宋" w:hAnsi="仿宋" w:eastAsia="仿宋" w:cs="仿宋"/>
                <w:sz w:val="22"/>
                <w:szCs w:val="22"/>
                <w:highlight w:val="none"/>
                <w:lang w:val="en-US" w:eastAsia="zh-CN"/>
              </w:rPr>
              <w:t>15</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每漏</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项扣</w:t>
            </w:r>
            <w:r>
              <w:rPr>
                <w:rFonts w:hint="eastAsia" w:ascii="仿宋" w:hAnsi="仿宋" w:eastAsia="仿宋" w:cs="仿宋"/>
                <w:sz w:val="22"/>
                <w:szCs w:val="22"/>
                <w:highlight w:val="none"/>
                <w:lang w:val="en-US" w:eastAsia="zh-CN"/>
              </w:rPr>
              <w:t>1</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扣完为止</w:t>
            </w:r>
            <w:r>
              <w:rPr>
                <w:rFonts w:hint="eastAsia" w:ascii="仿宋" w:hAnsi="仿宋" w:eastAsia="仿宋" w:cs="仿宋"/>
                <w:sz w:val="22"/>
                <w:szCs w:val="22"/>
                <w:highlight w:val="none"/>
                <w:lang w:eastAsia="zh-CN"/>
              </w:rPr>
              <w:t>，</w:t>
            </w:r>
            <w:r>
              <w:rPr>
                <w:rFonts w:hint="eastAsia" w:ascii="仿宋" w:hAnsi="仿宋" w:eastAsia="仿宋" w:cs="仿宋"/>
                <w:sz w:val="22"/>
                <w:szCs w:val="22"/>
                <w:highlight w:val="none"/>
              </w:rPr>
              <w:t>不提供不得分。</w:t>
            </w:r>
          </w:p>
        </w:tc>
        <w:tc>
          <w:tcPr>
            <w:tcW w:w="1307" w:type="dxa"/>
          </w:tcPr>
          <w:p w14:paraId="5E69AB4F">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r w14:paraId="6C79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3F140388">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c>
          <w:tcPr>
            <w:tcW w:w="1086" w:type="dxa"/>
            <w:shd w:val="clear" w:color="auto" w:fill="auto"/>
            <w:vAlign w:val="center"/>
          </w:tcPr>
          <w:p w14:paraId="1D2133B6">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应急</w:t>
            </w:r>
          </w:p>
          <w:p w14:paraId="2297967E">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z w:val="22"/>
                <w:szCs w:val="22"/>
                <w:highlight w:val="none"/>
              </w:rPr>
              <w:t>措施</w:t>
            </w:r>
          </w:p>
        </w:tc>
        <w:tc>
          <w:tcPr>
            <w:tcW w:w="767" w:type="dxa"/>
            <w:shd w:val="clear" w:color="auto" w:fill="auto"/>
            <w:vAlign w:val="center"/>
          </w:tcPr>
          <w:p w14:paraId="52B42B9E">
            <w:pPr>
              <w:keepNext w:val="0"/>
              <w:keepLines w:val="0"/>
              <w:widowControl w:val="0"/>
              <w:suppressLineNumbers w:val="0"/>
              <w:bidi w:val="0"/>
              <w:spacing w:before="0"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z w:val="22"/>
                <w:szCs w:val="22"/>
                <w:highlight w:val="none"/>
                <w:lang w:val="en-US" w:eastAsia="zh-CN"/>
              </w:rPr>
              <w:t>6</w:t>
            </w:r>
          </w:p>
        </w:tc>
        <w:tc>
          <w:tcPr>
            <w:tcW w:w="5437" w:type="dxa"/>
            <w:shd w:val="clear" w:color="auto" w:fill="auto"/>
            <w:vAlign w:val="top"/>
          </w:tcPr>
          <w:p w14:paraId="779A97CE">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napToGrid w:val="0"/>
                <w:color w:val="000000"/>
                <w:kern w:val="0"/>
                <w:sz w:val="22"/>
                <w:szCs w:val="22"/>
                <w:highlight w:val="none"/>
                <w:lang w:val="en-US" w:eastAsia="en-US" w:bidi="ar-SA"/>
              </w:rPr>
              <w:t>投标人需提供</w:t>
            </w:r>
            <w:r>
              <w:rPr>
                <w:rFonts w:hint="eastAsia" w:ascii="仿宋" w:hAnsi="仿宋" w:eastAsia="仿宋" w:cs="仿宋"/>
                <w:snapToGrid w:val="0"/>
                <w:color w:val="000000"/>
                <w:kern w:val="0"/>
                <w:sz w:val="22"/>
                <w:szCs w:val="22"/>
                <w:highlight w:val="none"/>
                <w:lang w:val="en-US" w:eastAsia="zh-CN" w:bidi="ar-SA"/>
              </w:rPr>
              <w:t>：</w:t>
            </w:r>
            <w:r>
              <w:rPr>
                <w:rFonts w:hint="eastAsia" w:ascii="仿宋" w:hAnsi="仿宋" w:eastAsia="仿宋" w:cs="仿宋"/>
                <w:snapToGrid w:val="0"/>
                <w:color w:val="000000"/>
                <w:kern w:val="0"/>
                <w:sz w:val="22"/>
                <w:szCs w:val="22"/>
                <w:highlight w:val="none"/>
                <w:lang w:val="en-US" w:eastAsia="en-US" w:bidi="ar-SA"/>
              </w:rPr>
              <w:t>1.发生自然灾害等不可抗力事件、2.车辆故障、3.季节性食材短缺、4、商品下单漏项，零星增补等问题、5.配送时间或配送需求量临时调整、6</w:t>
            </w:r>
            <w:r>
              <w:rPr>
                <w:rFonts w:hint="eastAsia" w:ascii="仿宋" w:hAnsi="仿宋" w:eastAsia="仿宋" w:cs="仿宋"/>
                <w:snapToGrid w:val="0"/>
                <w:color w:val="000000"/>
                <w:kern w:val="0"/>
                <w:sz w:val="22"/>
                <w:szCs w:val="22"/>
                <w:highlight w:val="none"/>
                <w:lang w:val="en-US" w:eastAsia="zh-CN" w:bidi="ar-SA"/>
              </w:rPr>
              <w:t>.</w:t>
            </w:r>
            <w:r>
              <w:rPr>
                <w:rFonts w:hint="eastAsia" w:ascii="仿宋" w:hAnsi="仿宋" w:eastAsia="仿宋" w:cs="仿宋"/>
                <w:snapToGrid w:val="0"/>
                <w:color w:val="000000"/>
                <w:kern w:val="0"/>
                <w:sz w:val="22"/>
                <w:szCs w:val="22"/>
                <w:highlight w:val="none"/>
                <w:lang w:val="en-US" w:eastAsia="en-US" w:bidi="ar-SA"/>
              </w:rPr>
              <w:t>采购人临时调整采购计划、</w:t>
            </w:r>
            <w:r>
              <w:rPr>
                <w:rFonts w:hint="eastAsia" w:ascii="仿宋" w:hAnsi="仿宋" w:eastAsia="仿宋" w:cs="仿宋"/>
                <w:snapToGrid w:val="0"/>
                <w:color w:val="000000"/>
                <w:kern w:val="0"/>
                <w:sz w:val="22"/>
                <w:szCs w:val="22"/>
                <w:highlight w:val="none"/>
                <w:lang w:val="en-US" w:eastAsia="zh-CN" w:bidi="ar-SA"/>
              </w:rPr>
              <w:t>7</w:t>
            </w:r>
            <w:r>
              <w:rPr>
                <w:rFonts w:hint="eastAsia" w:ascii="仿宋" w:hAnsi="仿宋" w:eastAsia="仿宋" w:cs="仿宋"/>
                <w:snapToGrid w:val="0"/>
                <w:color w:val="000000"/>
                <w:kern w:val="0"/>
                <w:sz w:val="22"/>
                <w:szCs w:val="22"/>
                <w:highlight w:val="none"/>
                <w:lang w:val="en-US" w:eastAsia="en-US" w:bidi="ar-SA"/>
              </w:rPr>
              <w:t>.突发食品安全事故，在满足采购人需求的情况下投标人应该采用的方案。</w:t>
            </w:r>
          </w:p>
          <w:p w14:paraId="05B7B558">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napToGrid w:val="0"/>
                <w:color w:val="000000"/>
                <w:kern w:val="0"/>
                <w:sz w:val="22"/>
                <w:szCs w:val="22"/>
                <w:highlight w:val="none"/>
                <w:lang w:val="en-US" w:eastAsia="en-US" w:bidi="ar-SA"/>
              </w:rPr>
              <w:t>以上方案贴合本项目实际情况、方案内容全面、逻辑清晰，完全满足项目采购需求的得</w:t>
            </w:r>
            <w:r>
              <w:rPr>
                <w:rFonts w:hint="eastAsia" w:ascii="仿宋" w:hAnsi="仿宋" w:eastAsia="仿宋" w:cs="仿宋"/>
                <w:snapToGrid w:val="0"/>
                <w:color w:val="000000"/>
                <w:kern w:val="0"/>
                <w:sz w:val="22"/>
                <w:szCs w:val="22"/>
                <w:highlight w:val="none"/>
                <w:lang w:val="en-US" w:eastAsia="zh-CN" w:bidi="ar-SA"/>
              </w:rPr>
              <w:t>6</w:t>
            </w:r>
            <w:r>
              <w:rPr>
                <w:rFonts w:hint="eastAsia" w:ascii="仿宋" w:hAnsi="仿宋" w:eastAsia="仿宋" w:cs="仿宋"/>
                <w:snapToGrid w:val="0"/>
                <w:color w:val="000000"/>
                <w:kern w:val="0"/>
                <w:sz w:val="22"/>
                <w:szCs w:val="22"/>
                <w:highlight w:val="none"/>
                <w:lang w:val="en-US" w:eastAsia="en-US" w:bidi="ar-SA"/>
              </w:rPr>
              <w:t>分，其中缺项漏项或每项内容存在内容不全面或内容不具体或文字表述不清晰或方案内容与项目无关的，每有一项扣1分，扣完为止。</w:t>
            </w:r>
          </w:p>
        </w:tc>
        <w:tc>
          <w:tcPr>
            <w:tcW w:w="1307" w:type="dxa"/>
          </w:tcPr>
          <w:p w14:paraId="4941AFB8">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r w14:paraId="1FAB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0F5839EA">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c>
          <w:tcPr>
            <w:tcW w:w="1086" w:type="dxa"/>
            <w:shd w:val="clear" w:color="auto" w:fill="auto"/>
            <w:vAlign w:val="center"/>
          </w:tcPr>
          <w:p w14:paraId="2369A118">
            <w:pPr>
              <w:pStyle w:val="56"/>
              <w:keepNext w:val="0"/>
              <w:keepLines w:val="0"/>
              <w:widowControl w:val="0"/>
              <w:suppressLineNumbers w:val="0"/>
              <w:spacing w:before="86" w:beforeAutospacing="0" w:after="0" w:afterAutospacing="0" w:line="240" w:lineRule="auto"/>
              <w:ind w:left="0" w:right="0"/>
              <w:jc w:val="center"/>
              <w:rPr>
                <w:rFonts w:hint="eastAsia" w:ascii="仿宋" w:hAnsi="仿宋" w:eastAsia="仿宋" w:cs="仿宋"/>
                <w:spacing w:val="8"/>
                <w:sz w:val="22"/>
                <w:szCs w:val="22"/>
                <w:highlight w:val="none"/>
                <w:lang w:val="en-US" w:eastAsia="zh-CN"/>
              </w:rPr>
            </w:pPr>
            <w:r>
              <w:rPr>
                <w:rFonts w:hint="eastAsia" w:ascii="仿宋" w:hAnsi="仿宋" w:eastAsia="仿宋" w:cs="仿宋"/>
                <w:spacing w:val="8"/>
                <w:sz w:val="22"/>
                <w:szCs w:val="22"/>
                <w:highlight w:val="none"/>
                <w:lang w:val="en-US" w:eastAsia="zh-CN"/>
              </w:rPr>
              <w:t>加工</w:t>
            </w:r>
          </w:p>
          <w:p w14:paraId="6BA30256">
            <w:pPr>
              <w:pStyle w:val="56"/>
              <w:keepNext w:val="0"/>
              <w:keepLines w:val="0"/>
              <w:widowControl w:val="0"/>
              <w:suppressLineNumbers w:val="0"/>
              <w:spacing w:before="86" w:beforeAutospacing="0" w:after="0" w:afterAutospacing="0" w:line="240" w:lineRule="auto"/>
              <w:ind w:left="0" w:right="0"/>
              <w:jc w:val="center"/>
              <w:rPr>
                <w:rFonts w:hint="eastAsia" w:ascii="仿宋" w:hAnsi="仿宋" w:eastAsia="仿宋" w:cs="仿宋"/>
                <w:snapToGrid w:val="0"/>
                <w:color w:val="000000"/>
                <w:spacing w:val="8"/>
                <w:kern w:val="0"/>
                <w:sz w:val="22"/>
                <w:szCs w:val="22"/>
                <w:highlight w:val="none"/>
                <w:lang w:val="en-US" w:eastAsia="en-US" w:bidi="ar-SA"/>
              </w:rPr>
            </w:pPr>
            <w:r>
              <w:rPr>
                <w:rFonts w:hint="eastAsia" w:ascii="仿宋" w:hAnsi="仿宋" w:eastAsia="仿宋" w:cs="仿宋"/>
                <w:spacing w:val="8"/>
                <w:sz w:val="22"/>
                <w:szCs w:val="22"/>
                <w:highlight w:val="none"/>
                <w:lang w:val="en-US" w:eastAsia="zh-CN"/>
              </w:rPr>
              <w:t>能力</w:t>
            </w:r>
          </w:p>
        </w:tc>
        <w:tc>
          <w:tcPr>
            <w:tcW w:w="767" w:type="dxa"/>
            <w:shd w:val="clear" w:color="auto" w:fill="auto"/>
            <w:vAlign w:val="center"/>
          </w:tcPr>
          <w:p w14:paraId="01E56D53">
            <w:pPr>
              <w:pStyle w:val="56"/>
              <w:keepNext w:val="0"/>
              <w:keepLines w:val="0"/>
              <w:widowControl w:val="0"/>
              <w:suppressLineNumbers w:val="0"/>
              <w:spacing w:before="85"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z w:val="22"/>
                <w:szCs w:val="22"/>
                <w:highlight w:val="none"/>
                <w:lang w:val="en-US" w:eastAsia="zh-CN"/>
              </w:rPr>
              <w:t>3</w:t>
            </w:r>
          </w:p>
        </w:tc>
        <w:tc>
          <w:tcPr>
            <w:tcW w:w="5437" w:type="dxa"/>
            <w:shd w:val="clear" w:color="auto" w:fill="auto"/>
            <w:vAlign w:val="top"/>
          </w:tcPr>
          <w:p w14:paraId="7BE2D8D5">
            <w:pPr>
              <w:pStyle w:val="56"/>
              <w:keepNext w:val="0"/>
              <w:keepLines w:val="0"/>
              <w:widowControl w:val="0"/>
              <w:suppressLineNumbers w:val="0"/>
              <w:spacing w:before="3" w:beforeAutospacing="0" w:after="0" w:afterAutospacing="0" w:line="240" w:lineRule="auto"/>
              <w:ind w:left="0" w:right="104"/>
              <w:jc w:val="both"/>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napToGrid w:val="0"/>
                <w:color w:val="000000"/>
                <w:kern w:val="0"/>
                <w:sz w:val="22"/>
                <w:szCs w:val="22"/>
                <w:highlight w:val="none"/>
                <w:lang w:val="en-US" w:eastAsia="zh-CN" w:bidi="ar-SA"/>
              </w:rPr>
              <w:t>为方便食材配送到位后便捷加工，投标人可提供配送前果蔬类食材加工服务，但必须确保</w:t>
            </w:r>
            <w:r>
              <w:rPr>
                <w:rFonts w:hint="eastAsia" w:ascii="仿宋" w:hAnsi="仿宋" w:eastAsia="仿宋" w:cs="仿宋"/>
                <w:snapToGrid w:val="0"/>
                <w:color w:val="000000"/>
                <w:kern w:val="0"/>
                <w:sz w:val="22"/>
                <w:szCs w:val="22"/>
                <w:highlight w:val="none"/>
                <w:lang w:val="en-US" w:eastAsia="en-US" w:bidi="ar-SA"/>
              </w:rPr>
              <w:t>加工前经过彻底的检查和清洁</w:t>
            </w:r>
            <w:r>
              <w:rPr>
                <w:rFonts w:hint="eastAsia" w:ascii="仿宋" w:hAnsi="仿宋" w:eastAsia="仿宋" w:cs="仿宋"/>
                <w:snapToGrid w:val="0"/>
                <w:color w:val="000000"/>
                <w:kern w:val="0"/>
                <w:sz w:val="22"/>
                <w:szCs w:val="22"/>
                <w:highlight w:val="none"/>
                <w:lang w:val="en-US" w:eastAsia="zh-CN" w:bidi="ar-SA"/>
              </w:rPr>
              <w:t>，</w:t>
            </w:r>
            <w:r>
              <w:rPr>
                <w:rFonts w:hint="eastAsia" w:ascii="仿宋" w:hAnsi="仿宋" w:eastAsia="仿宋" w:cs="仿宋"/>
                <w:snapToGrid w:val="0"/>
                <w:color w:val="000000"/>
                <w:kern w:val="0"/>
                <w:sz w:val="22"/>
                <w:szCs w:val="22"/>
                <w:highlight w:val="none"/>
                <w:lang w:val="en-US" w:eastAsia="en-US" w:bidi="ar-SA"/>
              </w:rPr>
              <w:t>果蔬需要彻底清洗</w:t>
            </w:r>
            <w:r>
              <w:rPr>
                <w:rFonts w:hint="eastAsia" w:ascii="仿宋" w:hAnsi="仿宋" w:eastAsia="仿宋" w:cs="仿宋"/>
                <w:snapToGrid w:val="0"/>
                <w:color w:val="000000"/>
                <w:kern w:val="0"/>
                <w:sz w:val="22"/>
                <w:szCs w:val="22"/>
                <w:highlight w:val="none"/>
                <w:lang w:val="en-US" w:eastAsia="zh-CN" w:bidi="ar-SA"/>
              </w:rPr>
              <w:t>干净，</w:t>
            </w:r>
            <w:r>
              <w:rPr>
                <w:rFonts w:hint="eastAsia" w:ascii="仿宋" w:hAnsi="仿宋" w:eastAsia="仿宋" w:cs="仿宋"/>
                <w:snapToGrid w:val="0"/>
                <w:color w:val="000000"/>
                <w:kern w:val="0"/>
                <w:sz w:val="22"/>
                <w:szCs w:val="22"/>
                <w:highlight w:val="none"/>
                <w:lang w:val="en-US" w:eastAsia="en-US" w:bidi="ar-SA"/>
              </w:rPr>
              <w:t>肉类和海鲜应检查新鲜度，并根据需要进行切割或去骨</w:t>
            </w:r>
            <w:r>
              <w:rPr>
                <w:rFonts w:hint="eastAsia" w:ascii="仿宋" w:hAnsi="仿宋" w:eastAsia="仿宋" w:cs="仿宋"/>
                <w:snapToGrid w:val="0"/>
                <w:color w:val="000000"/>
                <w:kern w:val="0"/>
                <w:sz w:val="22"/>
                <w:szCs w:val="22"/>
                <w:highlight w:val="none"/>
                <w:lang w:val="en-US" w:eastAsia="zh-CN" w:bidi="ar-SA"/>
              </w:rPr>
              <w:t>，</w:t>
            </w:r>
            <w:r>
              <w:rPr>
                <w:rFonts w:hint="eastAsia" w:ascii="仿宋" w:hAnsi="仿宋" w:eastAsia="仿宋" w:cs="仿宋"/>
                <w:snapToGrid w:val="0"/>
                <w:color w:val="000000"/>
                <w:kern w:val="0"/>
                <w:sz w:val="22"/>
                <w:szCs w:val="22"/>
                <w:highlight w:val="none"/>
                <w:lang w:val="en-US" w:eastAsia="en-US" w:bidi="ar-SA"/>
              </w:rPr>
              <w:t>投标人需具备</w:t>
            </w:r>
            <w:r>
              <w:rPr>
                <w:rFonts w:hint="eastAsia" w:ascii="仿宋" w:hAnsi="仿宋" w:eastAsia="仿宋" w:cs="仿宋"/>
                <w:snapToGrid w:val="0"/>
                <w:color w:val="000000"/>
                <w:kern w:val="0"/>
                <w:sz w:val="22"/>
                <w:szCs w:val="22"/>
                <w:highlight w:val="none"/>
                <w:lang w:val="en-US" w:eastAsia="zh-CN" w:bidi="ar-SA"/>
              </w:rPr>
              <w:t>先进且齐全的净菜车间及加工设备，包括但不限于清洗设备，分拣设备、切割设备、包装设备等提供净菜车间及相关设备，提供设备购置合同及发票（若是租赁设备需提供租赁合同）、车间设备等照片等证明材料；</w:t>
            </w:r>
          </w:p>
          <w:p w14:paraId="2E371441">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bCs/>
                <w:snapToGrid w:val="0"/>
                <w:color w:val="000000"/>
                <w:kern w:val="0"/>
                <w:sz w:val="22"/>
                <w:szCs w:val="22"/>
                <w:highlight w:val="none"/>
                <w:lang w:val="en-US" w:eastAsia="zh-CN" w:bidi="ar"/>
              </w:rPr>
            </w:pPr>
            <w:r>
              <w:rPr>
                <w:rFonts w:hint="eastAsia" w:ascii="仿宋" w:hAnsi="仿宋" w:eastAsia="仿宋" w:cs="仿宋"/>
                <w:b/>
                <w:bCs/>
                <w:snapToGrid w:val="0"/>
                <w:color w:val="000000"/>
                <w:kern w:val="0"/>
                <w:sz w:val="22"/>
                <w:szCs w:val="22"/>
                <w:highlight w:val="none"/>
                <w:lang w:val="en-US" w:eastAsia="zh-CN" w:bidi="ar"/>
              </w:rPr>
              <w:t>并提供中标后在甲方项目所在地设置符合要求的净菜车间承诺书且中标后甲方将进行现场查验。承诺加工后的食材需要每天配送，且在食堂开饭前三小时内送达。</w:t>
            </w:r>
          </w:p>
          <w:p w14:paraId="04D219BC">
            <w:pPr>
              <w:pStyle w:val="56"/>
              <w:keepNext w:val="0"/>
              <w:keepLines w:val="0"/>
              <w:widowControl w:val="0"/>
              <w:suppressLineNumbers w:val="0"/>
              <w:spacing w:before="3" w:beforeAutospacing="0" w:after="0" w:afterAutospacing="0" w:line="240" w:lineRule="auto"/>
              <w:ind w:left="0" w:right="104"/>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b/>
                <w:bCs/>
                <w:snapToGrid w:val="0"/>
                <w:color w:val="000000"/>
                <w:kern w:val="0"/>
                <w:sz w:val="22"/>
                <w:szCs w:val="22"/>
                <w:highlight w:val="none"/>
                <w:lang w:val="en-US" w:eastAsia="zh-CN" w:bidi="ar"/>
              </w:rPr>
              <w:t>上述资料全部提供视为一套有效证明材料，材料齐全得3分，不提供或不齐全不得分。</w:t>
            </w:r>
          </w:p>
        </w:tc>
        <w:tc>
          <w:tcPr>
            <w:tcW w:w="1307" w:type="dxa"/>
          </w:tcPr>
          <w:p w14:paraId="00886E15">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r w14:paraId="58E5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2BCC0296">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c>
          <w:tcPr>
            <w:tcW w:w="1086" w:type="dxa"/>
            <w:shd w:val="clear" w:color="auto" w:fill="auto"/>
            <w:vAlign w:val="center"/>
          </w:tcPr>
          <w:p w14:paraId="1F17B77B">
            <w:pPr>
              <w:pStyle w:val="56"/>
              <w:keepNext w:val="0"/>
              <w:keepLines w:val="0"/>
              <w:widowControl w:val="0"/>
              <w:suppressLineNumbers w:val="0"/>
              <w:spacing w:before="86" w:beforeAutospacing="0" w:after="0" w:afterAutospacing="0" w:line="240" w:lineRule="auto"/>
              <w:ind w:left="0" w:right="0"/>
              <w:jc w:val="center"/>
              <w:rPr>
                <w:rFonts w:hint="eastAsia" w:ascii="仿宋" w:hAnsi="仿宋" w:eastAsia="仿宋" w:cs="仿宋"/>
                <w:spacing w:val="8"/>
                <w:sz w:val="22"/>
                <w:szCs w:val="22"/>
                <w:highlight w:val="none"/>
              </w:rPr>
            </w:pPr>
            <w:r>
              <w:rPr>
                <w:rFonts w:hint="eastAsia" w:ascii="仿宋" w:hAnsi="仿宋" w:eastAsia="仿宋" w:cs="仿宋"/>
                <w:spacing w:val="8"/>
                <w:sz w:val="22"/>
                <w:szCs w:val="22"/>
                <w:highlight w:val="none"/>
              </w:rPr>
              <w:t>仓储</w:t>
            </w:r>
          </w:p>
          <w:p w14:paraId="53417BB5">
            <w:pPr>
              <w:pStyle w:val="56"/>
              <w:keepNext w:val="0"/>
              <w:keepLines w:val="0"/>
              <w:widowControl w:val="0"/>
              <w:suppressLineNumbers w:val="0"/>
              <w:spacing w:before="86"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pacing w:val="8"/>
                <w:sz w:val="22"/>
                <w:szCs w:val="22"/>
                <w:highlight w:val="none"/>
              </w:rPr>
              <w:t>能力</w:t>
            </w:r>
          </w:p>
        </w:tc>
        <w:tc>
          <w:tcPr>
            <w:tcW w:w="767" w:type="dxa"/>
            <w:shd w:val="clear" w:color="auto" w:fill="auto"/>
            <w:vAlign w:val="center"/>
          </w:tcPr>
          <w:p w14:paraId="6B6D72A1">
            <w:pPr>
              <w:pStyle w:val="56"/>
              <w:keepNext w:val="0"/>
              <w:keepLines w:val="0"/>
              <w:widowControl w:val="0"/>
              <w:suppressLineNumbers w:val="0"/>
              <w:spacing w:before="85"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z w:val="22"/>
                <w:szCs w:val="22"/>
                <w:highlight w:val="none"/>
                <w:lang w:val="en-US" w:eastAsia="zh-CN"/>
              </w:rPr>
              <w:t>5</w:t>
            </w:r>
          </w:p>
        </w:tc>
        <w:tc>
          <w:tcPr>
            <w:tcW w:w="5437" w:type="dxa"/>
            <w:shd w:val="clear" w:color="auto" w:fill="auto"/>
            <w:vAlign w:val="top"/>
          </w:tcPr>
          <w:p w14:paraId="3F86BC21">
            <w:pPr>
              <w:pStyle w:val="56"/>
              <w:keepNext w:val="0"/>
              <w:keepLines w:val="0"/>
              <w:widowControl w:val="0"/>
              <w:suppressLineNumbers w:val="0"/>
              <w:spacing w:before="3" w:beforeAutospacing="0" w:after="0" w:afterAutospacing="0" w:line="240" w:lineRule="auto"/>
              <w:ind w:left="0" w:right="104" w:rightChars="0"/>
              <w:jc w:val="both"/>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pacing w:val="6"/>
                <w:sz w:val="22"/>
                <w:szCs w:val="22"/>
                <w:highlight w:val="none"/>
                <w:lang w:val="en-US" w:eastAsia="zh-CN"/>
              </w:rPr>
              <w:t>投标人需具备符合要求的仓库条件，需</w:t>
            </w:r>
            <w:r>
              <w:rPr>
                <w:rFonts w:hint="eastAsia" w:ascii="仿宋" w:hAnsi="仿宋" w:eastAsia="仿宋" w:cs="仿宋"/>
                <w:spacing w:val="6"/>
                <w:sz w:val="22"/>
                <w:szCs w:val="22"/>
                <w:highlight w:val="none"/>
              </w:rPr>
              <w:t>具备冷藏</w:t>
            </w:r>
            <w:r>
              <w:rPr>
                <w:rFonts w:hint="eastAsia" w:ascii="仿宋" w:hAnsi="仿宋" w:eastAsia="仿宋" w:cs="仿宋"/>
                <w:spacing w:val="6"/>
                <w:sz w:val="22"/>
                <w:szCs w:val="22"/>
                <w:highlight w:val="none"/>
                <w:lang w:val="en-US" w:eastAsia="zh-CN"/>
              </w:rPr>
              <w:t>及存储能力</w:t>
            </w:r>
            <w:r>
              <w:rPr>
                <w:rFonts w:hint="eastAsia" w:ascii="仿宋" w:hAnsi="仿宋" w:eastAsia="仿宋" w:cs="仿宋"/>
                <w:spacing w:val="6"/>
                <w:sz w:val="22"/>
                <w:szCs w:val="22"/>
                <w:highlight w:val="none"/>
              </w:rPr>
              <w:t>，仓储面积</w:t>
            </w:r>
            <w:r>
              <w:rPr>
                <w:rFonts w:hint="eastAsia" w:ascii="仿宋" w:hAnsi="仿宋" w:eastAsia="仿宋" w:cs="仿宋"/>
                <w:spacing w:val="3"/>
                <w:sz w:val="22"/>
                <w:szCs w:val="22"/>
                <w:highlight w:val="none"/>
              </w:rPr>
              <w:t>≥</w:t>
            </w:r>
            <w:r>
              <w:rPr>
                <w:rFonts w:hint="eastAsia" w:ascii="仿宋" w:hAnsi="仿宋" w:eastAsia="仿宋" w:cs="仿宋"/>
                <w:spacing w:val="6"/>
                <w:sz w:val="22"/>
                <w:szCs w:val="22"/>
                <w:highlight w:val="none"/>
                <w:lang w:val="en-US" w:eastAsia="zh-CN"/>
              </w:rPr>
              <w:t>4</w:t>
            </w:r>
            <w:r>
              <w:rPr>
                <w:rFonts w:hint="eastAsia" w:ascii="仿宋" w:hAnsi="仿宋" w:eastAsia="仿宋" w:cs="仿宋"/>
                <w:spacing w:val="5"/>
                <w:sz w:val="22"/>
                <w:szCs w:val="22"/>
                <w:highlight w:val="none"/>
              </w:rPr>
              <w:t>000㎡</w:t>
            </w:r>
            <w:r>
              <w:rPr>
                <w:rFonts w:hint="eastAsia" w:ascii="仿宋" w:hAnsi="仿宋" w:eastAsia="仿宋" w:cs="仿宋"/>
                <w:spacing w:val="4"/>
                <w:sz w:val="22"/>
                <w:szCs w:val="22"/>
                <w:highlight w:val="none"/>
                <w:lang w:val="en-US" w:eastAsia="zh-CN"/>
              </w:rPr>
              <w:t>得5</w:t>
            </w:r>
            <w:r>
              <w:rPr>
                <w:rFonts w:hint="eastAsia" w:ascii="仿宋" w:hAnsi="仿宋" w:eastAsia="仿宋" w:cs="仿宋"/>
                <w:spacing w:val="3"/>
                <w:sz w:val="22"/>
                <w:szCs w:val="22"/>
                <w:highlight w:val="none"/>
              </w:rPr>
              <w:t>分</w:t>
            </w:r>
            <w:r>
              <w:rPr>
                <w:rFonts w:hint="eastAsia" w:ascii="仿宋" w:hAnsi="仿宋" w:eastAsia="仿宋" w:cs="仿宋"/>
                <w:spacing w:val="3"/>
                <w:sz w:val="22"/>
                <w:szCs w:val="22"/>
                <w:highlight w:val="none"/>
                <w:lang w:eastAsia="zh-CN"/>
              </w:rPr>
              <w:t>；</w:t>
            </w:r>
            <w:r>
              <w:rPr>
                <w:rFonts w:hint="eastAsia" w:ascii="仿宋" w:hAnsi="仿宋" w:eastAsia="仿宋" w:cs="仿宋"/>
                <w:spacing w:val="6"/>
                <w:sz w:val="22"/>
                <w:szCs w:val="22"/>
                <w:highlight w:val="none"/>
              </w:rPr>
              <w:t>仓储面积</w:t>
            </w:r>
            <w:r>
              <w:rPr>
                <w:rFonts w:hint="eastAsia" w:ascii="仿宋" w:hAnsi="仿宋" w:eastAsia="仿宋" w:cs="仿宋"/>
                <w:spacing w:val="1"/>
                <w:sz w:val="22"/>
                <w:szCs w:val="22"/>
                <w:highlight w:val="none"/>
                <w:lang w:val="en-US" w:eastAsia="zh-CN"/>
              </w:rPr>
              <w:t>1</w:t>
            </w:r>
            <w:r>
              <w:rPr>
                <w:rFonts w:hint="eastAsia" w:ascii="仿宋" w:hAnsi="仿宋" w:eastAsia="仿宋" w:cs="仿宋"/>
                <w:spacing w:val="1"/>
                <w:sz w:val="22"/>
                <w:szCs w:val="22"/>
                <w:highlight w:val="none"/>
              </w:rPr>
              <w:t>000㎡-</w:t>
            </w:r>
            <w:r>
              <w:rPr>
                <w:rFonts w:hint="eastAsia" w:ascii="仿宋" w:hAnsi="仿宋" w:eastAsia="仿宋" w:cs="仿宋"/>
                <w:spacing w:val="1"/>
                <w:sz w:val="22"/>
                <w:szCs w:val="22"/>
                <w:highlight w:val="none"/>
                <w:lang w:val="en-US" w:eastAsia="zh-CN"/>
              </w:rPr>
              <w:t>4</w:t>
            </w:r>
            <w:r>
              <w:rPr>
                <w:rFonts w:hint="eastAsia" w:ascii="仿宋" w:hAnsi="仿宋" w:eastAsia="仿宋" w:cs="仿宋"/>
                <w:spacing w:val="1"/>
                <w:sz w:val="22"/>
                <w:szCs w:val="22"/>
                <w:highlight w:val="none"/>
              </w:rPr>
              <w:t>000㎡</w:t>
            </w:r>
            <w:r>
              <w:rPr>
                <w:rFonts w:hint="eastAsia" w:ascii="仿宋" w:hAnsi="仿宋" w:eastAsia="仿宋" w:cs="仿宋"/>
                <w:spacing w:val="4"/>
                <w:sz w:val="22"/>
                <w:szCs w:val="22"/>
                <w:highlight w:val="none"/>
                <w:lang w:val="en-US" w:eastAsia="zh-CN"/>
              </w:rPr>
              <w:t>（不含1000</w:t>
            </w:r>
            <w:r>
              <w:rPr>
                <w:rFonts w:hint="eastAsia" w:ascii="仿宋" w:hAnsi="仿宋" w:eastAsia="仿宋" w:cs="仿宋"/>
                <w:spacing w:val="5"/>
                <w:sz w:val="22"/>
                <w:szCs w:val="22"/>
                <w:highlight w:val="none"/>
              </w:rPr>
              <w:t>㎡</w:t>
            </w:r>
            <w:r>
              <w:rPr>
                <w:rFonts w:hint="eastAsia" w:ascii="仿宋" w:hAnsi="仿宋" w:eastAsia="仿宋" w:cs="仿宋"/>
                <w:spacing w:val="4"/>
                <w:sz w:val="22"/>
                <w:szCs w:val="22"/>
                <w:highlight w:val="none"/>
                <w:lang w:val="en-US" w:eastAsia="zh-CN"/>
              </w:rPr>
              <w:t>）</w:t>
            </w:r>
            <w:r>
              <w:rPr>
                <w:rFonts w:hint="eastAsia" w:ascii="仿宋" w:hAnsi="仿宋" w:eastAsia="仿宋" w:cs="仿宋"/>
                <w:spacing w:val="1"/>
                <w:sz w:val="22"/>
                <w:szCs w:val="22"/>
                <w:highlight w:val="none"/>
              </w:rPr>
              <w:t>得</w:t>
            </w:r>
            <w:r>
              <w:rPr>
                <w:rFonts w:hint="eastAsia" w:ascii="仿宋" w:hAnsi="仿宋" w:eastAsia="仿宋" w:cs="仿宋"/>
                <w:spacing w:val="1"/>
                <w:sz w:val="22"/>
                <w:szCs w:val="22"/>
                <w:highlight w:val="none"/>
                <w:lang w:val="en-US" w:eastAsia="zh-CN"/>
              </w:rPr>
              <w:t>3</w:t>
            </w:r>
            <w:r>
              <w:rPr>
                <w:rFonts w:hint="eastAsia" w:ascii="仿宋" w:hAnsi="仿宋" w:eastAsia="仿宋" w:cs="仿宋"/>
                <w:sz w:val="22"/>
                <w:szCs w:val="22"/>
                <w:highlight w:val="none"/>
              </w:rPr>
              <w:t>分</w:t>
            </w:r>
            <w:r>
              <w:rPr>
                <w:rFonts w:hint="eastAsia" w:ascii="仿宋" w:hAnsi="仿宋" w:eastAsia="仿宋" w:cs="仿宋"/>
                <w:sz w:val="22"/>
                <w:szCs w:val="22"/>
                <w:highlight w:val="none"/>
                <w:lang w:eastAsia="zh-CN"/>
              </w:rPr>
              <w:t>；</w:t>
            </w:r>
            <w:r>
              <w:rPr>
                <w:rFonts w:hint="eastAsia" w:ascii="仿宋" w:hAnsi="仿宋" w:eastAsia="仿宋" w:cs="仿宋"/>
                <w:spacing w:val="4"/>
                <w:sz w:val="22"/>
                <w:szCs w:val="22"/>
                <w:highlight w:val="none"/>
                <w:lang w:val="en-US" w:eastAsia="zh-CN"/>
              </w:rPr>
              <w:t>仓库面积≦</w:t>
            </w:r>
            <w:r>
              <w:rPr>
                <w:rFonts w:hint="eastAsia" w:ascii="仿宋" w:hAnsi="仿宋" w:eastAsia="仿宋" w:cs="仿宋"/>
                <w:sz w:val="22"/>
                <w:szCs w:val="22"/>
                <w:highlight w:val="none"/>
              </w:rPr>
              <w:t>1000㎡</w:t>
            </w:r>
            <w:r>
              <w:rPr>
                <w:rFonts w:hint="eastAsia" w:ascii="仿宋" w:hAnsi="仿宋" w:eastAsia="仿宋" w:cs="仿宋"/>
                <w:spacing w:val="4"/>
                <w:sz w:val="22"/>
                <w:szCs w:val="22"/>
                <w:highlight w:val="none"/>
                <w:lang w:val="en-US" w:eastAsia="zh-CN"/>
              </w:rPr>
              <w:t>以下得1分。</w:t>
            </w:r>
            <w:r>
              <w:rPr>
                <w:rFonts w:hint="eastAsia" w:ascii="仿宋" w:hAnsi="仿宋" w:eastAsia="仿宋" w:cs="仿宋"/>
                <w:b/>
                <w:bCs/>
                <w:spacing w:val="9"/>
                <w:sz w:val="22"/>
                <w:szCs w:val="22"/>
                <w:highlight w:val="none"/>
                <w:lang w:val="en-US" w:eastAsia="zh-CN"/>
              </w:rPr>
              <w:t>需</w:t>
            </w:r>
            <w:r>
              <w:rPr>
                <w:rFonts w:hint="eastAsia" w:ascii="仿宋" w:hAnsi="仿宋" w:eastAsia="仿宋" w:cs="仿宋"/>
                <w:b/>
                <w:bCs/>
                <w:spacing w:val="9"/>
                <w:sz w:val="22"/>
                <w:szCs w:val="22"/>
                <w:highlight w:val="none"/>
              </w:rPr>
              <w:t>提供</w:t>
            </w:r>
            <w:r>
              <w:rPr>
                <w:rFonts w:hint="eastAsia" w:ascii="仿宋" w:hAnsi="仿宋" w:eastAsia="仿宋" w:cs="仿宋"/>
                <w:b/>
                <w:bCs/>
                <w:spacing w:val="9"/>
                <w:sz w:val="22"/>
                <w:szCs w:val="22"/>
                <w:highlight w:val="none"/>
                <w:lang w:val="en-US" w:eastAsia="zh-CN"/>
              </w:rPr>
              <w:t>仓库</w:t>
            </w:r>
            <w:r>
              <w:rPr>
                <w:rFonts w:hint="eastAsia" w:ascii="仿宋" w:hAnsi="仿宋" w:eastAsia="仿宋" w:cs="仿宋"/>
                <w:b/>
                <w:bCs/>
                <w:spacing w:val="9"/>
                <w:sz w:val="22"/>
                <w:szCs w:val="22"/>
                <w:highlight w:val="none"/>
              </w:rPr>
              <w:t>产权</w:t>
            </w:r>
            <w:r>
              <w:rPr>
                <w:rFonts w:hint="eastAsia" w:ascii="仿宋" w:hAnsi="仿宋" w:eastAsia="仿宋" w:cs="仿宋"/>
                <w:b/>
                <w:bCs/>
                <w:spacing w:val="9"/>
                <w:sz w:val="22"/>
                <w:szCs w:val="22"/>
                <w:highlight w:val="none"/>
                <w:lang w:val="en-US" w:eastAsia="zh-CN"/>
              </w:rPr>
              <w:t>证明</w:t>
            </w:r>
            <w:r>
              <w:rPr>
                <w:rFonts w:hint="eastAsia" w:ascii="仿宋" w:hAnsi="仿宋" w:eastAsia="仿宋" w:cs="仿宋"/>
                <w:b/>
                <w:bCs/>
                <w:spacing w:val="9"/>
                <w:sz w:val="22"/>
                <w:szCs w:val="22"/>
                <w:highlight w:val="none"/>
              </w:rPr>
              <w:t>或</w:t>
            </w:r>
            <w:r>
              <w:rPr>
                <w:rFonts w:hint="eastAsia" w:ascii="仿宋" w:hAnsi="仿宋" w:eastAsia="仿宋" w:cs="仿宋"/>
                <w:b/>
                <w:bCs/>
                <w:spacing w:val="9"/>
                <w:sz w:val="22"/>
                <w:szCs w:val="22"/>
                <w:highlight w:val="none"/>
                <w:lang w:val="en-US" w:eastAsia="zh-CN"/>
              </w:rPr>
              <w:t>仓库</w:t>
            </w:r>
            <w:r>
              <w:rPr>
                <w:rFonts w:hint="eastAsia" w:ascii="仿宋" w:hAnsi="仿宋" w:eastAsia="仿宋" w:cs="仿宋"/>
                <w:b/>
                <w:bCs/>
                <w:spacing w:val="9"/>
                <w:sz w:val="22"/>
                <w:szCs w:val="22"/>
                <w:highlight w:val="none"/>
              </w:rPr>
              <w:t>租赁合同、</w:t>
            </w:r>
            <w:r>
              <w:rPr>
                <w:rFonts w:hint="eastAsia" w:ascii="仿宋" w:hAnsi="仿宋" w:eastAsia="仿宋" w:cs="仿宋"/>
                <w:b/>
                <w:bCs/>
                <w:spacing w:val="9"/>
                <w:sz w:val="22"/>
                <w:szCs w:val="22"/>
                <w:highlight w:val="none"/>
                <w:lang w:val="en-US" w:eastAsia="zh-CN"/>
              </w:rPr>
              <w:t>仓库</w:t>
            </w:r>
            <w:r>
              <w:rPr>
                <w:rFonts w:hint="eastAsia" w:ascii="仿宋" w:hAnsi="仿宋" w:eastAsia="仿宋" w:cs="仿宋"/>
                <w:b/>
                <w:bCs/>
                <w:spacing w:val="9"/>
                <w:sz w:val="22"/>
                <w:szCs w:val="22"/>
                <w:highlight w:val="none"/>
              </w:rPr>
              <w:t>实景照片等证明材料</w:t>
            </w:r>
            <w:r>
              <w:rPr>
                <w:rFonts w:hint="eastAsia" w:ascii="仿宋" w:hAnsi="仿宋" w:eastAsia="仿宋" w:cs="仿宋"/>
                <w:b/>
                <w:bCs/>
                <w:spacing w:val="9"/>
                <w:sz w:val="22"/>
                <w:szCs w:val="22"/>
                <w:highlight w:val="none"/>
                <w:lang w:eastAsia="zh-CN"/>
              </w:rPr>
              <w:t>，</w:t>
            </w:r>
            <w:r>
              <w:rPr>
                <w:rFonts w:hint="eastAsia" w:ascii="仿宋" w:hAnsi="仿宋" w:eastAsia="仿宋" w:cs="仿宋"/>
                <w:b/>
                <w:bCs/>
                <w:spacing w:val="8"/>
                <w:sz w:val="22"/>
                <w:szCs w:val="22"/>
                <w:highlight w:val="none"/>
              </w:rPr>
              <w:t>上述资料全部提供视为一套有效证明材料</w:t>
            </w:r>
            <w:r>
              <w:rPr>
                <w:rFonts w:hint="eastAsia" w:ascii="仿宋" w:hAnsi="仿宋" w:eastAsia="仿宋" w:cs="仿宋"/>
                <w:b/>
                <w:bCs/>
                <w:spacing w:val="8"/>
                <w:sz w:val="22"/>
                <w:szCs w:val="22"/>
                <w:highlight w:val="none"/>
                <w:lang w:eastAsia="zh-CN"/>
              </w:rPr>
              <w:t>，</w:t>
            </w:r>
            <w:r>
              <w:rPr>
                <w:rFonts w:hint="eastAsia" w:ascii="仿宋" w:hAnsi="仿宋" w:eastAsia="仿宋" w:cs="仿宋"/>
                <w:b/>
                <w:bCs/>
                <w:spacing w:val="9"/>
                <w:sz w:val="22"/>
                <w:szCs w:val="22"/>
                <w:highlight w:val="none"/>
              </w:rPr>
              <w:t>提供不全或</w:t>
            </w:r>
            <w:r>
              <w:rPr>
                <w:rFonts w:hint="eastAsia" w:ascii="仿宋" w:hAnsi="仿宋" w:eastAsia="仿宋" w:cs="仿宋"/>
                <w:b/>
                <w:bCs/>
                <w:spacing w:val="9"/>
                <w:sz w:val="22"/>
                <w:szCs w:val="22"/>
                <w:highlight w:val="none"/>
                <w:lang w:val="en-US" w:eastAsia="zh-CN"/>
              </w:rPr>
              <w:t>不</w:t>
            </w:r>
            <w:r>
              <w:rPr>
                <w:rFonts w:hint="eastAsia" w:ascii="仿宋" w:hAnsi="仿宋" w:eastAsia="仿宋" w:cs="仿宋"/>
                <w:b/>
                <w:bCs/>
                <w:spacing w:val="9"/>
                <w:sz w:val="22"/>
                <w:szCs w:val="22"/>
                <w:highlight w:val="none"/>
              </w:rPr>
              <w:t>提供不得分</w:t>
            </w:r>
          </w:p>
        </w:tc>
        <w:tc>
          <w:tcPr>
            <w:tcW w:w="1307" w:type="dxa"/>
          </w:tcPr>
          <w:p w14:paraId="54747960">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r w14:paraId="3455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2D7C9E44">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c>
          <w:tcPr>
            <w:tcW w:w="1086" w:type="dxa"/>
            <w:shd w:val="clear" w:color="auto" w:fill="auto"/>
            <w:vAlign w:val="center"/>
          </w:tcPr>
          <w:p w14:paraId="40ED0E6F">
            <w:pPr>
              <w:pStyle w:val="56"/>
              <w:keepNext w:val="0"/>
              <w:keepLines w:val="0"/>
              <w:widowControl w:val="0"/>
              <w:suppressLineNumbers w:val="0"/>
              <w:spacing w:before="86" w:beforeAutospacing="0" w:after="0" w:afterAutospacing="0" w:line="240" w:lineRule="auto"/>
              <w:ind w:left="0" w:right="197" w:rightChars="0"/>
              <w:jc w:val="center"/>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pacing w:val="8"/>
                <w:sz w:val="22"/>
                <w:szCs w:val="22"/>
                <w:highlight w:val="none"/>
              </w:rPr>
              <w:t>人员安排</w:t>
            </w:r>
            <w:r>
              <w:rPr>
                <w:rFonts w:hint="eastAsia" w:ascii="仿宋" w:hAnsi="仿宋" w:eastAsia="仿宋" w:cs="仿宋"/>
                <w:spacing w:val="7"/>
                <w:sz w:val="22"/>
                <w:szCs w:val="22"/>
                <w:highlight w:val="none"/>
              </w:rPr>
              <w:t>配置情况</w:t>
            </w:r>
          </w:p>
        </w:tc>
        <w:tc>
          <w:tcPr>
            <w:tcW w:w="767" w:type="dxa"/>
            <w:shd w:val="clear" w:color="auto" w:fill="auto"/>
            <w:vAlign w:val="center"/>
          </w:tcPr>
          <w:p w14:paraId="3BE96030">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2"/>
                <w:szCs w:val="22"/>
                <w:highlight w:val="none"/>
              </w:rPr>
            </w:pPr>
          </w:p>
          <w:p w14:paraId="547A00FE">
            <w:pPr>
              <w:pStyle w:val="56"/>
              <w:keepNext w:val="0"/>
              <w:keepLines w:val="0"/>
              <w:widowControl w:val="0"/>
              <w:suppressLineNumbers w:val="0"/>
              <w:spacing w:before="86"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pacing w:val="-5"/>
                <w:sz w:val="22"/>
                <w:szCs w:val="22"/>
                <w:highlight w:val="none"/>
              </w:rPr>
              <w:t>10</w:t>
            </w:r>
          </w:p>
        </w:tc>
        <w:tc>
          <w:tcPr>
            <w:tcW w:w="5437" w:type="dxa"/>
            <w:shd w:val="clear" w:color="auto" w:fill="auto"/>
            <w:vAlign w:val="top"/>
          </w:tcPr>
          <w:p w14:paraId="0266DC02">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1.为确保食品安全</w:t>
            </w:r>
            <w:r>
              <w:rPr>
                <w:rFonts w:hint="eastAsia" w:ascii="仿宋" w:hAnsi="仿宋" w:eastAsia="仿宋" w:cs="仿宋"/>
                <w:spacing w:val="3"/>
                <w:sz w:val="22"/>
                <w:szCs w:val="22"/>
                <w:highlight w:val="none"/>
                <w:lang w:val="en-US" w:eastAsia="zh-CN"/>
              </w:rPr>
              <w:t>及食材配送的时效性</w:t>
            </w:r>
            <w:r>
              <w:rPr>
                <w:rFonts w:hint="eastAsia" w:ascii="仿宋" w:hAnsi="仿宋" w:eastAsia="仿宋" w:cs="仿宋"/>
                <w:spacing w:val="37"/>
                <w:w w:val="101"/>
                <w:sz w:val="22"/>
                <w:szCs w:val="22"/>
                <w:highlight w:val="none"/>
                <w:lang w:eastAsia="zh-CN"/>
              </w:rPr>
              <w:t>，</w:t>
            </w:r>
            <w:r>
              <w:rPr>
                <w:rFonts w:hint="eastAsia" w:ascii="仿宋" w:hAnsi="仿宋" w:eastAsia="仿宋" w:cs="仿宋"/>
                <w:spacing w:val="3"/>
                <w:sz w:val="22"/>
                <w:szCs w:val="22"/>
                <w:highlight w:val="none"/>
              </w:rPr>
              <w:t>需配备</w:t>
            </w:r>
            <w:r>
              <w:rPr>
                <w:rFonts w:hint="eastAsia" w:ascii="仿宋" w:hAnsi="仿宋" w:eastAsia="仿宋" w:cs="仿宋"/>
                <w:spacing w:val="3"/>
                <w:sz w:val="22"/>
                <w:szCs w:val="22"/>
                <w:highlight w:val="none"/>
                <w:lang w:val="en-US" w:eastAsia="zh-CN"/>
              </w:rPr>
              <w:t>本项目</w:t>
            </w:r>
            <w:r>
              <w:rPr>
                <w:rFonts w:hint="eastAsia" w:ascii="仿宋" w:hAnsi="仿宋" w:eastAsia="仿宋" w:cs="仿宋"/>
                <w:spacing w:val="3"/>
                <w:sz w:val="22"/>
                <w:szCs w:val="22"/>
                <w:highlight w:val="none"/>
              </w:rPr>
              <w:t>专职的工作人员</w:t>
            </w:r>
            <w:r>
              <w:rPr>
                <w:rFonts w:hint="eastAsia" w:ascii="仿宋" w:hAnsi="仿宋" w:eastAsia="仿宋" w:cs="仿宋"/>
                <w:spacing w:val="3"/>
                <w:sz w:val="22"/>
                <w:szCs w:val="22"/>
                <w:highlight w:val="none"/>
                <w:lang w:eastAsia="zh-CN"/>
              </w:rPr>
              <w:t>，</w:t>
            </w:r>
            <w:r>
              <w:rPr>
                <w:rFonts w:hint="eastAsia" w:ascii="仿宋" w:hAnsi="仿宋" w:eastAsia="仿宋" w:cs="仿宋"/>
                <w:spacing w:val="8"/>
                <w:sz w:val="22"/>
                <w:szCs w:val="22"/>
                <w:highlight w:val="none"/>
              </w:rPr>
              <w:t>职责分工</w:t>
            </w:r>
            <w:r>
              <w:rPr>
                <w:rFonts w:hint="eastAsia" w:ascii="仿宋" w:hAnsi="仿宋" w:eastAsia="仿宋" w:cs="仿宋"/>
                <w:spacing w:val="8"/>
                <w:sz w:val="22"/>
                <w:szCs w:val="22"/>
                <w:highlight w:val="none"/>
                <w:lang w:val="en-US" w:eastAsia="zh-CN"/>
              </w:rPr>
              <w:t>明确</w:t>
            </w:r>
            <w:r>
              <w:rPr>
                <w:rFonts w:hint="eastAsia" w:ascii="仿宋" w:hAnsi="仿宋" w:eastAsia="仿宋" w:cs="仿宋"/>
                <w:spacing w:val="8"/>
                <w:sz w:val="22"/>
                <w:szCs w:val="22"/>
                <w:highlight w:val="none"/>
              </w:rPr>
              <w:t>。</w:t>
            </w:r>
          </w:p>
          <w:p w14:paraId="5D13B655">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投入本项目配送人员≥</w:t>
            </w:r>
            <w:r>
              <w:rPr>
                <w:rFonts w:hint="eastAsia" w:ascii="仿宋" w:hAnsi="仿宋" w:eastAsia="仿宋" w:cs="仿宋"/>
                <w:spacing w:val="3"/>
                <w:sz w:val="22"/>
                <w:szCs w:val="22"/>
                <w:highlight w:val="none"/>
                <w:lang w:val="en-US" w:eastAsia="zh-CN"/>
              </w:rPr>
              <w:t>25</w:t>
            </w:r>
            <w:r>
              <w:rPr>
                <w:rFonts w:hint="eastAsia" w:ascii="仿宋" w:hAnsi="仿宋" w:eastAsia="仿宋" w:cs="仿宋"/>
                <w:spacing w:val="3"/>
                <w:sz w:val="22"/>
                <w:szCs w:val="22"/>
                <w:highlight w:val="none"/>
              </w:rPr>
              <w:t>人</w:t>
            </w:r>
            <w:r>
              <w:rPr>
                <w:rFonts w:hint="eastAsia" w:ascii="仿宋" w:hAnsi="仿宋" w:eastAsia="仿宋" w:cs="仿宋"/>
                <w:spacing w:val="3"/>
                <w:sz w:val="22"/>
                <w:szCs w:val="22"/>
                <w:highlight w:val="none"/>
                <w:lang w:eastAsia="zh-CN"/>
              </w:rPr>
              <w:t>，</w:t>
            </w:r>
            <w:r>
              <w:rPr>
                <w:rFonts w:hint="eastAsia" w:ascii="仿宋" w:hAnsi="仿宋" w:eastAsia="仿宋" w:cs="仿宋"/>
                <w:spacing w:val="3"/>
                <w:sz w:val="22"/>
                <w:szCs w:val="22"/>
                <w:highlight w:val="none"/>
              </w:rPr>
              <w:t>得</w:t>
            </w:r>
            <w:r>
              <w:rPr>
                <w:rFonts w:hint="eastAsia" w:ascii="仿宋" w:hAnsi="仿宋" w:eastAsia="仿宋" w:cs="仿宋"/>
                <w:sz w:val="22"/>
                <w:szCs w:val="22"/>
                <w:highlight w:val="none"/>
                <w:lang w:val="en-US" w:eastAsia="zh-CN"/>
              </w:rPr>
              <w:t>6</w:t>
            </w:r>
            <w:r>
              <w:rPr>
                <w:rFonts w:hint="eastAsia" w:ascii="仿宋" w:hAnsi="仿宋" w:eastAsia="仿宋" w:cs="仿宋"/>
                <w:spacing w:val="3"/>
                <w:sz w:val="22"/>
                <w:szCs w:val="22"/>
                <w:highlight w:val="none"/>
              </w:rPr>
              <w:t>分</w:t>
            </w:r>
          </w:p>
          <w:p w14:paraId="055F2D0C">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pacing w:val="4"/>
                <w:sz w:val="22"/>
                <w:szCs w:val="22"/>
                <w:highlight w:val="none"/>
              </w:rPr>
            </w:pPr>
            <w:r>
              <w:rPr>
                <w:rFonts w:hint="eastAsia" w:ascii="仿宋" w:hAnsi="仿宋" w:eastAsia="仿宋" w:cs="仿宋"/>
                <w:spacing w:val="5"/>
                <w:sz w:val="22"/>
                <w:szCs w:val="22"/>
                <w:highlight w:val="none"/>
              </w:rPr>
              <w:t>投入本项目配送人员&lt;</w:t>
            </w:r>
            <w:r>
              <w:rPr>
                <w:rFonts w:hint="eastAsia" w:ascii="仿宋" w:hAnsi="仿宋" w:eastAsia="仿宋" w:cs="仿宋"/>
                <w:spacing w:val="5"/>
                <w:sz w:val="22"/>
                <w:szCs w:val="22"/>
                <w:highlight w:val="none"/>
                <w:lang w:val="en-US" w:eastAsia="zh-CN"/>
              </w:rPr>
              <w:t>25</w:t>
            </w:r>
            <w:r>
              <w:rPr>
                <w:rFonts w:hint="eastAsia" w:ascii="仿宋" w:hAnsi="仿宋" w:eastAsia="仿宋" w:cs="仿宋"/>
                <w:spacing w:val="5"/>
                <w:sz w:val="22"/>
                <w:szCs w:val="22"/>
                <w:highlight w:val="none"/>
              </w:rPr>
              <w:t>人</w:t>
            </w:r>
            <w:r>
              <w:rPr>
                <w:rFonts w:hint="eastAsia" w:ascii="仿宋" w:hAnsi="仿宋" w:eastAsia="仿宋" w:cs="仿宋"/>
                <w:spacing w:val="5"/>
                <w:sz w:val="22"/>
                <w:szCs w:val="22"/>
                <w:highlight w:val="none"/>
                <w:lang w:eastAsia="zh-CN"/>
              </w:rPr>
              <w:t>，</w:t>
            </w:r>
            <w:r>
              <w:rPr>
                <w:rFonts w:hint="eastAsia" w:ascii="仿宋" w:hAnsi="仿宋" w:eastAsia="仿宋" w:cs="仿宋"/>
                <w:spacing w:val="5"/>
                <w:sz w:val="22"/>
                <w:szCs w:val="22"/>
                <w:highlight w:val="none"/>
              </w:rPr>
              <w:t>≥10人</w:t>
            </w:r>
            <w:r>
              <w:rPr>
                <w:rFonts w:hint="eastAsia" w:ascii="仿宋" w:hAnsi="仿宋" w:eastAsia="仿宋" w:cs="仿宋"/>
                <w:spacing w:val="5"/>
                <w:sz w:val="22"/>
                <w:szCs w:val="22"/>
                <w:highlight w:val="none"/>
                <w:lang w:eastAsia="zh-CN"/>
              </w:rPr>
              <w:t>，</w:t>
            </w:r>
            <w:r>
              <w:rPr>
                <w:rFonts w:hint="eastAsia" w:ascii="仿宋" w:hAnsi="仿宋" w:eastAsia="仿宋" w:cs="仿宋"/>
                <w:spacing w:val="4"/>
                <w:sz w:val="22"/>
                <w:szCs w:val="22"/>
                <w:highlight w:val="none"/>
              </w:rPr>
              <w:t>得</w:t>
            </w:r>
            <w:r>
              <w:rPr>
                <w:rFonts w:hint="eastAsia" w:ascii="仿宋" w:hAnsi="仿宋" w:eastAsia="仿宋" w:cs="仿宋"/>
                <w:spacing w:val="1"/>
                <w:sz w:val="22"/>
                <w:szCs w:val="22"/>
                <w:highlight w:val="none"/>
                <w:lang w:val="en-US" w:eastAsia="zh-CN"/>
              </w:rPr>
              <w:t>3</w:t>
            </w:r>
            <w:r>
              <w:rPr>
                <w:rFonts w:hint="eastAsia" w:ascii="仿宋" w:hAnsi="仿宋" w:eastAsia="仿宋" w:cs="仿宋"/>
                <w:spacing w:val="4"/>
                <w:sz w:val="22"/>
                <w:szCs w:val="22"/>
                <w:highlight w:val="none"/>
              </w:rPr>
              <w:t>分</w:t>
            </w:r>
          </w:p>
          <w:p w14:paraId="5B83BAF5">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投入本项目配送人员&lt;10人</w:t>
            </w:r>
            <w:r>
              <w:rPr>
                <w:rFonts w:hint="eastAsia" w:ascii="仿宋" w:hAnsi="仿宋" w:eastAsia="仿宋" w:cs="仿宋"/>
                <w:spacing w:val="4"/>
                <w:sz w:val="22"/>
                <w:szCs w:val="22"/>
                <w:highlight w:val="none"/>
                <w:lang w:eastAsia="zh-CN"/>
              </w:rPr>
              <w:t>，</w:t>
            </w:r>
            <w:r>
              <w:rPr>
                <w:rFonts w:hint="eastAsia" w:ascii="仿宋" w:hAnsi="仿宋" w:eastAsia="仿宋" w:cs="仿宋"/>
                <w:spacing w:val="4"/>
                <w:sz w:val="22"/>
                <w:szCs w:val="22"/>
                <w:highlight w:val="none"/>
              </w:rPr>
              <w:t>得</w:t>
            </w:r>
            <w:r>
              <w:rPr>
                <w:rFonts w:hint="eastAsia" w:ascii="仿宋" w:hAnsi="仿宋" w:eastAsia="仿宋" w:cs="仿宋"/>
                <w:spacing w:val="4"/>
                <w:sz w:val="22"/>
                <w:szCs w:val="22"/>
                <w:highlight w:val="none"/>
                <w:lang w:val="en-US" w:eastAsia="zh-CN"/>
              </w:rPr>
              <w:t>1</w:t>
            </w:r>
            <w:r>
              <w:rPr>
                <w:rFonts w:hint="eastAsia" w:ascii="仿宋" w:hAnsi="仿宋" w:eastAsia="仿宋" w:cs="仿宋"/>
                <w:spacing w:val="4"/>
                <w:sz w:val="22"/>
                <w:szCs w:val="22"/>
                <w:highlight w:val="none"/>
              </w:rPr>
              <w:t>分。</w:t>
            </w:r>
          </w:p>
          <w:p w14:paraId="5705648B">
            <w:pPr>
              <w:keepNext w:val="0"/>
              <w:keepLines w:val="0"/>
              <w:widowControl w:val="0"/>
              <w:suppressLineNumbers w:val="0"/>
              <w:bidi w:val="0"/>
              <w:spacing w:before="0" w:beforeAutospacing="0" w:after="0" w:afterAutospacing="0" w:line="240" w:lineRule="auto"/>
              <w:ind w:left="0" w:right="0"/>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pacing w:val="11"/>
                <w:sz w:val="22"/>
                <w:szCs w:val="22"/>
                <w:highlight w:val="none"/>
              </w:rPr>
              <w:t>2.</w:t>
            </w:r>
            <w:r>
              <w:rPr>
                <w:rFonts w:hint="eastAsia" w:ascii="仿宋" w:hAnsi="仿宋" w:eastAsia="仿宋" w:cs="仿宋"/>
                <w:spacing w:val="11"/>
                <w:sz w:val="22"/>
                <w:szCs w:val="22"/>
                <w:highlight w:val="none"/>
                <w:lang w:val="en-US" w:eastAsia="zh-CN"/>
              </w:rPr>
              <w:t>配备至少1名</w:t>
            </w:r>
            <w:r>
              <w:rPr>
                <w:rFonts w:hint="eastAsia" w:ascii="仿宋" w:hAnsi="仿宋" w:eastAsia="仿宋" w:cs="仿宋"/>
                <w:spacing w:val="11"/>
                <w:sz w:val="22"/>
                <w:szCs w:val="22"/>
                <w:highlight w:val="none"/>
              </w:rPr>
              <w:t>食品安全总监和</w:t>
            </w:r>
            <w:r>
              <w:rPr>
                <w:rFonts w:hint="eastAsia" w:ascii="仿宋" w:hAnsi="仿宋" w:eastAsia="仿宋" w:cs="仿宋"/>
                <w:spacing w:val="11"/>
                <w:sz w:val="22"/>
                <w:szCs w:val="22"/>
                <w:highlight w:val="none"/>
                <w:lang w:val="en-US" w:eastAsia="zh-CN"/>
              </w:rPr>
              <w:t>1名</w:t>
            </w:r>
            <w:r>
              <w:rPr>
                <w:rFonts w:hint="eastAsia" w:ascii="仿宋" w:hAnsi="仿宋" w:eastAsia="仿宋" w:cs="仿宋"/>
                <w:spacing w:val="11"/>
                <w:sz w:val="22"/>
                <w:szCs w:val="22"/>
                <w:highlight w:val="none"/>
              </w:rPr>
              <w:t>食品</w:t>
            </w:r>
            <w:r>
              <w:rPr>
                <w:rFonts w:hint="eastAsia" w:ascii="仿宋" w:hAnsi="仿宋" w:eastAsia="仿宋" w:cs="仿宋"/>
                <w:spacing w:val="11"/>
                <w:sz w:val="22"/>
                <w:szCs w:val="22"/>
                <w:highlight w:val="none"/>
                <w:lang w:val="en-US" w:eastAsia="zh-CN"/>
              </w:rPr>
              <w:t>检验</w:t>
            </w:r>
            <w:r>
              <w:rPr>
                <w:rFonts w:hint="eastAsia" w:ascii="仿宋" w:hAnsi="仿宋" w:eastAsia="仿宋" w:cs="仿宋"/>
                <w:spacing w:val="11"/>
                <w:sz w:val="22"/>
                <w:szCs w:val="22"/>
                <w:highlight w:val="none"/>
              </w:rPr>
              <w:t>员</w:t>
            </w:r>
            <w:r>
              <w:rPr>
                <w:rFonts w:hint="eastAsia" w:ascii="仿宋" w:hAnsi="仿宋" w:eastAsia="仿宋" w:cs="仿宋"/>
                <w:spacing w:val="11"/>
                <w:sz w:val="22"/>
                <w:szCs w:val="22"/>
                <w:highlight w:val="none"/>
                <w:lang w:eastAsia="zh-CN"/>
              </w:rPr>
              <w:t>，</w:t>
            </w:r>
            <w:r>
              <w:rPr>
                <w:rFonts w:hint="eastAsia" w:ascii="仿宋" w:hAnsi="仿宋" w:eastAsia="仿宋" w:cs="仿宋"/>
                <w:spacing w:val="11"/>
                <w:sz w:val="22"/>
                <w:szCs w:val="22"/>
                <w:highlight w:val="none"/>
                <w:lang w:val="en-US" w:eastAsia="zh-CN"/>
              </w:rPr>
              <w:t>每配备一名得2分，</w:t>
            </w:r>
            <w:r>
              <w:rPr>
                <w:rFonts w:hint="eastAsia" w:ascii="仿宋" w:hAnsi="仿宋" w:eastAsia="仿宋" w:cs="仿宋"/>
                <w:spacing w:val="4"/>
                <w:sz w:val="22"/>
                <w:szCs w:val="22"/>
                <w:highlight w:val="none"/>
              </w:rPr>
              <w:t>满分</w:t>
            </w:r>
            <w:r>
              <w:rPr>
                <w:rFonts w:hint="eastAsia" w:ascii="仿宋" w:hAnsi="仿宋" w:eastAsia="仿宋" w:cs="仿宋"/>
                <w:spacing w:val="4"/>
                <w:sz w:val="22"/>
                <w:szCs w:val="22"/>
                <w:highlight w:val="none"/>
                <w:lang w:val="en-US" w:eastAsia="zh-CN"/>
              </w:rPr>
              <w:t>4</w:t>
            </w:r>
            <w:r>
              <w:rPr>
                <w:rFonts w:hint="eastAsia" w:ascii="仿宋" w:hAnsi="仿宋" w:eastAsia="仿宋" w:cs="仿宋"/>
                <w:spacing w:val="4"/>
                <w:sz w:val="22"/>
                <w:szCs w:val="22"/>
                <w:highlight w:val="none"/>
              </w:rPr>
              <w:t>分。</w:t>
            </w:r>
            <w:r>
              <w:rPr>
                <w:rFonts w:hint="eastAsia" w:ascii="仿宋" w:hAnsi="仿宋" w:eastAsia="仿宋" w:cs="仿宋"/>
                <w:b/>
                <w:bCs/>
                <w:spacing w:val="4"/>
                <w:sz w:val="22"/>
                <w:szCs w:val="22"/>
                <w:highlight w:val="none"/>
                <w:lang w:val="en-US" w:eastAsia="zh-CN"/>
              </w:rPr>
              <w:t>以上</w:t>
            </w:r>
            <w:r>
              <w:rPr>
                <w:rFonts w:hint="eastAsia" w:ascii="仿宋" w:hAnsi="仿宋" w:eastAsia="仿宋" w:cs="仿宋"/>
                <w:b/>
                <w:bCs/>
                <w:spacing w:val="6"/>
                <w:sz w:val="22"/>
                <w:szCs w:val="22"/>
                <w:highlight w:val="none"/>
              </w:rPr>
              <w:t>人员</w:t>
            </w:r>
            <w:r>
              <w:rPr>
                <w:rFonts w:hint="eastAsia" w:ascii="仿宋" w:hAnsi="仿宋" w:eastAsia="仿宋" w:cs="仿宋"/>
                <w:b/>
                <w:bCs/>
                <w:spacing w:val="6"/>
                <w:sz w:val="22"/>
                <w:szCs w:val="22"/>
                <w:highlight w:val="none"/>
                <w:lang w:val="en-US" w:eastAsia="zh-CN"/>
              </w:rPr>
              <w:t>需提供近3</w:t>
            </w:r>
            <w:r>
              <w:rPr>
                <w:rFonts w:hint="eastAsia" w:ascii="仿宋" w:hAnsi="仿宋" w:eastAsia="仿宋" w:cs="仿宋"/>
                <w:b/>
                <w:bCs/>
                <w:spacing w:val="6"/>
                <w:sz w:val="22"/>
                <w:szCs w:val="22"/>
                <w:highlight w:val="none"/>
              </w:rPr>
              <w:t>个月内社保</w:t>
            </w:r>
            <w:r>
              <w:rPr>
                <w:rFonts w:hint="eastAsia" w:ascii="仿宋" w:hAnsi="仿宋" w:eastAsia="仿宋" w:cs="仿宋"/>
                <w:b/>
                <w:bCs/>
                <w:spacing w:val="6"/>
                <w:sz w:val="22"/>
                <w:szCs w:val="22"/>
                <w:highlight w:val="none"/>
                <w:lang w:val="en-US" w:eastAsia="zh-CN"/>
              </w:rPr>
              <w:t>证明</w:t>
            </w:r>
            <w:r>
              <w:rPr>
                <w:rFonts w:hint="eastAsia" w:ascii="仿宋" w:hAnsi="仿宋" w:eastAsia="仿宋" w:cs="仿宋"/>
                <w:b/>
                <w:bCs/>
                <w:spacing w:val="6"/>
                <w:sz w:val="22"/>
                <w:szCs w:val="22"/>
                <w:highlight w:val="none"/>
              </w:rPr>
              <w:t>、有效期内健康证明</w:t>
            </w:r>
            <w:r>
              <w:rPr>
                <w:rFonts w:hint="eastAsia" w:ascii="仿宋" w:hAnsi="仿宋" w:eastAsia="仿宋" w:cs="仿宋"/>
                <w:b/>
                <w:bCs/>
                <w:spacing w:val="5"/>
                <w:sz w:val="22"/>
                <w:szCs w:val="22"/>
                <w:highlight w:val="none"/>
              </w:rPr>
              <w:t>、</w:t>
            </w:r>
            <w:r>
              <w:rPr>
                <w:rFonts w:hint="eastAsia" w:ascii="仿宋" w:hAnsi="仿宋" w:eastAsia="仿宋" w:cs="仿宋"/>
                <w:b/>
                <w:bCs/>
                <w:spacing w:val="5"/>
                <w:sz w:val="22"/>
                <w:szCs w:val="22"/>
                <w:highlight w:val="none"/>
                <w:lang w:val="en-US" w:eastAsia="zh-CN"/>
              </w:rPr>
              <w:t>劳务</w:t>
            </w:r>
            <w:r>
              <w:rPr>
                <w:rFonts w:hint="eastAsia" w:ascii="仿宋" w:hAnsi="仿宋" w:eastAsia="仿宋" w:cs="仿宋"/>
                <w:b/>
                <w:bCs/>
                <w:spacing w:val="5"/>
                <w:sz w:val="22"/>
                <w:szCs w:val="22"/>
                <w:highlight w:val="none"/>
              </w:rPr>
              <w:t>合同</w:t>
            </w:r>
            <w:r>
              <w:rPr>
                <w:rFonts w:hint="eastAsia" w:ascii="仿宋" w:hAnsi="仿宋" w:eastAsia="仿宋" w:cs="仿宋"/>
                <w:b/>
                <w:bCs/>
                <w:spacing w:val="5"/>
                <w:sz w:val="22"/>
                <w:szCs w:val="22"/>
                <w:highlight w:val="none"/>
                <w:lang w:eastAsia="zh-CN"/>
              </w:rPr>
              <w:t>，</w:t>
            </w:r>
            <w:r>
              <w:rPr>
                <w:rFonts w:hint="eastAsia" w:ascii="仿宋" w:hAnsi="仿宋" w:eastAsia="仿宋" w:cs="仿宋"/>
                <w:b/>
                <w:bCs/>
                <w:spacing w:val="9"/>
                <w:sz w:val="22"/>
                <w:szCs w:val="22"/>
                <w:highlight w:val="none"/>
              </w:rPr>
              <w:t>食品安全总监证、食品</w:t>
            </w:r>
            <w:r>
              <w:rPr>
                <w:rFonts w:hint="eastAsia" w:ascii="仿宋" w:hAnsi="仿宋" w:eastAsia="仿宋" w:cs="仿宋"/>
                <w:b/>
                <w:bCs/>
                <w:spacing w:val="9"/>
                <w:sz w:val="22"/>
                <w:szCs w:val="22"/>
                <w:highlight w:val="none"/>
                <w:lang w:val="en-US" w:eastAsia="zh-CN"/>
              </w:rPr>
              <w:t>检验员证</w:t>
            </w:r>
            <w:r>
              <w:rPr>
                <w:rFonts w:hint="eastAsia" w:ascii="仿宋" w:hAnsi="仿宋" w:eastAsia="仿宋" w:cs="仿宋"/>
                <w:b/>
                <w:bCs/>
                <w:spacing w:val="9"/>
                <w:sz w:val="22"/>
                <w:szCs w:val="22"/>
                <w:highlight w:val="none"/>
              </w:rPr>
              <w:t>、身份证等相关资料。提</w:t>
            </w:r>
            <w:r>
              <w:rPr>
                <w:rFonts w:hint="eastAsia" w:ascii="仿宋" w:hAnsi="仿宋" w:eastAsia="仿宋" w:cs="仿宋"/>
                <w:b/>
                <w:bCs/>
                <w:spacing w:val="8"/>
                <w:sz w:val="22"/>
                <w:szCs w:val="22"/>
                <w:highlight w:val="none"/>
              </w:rPr>
              <w:t>供不全或不提供不得分。</w:t>
            </w:r>
          </w:p>
        </w:tc>
        <w:tc>
          <w:tcPr>
            <w:tcW w:w="1307" w:type="dxa"/>
          </w:tcPr>
          <w:p w14:paraId="6FC00816">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r w14:paraId="4385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vMerge w:val="continue"/>
          </w:tcPr>
          <w:p w14:paraId="5CA19867">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c>
          <w:tcPr>
            <w:tcW w:w="1086" w:type="dxa"/>
            <w:shd w:val="clear" w:color="auto" w:fill="auto"/>
            <w:vAlign w:val="center"/>
          </w:tcPr>
          <w:p w14:paraId="556AC95B">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2"/>
                <w:szCs w:val="22"/>
                <w:highlight w:val="none"/>
              </w:rPr>
            </w:pPr>
          </w:p>
          <w:p w14:paraId="08B9CEDC">
            <w:pPr>
              <w:pStyle w:val="56"/>
              <w:keepNext w:val="0"/>
              <w:keepLines w:val="0"/>
              <w:widowControl w:val="0"/>
              <w:suppressLineNumbers w:val="0"/>
              <w:spacing w:before="86" w:beforeAutospacing="0" w:after="0" w:afterAutospacing="0" w:line="240" w:lineRule="auto"/>
              <w:ind w:left="0" w:right="0"/>
              <w:jc w:val="center"/>
              <w:rPr>
                <w:rFonts w:hint="eastAsia" w:ascii="仿宋" w:hAnsi="仿宋" w:eastAsia="仿宋" w:cs="仿宋"/>
                <w:spacing w:val="9"/>
                <w:sz w:val="22"/>
                <w:szCs w:val="22"/>
                <w:highlight w:val="none"/>
              </w:rPr>
            </w:pPr>
            <w:r>
              <w:rPr>
                <w:rFonts w:hint="eastAsia" w:ascii="仿宋" w:hAnsi="仿宋" w:eastAsia="仿宋" w:cs="仿宋"/>
                <w:spacing w:val="9"/>
                <w:sz w:val="22"/>
                <w:szCs w:val="22"/>
                <w:highlight w:val="none"/>
              </w:rPr>
              <w:t>售后</w:t>
            </w:r>
          </w:p>
          <w:p w14:paraId="2D45945A">
            <w:pPr>
              <w:pStyle w:val="56"/>
              <w:keepNext w:val="0"/>
              <w:keepLines w:val="0"/>
              <w:widowControl w:val="0"/>
              <w:suppressLineNumbers w:val="0"/>
              <w:spacing w:before="86"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spacing w:val="9"/>
                <w:sz w:val="22"/>
                <w:szCs w:val="22"/>
                <w:highlight w:val="none"/>
              </w:rPr>
              <w:t>服务</w:t>
            </w:r>
          </w:p>
        </w:tc>
        <w:tc>
          <w:tcPr>
            <w:tcW w:w="767" w:type="dxa"/>
            <w:shd w:val="clear" w:color="auto" w:fill="auto"/>
            <w:vAlign w:val="center"/>
          </w:tcPr>
          <w:p w14:paraId="6A9FCDE3">
            <w:pPr>
              <w:pStyle w:val="56"/>
              <w:keepNext w:val="0"/>
              <w:keepLines w:val="0"/>
              <w:widowControl w:val="0"/>
              <w:suppressLineNumbers w:val="0"/>
              <w:spacing w:before="85" w:beforeAutospacing="0" w:after="0" w:afterAutospacing="0" w:line="240" w:lineRule="auto"/>
              <w:ind w:left="0" w:right="0"/>
              <w:jc w:val="center"/>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pacing w:val="3"/>
                <w:sz w:val="22"/>
                <w:szCs w:val="22"/>
                <w:highlight w:val="none"/>
                <w:lang w:val="en-US" w:eastAsia="zh-CN"/>
              </w:rPr>
              <w:t>8</w:t>
            </w:r>
          </w:p>
        </w:tc>
        <w:tc>
          <w:tcPr>
            <w:tcW w:w="5437" w:type="dxa"/>
            <w:shd w:val="clear" w:color="auto" w:fill="auto"/>
            <w:vAlign w:val="top"/>
          </w:tcPr>
          <w:p w14:paraId="429863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根据供应商针对本项目提供售后服务方案，至少包含：1、售后服务管理制度；2、项目售后服务组织措施；3、响应时间及现场服务支持能力；4、针对服务中出现各项问题的解决办法；5、售后24小时服务专线，确保快速解决一切突发紧急情况（配备不少于3名专职售后小组人员，需提供具体联系人、联系电话及人员近3个月内社保证明、有效期内健康证明、劳务合同、身份证等相关资料等）；6、验货不合格产品的退换方案等。</w:t>
            </w:r>
          </w:p>
          <w:p w14:paraId="5FEA0BC0">
            <w:pPr>
              <w:pStyle w:val="56"/>
              <w:keepNext w:val="0"/>
              <w:keepLines w:val="0"/>
              <w:widowControl w:val="0"/>
              <w:suppressLineNumbers w:val="0"/>
              <w:spacing w:before="5" w:beforeAutospacing="0" w:after="0" w:afterAutospacing="0" w:line="240" w:lineRule="auto"/>
              <w:ind w:left="0" w:right="105" w:rightChars="0"/>
              <w:jc w:val="both"/>
              <w:rPr>
                <w:rFonts w:hint="eastAsia" w:ascii="仿宋" w:hAnsi="仿宋" w:eastAsia="仿宋" w:cs="仿宋"/>
                <w:snapToGrid w:val="0"/>
                <w:color w:val="000000"/>
                <w:kern w:val="0"/>
                <w:sz w:val="22"/>
                <w:szCs w:val="22"/>
                <w:highlight w:val="none"/>
                <w:lang w:val="en-US" w:eastAsia="en-US" w:bidi="ar-SA"/>
              </w:rPr>
            </w:pPr>
            <w:r>
              <w:rPr>
                <w:rFonts w:hint="eastAsia" w:ascii="仿宋" w:hAnsi="仿宋" w:eastAsia="仿宋" w:cs="仿宋"/>
                <w:color w:val="auto"/>
                <w:kern w:val="0"/>
                <w:sz w:val="22"/>
                <w:szCs w:val="22"/>
                <w:highlight w:val="none"/>
                <w:lang w:val="en-US" w:eastAsia="zh-CN" w:bidi="ar"/>
              </w:rPr>
              <w:t>以上方案贴合本项目实际情况、方案内容全面、逻辑清晰，完全满足项目采购需求的得8分，其中缺项漏项或每项内容存在内容不全面或内容不具体或文字表述不清晰或方案内容与项目无关的，每有一项扣2分，扣完为止。</w:t>
            </w:r>
          </w:p>
        </w:tc>
        <w:tc>
          <w:tcPr>
            <w:tcW w:w="1307" w:type="dxa"/>
          </w:tcPr>
          <w:p w14:paraId="2F29FF15">
            <w:pPr>
              <w:keepNext w:val="0"/>
              <w:keepLines w:val="0"/>
              <w:widowControl w:val="0"/>
              <w:suppressLineNumbers w:val="0"/>
              <w:bidi w:val="0"/>
              <w:spacing w:before="0" w:beforeAutospacing="0" w:after="0" w:afterAutospacing="0" w:line="240" w:lineRule="auto"/>
              <w:ind w:left="0" w:right="0"/>
              <w:rPr>
                <w:rFonts w:hint="eastAsia" w:ascii="仿宋" w:hAnsi="仿宋" w:eastAsia="仿宋" w:cs="仿宋"/>
                <w:sz w:val="22"/>
                <w:szCs w:val="22"/>
                <w:highlight w:val="none"/>
                <w:vertAlign w:val="baseline"/>
              </w:rPr>
            </w:pPr>
          </w:p>
        </w:tc>
      </w:tr>
    </w:tbl>
    <w:p w14:paraId="11F60F7A">
      <w:pPr>
        <w:rPr>
          <w:rFonts w:hint="eastAsia"/>
          <w:lang w:val="en-US" w:eastAsia="zh-CN"/>
        </w:rPr>
      </w:pPr>
    </w:p>
    <w:p w14:paraId="1EDD6D70">
      <w:pPr>
        <w:rPr>
          <w:rFonts w:hint="eastAsia" w:ascii="仿宋" w:hAnsi="仿宋" w:eastAsia="仿宋" w:cs="仿宋"/>
          <w:b/>
          <w:bCs/>
          <w:sz w:val="28"/>
          <w:szCs w:val="28"/>
          <w:lang w:val="en-US" w:eastAsia="zh-CN"/>
        </w:rPr>
      </w:pPr>
    </w:p>
    <w:p w14:paraId="4B1DE74F">
      <w:pPr>
        <w:rPr>
          <w:rFonts w:hint="eastAsia" w:ascii="仿宋" w:hAnsi="仿宋" w:eastAsia="仿宋" w:cs="仿宋"/>
          <w:b/>
          <w:bCs/>
          <w:sz w:val="28"/>
          <w:szCs w:val="28"/>
          <w:lang w:val="en-US" w:eastAsia="zh-CN"/>
        </w:rPr>
      </w:pPr>
    </w:p>
    <w:p w14:paraId="217E0589">
      <w:pPr>
        <w:rPr>
          <w:rFonts w:hint="eastAsia" w:ascii="仿宋" w:hAnsi="仿宋" w:eastAsia="仿宋" w:cs="仿宋"/>
          <w:b/>
          <w:bCs/>
          <w:sz w:val="28"/>
          <w:szCs w:val="28"/>
          <w:lang w:val="en-US" w:eastAsia="zh-CN"/>
        </w:rPr>
      </w:pPr>
    </w:p>
    <w:p w14:paraId="5C5BF49B">
      <w:pPr>
        <w:rPr>
          <w:rFonts w:hint="eastAsia" w:ascii="仿宋" w:hAnsi="仿宋" w:eastAsia="仿宋" w:cs="仿宋"/>
          <w:b/>
          <w:bCs/>
          <w:sz w:val="28"/>
          <w:szCs w:val="28"/>
          <w:lang w:val="en-US" w:eastAsia="zh-CN"/>
        </w:rPr>
      </w:pPr>
    </w:p>
    <w:p w14:paraId="687DDFD2">
      <w:pPr>
        <w:pStyle w:val="5"/>
        <w:ind w:left="0" w:leftChars="0" w:firstLine="0" w:firstLineChars="0"/>
        <w:rPr>
          <w:rFonts w:hint="eastAsia" w:ascii="仿宋" w:hAnsi="仿宋" w:eastAsia="仿宋" w:cs="仿宋"/>
          <w:b/>
          <w:bCs/>
          <w:sz w:val="28"/>
          <w:szCs w:val="28"/>
          <w:lang w:val="en-US" w:eastAsia="zh-CN"/>
        </w:rPr>
      </w:pPr>
    </w:p>
    <w:p w14:paraId="0FCFE251">
      <w:pPr>
        <w:jc w:val="both"/>
        <w:rPr>
          <w:rFonts w:hint="eastAsia" w:ascii="仿宋" w:hAnsi="仿宋" w:eastAsia="仿宋" w:cs="仿宋"/>
          <w:b/>
          <w:bCs/>
          <w:sz w:val="28"/>
          <w:szCs w:val="28"/>
          <w:lang w:val="en-US" w:eastAsia="zh-CN"/>
        </w:rPr>
        <w:sectPr>
          <w:headerReference r:id="rId3" w:type="default"/>
          <w:footerReference r:id="rId4" w:type="default"/>
          <w:pgSz w:w="11907" w:h="16840"/>
          <w:pgMar w:top="1440" w:right="1080" w:bottom="1440" w:left="1080" w:header="851" w:footer="850" w:gutter="0"/>
          <w:pgNumType w:fmt="decimal"/>
          <w:cols w:space="720" w:num="1"/>
          <w:docGrid w:linePitch="462" w:charSpace="0"/>
        </w:sectPr>
      </w:pPr>
    </w:p>
    <w:bookmarkEnd w:id="236"/>
    <w:p w14:paraId="1914EEDE">
      <w:pPr>
        <w:pStyle w:val="4"/>
        <w:numPr>
          <w:ilvl w:val="0"/>
          <w:numId w:val="9"/>
        </w:numPr>
        <w:spacing w:line="360" w:lineRule="auto"/>
        <w:ind w:leftChars="0"/>
        <w:jc w:val="center"/>
        <w:rPr>
          <w:rFonts w:hint="eastAsia" w:ascii="仿宋_GB2312" w:hAnsi="仿宋_GB2312" w:eastAsia="仿宋_GB2312" w:cs="仿宋_GB2312"/>
          <w:b/>
          <w:bCs/>
          <w:i w:val="0"/>
          <w:iCs w:val="0"/>
          <w:caps w:val="0"/>
          <w:color w:val="000000"/>
          <w:spacing w:val="0"/>
          <w:kern w:val="0"/>
          <w:sz w:val="36"/>
          <w:szCs w:val="36"/>
          <w:lang w:val="en-US" w:eastAsia="zh-CN" w:bidi="ar"/>
        </w:rPr>
      </w:pPr>
      <w:bookmarkStart w:id="237" w:name="_Toc6050"/>
      <w:r>
        <w:rPr>
          <w:rFonts w:hint="eastAsia" w:ascii="仿宋_GB2312" w:hAnsi="仿宋_GB2312" w:eastAsia="仿宋_GB2312" w:cs="仿宋_GB2312"/>
          <w:b/>
          <w:bCs/>
          <w:i w:val="0"/>
          <w:iCs w:val="0"/>
          <w:caps w:val="0"/>
          <w:color w:val="000000"/>
          <w:spacing w:val="0"/>
          <w:kern w:val="0"/>
          <w:sz w:val="36"/>
          <w:szCs w:val="36"/>
          <w:lang w:val="en-US" w:eastAsia="zh-CN" w:bidi="ar"/>
        </w:rPr>
        <w:t xml:space="preserve"> 货物需求一览表</w:t>
      </w:r>
    </w:p>
    <w:p w14:paraId="1BF73D72">
      <w:pPr>
        <w:rPr>
          <w:rFonts w:hint="eastAsia"/>
          <w:lang w:val="en-US" w:eastAsia="zh-CN"/>
        </w:rPr>
      </w:pPr>
    </w:p>
    <w:p w14:paraId="6C89464B">
      <w:pPr>
        <w:pStyle w:val="5"/>
        <w:ind w:left="0" w:leftChars="0" w:firstLine="0" w:firstLineChars="0"/>
        <w:rPr>
          <w:rFonts w:hint="eastAsia"/>
          <w:sz w:val="28"/>
          <w:szCs w:val="28"/>
          <w:lang w:val="en-US" w:eastAsia="zh-CN"/>
        </w:rPr>
      </w:pPr>
      <w:r>
        <w:rPr>
          <w:rFonts w:hint="eastAsia" w:ascii="仿宋_GB2312" w:hAnsi="仿宋_GB2312" w:eastAsia="仿宋_GB2312" w:cs="仿宋_GB2312"/>
          <w:b/>
          <w:bCs/>
          <w:i w:val="0"/>
          <w:iCs w:val="0"/>
          <w:caps w:val="0"/>
          <w:color w:val="000000"/>
          <w:spacing w:val="0"/>
          <w:kern w:val="0"/>
          <w:sz w:val="28"/>
          <w:szCs w:val="28"/>
          <w:lang w:val="en-US" w:eastAsia="zh-CN" w:bidi="ar"/>
        </w:rPr>
        <w:t>采购需求：</w:t>
      </w:r>
    </w:p>
    <w:tbl>
      <w:tblPr>
        <w:tblStyle w:val="26"/>
        <w:tblW w:w="14893" w:type="dxa"/>
        <w:tblInd w:w="-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547"/>
        <w:gridCol w:w="880"/>
        <w:gridCol w:w="1149"/>
        <w:gridCol w:w="10464"/>
      </w:tblGrid>
      <w:tr w14:paraId="4B6A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2A0C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仿宋_GB2312" w:hAnsi="仿宋_GB2312" w:eastAsia="仿宋_GB2312" w:cs="仿宋_GB2312"/>
                <w:b/>
                <w:bCs/>
                <w:i w:val="0"/>
                <w:iCs w:val="0"/>
                <w:caps w:val="0"/>
                <w:color w:val="000000"/>
                <w:spacing w:val="0"/>
                <w:kern w:val="0"/>
                <w:sz w:val="23"/>
                <w:szCs w:val="23"/>
                <w:lang w:val="en-US" w:eastAsia="zh-CN" w:bidi="ar"/>
              </w:rPr>
            </w:pPr>
            <w:r>
              <w:rPr>
                <w:rFonts w:hint="eastAsia" w:ascii="仿宋_GB2312" w:hAnsi="仿宋_GB2312" w:eastAsia="仿宋_GB2312" w:cs="仿宋_GB2312"/>
                <w:b/>
                <w:bCs/>
                <w:i w:val="0"/>
                <w:iCs w:val="0"/>
                <w:caps w:val="0"/>
                <w:color w:val="000000"/>
                <w:spacing w:val="0"/>
                <w:kern w:val="0"/>
                <w:sz w:val="23"/>
                <w:szCs w:val="23"/>
                <w:lang w:val="en-US" w:eastAsia="zh-CN" w:bidi="ar"/>
              </w:rPr>
              <w:t>序号</w:t>
            </w:r>
          </w:p>
        </w:tc>
        <w:tc>
          <w:tcPr>
            <w:tcW w:w="1547" w:type="dxa"/>
            <w:vAlign w:val="center"/>
          </w:tcPr>
          <w:p w14:paraId="291EF7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b/>
                <w:bCs/>
                <w:i w:val="0"/>
                <w:iCs w:val="0"/>
                <w:caps w:val="0"/>
                <w:color w:val="000000"/>
                <w:spacing w:val="0"/>
                <w:kern w:val="0"/>
                <w:sz w:val="23"/>
                <w:szCs w:val="23"/>
                <w:lang w:val="en-US" w:eastAsia="zh-CN" w:bidi="ar"/>
              </w:rPr>
            </w:pPr>
            <w:r>
              <w:rPr>
                <w:rFonts w:hint="eastAsia" w:ascii="仿宋_GB2312" w:hAnsi="仿宋_GB2312" w:eastAsia="仿宋_GB2312" w:cs="仿宋_GB2312"/>
                <w:b/>
                <w:bCs/>
                <w:i w:val="0"/>
                <w:iCs w:val="0"/>
                <w:caps w:val="0"/>
                <w:color w:val="000000"/>
                <w:spacing w:val="0"/>
                <w:kern w:val="0"/>
                <w:sz w:val="23"/>
                <w:szCs w:val="23"/>
                <w:lang w:val="en-US" w:eastAsia="zh-CN" w:bidi="ar"/>
              </w:rPr>
              <w:t>名称</w:t>
            </w:r>
          </w:p>
        </w:tc>
        <w:tc>
          <w:tcPr>
            <w:tcW w:w="880" w:type="dxa"/>
            <w:vAlign w:val="center"/>
          </w:tcPr>
          <w:p w14:paraId="1DC8B9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bCs/>
                <w:i w:val="0"/>
                <w:iCs w:val="0"/>
                <w:caps w:val="0"/>
                <w:color w:val="000000"/>
                <w:spacing w:val="0"/>
                <w:kern w:val="0"/>
                <w:sz w:val="23"/>
                <w:szCs w:val="23"/>
                <w:lang w:val="en-US" w:eastAsia="zh-CN" w:bidi="ar"/>
              </w:rPr>
            </w:pPr>
            <w:r>
              <w:rPr>
                <w:rFonts w:hint="eastAsia" w:ascii="仿宋_GB2312" w:hAnsi="仿宋_GB2312" w:eastAsia="仿宋_GB2312" w:cs="仿宋_GB2312"/>
                <w:b/>
                <w:bCs/>
                <w:i w:val="0"/>
                <w:iCs w:val="0"/>
                <w:caps w:val="0"/>
                <w:color w:val="000000"/>
                <w:spacing w:val="0"/>
                <w:kern w:val="0"/>
                <w:sz w:val="23"/>
                <w:szCs w:val="23"/>
                <w:lang w:val="en-US" w:eastAsia="zh-CN" w:bidi="ar"/>
              </w:rPr>
              <w:t>单位</w:t>
            </w:r>
          </w:p>
        </w:tc>
        <w:tc>
          <w:tcPr>
            <w:tcW w:w="1149" w:type="dxa"/>
            <w:vAlign w:val="center"/>
          </w:tcPr>
          <w:p w14:paraId="6494E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b/>
                <w:bCs/>
                <w:i w:val="0"/>
                <w:iCs w:val="0"/>
                <w:caps w:val="0"/>
                <w:color w:val="000000"/>
                <w:spacing w:val="0"/>
                <w:kern w:val="0"/>
                <w:sz w:val="23"/>
                <w:szCs w:val="23"/>
                <w:lang w:val="en-US" w:eastAsia="zh-CN" w:bidi="ar"/>
              </w:rPr>
            </w:pPr>
            <w:r>
              <w:rPr>
                <w:rFonts w:hint="eastAsia" w:ascii="仿宋_GB2312" w:hAnsi="仿宋_GB2312" w:eastAsia="仿宋_GB2312" w:cs="仿宋_GB2312"/>
                <w:b/>
                <w:bCs/>
                <w:i w:val="0"/>
                <w:iCs w:val="0"/>
                <w:caps w:val="0"/>
                <w:color w:val="000000"/>
                <w:spacing w:val="0"/>
                <w:kern w:val="0"/>
                <w:sz w:val="23"/>
                <w:szCs w:val="23"/>
                <w:lang w:val="en-US" w:eastAsia="zh-CN" w:bidi="ar"/>
              </w:rPr>
              <w:t>数量</w:t>
            </w:r>
          </w:p>
        </w:tc>
        <w:tc>
          <w:tcPr>
            <w:tcW w:w="10464" w:type="dxa"/>
            <w:vAlign w:val="center"/>
          </w:tcPr>
          <w:p w14:paraId="0AE7B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仿宋_GB2312" w:hAnsi="仿宋_GB2312" w:eastAsia="仿宋_GB2312" w:cs="仿宋_GB2312"/>
                <w:b/>
                <w:bCs/>
                <w:i w:val="0"/>
                <w:iCs w:val="0"/>
                <w:caps w:val="0"/>
                <w:color w:val="000000"/>
                <w:spacing w:val="0"/>
                <w:kern w:val="0"/>
                <w:sz w:val="23"/>
                <w:szCs w:val="23"/>
                <w:lang w:val="en-US" w:eastAsia="zh-CN" w:bidi="ar"/>
              </w:rPr>
            </w:pPr>
            <w:r>
              <w:rPr>
                <w:rFonts w:hint="eastAsia" w:ascii="仿宋_GB2312" w:hAnsi="仿宋_GB2312" w:eastAsia="仿宋_GB2312" w:cs="仿宋_GB2312"/>
                <w:b/>
                <w:bCs/>
                <w:i w:val="0"/>
                <w:iCs w:val="0"/>
                <w:caps w:val="0"/>
                <w:color w:val="000000"/>
                <w:spacing w:val="0"/>
                <w:kern w:val="0"/>
                <w:sz w:val="23"/>
                <w:szCs w:val="23"/>
                <w:lang w:val="en-US" w:eastAsia="zh-CN" w:bidi="ar"/>
              </w:rPr>
              <w:t>规格要求</w:t>
            </w:r>
          </w:p>
        </w:tc>
      </w:tr>
      <w:tr w14:paraId="7E59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893" w:type="dxa"/>
            <w:gridSpan w:val="5"/>
            <w:vAlign w:val="center"/>
          </w:tcPr>
          <w:p w14:paraId="4A1EF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bCs/>
                <w:i w:val="0"/>
                <w:iCs w:val="0"/>
                <w:caps w:val="0"/>
                <w:color w:val="000000"/>
                <w:spacing w:val="0"/>
                <w:kern w:val="0"/>
                <w:sz w:val="23"/>
                <w:szCs w:val="23"/>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一、粮油类</w:t>
            </w:r>
          </w:p>
        </w:tc>
      </w:tr>
      <w:tr w14:paraId="2757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74BA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w:t>
            </w:r>
          </w:p>
        </w:tc>
        <w:tc>
          <w:tcPr>
            <w:tcW w:w="1547" w:type="dxa"/>
            <w:vAlign w:val="center"/>
          </w:tcPr>
          <w:p w14:paraId="22F4D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大米</w:t>
            </w:r>
          </w:p>
        </w:tc>
        <w:tc>
          <w:tcPr>
            <w:tcW w:w="880" w:type="dxa"/>
            <w:vAlign w:val="center"/>
          </w:tcPr>
          <w:p w14:paraId="2C020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袋</w:t>
            </w:r>
          </w:p>
        </w:tc>
        <w:tc>
          <w:tcPr>
            <w:tcW w:w="1149" w:type="dxa"/>
            <w:vMerge w:val="restart"/>
            <w:vAlign w:val="center"/>
          </w:tcPr>
          <w:p w14:paraId="68715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311F0C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优质珍珠米或长粒香，米粒要饱满，光泽鲜亮，无碎粒和杂质，产品符合国家标准GB/T1354-2018，净含量25KG/袋，每袋上需有产地、批号、有效期等标识</w:t>
            </w:r>
          </w:p>
        </w:tc>
      </w:tr>
      <w:tr w14:paraId="7DD4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4E53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w:t>
            </w:r>
          </w:p>
        </w:tc>
        <w:tc>
          <w:tcPr>
            <w:tcW w:w="1547" w:type="dxa"/>
            <w:vAlign w:val="center"/>
          </w:tcPr>
          <w:p w14:paraId="5C37FE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大米</w:t>
            </w:r>
          </w:p>
        </w:tc>
        <w:tc>
          <w:tcPr>
            <w:tcW w:w="880" w:type="dxa"/>
            <w:vAlign w:val="center"/>
          </w:tcPr>
          <w:p w14:paraId="7867D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袋</w:t>
            </w:r>
          </w:p>
        </w:tc>
        <w:tc>
          <w:tcPr>
            <w:tcW w:w="1149" w:type="dxa"/>
            <w:vMerge w:val="continue"/>
            <w:vAlign w:val="center"/>
          </w:tcPr>
          <w:p w14:paraId="2BD439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317B4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精品珍珠米或长粒香，米粒要饱满，光泽鲜亮，无碎粒和杂质，产品符合国家标准GB/T1354-2018，净含量25KG/袋，每袋上需有产地、批号、有效期等标识</w:t>
            </w:r>
          </w:p>
        </w:tc>
      </w:tr>
      <w:tr w14:paraId="18EF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EC6E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w:t>
            </w:r>
          </w:p>
        </w:tc>
        <w:tc>
          <w:tcPr>
            <w:tcW w:w="1547" w:type="dxa"/>
            <w:vAlign w:val="center"/>
          </w:tcPr>
          <w:p w14:paraId="0371C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面粉</w:t>
            </w:r>
          </w:p>
        </w:tc>
        <w:tc>
          <w:tcPr>
            <w:tcW w:w="880" w:type="dxa"/>
            <w:vAlign w:val="center"/>
          </w:tcPr>
          <w:p w14:paraId="281B4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袋</w:t>
            </w:r>
          </w:p>
        </w:tc>
        <w:tc>
          <w:tcPr>
            <w:tcW w:w="1149" w:type="dxa"/>
            <w:vMerge w:val="continue"/>
            <w:vAlign w:val="center"/>
          </w:tcPr>
          <w:p w14:paraId="1001A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2893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特一级面粉，产品符合国家标准GB1355，净含量25kg/袋，保证干燥、不得有结块、板结现象，包装内必须有质量检测《合格证》</w:t>
            </w:r>
          </w:p>
        </w:tc>
      </w:tr>
      <w:tr w14:paraId="11A5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1FDE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w:t>
            </w:r>
          </w:p>
        </w:tc>
        <w:tc>
          <w:tcPr>
            <w:tcW w:w="1547" w:type="dxa"/>
            <w:vAlign w:val="center"/>
          </w:tcPr>
          <w:p w14:paraId="6560D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面粉</w:t>
            </w:r>
          </w:p>
        </w:tc>
        <w:tc>
          <w:tcPr>
            <w:tcW w:w="880" w:type="dxa"/>
            <w:vAlign w:val="center"/>
          </w:tcPr>
          <w:p w14:paraId="18806C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袋</w:t>
            </w:r>
          </w:p>
        </w:tc>
        <w:tc>
          <w:tcPr>
            <w:tcW w:w="1149" w:type="dxa"/>
            <w:vMerge w:val="continue"/>
            <w:vAlign w:val="center"/>
          </w:tcPr>
          <w:p w14:paraId="5EE977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52CB0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特二级面粉，产品符合国家标准GB1355，净含量25kg/袋，保证干燥、不得有结块、板结现象，包装内必须有质量检测《合格证》</w:t>
            </w:r>
          </w:p>
        </w:tc>
      </w:tr>
      <w:tr w14:paraId="19E7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D4F96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5</w:t>
            </w:r>
          </w:p>
        </w:tc>
        <w:tc>
          <w:tcPr>
            <w:tcW w:w="1547" w:type="dxa"/>
            <w:vAlign w:val="center"/>
          </w:tcPr>
          <w:p w14:paraId="0E1E6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清油1</w:t>
            </w:r>
          </w:p>
        </w:tc>
        <w:tc>
          <w:tcPr>
            <w:tcW w:w="880" w:type="dxa"/>
            <w:vAlign w:val="center"/>
          </w:tcPr>
          <w:p w14:paraId="7D1FD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桶</w:t>
            </w:r>
          </w:p>
        </w:tc>
        <w:tc>
          <w:tcPr>
            <w:tcW w:w="1149" w:type="dxa"/>
            <w:vMerge w:val="continue"/>
            <w:vAlign w:val="center"/>
          </w:tcPr>
          <w:p w14:paraId="0DFA8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6E9FB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二级棉籽油、调和油，每桶20L，质量必须符合国家质量检测要求，桶面上有清油品牌、认定标志、检验报告、保质期、出厂日期、生产成分表等，必须相关部门出具有效检验报告</w:t>
            </w:r>
          </w:p>
        </w:tc>
      </w:tr>
      <w:tr w14:paraId="4D8C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894C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6</w:t>
            </w:r>
          </w:p>
        </w:tc>
        <w:tc>
          <w:tcPr>
            <w:tcW w:w="1547" w:type="dxa"/>
            <w:vAlign w:val="center"/>
          </w:tcPr>
          <w:p w14:paraId="776422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清油2</w:t>
            </w:r>
          </w:p>
        </w:tc>
        <w:tc>
          <w:tcPr>
            <w:tcW w:w="880" w:type="dxa"/>
            <w:vAlign w:val="center"/>
          </w:tcPr>
          <w:p w14:paraId="761DFF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桶</w:t>
            </w:r>
          </w:p>
        </w:tc>
        <w:tc>
          <w:tcPr>
            <w:tcW w:w="1149" w:type="dxa"/>
            <w:vMerge w:val="continue"/>
            <w:vAlign w:val="center"/>
          </w:tcPr>
          <w:p w14:paraId="52B71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39BB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一级压榨纯菜籽油，每桶5L，质量必须符合国家质量检测要求，桶面上有清油品牌、认定标志、检验报告、保质期、出厂日期、商标上有非转基因标识、生产成分表等，必须相关部门出具的有效检验报告</w:t>
            </w:r>
          </w:p>
        </w:tc>
      </w:tr>
      <w:tr w14:paraId="40C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2D0C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7</w:t>
            </w:r>
          </w:p>
        </w:tc>
        <w:tc>
          <w:tcPr>
            <w:tcW w:w="1547" w:type="dxa"/>
            <w:vAlign w:val="center"/>
          </w:tcPr>
          <w:p w14:paraId="14428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馕</w:t>
            </w:r>
          </w:p>
        </w:tc>
        <w:tc>
          <w:tcPr>
            <w:tcW w:w="880" w:type="dxa"/>
            <w:vAlign w:val="center"/>
          </w:tcPr>
          <w:p w14:paraId="655C4D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个</w:t>
            </w:r>
          </w:p>
        </w:tc>
        <w:tc>
          <w:tcPr>
            <w:tcW w:w="1149" w:type="dxa"/>
            <w:vMerge w:val="continue"/>
            <w:vAlign w:val="center"/>
          </w:tcPr>
          <w:p w14:paraId="13A5A0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0F9C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中号窝窝馕150克左右，必须保质保量，不得发酸、夹生、烤焦、生硬、发霉</w:t>
            </w:r>
          </w:p>
        </w:tc>
      </w:tr>
      <w:tr w14:paraId="696C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A2E4C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8</w:t>
            </w:r>
          </w:p>
        </w:tc>
        <w:tc>
          <w:tcPr>
            <w:tcW w:w="1547" w:type="dxa"/>
            <w:vAlign w:val="center"/>
          </w:tcPr>
          <w:p w14:paraId="1096B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挂面</w:t>
            </w:r>
          </w:p>
        </w:tc>
        <w:tc>
          <w:tcPr>
            <w:tcW w:w="880" w:type="dxa"/>
            <w:vAlign w:val="center"/>
          </w:tcPr>
          <w:p w14:paraId="22AA9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袋</w:t>
            </w:r>
          </w:p>
        </w:tc>
        <w:tc>
          <w:tcPr>
            <w:tcW w:w="1149" w:type="dxa"/>
            <w:vMerge w:val="continue"/>
            <w:vAlign w:val="center"/>
          </w:tcPr>
          <w:p w14:paraId="6E859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040C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有品牌，不得含有食品添加剂，1kg/把，20把/袋，精致小麦粉制做，保证干燥，不得有发霉、粉粹现象，包装内必须有质量检测《合格证》</w:t>
            </w:r>
          </w:p>
        </w:tc>
      </w:tr>
      <w:tr w14:paraId="758E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893" w:type="dxa"/>
            <w:gridSpan w:val="5"/>
            <w:vAlign w:val="center"/>
          </w:tcPr>
          <w:p w14:paraId="7BA168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二、鲜肉类</w:t>
            </w:r>
          </w:p>
        </w:tc>
      </w:tr>
      <w:tr w14:paraId="5696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A18DB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w:t>
            </w:r>
          </w:p>
        </w:tc>
        <w:tc>
          <w:tcPr>
            <w:tcW w:w="1547" w:type="dxa"/>
            <w:vAlign w:val="center"/>
          </w:tcPr>
          <w:p w14:paraId="6FFC44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羊肉</w:t>
            </w:r>
          </w:p>
        </w:tc>
        <w:tc>
          <w:tcPr>
            <w:tcW w:w="880" w:type="dxa"/>
            <w:vAlign w:val="center"/>
          </w:tcPr>
          <w:p w14:paraId="4F400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restart"/>
            <w:vAlign w:val="center"/>
          </w:tcPr>
          <w:p w14:paraId="56321D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00DAE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93257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5FC03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p w14:paraId="1AE734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FF101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02880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DAC6A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2867D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6515B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624BA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29A44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5D6B2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C0735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6A04D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78218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本地当天宰杀新鲜羊肉，非冻肉（不带羊尾油、内脏油、杂碎、去头去尾）整只羊重量不得超过35公斤，肉质红色均匀，有光泽。无泥污、无血污、放血状况良好，肉边整齐、无破碎肉、无粘液渗出或发干的表皮，无点状、小颗粒及各类寄生附着物。具有其固有的正常气味(羊肉重膻)，无臭味、无腐烂变质。配送的鲜羊肉表面加盖动物检疫检验部门鲜章，动物检疫合格证及肉品检验合格证必须齐全</w:t>
            </w:r>
          </w:p>
        </w:tc>
      </w:tr>
      <w:tr w14:paraId="54C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5D909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w:t>
            </w:r>
          </w:p>
        </w:tc>
        <w:tc>
          <w:tcPr>
            <w:tcW w:w="1547" w:type="dxa"/>
            <w:vAlign w:val="center"/>
          </w:tcPr>
          <w:p w14:paraId="505040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牛肉</w:t>
            </w:r>
          </w:p>
        </w:tc>
        <w:tc>
          <w:tcPr>
            <w:tcW w:w="880" w:type="dxa"/>
            <w:vAlign w:val="center"/>
          </w:tcPr>
          <w:p w14:paraId="6AE7E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053513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52090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本地当天宰杀新鲜牛肉，非冻肉，本地新鲜剔骨肉，肉质红色均匀，有光泽。无泥污、无血污、放血状况良好，肉边整齐、无内脏、无粘液渗出或发干的表皮，无点状、小颗粒及各类寄生附着物。具有其固有的正常气味(牛肉微膻)，无臭味、无腐烂变质。指压后凹陷、能恢复原状。配送的鲜羊肉表面加盖动物检疫检验部门鲜章，动物检疫合格证及肉品检验合格证必须齐全</w:t>
            </w:r>
          </w:p>
        </w:tc>
      </w:tr>
      <w:tr w14:paraId="65AA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154FB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w:t>
            </w:r>
          </w:p>
        </w:tc>
        <w:tc>
          <w:tcPr>
            <w:tcW w:w="1547" w:type="dxa"/>
            <w:vAlign w:val="center"/>
          </w:tcPr>
          <w:p w14:paraId="0E6DE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鸡肉</w:t>
            </w:r>
          </w:p>
        </w:tc>
        <w:tc>
          <w:tcPr>
            <w:tcW w:w="880" w:type="dxa"/>
            <w:vAlign w:val="center"/>
          </w:tcPr>
          <w:p w14:paraId="41A9E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F2DA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4D23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速冻鸡肉，符合国家动物检疫标准的冻鸡（需提供检疫合格证或原产地证明）</w:t>
            </w:r>
          </w:p>
        </w:tc>
      </w:tr>
      <w:tr w14:paraId="69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48511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w:t>
            </w:r>
          </w:p>
        </w:tc>
        <w:tc>
          <w:tcPr>
            <w:tcW w:w="1547" w:type="dxa"/>
            <w:vAlign w:val="center"/>
          </w:tcPr>
          <w:p w14:paraId="5C293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鸡腿1</w:t>
            </w:r>
          </w:p>
        </w:tc>
        <w:tc>
          <w:tcPr>
            <w:tcW w:w="880" w:type="dxa"/>
            <w:vAlign w:val="center"/>
          </w:tcPr>
          <w:p w14:paraId="34DAE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378454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6298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速冻鸡中腿/10kg/件，符合国家动物检疫标准的冻鸡中腿（需提供检疫合格证或原产地证明）</w:t>
            </w:r>
          </w:p>
        </w:tc>
      </w:tr>
      <w:tr w14:paraId="00AE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A570B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5</w:t>
            </w:r>
          </w:p>
        </w:tc>
        <w:tc>
          <w:tcPr>
            <w:tcW w:w="1547" w:type="dxa"/>
            <w:vAlign w:val="center"/>
          </w:tcPr>
          <w:p w14:paraId="193C8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鸡腿2</w:t>
            </w:r>
          </w:p>
        </w:tc>
        <w:tc>
          <w:tcPr>
            <w:tcW w:w="880" w:type="dxa"/>
            <w:vAlign w:val="center"/>
          </w:tcPr>
          <w:p w14:paraId="30C78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4E699D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A4A8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速冻鸡小腿/10kg/件，符合国家动物检疫标准的冻鸡小腿（需提供检疫合格证或原产地证明）</w:t>
            </w:r>
          </w:p>
        </w:tc>
      </w:tr>
      <w:tr w14:paraId="7236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1112D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6</w:t>
            </w:r>
          </w:p>
        </w:tc>
        <w:tc>
          <w:tcPr>
            <w:tcW w:w="1547" w:type="dxa"/>
            <w:vAlign w:val="center"/>
          </w:tcPr>
          <w:p w14:paraId="1AF30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鱼肉</w:t>
            </w:r>
          </w:p>
        </w:tc>
        <w:tc>
          <w:tcPr>
            <w:tcW w:w="880" w:type="dxa"/>
            <w:vAlign w:val="center"/>
          </w:tcPr>
          <w:p w14:paraId="599E3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0810DF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F3C4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无臭味、无腐烂变质，无内脏、无粘液渗出或发干的表皮，去除内脏和鱼鳞，鲜活草鱼、鲫鱼</w:t>
            </w:r>
          </w:p>
        </w:tc>
      </w:tr>
      <w:tr w14:paraId="6725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B21E8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7</w:t>
            </w:r>
          </w:p>
        </w:tc>
        <w:tc>
          <w:tcPr>
            <w:tcW w:w="1547" w:type="dxa"/>
            <w:vAlign w:val="center"/>
          </w:tcPr>
          <w:p w14:paraId="32C52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鸡蛋</w:t>
            </w:r>
          </w:p>
        </w:tc>
        <w:tc>
          <w:tcPr>
            <w:tcW w:w="880" w:type="dxa"/>
            <w:vAlign w:val="center"/>
          </w:tcPr>
          <w:p w14:paraId="754EF3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板</w:t>
            </w:r>
          </w:p>
        </w:tc>
        <w:tc>
          <w:tcPr>
            <w:tcW w:w="1149" w:type="dxa"/>
            <w:vMerge w:val="continue"/>
          </w:tcPr>
          <w:p w14:paraId="528AFC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84D9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新鲜鸡蛋30个/板，鸡蛋必须是新鲜的，不能供破碎、过期、变质有质量问题</w:t>
            </w:r>
          </w:p>
        </w:tc>
      </w:tr>
      <w:tr w14:paraId="746D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652F3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8</w:t>
            </w:r>
          </w:p>
        </w:tc>
        <w:tc>
          <w:tcPr>
            <w:tcW w:w="1547" w:type="dxa"/>
            <w:vAlign w:val="center"/>
          </w:tcPr>
          <w:p w14:paraId="284F8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牛肚</w:t>
            </w:r>
          </w:p>
        </w:tc>
        <w:tc>
          <w:tcPr>
            <w:tcW w:w="880" w:type="dxa"/>
            <w:vAlign w:val="center"/>
          </w:tcPr>
          <w:p w14:paraId="0A275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5C85A2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5285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当天新鲜牛肚，无臭味、无腐烂变质</w:t>
            </w:r>
          </w:p>
        </w:tc>
      </w:tr>
      <w:tr w14:paraId="7B9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8A5F2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9</w:t>
            </w:r>
          </w:p>
        </w:tc>
        <w:tc>
          <w:tcPr>
            <w:tcW w:w="1547" w:type="dxa"/>
            <w:vAlign w:val="center"/>
          </w:tcPr>
          <w:p w14:paraId="4238E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牛奶</w:t>
            </w:r>
          </w:p>
        </w:tc>
        <w:tc>
          <w:tcPr>
            <w:tcW w:w="880" w:type="dxa"/>
            <w:vAlign w:val="center"/>
          </w:tcPr>
          <w:p w14:paraId="52FEA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箱</w:t>
            </w:r>
          </w:p>
        </w:tc>
        <w:tc>
          <w:tcPr>
            <w:tcW w:w="1149" w:type="dxa"/>
            <w:vMerge w:val="continue"/>
          </w:tcPr>
          <w:p w14:paraId="547076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7418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牛奶味全脂灭菌乳，达到国家行业标准，规格每包200毫升，每箱24袋，保质期大于等于60天，有产品合格证、检测报告、食品生产许可证编号及生产日期等标识</w:t>
            </w:r>
          </w:p>
        </w:tc>
      </w:tr>
      <w:tr w14:paraId="2DB9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4C7C2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10</w:t>
            </w:r>
          </w:p>
        </w:tc>
        <w:tc>
          <w:tcPr>
            <w:tcW w:w="1547" w:type="dxa"/>
            <w:vAlign w:val="center"/>
          </w:tcPr>
          <w:p w14:paraId="798C2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冷冻鸭肉</w:t>
            </w:r>
          </w:p>
        </w:tc>
        <w:tc>
          <w:tcPr>
            <w:tcW w:w="880" w:type="dxa"/>
            <w:vAlign w:val="center"/>
          </w:tcPr>
          <w:p w14:paraId="31255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C4B6C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9781F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整只速冻鸭/10kg/件，符合国家动物检疫标准的冻鸭肉（需提供检疫合格证或原产地证明）</w:t>
            </w:r>
          </w:p>
        </w:tc>
      </w:tr>
      <w:tr w14:paraId="0670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A511D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11</w:t>
            </w:r>
          </w:p>
        </w:tc>
        <w:tc>
          <w:tcPr>
            <w:tcW w:w="1547" w:type="dxa"/>
            <w:vAlign w:val="center"/>
          </w:tcPr>
          <w:p w14:paraId="5BEA15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牛骨头</w:t>
            </w:r>
          </w:p>
        </w:tc>
        <w:tc>
          <w:tcPr>
            <w:tcW w:w="880" w:type="dxa"/>
            <w:vAlign w:val="center"/>
          </w:tcPr>
          <w:p w14:paraId="1AB71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5F8DA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DB63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当天新鲜牛骨，无臭味、无腐烂变质</w:t>
            </w:r>
          </w:p>
        </w:tc>
      </w:tr>
      <w:tr w14:paraId="3D10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4A9A3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12</w:t>
            </w:r>
          </w:p>
        </w:tc>
        <w:tc>
          <w:tcPr>
            <w:tcW w:w="1547" w:type="dxa"/>
            <w:vAlign w:val="center"/>
          </w:tcPr>
          <w:p w14:paraId="4307F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新鲜鸡</w:t>
            </w:r>
          </w:p>
        </w:tc>
        <w:tc>
          <w:tcPr>
            <w:tcW w:w="880" w:type="dxa"/>
            <w:vAlign w:val="center"/>
          </w:tcPr>
          <w:p w14:paraId="48EC52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68FB73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213B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整只三黄鸡胴体，所送的鸡肉不能带鸡头、鸡爪、鸡内脏，有相应包装措施,包装材料必须符合国家食用包装标准；必须出具县级以上动物检疫所出具的肉品检验合格证、动物检验合格证。</w:t>
            </w:r>
          </w:p>
        </w:tc>
      </w:tr>
      <w:tr w14:paraId="0DE1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120CC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13</w:t>
            </w:r>
          </w:p>
        </w:tc>
        <w:tc>
          <w:tcPr>
            <w:tcW w:w="1547" w:type="dxa"/>
            <w:vAlign w:val="center"/>
          </w:tcPr>
          <w:p w14:paraId="6AA1F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猪排骨</w:t>
            </w:r>
          </w:p>
        </w:tc>
        <w:tc>
          <w:tcPr>
            <w:tcW w:w="880" w:type="dxa"/>
            <w:vAlign w:val="center"/>
          </w:tcPr>
          <w:p w14:paraId="2FB4B4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6B3554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833A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本地当天宰杀新鲜猪排骨，肉质红色均匀，有光泽。无泥污、无血污、放血状况良好</w:t>
            </w:r>
          </w:p>
        </w:tc>
      </w:tr>
      <w:tr w14:paraId="6375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8FF3B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14</w:t>
            </w:r>
          </w:p>
        </w:tc>
        <w:tc>
          <w:tcPr>
            <w:tcW w:w="1547" w:type="dxa"/>
            <w:vAlign w:val="center"/>
          </w:tcPr>
          <w:p w14:paraId="7B4C1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猪肉</w:t>
            </w:r>
          </w:p>
        </w:tc>
        <w:tc>
          <w:tcPr>
            <w:tcW w:w="880" w:type="dxa"/>
            <w:vAlign w:val="center"/>
          </w:tcPr>
          <w:p w14:paraId="573D0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770679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32F1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本地当天宰杀猪肉（必须加盖畜牧局动物检疫合格证明单）。具有其固有的正常颜色，肉质红色均匀，有光泽。无泥污、无血污、放血状况良好，肉边整齐、无内脏、无粘液渗出 或发干的表皮，无点状、小颗粒及各类寄生附着物。具有其固有的正常气味，无臭味、无腐烂变质。指压后凹陷、能恢复原状。</w:t>
            </w:r>
          </w:p>
        </w:tc>
      </w:tr>
      <w:tr w14:paraId="5C00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893" w:type="dxa"/>
            <w:gridSpan w:val="5"/>
            <w:vAlign w:val="center"/>
          </w:tcPr>
          <w:p w14:paraId="680C01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三、蔬菜类</w:t>
            </w:r>
          </w:p>
        </w:tc>
      </w:tr>
      <w:tr w14:paraId="798E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51A9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w:t>
            </w:r>
          </w:p>
        </w:tc>
        <w:tc>
          <w:tcPr>
            <w:tcW w:w="1547" w:type="dxa"/>
            <w:vAlign w:val="center"/>
          </w:tcPr>
          <w:p w14:paraId="48FBCE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白菜</w:t>
            </w:r>
          </w:p>
        </w:tc>
        <w:tc>
          <w:tcPr>
            <w:tcW w:w="880" w:type="dxa"/>
            <w:vMerge w:val="restart"/>
            <w:vAlign w:val="center"/>
          </w:tcPr>
          <w:p w14:paraId="242245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7A23CD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2D5867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23B59052">
            <w:pPr>
              <w:pStyle w:val="2"/>
              <w:keepNext w:val="0"/>
              <w:keepLines w:val="0"/>
              <w:suppressLineNumbers w:val="0"/>
              <w:spacing w:before="0" w:beforeAutospacing="0" w:after="0" w:afterAutospacing="0"/>
              <w:ind w:left="0" w:right="0"/>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41249CDE">
            <w:pPr>
              <w:pStyle w:val="4"/>
              <w:keepNext w:val="0"/>
              <w:keepLines w:val="0"/>
              <w:suppressLineNumbers w:val="0"/>
              <w:spacing w:before="0" w:beforeAutospacing="0" w:after="0" w:afterAutospacing="0"/>
              <w:ind w:left="0" w:right="0"/>
              <w:rPr>
                <w:rFonts w:hint="default"/>
                <w:lang w:val="en-US" w:eastAsia="zh-CN"/>
              </w:rPr>
            </w:pPr>
          </w:p>
          <w:p w14:paraId="0D3A00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103BA5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仿宋_GB2312"/>
                <w:b w:val="0"/>
                <w:bCs w:val="0"/>
                <w:i w:val="0"/>
                <w:iCs w:val="0"/>
                <w:caps w:val="0"/>
                <w:color w:val="000000"/>
                <w:spacing w:val="0"/>
                <w:kern w:val="0"/>
                <w:sz w:val="23"/>
                <w:szCs w:val="23"/>
                <w:lang w:val="en-US" w:eastAsia="zh-CN" w:bidi="ar"/>
              </w:rPr>
            </w:pPr>
          </w:p>
          <w:p w14:paraId="05F77C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r>
              <w:rPr>
                <w:rFonts w:hint="eastAsia" w:ascii="仿宋_GB2312" w:hAnsi="Calibri" w:eastAsia="仿宋_GB2312" w:cs="仿宋_GB2312"/>
                <w:b w:val="0"/>
                <w:bCs w:val="0"/>
                <w:i w:val="0"/>
                <w:iCs w:val="0"/>
                <w:caps w:val="0"/>
                <w:color w:val="000000"/>
                <w:spacing w:val="0"/>
                <w:kern w:val="0"/>
                <w:sz w:val="23"/>
                <w:szCs w:val="23"/>
                <w:lang w:val="en-US" w:eastAsia="zh-CN" w:bidi="ar"/>
              </w:rPr>
              <w:t>公斤</w:t>
            </w:r>
          </w:p>
          <w:p w14:paraId="1565C7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11C3E2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54B38A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54811E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74E8B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5B2BAD9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276F80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4E142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56F5D0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237215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2FFBAB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1CC1FD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p w14:paraId="52183D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restart"/>
            <w:vAlign w:val="center"/>
          </w:tcPr>
          <w:p w14:paraId="1C97A7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64E08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9F360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D23FF92">
            <w:pPr>
              <w:pStyle w:val="2"/>
              <w:keepNext w:val="0"/>
              <w:keepLines w:val="0"/>
              <w:suppressLineNumbers w:val="0"/>
              <w:spacing w:before="0" w:beforeAutospacing="0" w:after="0" w:afterAutospacing="0"/>
              <w:ind w:left="0" w:right="0"/>
              <w:rPr>
                <w:rFonts w:hint="eastAsia"/>
                <w:lang w:val="en-US" w:eastAsia="zh-CN"/>
              </w:rPr>
            </w:pPr>
          </w:p>
          <w:p w14:paraId="769E18D2">
            <w:pPr>
              <w:pStyle w:val="4"/>
              <w:keepNext w:val="0"/>
              <w:keepLines w:val="0"/>
              <w:suppressLineNumbers w:val="0"/>
              <w:spacing w:before="0" w:beforeAutospacing="0" w:after="0" w:afterAutospacing="0"/>
              <w:ind w:left="0" w:right="0"/>
              <w:rPr>
                <w:rFonts w:hint="eastAsia"/>
                <w:lang w:val="en-US" w:eastAsia="zh-CN"/>
              </w:rPr>
            </w:pPr>
          </w:p>
          <w:p w14:paraId="2CA638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p w14:paraId="0E6398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80A85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607EC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CDD20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531A8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9FC71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90F0A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3C9D3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0F7890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叶新鲜光泽，棵株大、外形整齐，大小均匀，完整、包心坚实紧密，根部断面洁白完整，外观新鲜，色泽鲜爽，外表干爽无泥，用手握捏时手感坚实，根削平，心部不腐烂，无空心、压伤、冻伤、虫蛀、裂缝、泥土，无花斑、锈点，无黄叶、枯老叶、烂叶，无泥土，无机械伤，无病虫害。</w:t>
            </w:r>
          </w:p>
        </w:tc>
      </w:tr>
      <w:tr w14:paraId="7A7D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D9C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w:t>
            </w:r>
          </w:p>
        </w:tc>
        <w:tc>
          <w:tcPr>
            <w:tcW w:w="1547" w:type="dxa"/>
            <w:vAlign w:val="center"/>
          </w:tcPr>
          <w:p w14:paraId="4F5F24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莲花白</w:t>
            </w:r>
          </w:p>
        </w:tc>
        <w:tc>
          <w:tcPr>
            <w:tcW w:w="880" w:type="dxa"/>
            <w:vMerge w:val="continue"/>
            <w:vAlign w:val="center"/>
          </w:tcPr>
          <w:p w14:paraId="57AD53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796DA1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D9186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单个重约 1公斤，叶球为圆形，呈浅绿色，外叶去除，无黄叶、虫叶，结实无烂心</w:t>
            </w:r>
          </w:p>
        </w:tc>
      </w:tr>
      <w:tr w14:paraId="5FC3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82FB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w:t>
            </w:r>
          </w:p>
        </w:tc>
        <w:tc>
          <w:tcPr>
            <w:tcW w:w="1547" w:type="dxa"/>
            <w:vAlign w:val="center"/>
          </w:tcPr>
          <w:p w14:paraId="3D783A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油白菜</w:t>
            </w:r>
          </w:p>
        </w:tc>
        <w:tc>
          <w:tcPr>
            <w:tcW w:w="880" w:type="dxa"/>
            <w:vMerge w:val="continue"/>
            <w:vAlign w:val="center"/>
          </w:tcPr>
          <w:p w14:paraId="3202DF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F0E33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AB7C6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色泽鲜嫩翠绿，叶嫩绿茎、水分充足，无枯黄叶和花斑叶，植株健壮，整齐而不断，捆扎成捆，根上无泥，捆内无杂物，不抽苔，无烂叶、无泥土、黄叶、烂叶、根茎变黄、断裂及腐烂出现</w:t>
            </w:r>
          </w:p>
        </w:tc>
      </w:tr>
      <w:tr w14:paraId="3055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025E1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w:t>
            </w:r>
          </w:p>
        </w:tc>
        <w:tc>
          <w:tcPr>
            <w:tcW w:w="1547" w:type="dxa"/>
            <w:vAlign w:val="center"/>
          </w:tcPr>
          <w:p w14:paraId="5E991A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油麦菜</w:t>
            </w:r>
          </w:p>
        </w:tc>
        <w:tc>
          <w:tcPr>
            <w:tcW w:w="880" w:type="dxa"/>
            <w:vMerge w:val="continue"/>
            <w:vAlign w:val="center"/>
          </w:tcPr>
          <w:p w14:paraId="2C4A01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6054BA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82ECA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色泽鲜嫩翠绿，叶嫩绿茎、水分充足，无枯黄叶和花斑叶，植株健壮，整齐而不断，捆扎成捆，根上无泥，捆内无杂物，不抽苔，无烂叶、无泥土、黄叶、烂叶、根茎变黄</w:t>
            </w:r>
          </w:p>
        </w:tc>
      </w:tr>
      <w:tr w14:paraId="66AA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0286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5</w:t>
            </w:r>
          </w:p>
        </w:tc>
        <w:tc>
          <w:tcPr>
            <w:tcW w:w="1547" w:type="dxa"/>
            <w:vAlign w:val="center"/>
          </w:tcPr>
          <w:p w14:paraId="14250E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菠菜</w:t>
            </w:r>
          </w:p>
        </w:tc>
        <w:tc>
          <w:tcPr>
            <w:tcW w:w="880" w:type="dxa"/>
            <w:vMerge w:val="continue"/>
            <w:vAlign w:val="center"/>
          </w:tcPr>
          <w:p w14:paraId="23E0B2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944BF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C8479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色泽鲜嫩翠绿，叶嫩绿茎、水分充足，无枯黄叶和花斑叶，植株健壮，整齐而不断，捆扎成捆，根上无泥，捆内无杂物，不抽苔，无烂叶、无泥土、黄叶、烂叶、根茎变黄、断裂及腐烂出现</w:t>
            </w:r>
          </w:p>
        </w:tc>
      </w:tr>
      <w:tr w14:paraId="6720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99A8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6</w:t>
            </w:r>
          </w:p>
        </w:tc>
        <w:tc>
          <w:tcPr>
            <w:tcW w:w="1547" w:type="dxa"/>
            <w:vAlign w:val="center"/>
          </w:tcPr>
          <w:p w14:paraId="381506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芹菜</w:t>
            </w:r>
          </w:p>
        </w:tc>
        <w:tc>
          <w:tcPr>
            <w:tcW w:w="880" w:type="dxa"/>
            <w:vMerge w:val="continue"/>
            <w:vAlign w:val="center"/>
          </w:tcPr>
          <w:p w14:paraId="6DC88C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7912F6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4C7F6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叶嫩绿茎，水分充足，有清香味。无泥土、黄叶、烂叶、根茎变黄、断裂及腐烂出现</w:t>
            </w:r>
          </w:p>
        </w:tc>
      </w:tr>
      <w:tr w14:paraId="344A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BF8B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7</w:t>
            </w:r>
          </w:p>
        </w:tc>
        <w:tc>
          <w:tcPr>
            <w:tcW w:w="1547" w:type="dxa"/>
            <w:vAlign w:val="center"/>
          </w:tcPr>
          <w:p w14:paraId="6BEE48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韭菜</w:t>
            </w:r>
          </w:p>
        </w:tc>
        <w:tc>
          <w:tcPr>
            <w:tcW w:w="880" w:type="dxa"/>
            <w:vMerge w:val="continue"/>
            <w:vAlign w:val="center"/>
          </w:tcPr>
          <w:p w14:paraId="21FE33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395C05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27670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叶嫩绿茎，水分充足，有清香味。无泥土、黄叶、烂叶、根茎变黄、断裂及腐烂出现</w:t>
            </w:r>
          </w:p>
        </w:tc>
      </w:tr>
      <w:tr w14:paraId="0D79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C3D8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8</w:t>
            </w:r>
          </w:p>
        </w:tc>
        <w:tc>
          <w:tcPr>
            <w:tcW w:w="1547" w:type="dxa"/>
            <w:vAlign w:val="center"/>
          </w:tcPr>
          <w:p w14:paraId="44ED77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香菜</w:t>
            </w:r>
          </w:p>
        </w:tc>
        <w:tc>
          <w:tcPr>
            <w:tcW w:w="880" w:type="dxa"/>
            <w:vMerge w:val="continue"/>
            <w:vAlign w:val="center"/>
          </w:tcPr>
          <w:p w14:paraId="27ECD4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4752F6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210E0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叶片鲜嫩青绿，无折断，叶片不干枯，无斑点，有清香味</w:t>
            </w:r>
          </w:p>
        </w:tc>
      </w:tr>
      <w:tr w14:paraId="0FBC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DA08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9</w:t>
            </w:r>
          </w:p>
        </w:tc>
        <w:tc>
          <w:tcPr>
            <w:tcW w:w="1547" w:type="dxa"/>
            <w:vAlign w:val="center"/>
          </w:tcPr>
          <w:p w14:paraId="03BE38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白萝卜</w:t>
            </w:r>
          </w:p>
        </w:tc>
        <w:tc>
          <w:tcPr>
            <w:tcW w:w="880" w:type="dxa"/>
            <w:vMerge w:val="continue"/>
            <w:vAlign w:val="center"/>
          </w:tcPr>
          <w:p w14:paraId="6F2A723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6D79C7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860F3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肉质根粗壮，大小均匀，饱满而无损伤，弹击时有实心感觉，无擦伤腐烂</w:t>
            </w:r>
          </w:p>
        </w:tc>
      </w:tr>
      <w:tr w14:paraId="71E5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CF84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10</w:t>
            </w:r>
          </w:p>
        </w:tc>
        <w:tc>
          <w:tcPr>
            <w:tcW w:w="1547" w:type="dxa"/>
            <w:vAlign w:val="center"/>
          </w:tcPr>
          <w:p w14:paraId="435C83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胡萝卜</w:t>
            </w:r>
          </w:p>
        </w:tc>
        <w:tc>
          <w:tcPr>
            <w:tcW w:w="880" w:type="dxa"/>
            <w:vMerge w:val="continue"/>
            <w:vAlign w:val="center"/>
          </w:tcPr>
          <w:p w14:paraId="245E45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7C2137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45352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色泽鲜嫩，果型完整，肉质松脆多汁，大小均匀，饱满而无损伤，弹击时有实心感觉，表皮光滑而不开裂，无病虫害，不空心，不黑心，不发糠，无泥土、断裂、压伤、虫洞、泥土，黄斑、黑斑、无擦伤及腐烂出现</w:t>
            </w:r>
          </w:p>
        </w:tc>
      </w:tr>
      <w:tr w14:paraId="38C4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A968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11</w:t>
            </w:r>
          </w:p>
        </w:tc>
        <w:tc>
          <w:tcPr>
            <w:tcW w:w="1547" w:type="dxa"/>
            <w:vAlign w:val="center"/>
          </w:tcPr>
          <w:p w14:paraId="563D66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西红柿</w:t>
            </w:r>
          </w:p>
        </w:tc>
        <w:tc>
          <w:tcPr>
            <w:tcW w:w="880" w:type="dxa"/>
            <w:vMerge w:val="continue"/>
            <w:vAlign w:val="center"/>
          </w:tcPr>
          <w:p w14:paraId="4ED60A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39154C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1A55C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着色均匀，果肉充实，味道酸甜适口，单个重约125-250克，成熟度7成以上，有98%变成红色，果肉饱满有弹性，不破裂，果蒂新绿，表面光滑洁净，无腐烂，无病虫害</w:t>
            </w:r>
          </w:p>
        </w:tc>
      </w:tr>
      <w:tr w14:paraId="3B10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63B5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12</w:t>
            </w:r>
          </w:p>
        </w:tc>
        <w:tc>
          <w:tcPr>
            <w:tcW w:w="1547" w:type="dxa"/>
            <w:vAlign w:val="center"/>
          </w:tcPr>
          <w:p w14:paraId="1BFB12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青辣子</w:t>
            </w:r>
          </w:p>
        </w:tc>
        <w:tc>
          <w:tcPr>
            <w:tcW w:w="880" w:type="dxa"/>
            <w:vMerge w:val="continue"/>
            <w:vAlign w:val="center"/>
          </w:tcPr>
          <w:p w14:paraId="54A270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113221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10CB2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个头大小均匀，表面光滑，蒂部应新鲜不发黑，不萎蔫，无虫咬霉烂，尖椒长度不短于10公分。其中尖椒、圆椒、红椒可适当搭配，开箱后无异味，尾部新鲜、硬朗</w:t>
            </w:r>
          </w:p>
        </w:tc>
      </w:tr>
      <w:tr w14:paraId="04C1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C920C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13</w:t>
            </w:r>
          </w:p>
        </w:tc>
        <w:tc>
          <w:tcPr>
            <w:tcW w:w="1547" w:type="dxa"/>
            <w:vAlign w:val="center"/>
          </w:tcPr>
          <w:p w14:paraId="522CBD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红辣椒</w:t>
            </w:r>
          </w:p>
        </w:tc>
        <w:tc>
          <w:tcPr>
            <w:tcW w:w="880" w:type="dxa"/>
            <w:vMerge w:val="restart"/>
            <w:vAlign w:val="center"/>
          </w:tcPr>
          <w:p w14:paraId="72C363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p w14:paraId="6E2639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restart"/>
            <w:vAlign w:val="center"/>
          </w:tcPr>
          <w:p w14:paraId="7D560D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61F6BD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个头大小均匀，表面光滑，蒂部应新鲜不发黑，不萎蔫，无虫咬霉烂，尖椒长度不短于10公分。其中尖椒、圆椒、红椒可适当搭配，开箱后无异味，尾部新鲜、硬朗，圆椒个头不能太小，红椒红而不烂</w:t>
            </w:r>
          </w:p>
        </w:tc>
      </w:tr>
      <w:tr w14:paraId="443B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B00A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14</w:t>
            </w:r>
          </w:p>
        </w:tc>
        <w:tc>
          <w:tcPr>
            <w:tcW w:w="1547" w:type="dxa"/>
            <w:vAlign w:val="center"/>
          </w:tcPr>
          <w:p w14:paraId="11FB6B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小米椒</w:t>
            </w:r>
          </w:p>
        </w:tc>
        <w:tc>
          <w:tcPr>
            <w:tcW w:w="880" w:type="dxa"/>
            <w:vMerge w:val="continue"/>
            <w:vAlign w:val="center"/>
          </w:tcPr>
          <w:p w14:paraId="54874D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056263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69D4A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个头大小均匀，表面光滑，蒂部应新鲜不发黑，不萎蔫，无虫咬霉烂，开箱后无异味，尾部新鲜、硬朗</w:t>
            </w:r>
          </w:p>
        </w:tc>
      </w:tr>
      <w:tr w14:paraId="7560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7144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15</w:t>
            </w:r>
          </w:p>
        </w:tc>
        <w:tc>
          <w:tcPr>
            <w:tcW w:w="1547" w:type="dxa"/>
            <w:vAlign w:val="center"/>
          </w:tcPr>
          <w:p w14:paraId="7F244D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土豆</w:t>
            </w:r>
          </w:p>
        </w:tc>
        <w:tc>
          <w:tcPr>
            <w:tcW w:w="880" w:type="dxa"/>
            <w:vMerge w:val="continue"/>
            <w:vAlign w:val="center"/>
          </w:tcPr>
          <w:p w14:paraId="465F2A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44F7AF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E4BE9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单个重约250-400克，表皮光滑，果体新鲜，表皮为黄色，肉呈白色，脆嫩多汁，外观良好干净。内部不发黑，外部无发芽，不变绿，表面无干疤和糙皮、无病斑、无虫咬和机械外伤，不萎蔫、无软腐及泥土，无发酵酒精气味</w:t>
            </w:r>
          </w:p>
        </w:tc>
      </w:tr>
      <w:tr w14:paraId="5F62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A311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16</w:t>
            </w:r>
          </w:p>
        </w:tc>
        <w:tc>
          <w:tcPr>
            <w:tcW w:w="1547" w:type="dxa"/>
            <w:vAlign w:val="center"/>
          </w:tcPr>
          <w:p w14:paraId="336F6D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西葫芦</w:t>
            </w:r>
          </w:p>
        </w:tc>
        <w:tc>
          <w:tcPr>
            <w:tcW w:w="880" w:type="dxa"/>
            <w:vMerge w:val="continue"/>
            <w:vAlign w:val="center"/>
          </w:tcPr>
          <w:p w14:paraId="06883B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0FF3E3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0AA26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个头均匀，表皮光滑完整而不开裂，无干枯与腐烂，不空心，不黑心，无病虫害，表面干净新鲜</w:t>
            </w:r>
          </w:p>
        </w:tc>
      </w:tr>
      <w:tr w14:paraId="0FC4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F2DB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17</w:t>
            </w:r>
          </w:p>
        </w:tc>
        <w:tc>
          <w:tcPr>
            <w:tcW w:w="1547" w:type="dxa"/>
            <w:vAlign w:val="center"/>
          </w:tcPr>
          <w:p w14:paraId="4710BC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黄瓜</w:t>
            </w:r>
          </w:p>
        </w:tc>
        <w:tc>
          <w:tcPr>
            <w:tcW w:w="880" w:type="dxa"/>
            <w:vMerge w:val="continue"/>
            <w:vAlign w:val="center"/>
          </w:tcPr>
          <w:p w14:paraId="45F236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4C1C4D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31679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个头均匀，表皮光滑完整而不开裂，无干枯与腐烂，不空心，不黑心，无病虫害，表面干净新鲜</w:t>
            </w:r>
          </w:p>
        </w:tc>
      </w:tr>
      <w:tr w14:paraId="1978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BFB6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18</w:t>
            </w:r>
          </w:p>
        </w:tc>
        <w:tc>
          <w:tcPr>
            <w:tcW w:w="1547" w:type="dxa"/>
            <w:vAlign w:val="center"/>
          </w:tcPr>
          <w:p w14:paraId="4C4FC2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豆芽</w:t>
            </w:r>
          </w:p>
        </w:tc>
        <w:tc>
          <w:tcPr>
            <w:tcW w:w="880" w:type="dxa"/>
            <w:vMerge w:val="continue"/>
            <w:vAlign w:val="center"/>
          </w:tcPr>
          <w:p w14:paraId="2F99C6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5727E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B5D718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无腐烂，无斑点，无病虫害，黄豆芽、绿豆芽</w:t>
            </w:r>
          </w:p>
        </w:tc>
      </w:tr>
      <w:tr w14:paraId="3568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71D11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19</w:t>
            </w:r>
          </w:p>
        </w:tc>
        <w:tc>
          <w:tcPr>
            <w:tcW w:w="1547" w:type="dxa"/>
            <w:vAlign w:val="center"/>
          </w:tcPr>
          <w:p w14:paraId="7F5182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蘑菇</w:t>
            </w:r>
          </w:p>
        </w:tc>
        <w:tc>
          <w:tcPr>
            <w:tcW w:w="880" w:type="dxa"/>
            <w:vMerge w:val="continue"/>
            <w:vAlign w:val="center"/>
          </w:tcPr>
          <w:p w14:paraId="3914B7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A014D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643D1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无腐烂，朵片大小均匀完整，不含杂异物、无味、无泥沙，无糟烂现象，平菇、圆菇、香菇等</w:t>
            </w:r>
          </w:p>
        </w:tc>
      </w:tr>
      <w:tr w14:paraId="05C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B7E5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20</w:t>
            </w:r>
          </w:p>
        </w:tc>
        <w:tc>
          <w:tcPr>
            <w:tcW w:w="1547" w:type="dxa"/>
            <w:vAlign w:val="center"/>
          </w:tcPr>
          <w:p w14:paraId="75EA96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洋葱</w:t>
            </w:r>
          </w:p>
        </w:tc>
        <w:tc>
          <w:tcPr>
            <w:tcW w:w="880" w:type="dxa"/>
            <w:vMerge w:val="continue"/>
            <w:vAlign w:val="center"/>
          </w:tcPr>
          <w:p w14:paraId="60A0C0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8BAFD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1BDBEE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单个重约200-250克，鳞径形态良好,色泽正常,表面光滑、脆嫩,心部不腐烂，无机械伤、无病虫害、无鳞芽,无软腐及泥土</w:t>
            </w:r>
          </w:p>
        </w:tc>
      </w:tr>
      <w:tr w14:paraId="2D9F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ED53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21</w:t>
            </w:r>
          </w:p>
        </w:tc>
        <w:tc>
          <w:tcPr>
            <w:tcW w:w="1547" w:type="dxa"/>
            <w:vAlign w:val="center"/>
          </w:tcPr>
          <w:p w14:paraId="7BDBB9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大葱</w:t>
            </w:r>
          </w:p>
        </w:tc>
        <w:tc>
          <w:tcPr>
            <w:tcW w:w="880" w:type="dxa"/>
            <w:vMerge w:val="continue"/>
            <w:vAlign w:val="center"/>
          </w:tcPr>
          <w:p w14:paraId="42233F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05B16D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2EF05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完整而不折断，扎成捆，干净无泥，不夹杂异物，葱横径3cm左右，纵径为40cm左右（去顶端叶）</w:t>
            </w:r>
          </w:p>
        </w:tc>
      </w:tr>
      <w:tr w14:paraId="358E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F424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22</w:t>
            </w:r>
          </w:p>
        </w:tc>
        <w:tc>
          <w:tcPr>
            <w:tcW w:w="1547" w:type="dxa"/>
            <w:vAlign w:val="center"/>
          </w:tcPr>
          <w:p w14:paraId="3E1029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香葱</w:t>
            </w:r>
          </w:p>
        </w:tc>
        <w:tc>
          <w:tcPr>
            <w:tcW w:w="880" w:type="dxa"/>
            <w:vMerge w:val="continue"/>
            <w:vAlign w:val="center"/>
          </w:tcPr>
          <w:p w14:paraId="43F1A7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37F0A8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0E026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色泽鲜嫩翠绿，叶嫩绿茎、水分充足，无枯黄叶和花斑叶，无折断，叶片不干枯，无斑点，无腐烂</w:t>
            </w:r>
          </w:p>
        </w:tc>
      </w:tr>
      <w:tr w14:paraId="4F09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04A5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23</w:t>
            </w:r>
          </w:p>
        </w:tc>
        <w:tc>
          <w:tcPr>
            <w:tcW w:w="1547" w:type="dxa"/>
            <w:vAlign w:val="center"/>
          </w:tcPr>
          <w:p w14:paraId="1020BE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生姜</w:t>
            </w:r>
          </w:p>
        </w:tc>
        <w:tc>
          <w:tcPr>
            <w:tcW w:w="880" w:type="dxa"/>
            <w:vMerge w:val="continue"/>
            <w:vAlign w:val="center"/>
          </w:tcPr>
          <w:p w14:paraId="61AF41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17D185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0531C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姜块完整、丰满结实，无损伤，无姜腐病，不带枯苗和泥土，无焦皮、不皱缩、无黑心、糠心现象，不烂芽</w:t>
            </w:r>
          </w:p>
        </w:tc>
      </w:tr>
      <w:tr w14:paraId="04FF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6A71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24</w:t>
            </w:r>
          </w:p>
        </w:tc>
        <w:tc>
          <w:tcPr>
            <w:tcW w:w="1547" w:type="dxa"/>
            <w:vAlign w:val="center"/>
          </w:tcPr>
          <w:p w14:paraId="7B6F5A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大蒜</w:t>
            </w:r>
          </w:p>
        </w:tc>
        <w:tc>
          <w:tcPr>
            <w:tcW w:w="880" w:type="dxa"/>
            <w:vMerge w:val="continue"/>
            <w:vAlign w:val="center"/>
          </w:tcPr>
          <w:p w14:paraId="501D0E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16BFFE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6A991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个头均匀，无瘪变蒜，蒜瓣丰满，无虫眼，根部干净、无细沙泥土及杂物，蒜头大小均匀，蒜皮完整而不开裂，蒜瓣饱满，无干枯与腐烂，蒜身干爽无泥，无病虫害，不出芽</w:t>
            </w:r>
          </w:p>
        </w:tc>
      </w:tr>
      <w:tr w14:paraId="1178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3718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25</w:t>
            </w:r>
          </w:p>
        </w:tc>
        <w:tc>
          <w:tcPr>
            <w:tcW w:w="1547" w:type="dxa"/>
            <w:vAlign w:val="center"/>
          </w:tcPr>
          <w:p w14:paraId="664919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蒜苗</w:t>
            </w:r>
          </w:p>
        </w:tc>
        <w:tc>
          <w:tcPr>
            <w:tcW w:w="880" w:type="dxa"/>
            <w:vMerge w:val="continue"/>
            <w:vAlign w:val="center"/>
          </w:tcPr>
          <w:p w14:paraId="234F3A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66F37D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6604A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株棵完整粗壮，无折断，叶片不干枯，无斑点，干净无泥土</w:t>
            </w:r>
          </w:p>
        </w:tc>
      </w:tr>
      <w:tr w14:paraId="5063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0D96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26</w:t>
            </w:r>
          </w:p>
        </w:tc>
        <w:tc>
          <w:tcPr>
            <w:tcW w:w="1547" w:type="dxa"/>
            <w:vAlign w:val="center"/>
          </w:tcPr>
          <w:p w14:paraId="633136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金瓜</w:t>
            </w:r>
          </w:p>
        </w:tc>
        <w:tc>
          <w:tcPr>
            <w:tcW w:w="880" w:type="dxa"/>
            <w:vMerge w:val="continue"/>
            <w:vAlign w:val="center"/>
          </w:tcPr>
          <w:p w14:paraId="6C97F2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D615C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10102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61E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42A0D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27</w:t>
            </w:r>
          </w:p>
        </w:tc>
        <w:tc>
          <w:tcPr>
            <w:tcW w:w="1547" w:type="dxa"/>
            <w:vAlign w:val="center"/>
          </w:tcPr>
          <w:p w14:paraId="762210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金针菇</w:t>
            </w:r>
          </w:p>
        </w:tc>
        <w:tc>
          <w:tcPr>
            <w:tcW w:w="880" w:type="dxa"/>
            <w:vMerge w:val="restart"/>
            <w:vAlign w:val="bottom"/>
          </w:tcPr>
          <w:p w14:paraId="34B8E3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BF5E9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490A9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4C10F3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1F97F3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A7CCC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0832F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284873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A863AD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07995B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5692F6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E0F543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D55D3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445F2D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49D080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p w14:paraId="63DEE4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p w14:paraId="10B32D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53C7A4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3D5D0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2D910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08E3D1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7AF7E9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71594D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4F2872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15595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797119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04CE0D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C396F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16A5DB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DCB34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1F83AB7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5EB100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464543C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56DF57BB">
            <w:pPr>
              <w:pStyle w:val="2"/>
              <w:keepNext w:val="0"/>
              <w:keepLines w:val="0"/>
              <w:suppressLineNumbers w:val="0"/>
              <w:spacing w:before="0" w:beforeAutospacing="0" w:after="0" w:afterAutospacing="0"/>
              <w:ind w:left="0" w:right="0"/>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DB445A5">
            <w:pPr>
              <w:pStyle w:val="4"/>
              <w:keepNext w:val="0"/>
              <w:keepLines w:val="0"/>
              <w:suppressLineNumbers w:val="0"/>
              <w:spacing w:before="0" w:beforeAutospacing="0" w:after="0" w:afterAutospacing="0"/>
              <w:ind w:left="0" w:right="0"/>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49807FC8">
            <w:pPr>
              <w:pStyle w:val="5"/>
              <w:keepNext w:val="0"/>
              <w:keepLines w:val="0"/>
              <w:suppressLineNumbers w:val="0"/>
              <w:spacing w:beforeAutospacing="0" w:after="0" w:afterAutospacing="0"/>
              <w:ind w:left="0" w:right="0"/>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6150CC21">
            <w:pPr>
              <w:keepNext w:val="0"/>
              <w:keepLines w:val="0"/>
              <w:suppressLineNumbers w:val="0"/>
              <w:spacing w:before="0" w:beforeAutospacing="0" w:after="0" w:afterAutospacing="0"/>
              <w:ind w:left="0" w:right="0"/>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1CEB32BD">
            <w:pPr>
              <w:pStyle w:val="2"/>
              <w:keepNext w:val="0"/>
              <w:keepLines w:val="0"/>
              <w:suppressLineNumbers w:val="0"/>
              <w:spacing w:before="0" w:beforeAutospacing="0" w:after="0" w:afterAutospacing="0"/>
              <w:ind w:left="0" w:right="0"/>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4041D50">
            <w:pPr>
              <w:pStyle w:val="4"/>
              <w:keepNext w:val="0"/>
              <w:keepLines w:val="0"/>
              <w:suppressLineNumbers w:val="0"/>
              <w:spacing w:before="0" w:beforeAutospacing="0" w:after="0" w:afterAutospacing="0"/>
              <w:ind w:left="0" w:right="0"/>
              <w:rPr>
                <w:rFonts w:hint="default"/>
                <w:lang w:val="en-US" w:eastAsia="zh-CN"/>
              </w:rPr>
            </w:pPr>
          </w:p>
          <w:p w14:paraId="6882E0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2330C2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p>
          <w:p w14:paraId="3848ED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p w14:paraId="5E90C0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restart"/>
            <w:vAlign w:val="center"/>
          </w:tcPr>
          <w:p w14:paraId="5F28A8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32BFA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94BE7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E6499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C367C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AEFFD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42A09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F783F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6FC29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C82A3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610D9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0B4D4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14759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CEF79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p w14:paraId="484AE2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50EA0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226D2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27C0E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CE145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AA6BB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EF882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24EAB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3CF5E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632F1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18006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904E6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BF5F3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013D2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FEA8A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B85CF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3AE98E6">
            <w:pPr>
              <w:pStyle w:val="2"/>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A61EB27">
            <w:pPr>
              <w:pStyle w:val="4"/>
              <w:keepNext w:val="0"/>
              <w:keepLines w:val="0"/>
              <w:suppressLineNumbers w:val="0"/>
              <w:spacing w:before="0" w:beforeAutospacing="0" w:after="0" w:afterAutospacing="0"/>
              <w:ind w:left="0" w:right="0"/>
              <w:rPr>
                <w:rFonts w:hint="eastAsia"/>
                <w:lang w:val="en-US" w:eastAsia="zh-CN"/>
              </w:rPr>
            </w:pPr>
          </w:p>
          <w:p w14:paraId="072CFA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E0BF0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52E6D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12A9B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7D2DE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28B11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1C4A57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不干枯，表面干净，无病虫害，无泥沙、断裂、压伤、虫洞、泥土，黄斑、黑斑、无擦伤及腐烂出现</w:t>
            </w:r>
          </w:p>
        </w:tc>
      </w:tr>
      <w:tr w14:paraId="0B62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9A2ED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28</w:t>
            </w:r>
          </w:p>
        </w:tc>
        <w:tc>
          <w:tcPr>
            <w:tcW w:w="1547" w:type="dxa"/>
            <w:vAlign w:val="center"/>
          </w:tcPr>
          <w:p w14:paraId="0D5BB2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红薯</w:t>
            </w:r>
          </w:p>
        </w:tc>
        <w:tc>
          <w:tcPr>
            <w:tcW w:w="880" w:type="dxa"/>
            <w:vMerge w:val="continue"/>
            <w:vAlign w:val="center"/>
          </w:tcPr>
          <w:p w14:paraId="708556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7E64F4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B79B9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3FE6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4007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29</w:t>
            </w:r>
          </w:p>
        </w:tc>
        <w:tc>
          <w:tcPr>
            <w:tcW w:w="1547" w:type="dxa"/>
            <w:vAlign w:val="center"/>
          </w:tcPr>
          <w:p w14:paraId="294F9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紫薯</w:t>
            </w:r>
          </w:p>
        </w:tc>
        <w:tc>
          <w:tcPr>
            <w:tcW w:w="880" w:type="dxa"/>
            <w:vMerge w:val="continue"/>
            <w:vAlign w:val="center"/>
          </w:tcPr>
          <w:p w14:paraId="68CCF6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385F65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583434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个重约250-300克，内部不发黑，外部无发芽，不变绿，无病斑、无虫咬和机械外伤，不萎蔫、不变软，无发酵酒精味</w:t>
            </w:r>
          </w:p>
        </w:tc>
      </w:tr>
      <w:tr w14:paraId="3BE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7348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30</w:t>
            </w:r>
          </w:p>
        </w:tc>
        <w:tc>
          <w:tcPr>
            <w:tcW w:w="1547" w:type="dxa"/>
            <w:vAlign w:val="center"/>
          </w:tcPr>
          <w:p w14:paraId="1168766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西兰花</w:t>
            </w:r>
          </w:p>
        </w:tc>
        <w:tc>
          <w:tcPr>
            <w:tcW w:w="880" w:type="dxa"/>
            <w:vMerge w:val="continue"/>
            <w:vAlign w:val="center"/>
          </w:tcPr>
          <w:p w14:paraId="1DD0F5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083DBD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713E0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色泽新鲜青绿，不干枯，表面干净，无病虫害，无泥沙、断裂、压伤、虫洞、泥土，黄斑、黑斑、无擦伤及腐烂出现</w:t>
            </w:r>
          </w:p>
        </w:tc>
      </w:tr>
      <w:tr w14:paraId="482A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444D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31</w:t>
            </w:r>
          </w:p>
        </w:tc>
        <w:tc>
          <w:tcPr>
            <w:tcW w:w="1547" w:type="dxa"/>
            <w:vAlign w:val="center"/>
          </w:tcPr>
          <w:p w14:paraId="42523E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花菜</w:t>
            </w:r>
          </w:p>
        </w:tc>
        <w:tc>
          <w:tcPr>
            <w:tcW w:w="880" w:type="dxa"/>
            <w:vMerge w:val="continue"/>
            <w:vAlign w:val="center"/>
          </w:tcPr>
          <w:p w14:paraId="679A1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3BC6F4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52311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色泽新鲜青绿，表面干净，无病虫害，无泥土、断裂、压伤、虫洞、泥土，黄斑、黑斑、无擦伤及腐烂出现</w:t>
            </w:r>
          </w:p>
        </w:tc>
      </w:tr>
      <w:tr w14:paraId="7B4D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9DA69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32</w:t>
            </w:r>
          </w:p>
        </w:tc>
        <w:tc>
          <w:tcPr>
            <w:tcW w:w="1547" w:type="dxa"/>
            <w:vAlign w:val="center"/>
          </w:tcPr>
          <w:p w14:paraId="7B7E80D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笋子</w:t>
            </w:r>
          </w:p>
        </w:tc>
        <w:tc>
          <w:tcPr>
            <w:tcW w:w="880" w:type="dxa"/>
            <w:vMerge w:val="continue"/>
            <w:vAlign w:val="center"/>
          </w:tcPr>
          <w:p w14:paraId="3FC844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620C34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932763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色泽新鲜青绿，表面干净，无病虫害，无泥土、断裂、压伤、虫洞、泥土，黄斑、黑斑、无擦伤及腐烂出现</w:t>
            </w:r>
          </w:p>
        </w:tc>
      </w:tr>
      <w:tr w14:paraId="42A4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98F5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33</w:t>
            </w:r>
          </w:p>
        </w:tc>
        <w:tc>
          <w:tcPr>
            <w:tcW w:w="1547" w:type="dxa"/>
            <w:vAlign w:val="center"/>
          </w:tcPr>
          <w:p w14:paraId="444632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山药</w:t>
            </w:r>
          </w:p>
        </w:tc>
        <w:tc>
          <w:tcPr>
            <w:tcW w:w="880" w:type="dxa"/>
            <w:vMerge w:val="continue"/>
            <w:vAlign w:val="center"/>
          </w:tcPr>
          <w:p w14:paraId="53D4C7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3B431B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6979A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2C2E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5E58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34</w:t>
            </w:r>
          </w:p>
        </w:tc>
        <w:tc>
          <w:tcPr>
            <w:tcW w:w="1547" w:type="dxa"/>
            <w:vAlign w:val="center"/>
          </w:tcPr>
          <w:p w14:paraId="22DFF3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玉米棒子</w:t>
            </w:r>
          </w:p>
        </w:tc>
        <w:tc>
          <w:tcPr>
            <w:tcW w:w="880" w:type="dxa"/>
            <w:vMerge w:val="continue"/>
            <w:vAlign w:val="center"/>
          </w:tcPr>
          <w:p w14:paraId="21A6F9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3E4FE4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2597C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30E8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B1115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35</w:t>
            </w:r>
          </w:p>
        </w:tc>
        <w:tc>
          <w:tcPr>
            <w:tcW w:w="1547" w:type="dxa"/>
            <w:vAlign w:val="center"/>
          </w:tcPr>
          <w:p w14:paraId="360454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茼蒿</w:t>
            </w:r>
          </w:p>
        </w:tc>
        <w:tc>
          <w:tcPr>
            <w:tcW w:w="880" w:type="dxa"/>
            <w:vMerge w:val="continue"/>
            <w:vAlign w:val="center"/>
          </w:tcPr>
          <w:p w14:paraId="56ABCD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415D35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EC26B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色泽鲜嫩翠绿，叶嫩绿茎、水分充足，无枯黄叶和花斑叶，植株健壮，整齐而不断，捆扎成捆，根上无泥，捆内无杂物，不抽苔，无烂叶、无泥土、黄叶、烂叶、根茎变黄、断裂及腐烂出现</w:t>
            </w:r>
          </w:p>
        </w:tc>
      </w:tr>
      <w:tr w14:paraId="4010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694A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36</w:t>
            </w:r>
          </w:p>
        </w:tc>
        <w:tc>
          <w:tcPr>
            <w:tcW w:w="1547" w:type="dxa"/>
            <w:vAlign w:val="center"/>
          </w:tcPr>
          <w:p w14:paraId="4AD5AA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莲藕</w:t>
            </w:r>
          </w:p>
        </w:tc>
        <w:tc>
          <w:tcPr>
            <w:tcW w:w="880" w:type="dxa"/>
            <w:vMerge w:val="continue"/>
            <w:vAlign w:val="center"/>
          </w:tcPr>
          <w:p w14:paraId="57F3C1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601C55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BEEA31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1DD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C274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37</w:t>
            </w:r>
          </w:p>
        </w:tc>
        <w:tc>
          <w:tcPr>
            <w:tcW w:w="1547" w:type="dxa"/>
            <w:vAlign w:val="center"/>
          </w:tcPr>
          <w:p w14:paraId="3B58B2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豆腐</w:t>
            </w:r>
          </w:p>
        </w:tc>
        <w:tc>
          <w:tcPr>
            <w:tcW w:w="880" w:type="dxa"/>
            <w:vMerge w:val="continue"/>
            <w:vAlign w:val="center"/>
          </w:tcPr>
          <w:p w14:paraId="4997DF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0B4B26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80474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新鲜，颜色呈均匀的乳白色或淡黄色，稍有光泽；豆腐块型完整，软硬适度，要有一定的弹性；豆腐口感细腻鲜嫩，味道纯正清香；具有豆腐香味</w:t>
            </w:r>
          </w:p>
        </w:tc>
      </w:tr>
      <w:tr w14:paraId="7FEF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BD327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38</w:t>
            </w:r>
          </w:p>
        </w:tc>
        <w:tc>
          <w:tcPr>
            <w:tcW w:w="1547" w:type="dxa"/>
            <w:vAlign w:val="center"/>
          </w:tcPr>
          <w:p w14:paraId="35AB89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豆腐干</w:t>
            </w:r>
          </w:p>
        </w:tc>
        <w:tc>
          <w:tcPr>
            <w:tcW w:w="880" w:type="dxa"/>
            <w:vMerge w:val="continue"/>
            <w:vAlign w:val="center"/>
          </w:tcPr>
          <w:p w14:paraId="7411CD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00CED5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8702A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清香味，厚度均匀，光泽，未有腐烂、变质、表面清洁</w:t>
            </w:r>
          </w:p>
        </w:tc>
      </w:tr>
      <w:tr w14:paraId="3184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D46E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39</w:t>
            </w:r>
          </w:p>
        </w:tc>
        <w:tc>
          <w:tcPr>
            <w:tcW w:w="1547" w:type="dxa"/>
            <w:vAlign w:val="center"/>
          </w:tcPr>
          <w:p w14:paraId="3C2501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豆腐皮</w:t>
            </w:r>
          </w:p>
        </w:tc>
        <w:tc>
          <w:tcPr>
            <w:tcW w:w="880" w:type="dxa"/>
            <w:vMerge w:val="continue"/>
            <w:vAlign w:val="center"/>
          </w:tcPr>
          <w:p w14:paraId="5CD66E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92126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06BFD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清香味，厚度均匀，光泽，未有腐烂、变质、表面清洁</w:t>
            </w:r>
          </w:p>
        </w:tc>
      </w:tr>
      <w:tr w14:paraId="087D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25D3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40</w:t>
            </w:r>
          </w:p>
        </w:tc>
        <w:tc>
          <w:tcPr>
            <w:tcW w:w="1547" w:type="dxa"/>
            <w:vAlign w:val="center"/>
          </w:tcPr>
          <w:p w14:paraId="0086BC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西瓜</w:t>
            </w:r>
          </w:p>
        </w:tc>
        <w:tc>
          <w:tcPr>
            <w:tcW w:w="880" w:type="dxa"/>
            <w:vMerge w:val="continue"/>
            <w:vAlign w:val="center"/>
          </w:tcPr>
          <w:p w14:paraId="0C5975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1AC1AE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FA169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新疆产西瓜≥3千克，果形圆正、成熟度高，皮薄瓤沙，肉色深红；未有腐烂、变质，必须提供产地证明</w:t>
            </w:r>
          </w:p>
        </w:tc>
      </w:tr>
      <w:tr w14:paraId="6752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16BE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41</w:t>
            </w:r>
          </w:p>
        </w:tc>
        <w:tc>
          <w:tcPr>
            <w:tcW w:w="1547" w:type="dxa"/>
            <w:vAlign w:val="center"/>
          </w:tcPr>
          <w:p w14:paraId="4477FC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哈密瓜</w:t>
            </w:r>
          </w:p>
        </w:tc>
        <w:tc>
          <w:tcPr>
            <w:tcW w:w="880" w:type="dxa"/>
            <w:vMerge w:val="continue"/>
            <w:vAlign w:val="center"/>
          </w:tcPr>
          <w:p w14:paraId="6D120C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vAlign w:val="center"/>
          </w:tcPr>
          <w:p w14:paraId="1DD3E9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43A13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新疆产甜瓜≥2千克，果形圆正、成熟度高，皮薄瓤甜，爽脆，多汁；未有腐烂、变质，必须提供产地证明</w:t>
            </w:r>
          </w:p>
        </w:tc>
      </w:tr>
      <w:tr w14:paraId="4D50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0943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42</w:t>
            </w:r>
          </w:p>
        </w:tc>
        <w:tc>
          <w:tcPr>
            <w:tcW w:w="1547" w:type="dxa"/>
            <w:vAlign w:val="center"/>
          </w:tcPr>
          <w:p w14:paraId="7C8D96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苹果</w:t>
            </w:r>
          </w:p>
        </w:tc>
        <w:tc>
          <w:tcPr>
            <w:tcW w:w="880" w:type="dxa"/>
            <w:vMerge w:val="continue"/>
            <w:vAlign w:val="center"/>
          </w:tcPr>
          <w:p w14:paraId="66368C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13A831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70C57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品种为红富士，等级为一级苹果，每个150克以上，皮薄、肉质脆、质密多汁、味甜稍酸，未有腐烂、变质</w:t>
            </w:r>
          </w:p>
        </w:tc>
      </w:tr>
      <w:tr w14:paraId="5EE4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A5C8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43</w:t>
            </w:r>
          </w:p>
        </w:tc>
        <w:tc>
          <w:tcPr>
            <w:tcW w:w="1547" w:type="dxa"/>
            <w:vAlign w:val="center"/>
          </w:tcPr>
          <w:p w14:paraId="4BD5334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葡萄</w:t>
            </w:r>
          </w:p>
        </w:tc>
        <w:tc>
          <w:tcPr>
            <w:tcW w:w="880" w:type="dxa"/>
            <w:vMerge w:val="continue"/>
            <w:vAlign w:val="center"/>
          </w:tcPr>
          <w:p w14:paraId="5D69294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20AC9C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3C47F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成熟度高，果粒较大，果皮中等厚，果肉多汁，味酸甜，未有</w:t>
            </w:r>
            <w:r>
              <w:rPr>
                <w:rFonts w:hint="eastAsia" w:ascii="仿宋_GB2312" w:hAnsi="Calibri" w:eastAsia="仿宋_GB2312" w:cs="仿宋_GB2312"/>
                <w:b w:val="0"/>
                <w:bCs w:val="0"/>
                <w:i w:val="0"/>
                <w:iCs w:val="0"/>
                <w:caps w:val="0"/>
                <w:color w:val="000000"/>
                <w:spacing w:val="0"/>
                <w:kern w:val="0"/>
                <w:sz w:val="23"/>
                <w:szCs w:val="23"/>
                <w:lang w:val="en-US" w:eastAsia="zh-CN" w:bidi="ar"/>
              </w:rPr>
              <w:t>变质</w:t>
            </w:r>
          </w:p>
        </w:tc>
      </w:tr>
      <w:tr w14:paraId="0920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E2DE8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44</w:t>
            </w:r>
          </w:p>
        </w:tc>
        <w:tc>
          <w:tcPr>
            <w:tcW w:w="1547" w:type="dxa"/>
            <w:vAlign w:val="center"/>
          </w:tcPr>
          <w:p w14:paraId="4EE777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梨</w:t>
            </w:r>
          </w:p>
        </w:tc>
        <w:tc>
          <w:tcPr>
            <w:tcW w:w="880" w:type="dxa"/>
            <w:vMerge w:val="continue"/>
            <w:vAlign w:val="center"/>
          </w:tcPr>
          <w:p w14:paraId="5CFDA1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154BA3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03199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无虫害，无腐烂，一级果大小均匀，果面黄绿色，皮薄，光滑，未有变质</w:t>
            </w:r>
          </w:p>
        </w:tc>
      </w:tr>
      <w:tr w14:paraId="4DEA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10D3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45</w:t>
            </w:r>
          </w:p>
        </w:tc>
        <w:tc>
          <w:tcPr>
            <w:tcW w:w="1547" w:type="dxa"/>
            <w:vAlign w:val="center"/>
          </w:tcPr>
          <w:p w14:paraId="7B78F6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橘子</w:t>
            </w:r>
          </w:p>
        </w:tc>
        <w:tc>
          <w:tcPr>
            <w:tcW w:w="880" w:type="dxa"/>
            <w:vMerge w:val="continue"/>
            <w:vAlign w:val="center"/>
          </w:tcPr>
          <w:p w14:paraId="244C51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460157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E792E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一级橘，果色金黄，皮薄核少，个头均匀，易剥离，高糖低酸，未</w:t>
            </w:r>
            <w:r>
              <w:rPr>
                <w:rFonts w:hint="eastAsia" w:ascii="仿宋_GB2312" w:hAnsi="Calibri" w:eastAsia="仿宋_GB2312" w:cs="仿宋_GB2312"/>
                <w:b w:val="0"/>
                <w:bCs w:val="0"/>
                <w:i w:val="0"/>
                <w:iCs w:val="0"/>
                <w:caps w:val="0"/>
                <w:color w:val="000000"/>
                <w:spacing w:val="0"/>
                <w:kern w:val="0"/>
                <w:sz w:val="23"/>
                <w:szCs w:val="23"/>
                <w:lang w:val="en-US" w:eastAsia="zh-CN" w:bidi="ar"/>
              </w:rPr>
              <w:t>有</w:t>
            </w:r>
            <w:r>
              <w:rPr>
                <w:rFonts w:hint="default" w:ascii="仿宋_GB2312" w:hAnsi="Calibri" w:eastAsia="仿宋_GB2312" w:cs="仿宋_GB2312"/>
                <w:b w:val="0"/>
                <w:bCs w:val="0"/>
                <w:i w:val="0"/>
                <w:iCs w:val="0"/>
                <w:caps w:val="0"/>
                <w:color w:val="000000"/>
                <w:spacing w:val="0"/>
                <w:kern w:val="0"/>
                <w:sz w:val="23"/>
                <w:szCs w:val="23"/>
                <w:lang w:val="en-US" w:eastAsia="zh-CN" w:bidi="ar"/>
              </w:rPr>
              <w:t>变质</w:t>
            </w:r>
          </w:p>
        </w:tc>
      </w:tr>
      <w:tr w14:paraId="147B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8FF3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46</w:t>
            </w:r>
          </w:p>
        </w:tc>
        <w:tc>
          <w:tcPr>
            <w:tcW w:w="1547" w:type="dxa"/>
            <w:vAlign w:val="center"/>
          </w:tcPr>
          <w:p w14:paraId="52747F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香蕉</w:t>
            </w:r>
          </w:p>
        </w:tc>
        <w:tc>
          <w:tcPr>
            <w:tcW w:w="880" w:type="dxa"/>
            <w:vMerge w:val="continue"/>
            <w:vAlign w:val="center"/>
          </w:tcPr>
          <w:p w14:paraId="6E4E459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6ADDB5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E055D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一级蕉，色泽鲜黄，表皮无斑，无过熟，未有腐烂、变质，果实丰满，果型端正，无病，无霉菌，无创伤</w:t>
            </w:r>
          </w:p>
        </w:tc>
      </w:tr>
      <w:tr w14:paraId="6224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3C35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47</w:t>
            </w:r>
          </w:p>
        </w:tc>
        <w:tc>
          <w:tcPr>
            <w:tcW w:w="1547" w:type="dxa"/>
            <w:vAlign w:val="center"/>
          </w:tcPr>
          <w:p w14:paraId="6CFA6F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仿宋_GB2312"/>
                <w:b w:val="0"/>
                <w:bCs w:val="0"/>
                <w:i w:val="0"/>
                <w:iCs w:val="0"/>
                <w:caps w:val="0"/>
                <w:color w:val="0000FF"/>
                <w:spacing w:val="0"/>
                <w:kern w:val="0"/>
                <w:sz w:val="23"/>
                <w:szCs w:val="23"/>
                <w:lang w:val="en-US" w:eastAsia="zh-CN" w:bidi="ar"/>
              </w:rPr>
            </w:pPr>
            <w:r>
              <w:rPr>
                <w:rFonts w:hint="eastAsia" w:ascii="仿宋_GB2312" w:hAnsi="Calibri" w:eastAsia="仿宋_GB2312" w:cs="仿宋_GB2312"/>
                <w:b w:val="0"/>
                <w:bCs w:val="0"/>
                <w:i w:val="0"/>
                <w:iCs w:val="0"/>
                <w:caps w:val="0"/>
                <w:color w:val="0000FF"/>
                <w:spacing w:val="0"/>
                <w:kern w:val="0"/>
                <w:sz w:val="23"/>
                <w:szCs w:val="23"/>
                <w:lang w:val="en-US" w:eastAsia="zh-CN" w:bidi="ar"/>
              </w:rPr>
              <w:t>茄子</w:t>
            </w:r>
          </w:p>
        </w:tc>
        <w:tc>
          <w:tcPr>
            <w:tcW w:w="880" w:type="dxa"/>
            <w:vMerge w:val="continue"/>
            <w:vAlign w:val="center"/>
          </w:tcPr>
          <w:p w14:paraId="71A8A9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5E455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A928B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0663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3" w:type="dxa"/>
            <w:vAlign w:val="center"/>
          </w:tcPr>
          <w:p w14:paraId="1A369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48</w:t>
            </w:r>
          </w:p>
        </w:tc>
        <w:tc>
          <w:tcPr>
            <w:tcW w:w="1547" w:type="dxa"/>
            <w:vAlign w:val="center"/>
          </w:tcPr>
          <w:p w14:paraId="6C3556E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仿宋_GB2312"/>
                <w:b w:val="0"/>
                <w:bCs w:val="0"/>
                <w:i w:val="0"/>
                <w:iCs w:val="0"/>
                <w:caps w:val="0"/>
                <w:color w:val="0000FF"/>
                <w:spacing w:val="0"/>
                <w:kern w:val="0"/>
                <w:sz w:val="23"/>
                <w:szCs w:val="23"/>
                <w:lang w:val="en-US" w:eastAsia="zh-CN" w:bidi="ar"/>
              </w:rPr>
            </w:pPr>
            <w:r>
              <w:rPr>
                <w:rFonts w:hint="eastAsia" w:ascii="仿宋_GB2312" w:hAnsi="Calibri" w:eastAsia="仿宋_GB2312" w:cs="仿宋_GB2312"/>
                <w:b w:val="0"/>
                <w:bCs w:val="0"/>
                <w:i w:val="0"/>
                <w:iCs w:val="0"/>
                <w:caps w:val="0"/>
                <w:color w:val="0000FF"/>
                <w:spacing w:val="0"/>
                <w:kern w:val="0"/>
                <w:sz w:val="23"/>
                <w:szCs w:val="23"/>
                <w:lang w:val="en-US" w:eastAsia="zh-CN" w:bidi="ar"/>
              </w:rPr>
              <w:t>冬瓜</w:t>
            </w:r>
          </w:p>
        </w:tc>
        <w:tc>
          <w:tcPr>
            <w:tcW w:w="880" w:type="dxa"/>
            <w:vMerge w:val="continue"/>
            <w:vAlign w:val="center"/>
          </w:tcPr>
          <w:p w14:paraId="3859954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9695B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B6E61F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3F29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6B79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49</w:t>
            </w:r>
          </w:p>
        </w:tc>
        <w:tc>
          <w:tcPr>
            <w:tcW w:w="1547" w:type="dxa"/>
            <w:vAlign w:val="center"/>
          </w:tcPr>
          <w:p w14:paraId="6A2165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仿宋_GB2312"/>
                <w:b w:val="0"/>
                <w:bCs w:val="0"/>
                <w:i w:val="0"/>
                <w:iCs w:val="0"/>
                <w:caps w:val="0"/>
                <w:color w:val="0000FF"/>
                <w:spacing w:val="0"/>
                <w:kern w:val="0"/>
                <w:sz w:val="23"/>
                <w:szCs w:val="23"/>
                <w:lang w:val="en-US" w:eastAsia="zh-CN" w:bidi="ar"/>
              </w:rPr>
            </w:pPr>
            <w:r>
              <w:rPr>
                <w:rFonts w:hint="eastAsia" w:ascii="仿宋_GB2312" w:hAnsi="Calibri" w:eastAsia="仿宋_GB2312" w:cs="仿宋_GB2312"/>
                <w:b w:val="0"/>
                <w:bCs w:val="0"/>
                <w:i w:val="0"/>
                <w:iCs w:val="0"/>
                <w:caps w:val="0"/>
                <w:color w:val="0000FF"/>
                <w:spacing w:val="0"/>
                <w:kern w:val="0"/>
                <w:sz w:val="23"/>
                <w:szCs w:val="23"/>
                <w:lang w:val="en-US" w:eastAsia="zh-CN" w:bidi="ar"/>
              </w:rPr>
              <w:t>毛白菜</w:t>
            </w:r>
          </w:p>
        </w:tc>
        <w:tc>
          <w:tcPr>
            <w:tcW w:w="880" w:type="dxa"/>
            <w:vMerge w:val="continue"/>
            <w:vAlign w:val="center"/>
          </w:tcPr>
          <w:p w14:paraId="404064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5D75D2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BC7CB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13D5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3" w:type="dxa"/>
            <w:vAlign w:val="center"/>
          </w:tcPr>
          <w:p w14:paraId="5575A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50</w:t>
            </w:r>
          </w:p>
        </w:tc>
        <w:tc>
          <w:tcPr>
            <w:tcW w:w="1547" w:type="dxa"/>
            <w:vAlign w:val="center"/>
          </w:tcPr>
          <w:p w14:paraId="687230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Calibri" w:eastAsia="仿宋_GB2312" w:cs="仿宋_GB2312"/>
                <w:b w:val="0"/>
                <w:bCs w:val="0"/>
                <w:i w:val="0"/>
                <w:iCs w:val="0"/>
                <w:caps w:val="0"/>
                <w:color w:val="0000FF"/>
                <w:spacing w:val="0"/>
                <w:kern w:val="0"/>
                <w:sz w:val="23"/>
                <w:szCs w:val="23"/>
                <w:lang w:val="en-US" w:eastAsia="zh-CN" w:bidi="ar"/>
              </w:rPr>
            </w:pPr>
            <w:r>
              <w:rPr>
                <w:rFonts w:hint="default" w:ascii="仿宋_GB2312" w:hAnsi="Calibri" w:eastAsia="仿宋_GB2312" w:cs="仿宋_GB2312"/>
                <w:b w:val="0"/>
                <w:bCs w:val="0"/>
                <w:i w:val="0"/>
                <w:iCs w:val="0"/>
                <w:caps w:val="0"/>
                <w:color w:val="0000FF"/>
                <w:spacing w:val="0"/>
                <w:kern w:val="0"/>
                <w:sz w:val="23"/>
                <w:szCs w:val="23"/>
                <w:lang w:val="en-US" w:eastAsia="zh-CN" w:bidi="ar"/>
              </w:rPr>
              <w:t>蒜</w:t>
            </w:r>
            <w:r>
              <w:rPr>
                <w:rFonts w:hint="eastAsia" w:ascii="仿宋_GB2312" w:hAnsi="Calibri" w:eastAsia="仿宋_GB2312" w:cs="仿宋_GB2312"/>
                <w:b w:val="0"/>
                <w:bCs w:val="0"/>
                <w:i w:val="0"/>
                <w:iCs w:val="0"/>
                <w:caps w:val="0"/>
                <w:color w:val="0000FF"/>
                <w:spacing w:val="0"/>
                <w:kern w:val="0"/>
                <w:sz w:val="23"/>
                <w:szCs w:val="23"/>
                <w:lang w:val="en-US" w:eastAsia="zh-CN" w:bidi="ar"/>
              </w:rPr>
              <w:t>苔</w:t>
            </w:r>
          </w:p>
        </w:tc>
        <w:tc>
          <w:tcPr>
            <w:tcW w:w="880" w:type="dxa"/>
            <w:vMerge w:val="continue"/>
            <w:vAlign w:val="center"/>
          </w:tcPr>
          <w:p w14:paraId="603433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788594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44250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738F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53" w:type="dxa"/>
            <w:vAlign w:val="center"/>
          </w:tcPr>
          <w:p w14:paraId="4979E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51</w:t>
            </w:r>
          </w:p>
        </w:tc>
        <w:tc>
          <w:tcPr>
            <w:tcW w:w="1547" w:type="dxa"/>
            <w:vAlign w:val="center"/>
          </w:tcPr>
          <w:p w14:paraId="6E1011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FF"/>
                <w:spacing w:val="0"/>
                <w:kern w:val="0"/>
                <w:sz w:val="23"/>
                <w:szCs w:val="23"/>
                <w:lang w:val="en-US" w:eastAsia="zh-CN" w:bidi="ar"/>
              </w:rPr>
            </w:pPr>
            <w:r>
              <w:rPr>
                <w:rFonts w:hint="eastAsia" w:ascii="仿宋_GB2312" w:hAnsi="Calibri" w:eastAsia="仿宋_GB2312" w:cs="仿宋_GB2312"/>
                <w:b w:val="0"/>
                <w:bCs w:val="0"/>
                <w:i w:val="0"/>
                <w:iCs w:val="0"/>
                <w:caps w:val="0"/>
                <w:color w:val="0000FF"/>
                <w:spacing w:val="0"/>
                <w:kern w:val="0"/>
                <w:sz w:val="23"/>
                <w:szCs w:val="23"/>
                <w:lang w:val="en-US" w:eastAsia="zh-CN" w:bidi="ar"/>
              </w:rPr>
              <w:t>缸豆</w:t>
            </w:r>
          </w:p>
        </w:tc>
        <w:tc>
          <w:tcPr>
            <w:tcW w:w="880" w:type="dxa"/>
            <w:vMerge w:val="continue"/>
            <w:vAlign w:val="center"/>
          </w:tcPr>
          <w:p w14:paraId="77CCD1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p>
        </w:tc>
        <w:tc>
          <w:tcPr>
            <w:tcW w:w="1149" w:type="dxa"/>
            <w:vMerge w:val="continue"/>
          </w:tcPr>
          <w:p w14:paraId="72558C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C58F2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外观新鲜，大小均匀，表皮干净而不开裂，无病虫害，无断裂、压伤、虫洞、泥土，无擦伤及腐烂出现</w:t>
            </w:r>
          </w:p>
        </w:tc>
      </w:tr>
      <w:tr w14:paraId="2802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893" w:type="dxa"/>
            <w:gridSpan w:val="5"/>
            <w:vAlign w:val="center"/>
          </w:tcPr>
          <w:p w14:paraId="396B4298">
            <w:pPr>
              <w:keepNext w:val="0"/>
              <w:keepLines w:val="0"/>
              <w:pageBreakBefore w:val="0"/>
              <w:widowControl w:val="0"/>
              <w:numPr>
                <w:ilvl w:val="0"/>
                <w:numId w:val="0"/>
              </w:numPr>
              <w:suppressLineNumbers w:val="0"/>
              <w:kinsoku/>
              <w:wordWrap/>
              <w:overflowPunct/>
              <w:topLinePunct w:val="0"/>
              <w:autoSpaceDN/>
              <w:bidi w:val="0"/>
              <w:adjustRightInd/>
              <w:snapToGrid/>
              <w:spacing w:before="0" w:beforeAutospacing="0" w:after="0" w:afterAutospacing="0" w:line="240" w:lineRule="exact"/>
              <w:ind w:left="0" w:right="0" w:rightChars="0"/>
              <w:jc w:val="center"/>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四、调料副食品类</w:t>
            </w:r>
          </w:p>
        </w:tc>
      </w:tr>
      <w:tr w14:paraId="256C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94355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w:t>
            </w:r>
          </w:p>
        </w:tc>
        <w:tc>
          <w:tcPr>
            <w:tcW w:w="1547" w:type="dxa"/>
            <w:vAlign w:val="center"/>
          </w:tcPr>
          <w:p w14:paraId="46F036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粉条</w:t>
            </w:r>
          </w:p>
        </w:tc>
        <w:tc>
          <w:tcPr>
            <w:tcW w:w="880" w:type="dxa"/>
            <w:vAlign w:val="center"/>
          </w:tcPr>
          <w:p w14:paraId="05C82F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restart"/>
            <w:vAlign w:val="center"/>
          </w:tcPr>
          <w:p w14:paraId="6C6B65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77685B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优质散装粉条，粗细均匀，无并条，无碎条，手感柔韧，有弹性，无杂质，无任何异味，按形状可分为圆粉条、细粉条和宽粉条等，口感爽滑极富弹性，具有合格证</w:t>
            </w:r>
          </w:p>
        </w:tc>
      </w:tr>
      <w:tr w14:paraId="4FAE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C91593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w:t>
            </w:r>
          </w:p>
        </w:tc>
        <w:tc>
          <w:tcPr>
            <w:tcW w:w="1547" w:type="dxa"/>
            <w:vAlign w:val="center"/>
          </w:tcPr>
          <w:p w14:paraId="406106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宽粉</w:t>
            </w:r>
          </w:p>
        </w:tc>
        <w:tc>
          <w:tcPr>
            <w:tcW w:w="880" w:type="dxa"/>
            <w:vAlign w:val="center"/>
          </w:tcPr>
          <w:p w14:paraId="383230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5AA41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795499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优质散装宽粉，粗细均匀，无并条，无碎条，手感柔韧，有弹性，无杂质，无异味，口感爽滑极富弹性，具有合格证</w:t>
            </w:r>
          </w:p>
        </w:tc>
      </w:tr>
      <w:tr w14:paraId="603C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65077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w:t>
            </w:r>
          </w:p>
        </w:tc>
        <w:tc>
          <w:tcPr>
            <w:tcW w:w="1547" w:type="dxa"/>
            <w:vAlign w:val="center"/>
          </w:tcPr>
          <w:p w14:paraId="66B4C0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粉皮</w:t>
            </w:r>
          </w:p>
        </w:tc>
        <w:tc>
          <w:tcPr>
            <w:tcW w:w="880" w:type="dxa"/>
            <w:vAlign w:val="center"/>
          </w:tcPr>
          <w:p w14:paraId="116D0C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34C6FD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EC35A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优质散装粉皮，无并条，无碎条，手感柔韧，有弹性，无杂质，无任何异味，口感爽滑极富弹性，具有合格证</w:t>
            </w:r>
          </w:p>
        </w:tc>
      </w:tr>
      <w:tr w14:paraId="015A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7D8CC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w:t>
            </w:r>
          </w:p>
        </w:tc>
        <w:tc>
          <w:tcPr>
            <w:tcW w:w="1547" w:type="dxa"/>
            <w:vAlign w:val="center"/>
          </w:tcPr>
          <w:p w14:paraId="2A9FE2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凉皮</w:t>
            </w:r>
          </w:p>
        </w:tc>
        <w:tc>
          <w:tcPr>
            <w:tcW w:w="880" w:type="dxa"/>
            <w:vAlign w:val="center"/>
          </w:tcPr>
          <w:p w14:paraId="35493C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26492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C069F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优质散装凉皮，无异味，口感爽滑极富弹性，具有合格证</w:t>
            </w:r>
          </w:p>
        </w:tc>
      </w:tr>
      <w:tr w14:paraId="1BFE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AF22D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w:t>
            </w:r>
          </w:p>
        </w:tc>
        <w:tc>
          <w:tcPr>
            <w:tcW w:w="1547" w:type="dxa"/>
            <w:vAlign w:val="center"/>
          </w:tcPr>
          <w:p w14:paraId="76932F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干香菇</w:t>
            </w:r>
          </w:p>
        </w:tc>
        <w:tc>
          <w:tcPr>
            <w:tcW w:w="880" w:type="dxa"/>
            <w:vAlign w:val="center"/>
          </w:tcPr>
          <w:p w14:paraId="62640E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71BC2E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8877D3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优质散装干香菇，无杂质，无任何异味，具有合格证</w:t>
            </w:r>
          </w:p>
        </w:tc>
      </w:tr>
      <w:tr w14:paraId="39C9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334B7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w:t>
            </w:r>
          </w:p>
        </w:tc>
        <w:tc>
          <w:tcPr>
            <w:tcW w:w="1547" w:type="dxa"/>
            <w:vAlign w:val="center"/>
          </w:tcPr>
          <w:p w14:paraId="6A8A34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黑木耳</w:t>
            </w:r>
          </w:p>
        </w:tc>
        <w:tc>
          <w:tcPr>
            <w:tcW w:w="880" w:type="dxa"/>
            <w:vAlign w:val="center"/>
          </w:tcPr>
          <w:p w14:paraId="32F6DF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640FD2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62D7A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优质散装黑木耳，无杂质，无任何异味，具有合格证</w:t>
            </w:r>
          </w:p>
        </w:tc>
      </w:tr>
      <w:tr w14:paraId="1071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5C51CC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7</w:t>
            </w:r>
          </w:p>
        </w:tc>
        <w:tc>
          <w:tcPr>
            <w:tcW w:w="1547" w:type="dxa"/>
            <w:vAlign w:val="center"/>
          </w:tcPr>
          <w:p w14:paraId="1DA8BE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腐竹</w:t>
            </w:r>
          </w:p>
        </w:tc>
        <w:tc>
          <w:tcPr>
            <w:tcW w:w="880" w:type="dxa"/>
            <w:vAlign w:val="center"/>
          </w:tcPr>
          <w:p w14:paraId="0CD4BC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625E3F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23B33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优质散装腐竹，无杂质，无任何异味，具有合格证</w:t>
            </w:r>
          </w:p>
        </w:tc>
      </w:tr>
      <w:tr w14:paraId="6DE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E73CB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8</w:t>
            </w:r>
          </w:p>
        </w:tc>
        <w:tc>
          <w:tcPr>
            <w:tcW w:w="1547" w:type="dxa"/>
            <w:vAlign w:val="center"/>
          </w:tcPr>
          <w:p w14:paraId="33F897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花生米</w:t>
            </w:r>
          </w:p>
        </w:tc>
        <w:tc>
          <w:tcPr>
            <w:tcW w:w="880" w:type="dxa"/>
            <w:vAlign w:val="center"/>
          </w:tcPr>
          <w:p w14:paraId="3ECA13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4BE75F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62A811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优质散装花生米，无杂质，无任何异味，具有合格证</w:t>
            </w:r>
          </w:p>
        </w:tc>
      </w:tr>
      <w:tr w14:paraId="6E06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740DF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9</w:t>
            </w:r>
          </w:p>
        </w:tc>
        <w:tc>
          <w:tcPr>
            <w:tcW w:w="1547" w:type="dxa"/>
            <w:vAlign w:val="center"/>
          </w:tcPr>
          <w:p w14:paraId="7AF20D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海带丝</w:t>
            </w:r>
          </w:p>
        </w:tc>
        <w:tc>
          <w:tcPr>
            <w:tcW w:w="880" w:type="dxa"/>
            <w:vAlign w:val="center"/>
          </w:tcPr>
          <w:p w14:paraId="539A330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箱</w:t>
            </w:r>
          </w:p>
        </w:tc>
        <w:tc>
          <w:tcPr>
            <w:tcW w:w="1149" w:type="dxa"/>
            <w:vMerge w:val="continue"/>
          </w:tcPr>
          <w:p w14:paraId="26DB1D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97050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2KG/箱，有品牌、产地和质保期等标识</w:t>
            </w:r>
          </w:p>
        </w:tc>
      </w:tr>
      <w:tr w14:paraId="7ECD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09B68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10</w:t>
            </w:r>
          </w:p>
        </w:tc>
        <w:tc>
          <w:tcPr>
            <w:tcW w:w="1547" w:type="dxa"/>
            <w:vAlign w:val="center"/>
          </w:tcPr>
          <w:p w14:paraId="197C13B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紫菜</w:t>
            </w:r>
          </w:p>
        </w:tc>
        <w:tc>
          <w:tcPr>
            <w:tcW w:w="880" w:type="dxa"/>
            <w:vAlign w:val="center"/>
          </w:tcPr>
          <w:p w14:paraId="2F92B3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包</w:t>
            </w:r>
          </w:p>
        </w:tc>
        <w:tc>
          <w:tcPr>
            <w:tcW w:w="1149" w:type="dxa"/>
            <w:vMerge w:val="continue"/>
          </w:tcPr>
          <w:p w14:paraId="797D4E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CFDB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50g/包，有品牌、产地和质保期等标识</w:t>
            </w:r>
          </w:p>
        </w:tc>
      </w:tr>
      <w:tr w14:paraId="5D6A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4FBEE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11</w:t>
            </w:r>
          </w:p>
        </w:tc>
        <w:tc>
          <w:tcPr>
            <w:tcW w:w="1547" w:type="dxa"/>
            <w:vAlign w:val="center"/>
          </w:tcPr>
          <w:p w14:paraId="0AFDA41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葡萄干</w:t>
            </w:r>
          </w:p>
        </w:tc>
        <w:tc>
          <w:tcPr>
            <w:tcW w:w="880" w:type="dxa"/>
            <w:vAlign w:val="center"/>
          </w:tcPr>
          <w:p w14:paraId="028AE8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B9ABB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935CD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优质散装葡萄干，干净无杂物，无病虫洞，无腐烂</w:t>
            </w:r>
          </w:p>
        </w:tc>
      </w:tr>
      <w:tr w14:paraId="629C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051D1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12</w:t>
            </w:r>
          </w:p>
        </w:tc>
        <w:tc>
          <w:tcPr>
            <w:tcW w:w="1547" w:type="dxa"/>
            <w:vAlign w:val="center"/>
          </w:tcPr>
          <w:p w14:paraId="394381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黑米</w:t>
            </w:r>
          </w:p>
        </w:tc>
        <w:tc>
          <w:tcPr>
            <w:tcW w:w="880" w:type="dxa"/>
            <w:vAlign w:val="center"/>
          </w:tcPr>
          <w:p w14:paraId="6FD05C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347BC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66A9B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优质散装黑米，有品牌、产地和质保期等标识</w:t>
            </w:r>
          </w:p>
        </w:tc>
      </w:tr>
      <w:tr w14:paraId="5FBD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1D67F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13</w:t>
            </w:r>
          </w:p>
        </w:tc>
        <w:tc>
          <w:tcPr>
            <w:tcW w:w="1547" w:type="dxa"/>
            <w:vAlign w:val="center"/>
          </w:tcPr>
          <w:p w14:paraId="66E5B9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小米</w:t>
            </w:r>
          </w:p>
        </w:tc>
        <w:tc>
          <w:tcPr>
            <w:tcW w:w="880" w:type="dxa"/>
            <w:vAlign w:val="center"/>
          </w:tcPr>
          <w:p w14:paraId="3309B8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restart"/>
            <w:vAlign w:val="center"/>
          </w:tcPr>
          <w:p w14:paraId="737F2C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CD58DE2">
            <w:pPr>
              <w:pStyle w:val="2"/>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C5E0C04">
            <w:pPr>
              <w:pStyle w:val="4"/>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4A60A61">
            <w:pPr>
              <w:pStyle w:val="5"/>
              <w:keepNext w:val="0"/>
              <w:keepLines w:val="0"/>
              <w:suppressLineNumbers w:val="0"/>
              <w:spacing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6FD6F2D">
            <w:pPr>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36D760F">
            <w:pPr>
              <w:pStyle w:val="2"/>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246BDEE">
            <w:pPr>
              <w:pStyle w:val="4"/>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68E5833">
            <w:pPr>
              <w:pStyle w:val="5"/>
              <w:keepNext w:val="0"/>
              <w:keepLines w:val="0"/>
              <w:suppressLineNumbers w:val="0"/>
              <w:spacing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496043E">
            <w:pPr>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1CCB82A">
            <w:pPr>
              <w:pStyle w:val="2"/>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485898F">
            <w:pPr>
              <w:pStyle w:val="4"/>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909D25C">
            <w:pPr>
              <w:pStyle w:val="5"/>
              <w:keepNext w:val="0"/>
              <w:keepLines w:val="0"/>
              <w:suppressLineNumbers w:val="0"/>
              <w:spacing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DFA6416">
            <w:pPr>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2BB1E75">
            <w:pPr>
              <w:pStyle w:val="2"/>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0EF039BA">
            <w:pPr>
              <w:pStyle w:val="4"/>
              <w:keepNext w:val="0"/>
              <w:keepLines w:val="0"/>
              <w:suppressLineNumbers w:val="0"/>
              <w:spacing w:before="0" w:beforeAutospacing="0" w:after="0" w:afterAutospacing="0"/>
              <w:ind w:left="0" w:right="0"/>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9AE8491">
            <w:pPr>
              <w:pStyle w:val="5"/>
              <w:keepNext w:val="0"/>
              <w:keepLines w:val="0"/>
              <w:suppressLineNumbers w:val="0"/>
              <w:spacing w:beforeAutospacing="0" w:after="0" w:afterAutospacing="0"/>
              <w:ind w:left="0" w:right="0"/>
              <w:rPr>
                <w:rFonts w:hint="eastAsia"/>
                <w:lang w:val="en-US" w:eastAsia="zh-CN"/>
              </w:rPr>
            </w:pPr>
          </w:p>
          <w:p w14:paraId="1B6223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38BC4D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优质散装小米，有品牌、产地和质保期等标识</w:t>
            </w:r>
          </w:p>
        </w:tc>
      </w:tr>
      <w:tr w14:paraId="78CD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5DD78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14</w:t>
            </w:r>
          </w:p>
        </w:tc>
        <w:tc>
          <w:tcPr>
            <w:tcW w:w="1547" w:type="dxa"/>
            <w:vAlign w:val="center"/>
          </w:tcPr>
          <w:p w14:paraId="5665C4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八宝粥米</w:t>
            </w:r>
          </w:p>
        </w:tc>
        <w:tc>
          <w:tcPr>
            <w:tcW w:w="880" w:type="dxa"/>
            <w:vAlign w:val="center"/>
          </w:tcPr>
          <w:p w14:paraId="4C41D7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393A4C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70ED2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优质散装八宝粥米，有品牌、产地和质保期等标识</w:t>
            </w:r>
          </w:p>
        </w:tc>
      </w:tr>
      <w:tr w14:paraId="0D43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3E529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15</w:t>
            </w:r>
          </w:p>
        </w:tc>
        <w:tc>
          <w:tcPr>
            <w:tcW w:w="1547" w:type="dxa"/>
            <w:vAlign w:val="center"/>
          </w:tcPr>
          <w:p w14:paraId="0E24EBD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凉粉</w:t>
            </w:r>
          </w:p>
        </w:tc>
        <w:tc>
          <w:tcPr>
            <w:tcW w:w="880" w:type="dxa"/>
            <w:vAlign w:val="center"/>
          </w:tcPr>
          <w:p w14:paraId="05A35B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62FF28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9362B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优质散装凉粉，有品牌、产地和质保期等标识</w:t>
            </w:r>
          </w:p>
        </w:tc>
      </w:tr>
      <w:tr w14:paraId="2483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CE57D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16</w:t>
            </w:r>
          </w:p>
        </w:tc>
        <w:tc>
          <w:tcPr>
            <w:tcW w:w="1547" w:type="dxa"/>
            <w:vAlign w:val="center"/>
          </w:tcPr>
          <w:p w14:paraId="12510D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泡椒</w:t>
            </w:r>
          </w:p>
        </w:tc>
        <w:tc>
          <w:tcPr>
            <w:tcW w:w="880" w:type="dxa"/>
            <w:vAlign w:val="center"/>
          </w:tcPr>
          <w:p w14:paraId="2D40E2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箱</w:t>
            </w:r>
          </w:p>
        </w:tc>
        <w:tc>
          <w:tcPr>
            <w:tcW w:w="1149" w:type="dxa"/>
            <w:vMerge w:val="continue"/>
          </w:tcPr>
          <w:p w14:paraId="2504C0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D2BFE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2KG/箱，有品牌、产地和质保期等标识</w:t>
            </w:r>
          </w:p>
        </w:tc>
      </w:tr>
      <w:tr w14:paraId="623D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60BB9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17</w:t>
            </w:r>
          </w:p>
        </w:tc>
        <w:tc>
          <w:tcPr>
            <w:tcW w:w="1547" w:type="dxa"/>
            <w:vAlign w:val="center"/>
          </w:tcPr>
          <w:p w14:paraId="08A775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鱼酸菜</w:t>
            </w:r>
          </w:p>
        </w:tc>
        <w:tc>
          <w:tcPr>
            <w:tcW w:w="880" w:type="dxa"/>
            <w:vAlign w:val="center"/>
          </w:tcPr>
          <w:p w14:paraId="4EDB55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7D63DA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4EF94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400g/袋，有品牌、产地和质保期等标识</w:t>
            </w:r>
          </w:p>
        </w:tc>
      </w:tr>
      <w:tr w14:paraId="2DC4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F7EDF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18</w:t>
            </w:r>
          </w:p>
        </w:tc>
        <w:tc>
          <w:tcPr>
            <w:tcW w:w="1547" w:type="dxa"/>
            <w:vAlign w:val="center"/>
          </w:tcPr>
          <w:p w14:paraId="2E99E6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脆皮肠</w:t>
            </w:r>
          </w:p>
        </w:tc>
        <w:tc>
          <w:tcPr>
            <w:tcW w:w="880" w:type="dxa"/>
            <w:vAlign w:val="center"/>
          </w:tcPr>
          <w:p w14:paraId="71FF4A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件</w:t>
            </w:r>
          </w:p>
        </w:tc>
        <w:tc>
          <w:tcPr>
            <w:tcW w:w="1149" w:type="dxa"/>
            <w:vMerge w:val="continue"/>
          </w:tcPr>
          <w:p w14:paraId="09618D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2DEA0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优质脆皮肠10kg/件，有品牌、产地和质保期等标识</w:t>
            </w:r>
          </w:p>
        </w:tc>
      </w:tr>
      <w:tr w14:paraId="016B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C45E4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19</w:t>
            </w:r>
          </w:p>
        </w:tc>
        <w:tc>
          <w:tcPr>
            <w:tcW w:w="1547" w:type="dxa"/>
            <w:vAlign w:val="center"/>
          </w:tcPr>
          <w:p w14:paraId="6FF290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火腿肠</w:t>
            </w:r>
          </w:p>
        </w:tc>
        <w:tc>
          <w:tcPr>
            <w:tcW w:w="880" w:type="dxa"/>
            <w:vAlign w:val="center"/>
          </w:tcPr>
          <w:p w14:paraId="2FFD18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件</w:t>
            </w:r>
          </w:p>
        </w:tc>
        <w:tc>
          <w:tcPr>
            <w:tcW w:w="1149" w:type="dxa"/>
            <w:vMerge w:val="continue"/>
          </w:tcPr>
          <w:p w14:paraId="794639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F83B6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40个/件优质散装火腿肠，有品牌、产地和质保期等标识</w:t>
            </w:r>
          </w:p>
        </w:tc>
      </w:tr>
      <w:tr w14:paraId="3984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19F72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20</w:t>
            </w:r>
          </w:p>
        </w:tc>
        <w:tc>
          <w:tcPr>
            <w:tcW w:w="1547" w:type="dxa"/>
            <w:vAlign w:val="center"/>
          </w:tcPr>
          <w:p w14:paraId="456D2B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火锅丸子</w:t>
            </w:r>
          </w:p>
        </w:tc>
        <w:tc>
          <w:tcPr>
            <w:tcW w:w="880" w:type="dxa"/>
            <w:vAlign w:val="center"/>
          </w:tcPr>
          <w:p w14:paraId="798BED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785D5F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BC833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优质散装火锅丸子，有品牌、产地和质保期等标识</w:t>
            </w:r>
          </w:p>
        </w:tc>
      </w:tr>
      <w:tr w14:paraId="6155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39E17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21</w:t>
            </w:r>
          </w:p>
        </w:tc>
        <w:tc>
          <w:tcPr>
            <w:tcW w:w="1547" w:type="dxa"/>
            <w:vAlign w:val="center"/>
          </w:tcPr>
          <w:p w14:paraId="147C30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食醋</w:t>
            </w:r>
          </w:p>
        </w:tc>
        <w:tc>
          <w:tcPr>
            <w:tcW w:w="880" w:type="dxa"/>
            <w:vAlign w:val="center"/>
          </w:tcPr>
          <w:p w14:paraId="5F78F4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桶</w:t>
            </w:r>
          </w:p>
        </w:tc>
        <w:tc>
          <w:tcPr>
            <w:tcW w:w="1149" w:type="dxa"/>
            <w:vMerge w:val="continue"/>
          </w:tcPr>
          <w:p w14:paraId="7DC276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1E420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5L/桶，有品牌、产地和质保期等标识</w:t>
            </w:r>
          </w:p>
        </w:tc>
      </w:tr>
      <w:tr w14:paraId="576C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128F4C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22</w:t>
            </w:r>
          </w:p>
        </w:tc>
        <w:tc>
          <w:tcPr>
            <w:tcW w:w="1547" w:type="dxa"/>
            <w:vAlign w:val="center"/>
          </w:tcPr>
          <w:p w14:paraId="735AAB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白醋</w:t>
            </w:r>
          </w:p>
        </w:tc>
        <w:tc>
          <w:tcPr>
            <w:tcW w:w="880" w:type="dxa"/>
            <w:vAlign w:val="center"/>
          </w:tcPr>
          <w:p w14:paraId="729A2E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450A17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CF07A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500ml/瓶，有品牌、产地和质保期等标识</w:t>
            </w:r>
          </w:p>
        </w:tc>
      </w:tr>
      <w:tr w14:paraId="79C7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9BB2F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23</w:t>
            </w:r>
          </w:p>
        </w:tc>
        <w:tc>
          <w:tcPr>
            <w:tcW w:w="1547" w:type="dxa"/>
            <w:vAlign w:val="center"/>
          </w:tcPr>
          <w:p w14:paraId="5465E1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蒸鱼豉油</w:t>
            </w:r>
          </w:p>
        </w:tc>
        <w:tc>
          <w:tcPr>
            <w:tcW w:w="880" w:type="dxa"/>
            <w:vAlign w:val="center"/>
          </w:tcPr>
          <w:p w14:paraId="33D2E4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3BECBE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00A47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410ml/瓶，有品牌、产地和质保期等标识</w:t>
            </w:r>
          </w:p>
        </w:tc>
      </w:tr>
      <w:tr w14:paraId="6046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9B4B00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24</w:t>
            </w:r>
          </w:p>
        </w:tc>
        <w:tc>
          <w:tcPr>
            <w:tcW w:w="1547" w:type="dxa"/>
            <w:vAlign w:val="center"/>
          </w:tcPr>
          <w:p w14:paraId="59E030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老抽</w:t>
            </w:r>
          </w:p>
        </w:tc>
        <w:tc>
          <w:tcPr>
            <w:tcW w:w="880" w:type="dxa"/>
            <w:vAlign w:val="center"/>
          </w:tcPr>
          <w:p w14:paraId="1D9AD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289958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AB475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1.75L/瓶，有品牌、产地和质保期等标识</w:t>
            </w:r>
          </w:p>
        </w:tc>
      </w:tr>
      <w:tr w14:paraId="6483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D308D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25</w:t>
            </w:r>
          </w:p>
        </w:tc>
        <w:tc>
          <w:tcPr>
            <w:tcW w:w="1547" w:type="dxa"/>
            <w:vAlign w:val="center"/>
          </w:tcPr>
          <w:p w14:paraId="1CCD6F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生抽</w:t>
            </w:r>
          </w:p>
        </w:tc>
        <w:tc>
          <w:tcPr>
            <w:tcW w:w="880" w:type="dxa"/>
            <w:vAlign w:val="center"/>
          </w:tcPr>
          <w:p w14:paraId="1E4C71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5542C5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59FBA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1.75L/瓶，有品牌、产地和质保期等标识</w:t>
            </w:r>
          </w:p>
        </w:tc>
      </w:tr>
      <w:tr w14:paraId="64ED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38356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26</w:t>
            </w:r>
          </w:p>
        </w:tc>
        <w:tc>
          <w:tcPr>
            <w:tcW w:w="1547" w:type="dxa"/>
            <w:vAlign w:val="center"/>
          </w:tcPr>
          <w:p w14:paraId="192D1F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料酒</w:t>
            </w:r>
          </w:p>
        </w:tc>
        <w:tc>
          <w:tcPr>
            <w:tcW w:w="880" w:type="dxa"/>
            <w:vAlign w:val="center"/>
          </w:tcPr>
          <w:p w14:paraId="2C928D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426E61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FA611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500ml/瓶，有品牌、产地和质保期等标识</w:t>
            </w:r>
          </w:p>
        </w:tc>
      </w:tr>
      <w:tr w14:paraId="4BA2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F0B0F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27</w:t>
            </w:r>
          </w:p>
        </w:tc>
        <w:tc>
          <w:tcPr>
            <w:tcW w:w="1547" w:type="dxa"/>
            <w:vAlign w:val="center"/>
          </w:tcPr>
          <w:p w14:paraId="1E52FF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麻辣油</w:t>
            </w:r>
          </w:p>
        </w:tc>
        <w:tc>
          <w:tcPr>
            <w:tcW w:w="880" w:type="dxa"/>
            <w:vAlign w:val="center"/>
          </w:tcPr>
          <w:p w14:paraId="1F2D98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6E72A7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5A509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220ml/瓶，有品牌、产地和质保期等标识</w:t>
            </w:r>
          </w:p>
        </w:tc>
      </w:tr>
      <w:tr w14:paraId="5395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B4B68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28</w:t>
            </w:r>
          </w:p>
        </w:tc>
        <w:tc>
          <w:tcPr>
            <w:tcW w:w="1547" w:type="dxa"/>
            <w:vAlign w:val="center"/>
          </w:tcPr>
          <w:p w14:paraId="435D21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辣椒油</w:t>
            </w:r>
          </w:p>
        </w:tc>
        <w:tc>
          <w:tcPr>
            <w:tcW w:w="880" w:type="dxa"/>
            <w:vAlign w:val="center"/>
          </w:tcPr>
          <w:p w14:paraId="3EC54F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7A2BED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6119D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200ml/瓶，有品牌、产地和质保期等标识</w:t>
            </w:r>
          </w:p>
        </w:tc>
      </w:tr>
      <w:tr w14:paraId="24D0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43F26D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29</w:t>
            </w:r>
          </w:p>
        </w:tc>
        <w:tc>
          <w:tcPr>
            <w:tcW w:w="1547" w:type="dxa"/>
            <w:vAlign w:val="center"/>
          </w:tcPr>
          <w:p w14:paraId="77AF97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花椒油</w:t>
            </w:r>
          </w:p>
        </w:tc>
        <w:tc>
          <w:tcPr>
            <w:tcW w:w="880" w:type="dxa"/>
            <w:vAlign w:val="center"/>
          </w:tcPr>
          <w:p w14:paraId="6DFD11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5FE673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A2584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220ml/瓶，有品牌、产地和质保期等标识</w:t>
            </w:r>
          </w:p>
        </w:tc>
      </w:tr>
      <w:tr w14:paraId="5DD1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3874A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30</w:t>
            </w:r>
          </w:p>
        </w:tc>
        <w:tc>
          <w:tcPr>
            <w:tcW w:w="1547" w:type="dxa"/>
            <w:vAlign w:val="center"/>
          </w:tcPr>
          <w:p w14:paraId="49B9C7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香油</w:t>
            </w:r>
          </w:p>
        </w:tc>
        <w:tc>
          <w:tcPr>
            <w:tcW w:w="880" w:type="dxa"/>
            <w:vAlign w:val="center"/>
          </w:tcPr>
          <w:p w14:paraId="7C3C77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65D3AC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1897B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220ml/瓶，有品牌、产地和质保期等标识</w:t>
            </w:r>
          </w:p>
        </w:tc>
      </w:tr>
      <w:tr w14:paraId="7D85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1571F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31</w:t>
            </w:r>
          </w:p>
        </w:tc>
        <w:tc>
          <w:tcPr>
            <w:tcW w:w="1547" w:type="dxa"/>
            <w:vAlign w:val="center"/>
          </w:tcPr>
          <w:p w14:paraId="1810966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辣椒酱</w:t>
            </w:r>
          </w:p>
        </w:tc>
        <w:tc>
          <w:tcPr>
            <w:tcW w:w="880" w:type="dxa"/>
            <w:vAlign w:val="center"/>
          </w:tcPr>
          <w:p w14:paraId="6122A6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3C4213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BD6BC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900g/瓶，有品牌、产地和质保期等标识</w:t>
            </w:r>
          </w:p>
        </w:tc>
      </w:tr>
      <w:tr w14:paraId="60B2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89C80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32</w:t>
            </w:r>
          </w:p>
        </w:tc>
        <w:tc>
          <w:tcPr>
            <w:tcW w:w="1547" w:type="dxa"/>
            <w:vAlign w:val="center"/>
          </w:tcPr>
          <w:p w14:paraId="311E97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豆瓣酱</w:t>
            </w:r>
          </w:p>
        </w:tc>
        <w:tc>
          <w:tcPr>
            <w:tcW w:w="880" w:type="dxa"/>
            <w:vAlign w:val="center"/>
          </w:tcPr>
          <w:p w14:paraId="55A5DA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桶</w:t>
            </w:r>
          </w:p>
        </w:tc>
        <w:tc>
          <w:tcPr>
            <w:tcW w:w="1149" w:type="dxa"/>
            <w:vMerge w:val="continue"/>
          </w:tcPr>
          <w:p w14:paraId="31CDDA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046E4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4.5kg/桶，有品牌、产地和质保期等标识</w:t>
            </w:r>
          </w:p>
        </w:tc>
      </w:tr>
      <w:tr w14:paraId="2DC1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E3ADF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33</w:t>
            </w:r>
          </w:p>
        </w:tc>
        <w:tc>
          <w:tcPr>
            <w:tcW w:w="1547" w:type="dxa"/>
            <w:vAlign w:val="center"/>
          </w:tcPr>
          <w:p w14:paraId="2D8207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腐乳</w:t>
            </w:r>
          </w:p>
        </w:tc>
        <w:tc>
          <w:tcPr>
            <w:tcW w:w="880" w:type="dxa"/>
            <w:vAlign w:val="center"/>
          </w:tcPr>
          <w:p w14:paraId="3C0EC33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罐</w:t>
            </w:r>
          </w:p>
        </w:tc>
        <w:tc>
          <w:tcPr>
            <w:tcW w:w="1149" w:type="dxa"/>
            <w:vMerge w:val="restart"/>
            <w:vAlign w:val="center"/>
          </w:tcPr>
          <w:p w14:paraId="6DDC08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B41FF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01CA4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52BA4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9CF1F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9E360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6C304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07823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6274A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40A44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60D72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45677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FC9CE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C1861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8AD77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5C7A1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F4243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2CADC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C4CF0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21A71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F0D7F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6F5D04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260g/罐，有品牌、产地和质保期等标识</w:t>
            </w:r>
          </w:p>
        </w:tc>
      </w:tr>
      <w:tr w14:paraId="0931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0C0D4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34</w:t>
            </w:r>
          </w:p>
        </w:tc>
        <w:tc>
          <w:tcPr>
            <w:tcW w:w="1547" w:type="dxa"/>
            <w:vAlign w:val="center"/>
          </w:tcPr>
          <w:p w14:paraId="56A8B4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番茄酱</w:t>
            </w:r>
          </w:p>
        </w:tc>
        <w:tc>
          <w:tcPr>
            <w:tcW w:w="880" w:type="dxa"/>
            <w:vAlign w:val="center"/>
          </w:tcPr>
          <w:p w14:paraId="5D55D4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罐</w:t>
            </w:r>
          </w:p>
        </w:tc>
        <w:tc>
          <w:tcPr>
            <w:tcW w:w="1149" w:type="dxa"/>
            <w:vMerge w:val="continue"/>
          </w:tcPr>
          <w:p w14:paraId="0AA147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02CE0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850g/罐，有品牌、产地和质保期等标识</w:t>
            </w:r>
          </w:p>
        </w:tc>
      </w:tr>
      <w:tr w14:paraId="090F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2B0ED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35</w:t>
            </w:r>
          </w:p>
        </w:tc>
        <w:tc>
          <w:tcPr>
            <w:tcW w:w="1547" w:type="dxa"/>
            <w:vAlign w:val="center"/>
          </w:tcPr>
          <w:p w14:paraId="195712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芝麻酱</w:t>
            </w:r>
          </w:p>
        </w:tc>
        <w:tc>
          <w:tcPr>
            <w:tcW w:w="880" w:type="dxa"/>
            <w:vAlign w:val="center"/>
          </w:tcPr>
          <w:p w14:paraId="365FA0A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桶</w:t>
            </w:r>
          </w:p>
        </w:tc>
        <w:tc>
          <w:tcPr>
            <w:tcW w:w="1149" w:type="dxa"/>
            <w:vMerge w:val="continue"/>
          </w:tcPr>
          <w:p w14:paraId="0A1050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10AFF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850g/桶，有品牌、产地和质保期等标识</w:t>
            </w:r>
          </w:p>
        </w:tc>
      </w:tr>
      <w:tr w14:paraId="173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16D4C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36</w:t>
            </w:r>
          </w:p>
        </w:tc>
        <w:tc>
          <w:tcPr>
            <w:tcW w:w="1547" w:type="dxa"/>
            <w:vAlign w:val="center"/>
          </w:tcPr>
          <w:p w14:paraId="20CA99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花椒</w:t>
            </w:r>
          </w:p>
        </w:tc>
        <w:tc>
          <w:tcPr>
            <w:tcW w:w="880" w:type="dxa"/>
            <w:vAlign w:val="center"/>
          </w:tcPr>
          <w:p w14:paraId="4E2D4F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3CD25E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8E3E11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优质散装花椒，有品牌、产地和质保期等标识</w:t>
            </w:r>
          </w:p>
        </w:tc>
      </w:tr>
      <w:tr w14:paraId="1480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3DB41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37</w:t>
            </w:r>
          </w:p>
        </w:tc>
        <w:tc>
          <w:tcPr>
            <w:tcW w:w="1547" w:type="dxa"/>
            <w:vAlign w:val="center"/>
          </w:tcPr>
          <w:p w14:paraId="6691EB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八角</w:t>
            </w:r>
          </w:p>
        </w:tc>
        <w:tc>
          <w:tcPr>
            <w:tcW w:w="880" w:type="dxa"/>
            <w:vAlign w:val="center"/>
          </w:tcPr>
          <w:p w14:paraId="0984DB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44D322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13814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优质散装八角，有品牌、产地和质保期等标识</w:t>
            </w:r>
          </w:p>
        </w:tc>
      </w:tr>
      <w:tr w14:paraId="3613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30571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38</w:t>
            </w:r>
          </w:p>
        </w:tc>
        <w:tc>
          <w:tcPr>
            <w:tcW w:w="1547" w:type="dxa"/>
            <w:vAlign w:val="center"/>
          </w:tcPr>
          <w:p w14:paraId="251EB3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草果</w:t>
            </w:r>
          </w:p>
        </w:tc>
        <w:tc>
          <w:tcPr>
            <w:tcW w:w="880" w:type="dxa"/>
            <w:vAlign w:val="center"/>
          </w:tcPr>
          <w:p w14:paraId="47F0EA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4036DE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BC7778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优质散装草果，有品牌、产地和质保期等标识</w:t>
            </w:r>
          </w:p>
        </w:tc>
      </w:tr>
      <w:tr w14:paraId="408F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A99DE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39</w:t>
            </w:r>
          </w:p>
        </w:tc>
        <w:tc>
          <w:tcPr>
            <w:tcW w:w="1547" w:type="dxa"/>
            <w:vAlign w:val="center"/>
          </w:tcPr>
          <w:p w14:paraId="48F328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香叶</w:t>
            </w:r>
          </w:p>
        </w:tc>
        <w:tc>
          <w:tcPr>
            <w:tcW w:w="880" w:type="dxa"/>
            <w:vAlign w:val="center"/>
          </w:tcPr>
          <w:p w14:paraId="6F5BAA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6C5A9F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E22E3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优质散装香叶，有品牌、产地和质保期等标识</w:t>
            </w:r>
          </w:p>
        </w:tc>
      </w:tr>
      <w:tr w14:paraId="1914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31A2B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40</w:t>
            </w:r>
          </w:p>
        </w:tc>
        <w:tc>
          <w:tcPr>
            <w:tcW w:w="1547" w:type="dxa"/>
            <w:vAlign w:val="center"/>
          </w:tcPr>
          <w:p w14:paraId="525099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桂皮</w:t>
            </w:r>
          </w:p>
        </w:tc>
        <w:tc>
          <w:tcPr>
            <w:tcW w:w="880" w:type="dxa"/>
            <w:vAlign w:val="center"/>
          </w:tcPr>
          <w:p w14:paraId="32A198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D3D67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FA866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优质散装桂皮，有品牌、产地和质保期等标识</w:t>
            </w:r>
          </w:p>
        </w:tc>
      </w:tr>
      <w:tr w14:paraId="6903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7EE1D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41</w:t>
            </w:r>
          </w:p>
        </w:tc>
        <w:tc>
          <w:tcPr>
            <w:tcW w:w="1547" w:type="dxa"/>
            <w:vAlign w:val="center"/>
          </w:tcPr>
          <w:p w14:paraId="6061F2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姜粉</w:t>
            </w:r>
          </w:p>
        </w:tc>
        <w:tc>
          <w:tcPr>
            <w:tcW w:w="880" w:type="dxa"/>
            <w:vAlign w:val="center"/>
          </w:tcPr>
          <w:p w14:paraId="3C4CB2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03B540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5DD76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优质散装姜粉，有品牌、产地和质保期等标识</w:t>
            </w:r>
          </w:p>
        </w:tc>
      </w:tr>
      <w:tr w14:paraId="2011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7987C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42</w:t>
            </w:r>
          </w:p>
        </w:tc>
        <w:tc>
          <w:tcPr>
            <w:tcW w:w="1547" w:type="dxa"/>
            <w:vAlign w:val="center"/>
          </w:tcPr>
          <w:p w14:paraId="6A235C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苏打粉</w:t>
            </w:r>
          </w:p>
        </w:tc>
        <w:tc>
          <w:tcPr>
            <w:tcW w:w="880" w:type="dxa"/>
            <w:vAlign w:val="center"/>
          </w:tcPr>
          <w:p w14:paraId="5837F1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2F6A05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272F5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80g/袋，有品牌、产地和质保期等标识</w:t>
            </w:r>
          </w:p>
        </w:tc>
      </w:tr>
      <w:tr w14:paraId="4A15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D0012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43</w:t>
            </w:r>
          </w:p>
        </w:tc>
        <w:tc>
          <w:tcPr>
            <w:tcW w:w="1547" w:type="dxa"/>
            <w:vAlign w:val="center"/>
          </w:tcPr>
          <w:p w14:paraId="4C959C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发酵粉</w:t>
            </w:r>
          </w:p>
        </w:tc>
        <w:tc>
          <w:tcPr>
            <w:tcW w:w="880" w:type="dxa"/>
            <w:vAlign w:val="center"/>
          </w:tcPr>
          <w:p w14:paraId="2180D0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6451B6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0F7B8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11g/袋，有品牌、产地和质保期等标识</w:t>
            </w:r>
          </w:p>
        </w:tc>
      </w:tr>
      <w:tr w14:paraId="5506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98CB7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44</w:t>
            </w:r>
          </w:p>
        </w:tc>
        <w:tc>
          <w:tcPr>
            <w:tcW w:w="1547" w:type="dxa"/>
            <w:vAlign w:val="center"/>
          </w:tcPr>
          <w:p w14:paraId="61DA47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花椒粉</w:t>
            </w:r>
          </w:p>
        </w:tc>
        <w:tc>
          <w:tcPr>
            <w:tcW w:w="880" w:type="dxa"/>
            <w:vAlign w:val="center"/>
          </w:tcPr>
          <w:p w14:paraId="039474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7D2BE7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D57E0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优质散装花椒粉，有品牌、产地和质保期等标识</w:t>
            </w:r>
          </w:p>
        </w:tc>
      </w:tr>
      <w:tr w14:paraId="0CB3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A1963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45</w:t>
            </w:r>
          </w:p>
        </w:tc>
        <w:tc>
          <w:tcPr>
            <w:tcW w:w="1547" w:type="dxa"/>
            <w:vAlign w:val="center"/>
          </w:tcPr>
          <w:p w14:paraId="50D8AB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孜然粉</w:t>
            </w:r>
          </w:p>
        </w:tc>
        <w:tc>
          <w:tcPr>
            <w:tcW w:w="880" w:type="dxa"/>
            <w:vAlign w:val="center"/>
          </w:tcPr>
          <w:p w14:paraId="43198F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18C36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6B669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优质散装孜然粉，有品牌、产地和质保期等标识</w:t>
            </w:r>
          </w:p>
        </w:tc>
      </w:tr>
      <w:tr w14:paraId="537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F4FBA8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46</w:t>
            </w:r>
          </w:p>
        </w:tc>
        <w:tc>
          <w:tcPr>
            <w:tcW w:w="1547" w:type="dxa"/>
            <w:vAlign w:val="center"/>
          </w:tcPr>
          <w:p w14:paraId="1CF030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白胡椒粉</w:t>
            </w:r>
          </w:p>
        </w:tc>
        <w:tc>
          <w:tcPr>
            <w:tcW w:w="880" w:type="dxa"/>
            <w:vAlign w:val="center"/>
          </w:tcPr>
          <w:p w14:paraId="52EE71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3A9323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D1941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优质散装白胡椒粉，有品牌、产地和质保期等标识</w:t>
            </w:r>
          </w:p>
        </w:tc>
      </w:tr>
      <w:tr w14:paraId="1A14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7E773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47</w:t>
            </w:r>
          </w:p>
        </w:tc>
        <w:tc>
          <w:tcPr>
            <w:tcW w:w="1547" w:type="dxa"/>
            <w:vAlign w:val="center"/>
          </w:tcPr>
          <w:p w14:paraId="23D70B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黑胡椒粉</w:t>
            </w:r>
          </w:p>
        </w:tc>
        <w:tc>
          <w:tcPr>
            <w:tcW w:w="880" w:type="dxa"/>
            <w:vAlign w:val="center"/>
          </w:tcPr>
          <w:p w14:paraId="4A182B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1C759B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52EEF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优质散装黑胡椒粉，有品牌、产地和质保期等标识</w:t>
            </w:r>
          </w:p>
        </w:tc>
      </w:tr>
      <w:tr w14:paraId="2405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5D0E6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48</w:t>
            </w:r>
          </w:p>
        </w:tc>
        <w:tc>
          <w:tcPr>
            <w:tcW w:w="1547" w:type="dxa"/>
            <w:vAlign w:val="center"/>
          </w:tcPr>
          <w:p w14:paraId="443B88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大盘鸡干辣子</w:t>
            </w:r>
          </w:p>
        </w:tc>
        <w:tc>
          <w:tcPr>
            <w:tcW w:w="880" w:type="dxa"/>
            <w:vAlign w:val="center"/>
          </w:tcPr>
          <w:p w14:paraId="743977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0D6330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AE09E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优质散装大盘鸡干辣子，有品牌、产地和质保期等标识</w:t>
            </w:r>
          </w:p>
        </w:tc>
      </w:tr>
      <w:tr w14:paraId="4871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B2069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49</w:t>
            </w:r>
          </w:p>
        </w:tc>
        <w:tc>
          <w:tcPr>
            <w:tcW w:w="1547" w:type="dxa"/>
            <w:vAlign w:val="center"/>
          </w:tcPr>
          <w:p w14:paraId="33EBBA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干朝天椒</w:t>
            </w:r>
          </w:p>
        </w:tc>
        <w:tc>
          <w:tcPr>
            <w:tcW w:w="880" w:type="dxa"/>
            <w:vAlign w:val="center"/>
          </w:tcPr>
          <w:p w14:paraId="70F428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3E0B54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4FFDF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优质散装干朝天椒，有品牌、产地和质保期等标识</w:t>
            </w:r>
          </w:p>
        </w:tc>
      </w:tr>
      <w:tr w14:paraId="2519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14413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50</w:t>
            </w:r>
          </w:p>
        </w:tc>
        <w:tc>
          <w:tcPr>
            <w:tcW w:w="1547" w:type="dxa"/>
            <w:vAlign w:val="center"/>
          </w:tcPr>
          <w:p w14:paraId="3B334F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辣皮子</w:t>
            </w:r>
          </w:p>
        </w:tc>
        <w:tc>
          <w:tcPr>
            <w:tcW w:w="880" w:type="dxa"/>
            <w:vAlign w:val="center"/>
          </w:tcPr>
          <w:p w14:paraId="3CD524A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3129DA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11A7E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优质散装辣皮子，有品牌、产地和质保期等标识</w:t>
            </w:r>
          </w:p>
        </w:tc>
      </w:tr>
      <w:tr w14:paraId="7432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E2E4A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51</w:t>
            </w:r>
          </w:p>
        </w:tc>
        <w:tc>
          <w:tcPr>
            <w:tcW w:w="1547" w:type="dxa"/>
            <w:vAlign w:val="center"/>
          </w:tcPr>
          <w:p w14:paraId="01E9D04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辣子面</w:t>
            </w:r>
          </w:p>
        </w:tc>
        <w:tc>
          <w:tcPr>
            <w:tcW w:w="880" w:type="dxa"/>
            <w:vAlign w:val="center"/>
          </w:tcPr>
          <w:p w14:paraId="08C921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6CEA79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A5FF45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优质散装辣子面，有品牌、产地和质保期等标识</w:t>
            </w:r>
          </w:p>
        </w:tc>
      </w:tr>
      <w:tr w14:paraId="5233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A4519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52</w:t>
            </w:r>
          </w:p>
        </w:tc>
        <w:tc>
          <w:tcPr>
            <w:tcW w:w="1547" w:type="dxa"/>
            <w:vAlign w:val="center"/>
          </w:tcPr>
          <w:p w14:paraId="7A64CE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老干妈</w:t>
            </w:r>
          </w:p>
        </w:tc>
        <w:tc>
          <w:tcPr>
            <w:tcW w:w="880" w:type="dxa"/>
            <w:vAlign w:val="center"/>
          </w:tcPr>
          <w:p w14:paraId="73C29D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箱</w:t>
            </w:r>
          </w:p>
        </w:tc>
        <w:tc>
          <w:tcPr>
            <w:tcW w:w="1149" w:type="dxa"/>
            <w:vMerge w:val="continue"/>
          </w:tcPr>
          <w:p w14:paraId="72F6C9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9D157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辣子酱280g*24瓶/箱，有品牌、产地和质保期等标识</w:t>
            </w:r>
          </w:p>
        </w:tc>
      </w:tr>
      <w:tr w14:paraId="2CB3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F1178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53</w:t>
            </w:r>
          </w:p>
        </w:tc>
        <w:tc>
          <w:tcPr>
            <w:tcW w:w="1547" w:type="dxa"/>
            <w:vAlign w:val="center"/>
          </w:tcPr>
          <w:p w14:paraId="209749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白砂糖</w:t>
            </w:r>
          </w:p>
        </w:tc>
        <w:tc>
          <w:tcPr>
            <w:tcW w:w="880" w:type="dxa"/>
            <w:vAlign w:val="center"/>
          </w:tcPr>
          <w:p w14:paraId="0EA73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restart"/>
            <w:vAlign w:val="center"/>
          </w:tcPr>
          <w:p w14:paraId="43ABA1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C8A3F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02FB4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9DC4F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2EE5D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79F0D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C349C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264AC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62913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49D01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199CD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77FDE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D17FD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303D3F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21338C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710D26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B6C64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6B6BBD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500B73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1F9211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p w14:paraId="4F7A57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r>
              <w:rPr>
                <w:rFonts w:hint="eastAsia" w:ascii="仿宋_GB2312" w:hAnsi="仿宋_GB2312" w:eastAsia="仿宋_GB2312" w:cs="仿宋_GB2312"/>
                <w:b w:val="0"/>
                <w:bCs w:val="0"/>
                <w:i w:val="0"/>
                <w:iCs w:val="0"/>
                <w:caps w:val="0"/>
                <w:color w:val="000000"/>
                <w:spacing w:val="0"/>
                <w:kern w:val="0"/>
                <w:sz w:val="23"/>
                <w:szCs w:val="23"/>
                <w:lang w:val="en-US" w:eastAsia="zh-CN" w:bidi="ar"/>
              </w:rPr>
              <w:t>按甲方的需求量配送，最终以配送量为准</w:t>
            </w:r>
          </w:p>
        </w:tc>
        <w:tc>
          <w:tcPr>
            <w:tcW w:w="10464" w:type="dxa"/>
            <w:vAlign w:val="center"/>
          </w:tcPr>
          <w:p w14:paraId="67A0CE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优质散装白砂糖，有品牌、产地和质保期等标识</w:t>
            </w:r>
          </w:p>
        </w:tc>
      </w:tr>
      <w:tr w14:paraId="03DB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F561ED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54</w:t>
            </w:r>
          </w:p>
        </w:tc>
        <w:tc>
          <w:tcPr>
            <w:tcW w:w="1547" w:type="dxa"/>
            <w:vAlign w:val="center"/>
          </w:tcPr>
          <w:p w14:paraId="5B55D1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包谷面</w:t>
            </w:r>
          </w:p>
        </w:tc>
        <w:tc>
          <w:tcPr>
            <w:tcW w:w="880" w:type="dxa"/>
            <w:vAlign w:val="center"/>
          </w:tcPr>
          <w:p w14:paraId="038277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19C1B6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D63E3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优质散装包谷面，25Kg/袋，有品牌、产地和质保期等标识</w:t>
            </w:r>
          </w:p>
        </w:tc>
      </w:tr>
      <w:tr w14:paraId="0658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BB702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55</w:t>
            </w:r>
          </w:p>
        </w:tc>
        <w:tc>
          <w:tcPr>
            <w:tcW w:w="1547" w:type="dxa"/>
            <w:vAlign w:val="center"/>
          </w:tcPr>
          <w:p w14:paraId="16387F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鹰嘴豆</w:t>
            </w:r>
          </w:p>
        </w:tc>
        <w:tc>
          <w:tcPr>
            <w:tcW w:w="880" w:type="dxa"/>
            <w:vAlign w:val="center"/>
          </w:tcPr>
          <w:p w14:paraId="36C2B2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770F45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A112E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优质散装，颗粒饱满，大小均匀，无干瘪，无斑点，无损伤</w:t>
            </w:r>
          </w:p>
        </w:tc>
      </w:tr>
      <w:tr w14:paraId="622A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45E72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56</w:t>
            </w:r>
          </w:p>
        </w:tc>
        <w:tc>
          <w:tcPr>
            <w:tcW w:w="1547" w:type="dxa"/>
            <w:vAlign w:val="center"/>
          </w:tcPr>
          <w:p w14:paraId="337EC2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黄豆</w:t>
            </w:r>
          </w:p>
        </w:tc>
        <w:tc>
          <w:tcPr>
            <w:tcW w:w="880" w:type="dxa"/>
            <w:vAlign w:val="center"/>
          </w:tcPr>
          <w:p w14:paraId="4495FC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287444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9A2C8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优质散装，颗粒饱满，大小均匀，无干瘪，无斑点，无损伤</w:t>
            </w:r>
          </w:p>
        </w:tc>
      </w:tr>
      <w:tr w14:paraId="5914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B45B0A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57</w:t>
            </w:r>
          </w:p>
        </w:tc>
        <w:tc>
          <w:tcPr>
            <w:tcW w:w="1547" w:type="dxa"/>
            <w:vAlign w:val="center"/>
          </w:tcPr>
          <w:p w14:paraId="7DD49B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芝麻</w:t>
            </w:r>
          </w:p>
        </w:tc>
        <w:tc>
          <w:tcPr>
            <w:tcW w:w="880" w:type="dxa"/>
            <w:vAlign w:val="center"/>
          </w:tcPr>
          <w:p w14:paraId="6194F5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5FAA6F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F05E5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优质散装芝麻，大小均匀，表面无斑点</w:t>
            </w:r>
          </w:p>
        </w:tc>
      </w:tr>
      <w:tr w14:paraId="0497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7E447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58</w:t>
            </w:r>
          </w:p>
        </w:tc>
        <w:tc>
          <w:tcPr>
            <w:tcW w:w="1547" w:type="dxa"/>
            <w:vAlign w:val="center"/>
          </w:tcPr>
          <w:p w14:paraId="587ACF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碘盐</w:t>
            </w:r>
          </w:p>
        </w:tc>
        <w:tc>
          <w:tcPr>
            <w:tcW w:w="880" w:type="dxa"/>
            <w:vAlign w:val="center"/>
          </w:tcPr>
          <w:p w14:paraId="51F122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605A60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26E28E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500g/包，50包/袋，有品牌、产地和质保期等标识</w:t>
            </w:r>
          </w:p>
        </w:tc>
      </w:tr>
      <w:tr w14:paraId="0309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5C86D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59</w:t>
            </w:r>
          </w:p>
        </w:tc>
        <w:tc>
          <w:tcPr>
            <w:tcW w:w="1547" w:type="dxa"/>
            <w:vAlign w:val="center"/>
          </w:tcPr>
          <w:p w14:paraId="47C1EE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鸡精</w:t>
            </w:r>
          </w:p>
        </w:tc>
        <w:tc>
          <w:tcPr>
            <w:tcW w:w="880" w:type="dxa"/>
            <w:vAlign w:val="center"/>
          </w:tcPr>
          <w:p w14:paraId="26E140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50A897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3B5F9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908g/袋，有品牌、产地和质保期等标识</w:t>
            </w:r>
          </w:p>
        </w:tc>
      </w:tr>
      <w:tr w14:paraId="2150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27754C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60</w:t>
            </w:r>
          </w:p>
        </w:tc>
        <w:tc>
          <w:tcPr>
            <w:tcW w:w="1547" w:type="dxa"/>
            <w:vAlign w:val="center"/>
          </w:tcPr>
          <w:p w14:paraId="568028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味精</w:t>
            </w:r>
          </w:p>
        </w:tc>
        <w:tc>
          <w:tcPr>
            <w:tcW w:w="880" w:type="dxa"/>
            <w:vAlign w:val="center"/>
          </w:tcPr>
          <w:p w14:paraId="3D226C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4A40E1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08022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908g/袋，有品牌、产地和质保期等标识</w:t>
            </w:r>
          </w:p>
        </w:tc>
      </w:tr>
      <w:tr w14:paraId="57D3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4D39A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61</w:t>
            </w:r>
          </w:p>
        </w:tc>
        <w:tc>
          <w:tcPr>
            <w:tcW w:w="1547" w:type="dxa"/>
            <w:vAlign w:val="center"/>
          </w:tcPr>
          <w:p w14:paraId="5635F5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大红袍</w:t>
            </w:r>
          </w:p>
        </w:tc>
        <w:tc>
          <w:tcPr>
            <w:tcW w:w="880" w:type="dxa"/>
            <w:vAlign w:val="center"/>
          </w:tcPr>
          <w:p w14:paraId="1D62CF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包</w:t>
            </w:r>
          </w:p>
        </w:tc>
        <w:tc>
          <w:tcPr>
            <w:tcW w:w="1149" w:type="dxa"/>
            <w:vMerge w:val="continue"/>
          </w:tcPr>
          <w:p w14:paraId="57797C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56904D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优质大红袍150g/包，有品牌、产地和质保期等标识</w:t>
            </w:r>
          </w:p>
        </w:tc>
      </w:tr>
      <w:tr w14:paraId="587D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F6286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62</w:t>
            </w:r>
          </w:p>
        </w:tc>
        <w:tc>
          <w:tcPr>
            <w:tcW w:w="1547" w:type="dxa"/>
            <w:vAlign w:val="center"/>
          </w:tcPr>
          <w:p w14:paraId="3D9492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大盘鸡调料</w:t>
            </w:r>
          </w:p>
        </w:tc>
        <w:tc>
          <w:tcPr>
            <w:tcW w:w="880" w:type="dxa"/>
            <w:vAlign w:val="center"/>
          </w:tcPr>
          <w:p w14:paraId="1CA2C1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4E7329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668B2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100g/袋，有品牌、产地和质保期等标识</w:t>
            </w:r>
          </w:p>
        </w:tc>
      </w:tr>
      <w:tr w14:paraId="7EED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AA95D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63</w:t>
            </w:r>
          </w:p>
        </w:tc>
        <w:tc>
          <w:tcPr>
            <w:tcW w:w="1547" w:type="dxa"/>
            <w:vAlign w:val="center"/>
          </w:tcPr>
          <w:p w14:paraId="7E9E209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right="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胖子麻辣鱼</w:t>
            </w:r>
          </w:p>
        </w:tc>
        <w:tc>
          <w:tcPr>
            <w:tcW w:w="880" w:type="dxa"/>
            <w:vAlign w:val="center"/>
          </w:tcPr>
          <w:p w14:paraId="27900E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73BCF7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F7604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150g/袋，有品牌、产地和质保期等标识</w:t>
            </w:r>
          </w:p>
        </w:tc>
      </w:tr>
      <w:tr w14:paraId="244C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0B0098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64</w:t>
            </w:r>
          </w:p>
        </w:tc>
        <w:tc>
          <w:tcPr>
            <w:tcW w:w="1547" w:type="dxa"/>
            <w:vAlign w:val="center"/>
          </w:tcPr>
          <w:p w14:paraId="45FED2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烧鸡公</w:t>
            </w:r>
          </w:p>
        </w:tc>
        <w:tc>
          <w:tcPr>
            <w:tcW w:w="880" w:type="dxa"/>
            <w:vAlign w:val="center"/>
          </w:tcPr>
          <w:p w14:paraId="71C2F0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13C6C8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6ECCD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150g/袋，有品牌、产地和质保期等标识</w:t>
            </w:r>
          </w:p>
        </w:tc>
      </w:tr>
      <w:tr w14:paraId="3998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3C31C6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65</w:t>
            </w:r>
          </w:p>
        </w:tc>
        <w:tc>
          <w:tcPr>
            <w:tcW w:w="1547" w:type="dxa"/>
            <w:vAlign w:val="center"/>
          </w:tcPr>
          <w:p w14:paraId="613D6B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十三香</w:t>
            </w:r>
          </w:p>
        </w:tc>
        <w:tc>
          <w:tcPr>
            <w:tcW w:w="880" w:type="dxa"/>
            <w:vAlign w:val="center"/>
          </w:tcPr>
          <w:p w14:paraId="371A55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盒</w:t>
            </w:r>
          </w:p>
        </w:tc>
        <w:tc>
          <w:tcPr>
            <w:tcW w:w="1149" w:type="dxa"/>
            <w:vMerge w:val="continue"/>
          </w:tcPr>
          <w:p w14:paraId="47F593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2734DA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45g/盒，有品牌、产地和质保期等标识</w:t>
            </w:r>
          </w:p>
        </w:tc>
      </w:tr>
      <w:tr w14:paraId="76A0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53" w:type="dxa"/>
            <w:vAlign w:val="center"/>
          </w:tcPr>
          <w:p w14:paraId="1E5E15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66</w:t>
            </w:r>
          </w:p>
        </w:tc>
        <w:tc>
          <w:tcPr>
            <w:tcW w:w="1547" w:type="dxa"/>
            <w:vAlign w:val="center"/>
          </w:tcPr>
          <w:p w14:paraId="09F0CA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耗油</w:t>
            </w:r>
          </w:p>
        </w:tc>
        <w:tc>
          <w:tcPr>
            <w:tcW w:w="880" w:type="dxa"/>
            <w:vAlign w:val="center"/>
          </w:tcPr>
          <w:p w14:paraId="788799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瓶</w:t>
            </w:r>
          </w:p>
        </w:tc>
        <w:tc>
          <w:tcPr>
            <w:tcW w:w="1149" w:type="dxa"/>
            <w:vMerge w:val="continue"/>
          </w:tcPr>
          <w:p w14:paraId="7BEED9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04EEF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680g/瓶，有品牌、产地和质保期等标识</w:t>
            </w:r>
          </w:p>
        </w:tc>
      </w:tr>
      <w:tr w14:paraId="2CED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853" w:type="dxa"/>
            <w:vAlign w:val="center"/>
          </w:tcPr>
          <w:p w14:paraId="4118063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67</w:t>
            </w:r>
          </w:p>
        </w:tc>
        <w:tc>
          <w:tcPr>
            <w:tcW w:w="1547" w:type="dxa"/>
            <w:vAlign w:val="center"/>
          </w:tcPr>
          <w:p w14:paraId="23287B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绿豆</w:t>
            </w:r>
          </w:p>
        </w:tc>
        <w:tc>
          <w:tcPr>
            <w:tcW w:w="880" w:type="dxa"/>
            <w:vAlign w:val="center"/>
          </w:tcPr>
          <w:p w14:paraId="737E86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公斤</w:t>
            </w:r>
          </w:p>
        </w:tc>
        <w:tc>
          <w:tcPr>
            <w:tcW w:w="1149" w:type="dxa"/>
            <w:vMerge w:val="continue"/>
          </w:tcPr>
          <w:p w14:paraId="43DB45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42F49BC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优质散装，颗粒饱满，大小均匀，无干瘪，无斑点，无损伤</w:t>
            </w:r>
          </w:p>
        </w:tc>
      </w:tr>
      <w:tr w14:paraId="1224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3" w:type="dxa"/>
            <w:vAlign w:val="center"/>
          </w:tcPr>
          <w:p w14:paraId="1A030F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68</w:t>
            </w:r>
          </w:p>
        </w:tc>
        <w:tc>
          <w:tcPr>
            <w:tcW w:w="1547" w:type="dxa"/>
            <w:vAlign w:val="center"/>
          </w:tcPr>
          <w:p w14:paraId="7B1874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钢丝球</w:t>
            </w:r>
          </w:p>
        </w:tc>
        <w:tc>
          <w:tcPr>
            <w:tcW w:w="880" w:type="dxa"/>
            <w:vAlign w:val="center"/>
          </w:tcPr>
          <w:p w14:paraId="3F4C4B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包</w:t>
            </w:r>
          </w:p>
        </w:tc>
        <w:tc>
          <w:tcPr>
            <w:tcW w:w="1149" w:type="dxa"/>
            <w:vMerge w:val="continue"/>
          </w:tcPr>
          <w:p w14:paraId="275205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04B44F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家用厨房易清洁球20个/包，有品牌、产地和质保期等标识</w:t>
            </w:r>
          </w:p>
        </w:tc>
      </w:tr>
      <w:tr w14:paraId="199B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3" w:type="dxa"/>
            <w:vAlign w:val="center"/>
          </w:tcPr>
          <w:p w14:paraId="29E8BC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69</w:t>
            </w:r>
          </w:p>
        </w:tc>
        <w:tc>
          <w:tcPr>
            <w:tcW w:w="1547" w:type="dxa"/>
            <w:vAlign w:val="center"/>
          </w:tcPr>
          <w:p w14:paraId="09598B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洗洁精</w:t>
            </w:r>
          </w:p>
        </w:tc>
        <w:tc>
          <w:tcPr>
            <w:tcW w:w="880" w:type="dxa"/>
            <w:vAlign w:val="center"/>
          </w:tcPr>
          <w:p w14:paraId="7CDBBD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桶</w:t>
            </w:r>
          </w:p>
        </w:tc>
        <w:tc>
          <w:tcPr>
            <w:tcW w:w="1149" w:type="dxa"/>
            <w:vMerge w:val="continue"/>
          </w:tcPr>
          <w:p w14:paraId="3B4042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D80CE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5.1kg/桶，有品牌、产地和质保期等标识</w:t>
            </w:r>
          </w:p>
        </w:tc>
      </w:tr>
      <w:tr w14:paraId="78AC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F1C16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70</w:t>
            </w:r>
          </w:p>
        </w:tc>
        <w:tc>
          <w:tcPr>
            <w:tcW w:w="1547" w:type="dxa"/>
            <w:vAlign w:val="center"/>
          </w:tcPr>
          <w:p w14:paraId="7F7C334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洗衣粉</w:t>
            </w:r>
          </w:p>
        </w:tc>
        <w:tc>
          <w:tcPr>
            <w:tcW w:w="880" w:type="dxa"/>
            <w:vAlign w:val="center"/>
          </w:tcPr>
          <w:p w14:paraId="4CCFE7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0DFF4A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3274E4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2.4kg/袋，有品牌、产地和质保期等标识</w:t>
            </w:r>
          </w:p>
        </w:tc>
      </w:tr>
      <w:tr w14:paraId="1331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7A3846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71</w:t>
            </w:r>
          </w:p>
        </w:tc>
        <w:tc>
          <w:tcPr>
            <w:tcW w:w="1547" w:type="dxa"/>
            <w:vAlign w:val="center"/>
          </w:tcPr>
          <w:p w14:paraId="252E3F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卫生筷</w:t>
            </w:r>
          </w:p>
        </w:tc>
        <w:tc>
          <w:tcPr>
            <w:tcW w:w="880" w:type="dxa"/>
            <w:vAlign w:val="center"/>
          </w:tcPr>
          <w:p w14:paraId="00F961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包</w:t>
            </w:r>
          </w:p>
        </w:tc>
        <w:tc>
          <w:tcPr>
            <w:tcW w:w="1149" w:type="dxa"/>
            <w:vMerge w:val="continue"/>
          </w:tcPr>
          <w:p w14:paraId="6A9E89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6D5EAE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135双/包，有品牌、产地和质保期等标识</w:t>
            </w:r>
          </w:p>
        </w:tc>
      </w:tr>
      <w:tr w14:paraId="2E4A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5F93BD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72</w:t>
            </w:r>
          </w:p>
        </w:tc>
        <w:tc>
          <w:tcPr>
            <w:tcW w:w="1547" w:type="dxa"/>
            <w:vAlign w:val="center"/>
          </w:tcPr>
          <w:p w14:paraId="71169D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打包袋</w:t>
            </w:r>
          </w:p>
        </w:tc>
        <w:tc>
          <w:tcPr>
            <w:tcW w:w="880" w:type="dxa"/>
            <w:vAlign w:val="center"/>
          </w:tcPr>
          <w:p w14:paraId="40A9DE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袋</w:t>
            </w:r>
          </w:p>
        </w:tc>
        <w:tc>
          <w:tcPr>
            <w:tcW w:w="1149" w:type="dxa"/>
            <w:vMerge w:val="continue"/>
          </w:tcPr>
          <w:p w14:paraId="64B0B8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569105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食品袋100个/袋，有品牌、产地和质保期等标识</w:t>
            </w:r>
          </w:p>
        </w:tc>
      </w:tr>
      <w:tr w14:paraId="507C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1BBEA0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73</w:t>
            </w:r>
          </w:p>
        </w:tc>
        <w:tc>
          <w:tcPr>
            <w:tcW w:w="1547" w:type="dxa"/>
            <w:vAlign w:val="center"/>
          </w:tcPr>
          <w:p w14:paraId="0874D3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餐巾纸</w:t>
            </w:r>
          </w:p>
        </w:tc>
        <w:tc>
          <w:tcPr>
            <w:tcW w:w="880" w:type="dxa"/>
            <w:vAlign w:val="center"/>
          </w:tcPr>
          <w:p w14:paraId="664BF8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提</w:t>
            </w:r>
          </w:p>
        </w:tc>
        <w:tc>
          <w:tcPr>
            <w:tcW w:w="1149" w:type="dxa"/>
            <w:vMerge w:val="continue"/>
          </w:tcPr>
          <w:p w14:paraId="05EA8B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1D4473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250抽/包，1提6包，有品牌、产地和质保期等标识</w:t>
            </w:r>
          </w:p>
        </w:tc>
      </w:tr>
      <w:tr w14:paraId="1E66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62158D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74</w:t>
            </w:r>
          </w:p>
        </w:tc>
        <w:tc>
          <w:tcPr>
            <w:tcW w:w="1547" w:type="dxa"/>
            <w:vAlign w:val="center"/>
          </w:tcPr>
          <w:p w14:paraId="36729E0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饭盒</w:t>
            </w:r>
          </w:p>
        </w:tc>
        <w:tc>
          <w:tcPr>
            <w:tcW w:w="880" w:type="dxa"/>
            <w:vAlign w:val="center"/>
          </w:tcPr>
          <w:p w14:paraId="452291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箱</w:t>
            </w:r>
          </w:p>
        </w:tc>
        <w:tc>
          <w:tcPr>
            <w:tcW w:w="1149" w:type="dxa"/>
            <w:vMerge w:val="continue"/>
          </w:tcPr>
          <w:p w14:paraId="469CFF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7BF52C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1箱600套，有品牌、产地和质保期等标识</w:t>
            </w:r>
          </w:p>
        </w:tc>
      </w:tr>
      <w:tr w14:paraId="75EE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3" w:type="dxa"/>
            <w:vAlign w:val="center"/>
          </w:tcPr>
          <w:p w14:paraId="457C4C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eastAsia" w:ascii="仿宋_GB2312" w:eastAsia="仿宋_GB2312" w:cs="仿宋_GB2312" w:hAnsiTheme="minorHAnsi"/>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75</w:t>
            </w:r>
          </w:p>
        </w:tc>
        <w:tc>
          <w:tcPr>
            <w:tcW w:w="1547" w:type="dxa"/>
            <w:vAlign w:val="center"/>
          </w:tcPr>
          <w:p w14:paraId="437CD4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酸奶</w:t>
            </w:r>
          </w:p>
        </w:tc>
        <w:tc>
          <w:tcPr>
            <w:tcW w:w="880" w:type="dxa"/>
            <w:vAlign w:val="center"/>
          </w:tcPr>
          <w:p w14:paraId="672B4B7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center"/>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板</w:t>
            </w:r>
          </w:p>
        </w:tc>
        <w:tc>
          <w:tcPr>
            <w:tcW w:w="1149" w:type="dxa"/>
            <w:vMerge w:val="continue"/>
          </w:tcPr>
          <w:p w14:paraId="74A637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仿宋_GB2312" w:hAnsi="仿宋_GB2312" w:eastAsia="仿宋_GB2312" w:cs="仿宋_GB2312"/>
                <w:b w:val="0"/>
                <w:bCs w:val="0"/>
                <w:i w:val="0"/>
                <w:iCs w:val="0"/>
                <w:caps w:val="0"/>
                <w:color w:val="000000"/>
                <w:spacing w:val="0"/>
                <w:kern w:val="0"/>
                <w:sz w:val="23"/>
                <w:szCs w:val="23"/>
                <w:lang w:val="en-US" w:eastAsia="zh-CN" w:bidi="ar"/>
              </w:rPr>
            </w:pPr>
          </w:p>
        </w:tc>
        <w:tc>
          <w:tcPr>
            <w:tcW w:w="10464" w:type="dxa"/>
            <w:vAlign w:val="center"/>
          </w:tcPr>
          <w:p w14:paraId="164012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exact"/>
              <w:ind w:left="0" w:leftChars="0" w:right="0" w:rightChars="0"/>
              <w:jc w:val="both"/>
              <w:textAlignment w:val="auto"/>
              <w:rPr>
                <w:rFonts w:hint="default" w:ascii="仿宋_GB2312" w:hAnsi="Calibri" w:eastAsia="仿宋_GB2312" w:cs="仿宋_GB2312"/>
                <w:b w:val="0"/>
                <w:bCs w:val="0"/>
                <w:i w:val="0"/>
                <w:iCs w:val="0"/>
                <w:caps w:val="0"/>
                <w:color w:val="000000"/>
                <w:spacing w:val="0"/>
                <w:kern w:val="0"/>
                <w:sz w:val="23"/>
                <w:szCs w:val="23"/>
                <w:lang w:val="en-US" w:eastAsia="zh-CN" w:bidi="ar-SA"/>
              </w:rPr>
            </w:pPr>
            <w:r>
              <w:rPr>
                <w:rFonts w:hint="default" w:ascii="仿宋_GB2312" w:hAnsi="Calibri" w:eastAsia="仿宋_GB2312" w:cs="仿宋_GB2312"/>
                <w:b w:val="0"/>
                <w:bCs w:val="0"/>
                <w:i w:val="0"/>
                <w:iCs w:val="0"/>
                <w:caps w:val="0"/>
                <w:color w:val="000000"/>
                <w:spacing w:val="0"/>
                <w:kern w:val="0"/>
                <w:sz w:val="23"/>
                <w:szCs w:val="23"/>
                <w:lang w:val="en-US" w:eastAsia="zh-CN" w:bidi="ar"/>
              </w:rPr>
              <w:t>12瓶/板，有品牌、产地和质保期等标识</w:t>
            </w:r>
          </w:p>
        </w:tc>
      </w:tr>
    </w:tbl>
    <w:p w14:paraId="67D4AB86"/>
    <w:p w14:paraId="01EA92D1">
      <w:pPr>
        <w:keepNext w:val="0"/>
        <w:keepLines w:val="0"/>
        <w:pageBreakBefore w:val="0"/>
        <w:widowControl w:val="0"/>
        <w:kinsoku/>
        <w:wordWrap/>
        <w:overflowPunct/>
        <w:topLinePunct w:val="0"/>
        <w:autoSpaceDE/>
        <w:autoSpaceDN/>
        <w:bidi w:val="0"/>
        <w:adjustRightInd/>
        <w:snapToGrid/>
        <w:spacing w:line="360" w:lineRule="auto"/>
        <w:ind w:firstLine="261" w:firstLineChars="100"/>
        <w:jc w:val="left"/>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sectPr>
          <w:pgSz w:w="16838" w:h="11905" w:orient="landscape"/>
          <w:pgMar w:top="1083" w:right="1440" w:bottom="1083" w:left="1440" w:header="851" w:footer="850" w:gutter="0"/>
          <w:pgNumType w:fmt="decimal"/>
          <w:cols w:space="0" w:num="1"/>
          <w:rtlGutter w:val="0"/>
          <w:docGrid w:linePitch="462" w:charSpace="0"/>
        </w:sectPr>
      </w:pPr>
    </w:p>
    <w:p w14:paraId="5BD6A0A8">
      <w:pPr>
        <w:keepNext w:val="0"/>
        <w:keepLines w:val="0"/>
        <w:pageBreakBefore w:val="0"/>
        <w:widowControl w:val="0"/>
        <w:kinsoku/>
        <w:wordWrap/>
        <w:overflowPunct/>
        <w:topLinePunct w:val="0"/>
        <w:autoSpaceDE/>
        <w:autoSpaceDN/>
        <w:bidi w:val="0"/>
        <w:adjustRightInd/>
        <w:snapToGrid/>
        <w:spacing w:line="360" w:lineRule="auto"/>
        <w:ind w:firstLine="261" w:firstLineChars="100"/>
        <w:jc w:val="left"/>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二、采购说明：</w:t>
      </w:r>
    </w:p>
    <w:p w14:paraId="16E9FFD9">
      <w:pPr>
        <w:keepNext w:val="0"/>
        <w:keepLines w:val="0"/>
        <w:pageBreakBefore w:val="0"/>
        <w:widowControl w:val="0"/>
        <w:kinsoku/>
        <w:wordWrap/>
        <w:overflowPunct/>
        <w:topLinePunct w:val="0"/>
        <w:autoSpaceDE/>
        <w:autoSpaceDN/>
        <w:bidi w:val="0"/>
        <w:adjustRightInd/>
        <w:snapToGrid/>
        <w:spacing w:line="360" w:lineRule="auto"/>
        <w:ind w:firstLine="261" w:firstLineChars="100"/>
        <w:jc w:val="left"/>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(一)</w:t>
      </w:r>
      <w:bookmarkStart w:id="238" w:name="_Toc22634"/>
      <w:r>
        <w:rPr>
          <w:rFonts w:hint="eastAsia" w:ascii="仿宋_GB2312" w:hAnsi="仿宋_GB2312" w:eastAsia="仿宋_GB2312" w:cs="仿宋_GB2312"/>
          <w:b/>
          <w:bCs/>
          <w:i w:val="0"/>
          <w:iCs w:val="0"/>
          <w:caps w:val="0"/>
          <w:color w:val="000000"/>
          <w:spacing w:val="0"/>
          <w:kern w:val="0"/>
          <w:sz w:val="26"/>
          <w:szCs w:val="26"/>
          <w:lang w:val="en-US" w:eastAsia="zh-CN" w:bidi="ar"/>
        </w:rPr>
        <w:t>项目预算情况：</w:t>
      </w:r>
    </w:p>
    <w:p w14:paraId="0329BC66">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总预算合计700万元。</w:t>
      </w:r>
      <w:bookmarkEnd w:id="238"/>
    </w:p>
    <w:p w14:paraId="0C7FD42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261" w:firstLineChars="100"/>
        <w:jc w:val="left"/>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价格的确定：</w:t>
      </w:r>
    </w:p>
    <w:p w14:paraId="29D6D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鲜肉类、蔬菜类</w:t>
      </w:r>
      <w:r>
        <w:rPr>
          <w:rFonts w:hint="eastAsia" w:ascii="仿宋_GB2312" w:hAnsi="仿宋_GB2312" w:eastAsia="仿宋_GB2312" w:cs="仿宋_GB2312"/>
          <w:b w:val="0"/>
          <w:bCs w:val="0"/>
          <w:i w:val="0"/>
          <w:iCs w:val="0"/>
          <w:caps w:val="0"/>
          <w:color w:val="auto"/>
          <w:spacing w:val="0"/>
          <w:kern w:val="0"/>
          <w:sz w:val="26"/>
          <w:szCs w:val="26"/>
          <w:lang w:val="en-US" w:eastAsia="zh-CN" w:bidi="ar"/>
        </w:rPr>
        <w:t>、粮油类及调料副食品等价格的确定实行每个月询价一次，</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每个月25日由</w:t>
      </w:r>
      <w:r>
        <w:rPr>
          <w:rFonts w:hint="eastAsia" w:ascii="仿宋_GB2312" w:hAnsi="仿宋_GB2312" w:eastAsia="仿宋_GB2312" w:cs="仿宋_GB2312"/>
          <w:b w:val="0"/>
          <w:bCs w:val="0"/>
          <w:i w:val="0"/>
          <w:iCs w:val="0"/>
          <w:caps w:val="0"/>
          <w:color w:val="000000"/>
          <w:spacing w:val="0"/>
          <w:kern w:val="0"/>
          <w:sz w:val="26"/>
          <w:szCs w:val="26"/>
          <w:highlight w:val="green"/>
          <w:lang w:val="en-US" w:eastAsia="zh-CN" w:bidi="ar"/>
        </w:rPr>
        <w:t>甲方</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牵头，组织供货商工作人员在县农贸市场进行综合询价，根据询价情况及招投标确定的下浮比例，确定供货价格，下浮比例报价均为单公斤报价。</w:t>
      </w:r>
    </w:p>
    <w:p w14:paraId="4975AB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61" w:firstLineChars="100"/>
        <w:jc w:val="left"/>
        <w:textAlignment w:val="auto"/>
        <w:rPr>
          <w:rFonts w:hint="eastAsia" w:ascii="仿宋_GB2312" w:hAnsi="仿宋_GB2312" w:eastAsia="仿宋_GB2312" w:cs="仿宋_GB2312"/>
          <w:b/>
          <w:bCs/>
          <w:i w:val="0"/>
          <w:iCs w:val="0"/>
          <w:caps w:val="0"/>
          <w:color w:val="auto"/>
          <w:spacing w:val="0"/>
          <w:kern w:val="0"/>
          <w:sz w:val="26"/>
          <w:szCs w:val="26"/>
          <w:highlight w:val="none"/>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w:t>
      </w:r>
      <w:r>
        <w:rPr>
          <w:rFonts w:hint="eastAsia" w:ascii="仿宋_GB2312" w:hAnsi="仿宋_GB2312" w:eastAsia="仿宋_GB2312" w:cs="仿宋_GB2312"/>
          <w:b/>
          <w:bCs/>
          <w:i w:val="0"/>
          <w:iCs w:val="0"/>
          <w:caps w:val="0"/>
          <w:color w:val="auto"/>
          <w:spacing w:val="0"/>
          <w:kern w:val="0"/>
          <w:sz w:val="26"/>
          <w:szCs w:val="26"/>
          <w:highlight w:val="none"/>
          <w:lang w:val="en-US" w:eastAsia="zh-CN" w:bidi="ar"/>
        </w:rPr>
        <w:t>三）配送时间</w:t>
      </w:r>
    </w:p>
    <w:p w14:paraId="6C4D5CEA">
      <w:pPr>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t>以</w:t>
      </w:r>
      <w:r>
        <w:rPr>
          <w:rFonts w:hint="eastAsia" w:ascii="仿宋_GB2312" w:hAnsi="仿宋_GB2312" w:eastAsia="仿宋_GB2312" w:cs="仿宋_GB2312"/>
          <w:b w:val="0"/>
          <w:bCs w:val="0"/>
          <w:i w:val="0"/>
          <w:iCs w:val="0"/>
          <w:caps w:val="0"/>
          <w:color w:val="auto"/>
          <w:spacing w:val="0"/>
          <w:kern w:val="0"/>
          <w:sz w:val="26"/>
          <w:szCs w:val="26"/>
          <w:highlight w:val="green"/>
          <w:lang w:val="en-US" w:eastAsia="zh-CN" w:bidi="ar"/>
        </w:rPr>
        <w:t>甲方</w:t>
      </w:r>
      <w:r>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t>为单位，须提前1-2日给供应商报需求计划。每次供货时间为提出需求后24小时内供货，按照要求送达指定位置，供应商每周至少配送2-3次；部分紧急需求需在提出需求后半小时内送达，须保证所配送的鲜肉类为当天屠宰的新鲜鸡鱼牛羊肉,调味副食品必须保证所配送的调味副食品在保质期内，无过期。</w:t>
      </w:r>
    </w:p>
    <w:p w14:paraId="5EED752C">
      <w:pPr>
        <w:keepNext w:val="0"/>
        <w:keepLines w:val="0"/>
        <w:pageBreakBefore w:val="0"/>
        <w:widowControl w:val="0"/>
        <w:kinsoku/>
        <w:wordWrap/>
        <w:overflowPunct/>
        <w:topLinePunct w:val="0"/>
        <w:autoSpaceDE/>
        <w:autoSpaceDN/>
        <w:bidi w:val="0"/>
        <w:adjustRightInd/>
        <w:snapToGrid/>
        <w:spacing w:line="360" w:lineRule="auto"/>
        <w:ind w:firstLine="261" w:firstLineChars="100"/>
        <w:jc w:val="left"/>
        <w:textAlignment w:val="auto"/>
        <w:rPr>
          <w:rFonts w:hint="eastAsia" w:ascii="仿宋_GB2312" w:hAnsi="仿宋_GB2312" w:eastAsia="仿宋_GB2312" w:cs="仿宋_GB2312"/>
          <w:b/>
          <w:bCs/>
          <w:i w:val="0"/>
          <w:iCs w:val="0"/>
          <w:caps w:val="0"/>
          <w:color w:val="auto"/>
          <w:spacing w:val="0"/>
          <w:kern w:val="0"/>
          <w:sz w:val="26"/>
          <w:szCs w:val="26"/>
          <w:highlight w:val="none"/>
          <w:lang w:val="en-US" w:eastAsia="zh-CN" w:bidi="ar"/>
        </w:rPr>
      </w:pPr>
      <w:r>
        <w:rPr>
          <w:rFonts w:hint="eastAsia" w:ascii="仿宋_GB2312" w:hAnsi="仿宋_GB2312" w:eastAsia="仿宋_GB2312" w:cs="仿宋_GB2312"/>
          <w:b/>
          <w:bCs/>
          <w:i w:val="0"/>
          <w:iCs w:val="0"/>
          <w:caps w:val="0"/>
          <w:color w:val="auto"/>
          <w:spacing w:val="0"/>
          <w:kern w:val="0"/>
          <w:sz w:val="26"/>
          <w:szCs w:val="26"/>
          <w:highlight w:val="none"/>
          <w:lang w:val="en-US" w:eastAsia="zh-CN" w:bidi="ar"/>
        </w:rPr>
        <w:t>（四）配送地点</w:t>
      </w:r>
    </w:p>
    <w:p w14:paraId="3959ADFE">
      <w:pPr>
        <w:keepNext w:val="0"/>
        <w:keepLines w:val="0"/>
        <w:pageBreakBefore w:val="0"/>
        <w:widowControl w:val="0"/>
        <w:kinsoku/>
        <w:wordWrap/>
        <w:overflowPunct/>
        <w:topLinePunct w:val="0"/>
        <w:autoSpaceDE/>
        <w:autoSpaceDN/>
        <w:bidi w:val="0"/>
        <w:adjustRightInd/>
        <w:snapToGrid/>
        <w:spacing w:line="360" w:lineRule="auto"/>
        <w:ind w:firstLine="260" w:firstLineChars="10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t>各中标供应商须将食材配送至甲方指定位置</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p>
    <w:p w14:paraId="14C59F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61" w:firstLineChars="100"/>
        <w:jc w:val="left"/>
        <w:textAlignment w:val="auto"/>
        <w:rPr>
          <w:rFonts w:hint="default"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（五）配送</w:t>
      </w:r>
      <w:r>
        <w:rPr>
          <w:rFonts w:hint="default" w:ascii="仿宋_GB2312" w:hAnsi="仿宋_GB2312" w:eastAsia="仿宋_GB2312" w:cs="仿宋_GB2312"/>
          <w:b/>
          <w:bCs/>
          <w:i w:val="0"/>
          <w:iCs w:val="0"/>
          <w:caps w:val="0"/>
          <w:color w:val="000000"/>
          <w:spacing w:val="0"/>
          <w:kern w:val="0"/>
          <w:sz w:val="26"/>
          <w:szCs w:val="26"/>
          <w:lang w:val="en-US" w:eastAsia="zh-CN" w:bidi="ar"/>
        </w:rPr>
        <w:t>方式</w:t>
      </w:r>
    </w:p>
    <w:p w14:paraId="0F0E3E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60" w:firstLineChars="10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default" w:ascii="仿宋_GB2312" w:hAnsi="仿宋_GB2312" w:eastAsia="仿宋_GB2312" w:cs="仿宋_GB2312"/>
          <w:b w:val="0"/>
          <w:bCs w:val="0"/>
          <w:i w:val="0"/>
          <w:iCs w:val="0"/>
          <w:caps w:val="0"/>
          <w:color w:val="000000"/>
          <w:spacing w:val="0"/>
          <w:kern w:val="0"/>
          <w:sz w:val="26"/>
          <w:szCs w:val="26"/>
          <w:lang w:val="en-US" w:eastAsia="zh-CN" w:bidi="ar"/>
        </w:rPr>
        <w:t>按采购方需求</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提供</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具体的供货数量、供货时间以采购方发出的电话、口头、书面供货通知书等为准</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bookmarkStart w:id="239" w:name="_Toc26613"/>
    </w:p>
    <w:bookmarkEnd w:id="239"/>
    <w:p w14:paraId="0A560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jc w:val="left"/>
        <w:textAlignment w:val="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（六）报价包含费用</w:t>
      </w:r>
    </w:p>
    <w:p w14:paraId="69F90E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100" w:firstLine="260" w:firstLineChars="100"/>
        <w:jc w:val="left"/>
        <w:textAlignment w:val="auto"/>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default" w:ascii="仿宋_GB2312" w:hAnsi="仿宋_GB2312" w:eastAsia="仿宋_GB2312" w:cs="仿宋_GB2312"/>
          <w:b w:val="0"/>
          <w:bCs w:val="0"/>
          <w:i w:val="0"/>
          <w:iCs w:val="0"/>
          <w:caps w:val="0"/>
          <w:color w:val="000000"/>
          <w:spacing w:val="0"/>
          <w:kern w:val="0"/>
          <w:sz w:val="26"/>
          <w:szCs w:val="26"/>
          <w:lang w:val="en-US" w:eastAsia="zh-CN" w:bidi="ar"/>
        </w:rPr>
        <w:t>本项目投标</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报价是该项目的一切费用，</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包含投标费、设备费、运输费、装卸费、保险费、技术培训费、</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仓储保管费、</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检测费、国家规定的各项税费</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等。</w:t>
      </w:r>
    </w:p>
    <w:p w14:paraId="0DA29C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61" w:firstLineChars="100"/>
        <w:jc w:val="left"/>
        <w:textAlignment w:val="auto"/>
        <w:rPr>
          <w:rFonts w:hint="default"/>
          <w:sz w:val="26"/>
          <w:szCs w:val="26"/>
          <w:lang w:val="en-US" w:eastAsia="zh-CN"/>
        </w:rPr>
      </w:pPr>
      <w:r>
        <w:rPr>
          <w:rFonts w:hint="eastAsia" w:ascii="仿宋_GB2312" w:hAnsi="仿宋_GB2312" w:eastAsia="仿宋_GB2312" w:cs="仿宋_GB2312"/>
          <w:b/>
          <w:bCs/>
          <w:i w:val="0"/>
          <w:iCs w:val="0"/>
          <w:caps w:val="0"/>
          <w:color w:val="000000"/>
          <w:spacing w:val="0"/>
          <w:kern w:val="0"/>
          <w:sz w:val="26"/>
          <w:szCs w:val="26"/>
          <w:lang w:val="en-US" w:eastAsia="zh-CN" w:bidi="ar"/>
        </w:rPr>
        <w:t>（七）</w:t>
      </w:r>
      <w:r>
        <w:rPr>
          <w:rFonts w:hint="default" w:ascii="仿宋_GB2312" w:hAnsi="仿宋_GB2312" w:eastAsia="仿宋_GB2312" w:cs="仿宋_GB2312"/>
          <w:b/>
          <w:bCs/>
          <w:i w:val="0"/>
          <w:iCs w:val="0"/>
          <w:caps w:val="0"/>
          <w:color w:val="000000"/>
          <w:spacing w:val="0"/>
          <w:kern w:val="0"/>
          <w:sz w:val="26"/>
          <w:szCs w:val="26"/>
          <w:lang w:val="en-US" w:eastAsia="zh-CN" w:bidi="ar"/>
        </w:rPr>
        <w:t>食品包装与标</w:t>
      </w:r>
      <w:r>
        <w:rPr>
          <w:rFonts w:hint="eastAsia" w:ascii="仿宋_GB2312" w:hAnsi="仿宋_GB2312" w:eastAsia="仿宋_GB2312" w:cs="仿宋_GB2312"/>
          <w:b/>
          <w:bCs/>
          <w:i w:val="0"/>
          <w:iCs w:val="0"/>
          <w:caps w:val="0"/>
          <w:color w:val="000000"/>
          <w:spacing w:val="0"/>
          <w:kern w:val="0"/>
          <w:sz w:val="26"/>
          <w:szCs w:val="26"/>
          <w:lang w:val="en-US" w:eastAsia="zh-CN" w:bidi="ar"/>
        </w:rPr>
        <w:t>识</w:t>
      </w:r>
      <w:r>
        <w:rPr>
          <w:rFonts w:hint="default" w:ascii="仿宋_GB2312" w:hAnsi="仿宋_GB2312" w:eastAsia="仿宋_GB2312" w:cs="仿宋_GB2312"/>
          <w:b/>
          <w:bCs/>
          <w:i w:val="0"/>
          <w:iCs w:val="0"/>
          <w:caps w:val="0"/>
          <w:color w:val="000000"/>
          <w:spacing w:val="0"/>
          <w:kern w:val="0"/>
          <w:sz w:val="26"/>
          <w:szCs w:val="26"/>
          <w:lang w:val="en-US" w:eastAsia="zh-CN" w:bidi="ar"/>
        </w:rPr>
        <w:t>要求</w:t>
      </w:r>
    </w:p>
    <w:p w14:paraId="111B06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1、食品</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包装</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容器（框、箱、袋）要求清洁、干燥、牢固、透气、无污染</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 xml:space="preserve">无异味、无霉变现象。 </w:t>
      </w:r>
    </w:p>
    <w:p w14:paraId="20092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2、食品标识</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：采购的食品不得存放在有害、有毒的容器内。食品包装上必须使用原产地标识，应注明制造商名称和厂址、食品名称和重（容）量、生产日期和保质期限以及规格和“QS”认证或政府主管部门认定的认证</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标识</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等。</w:t>
      </w:r>
    </w:p>
    <w:p w14:paraId="01990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2" w:firstLineChars="200"/>
        <w:jc w:val="left"/>
        <w:textAlignment w:val="auto"/>
        <w:rPr>
          <w:rFonts w:hint="default"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（八）</w:t>
      </w:r>
      <w:r>
        <w:rPr>
          <w:rFonts w:hint="default" w:ascii="仿宋_GB2312" w:hAnsi="仿宋_GB2312" w:eastAsia="仿宋_GB2312" w:cs="仿宋_GB2312"/>
          <w:b/>
          <w:bCs/>
          <w:i w:val="0"/>
          <w:iCs w:val="0"/>
          <w:caps w:val="0"/>
          <w:color w:val="000000"/>
          <w:spacing w:val="0"/>
          <w:kern w:val="0"/>
          <w:sz w:val="26"/>
          <w:szCs w:val="26"/>
          <w:lang w:val="en-US" w:eastAsia="zh-CN" w:bidi="ar"/>
        </w:rPr>
        <w:t>食材质量要求</w:t>
      </w:r>
    </w:p>
    <w:p w14:paraId="6EF11840">
      <w:pPr>
        <w:pStyle w:val="2"/>
        <w:ind w:left="0" w:leftChars="0" w:firstLine="520" w:firstLineChars="200"/>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default" w:ascii="仿宋_GB2312" w:hAnsi="仿宋_GB2312" w:eastAsia="仿宋_GB2312" w:cs="仿宋_GB2312"/>
          <w:b w:val="0"/>
          <w:bCs w:val="0"/>
          <w:i w:val="0"/>
          <w:iCs w:val="0"/>
          <w:caps w:val="0"/>
          <w:color w:val="000000"/>
          <w:spacing w:val="0"/>
          <w:kern w:val="0"/>
          <w:sz w:val="26"/>
          <w:szCs w:val="26"/>
          <w:lang w:val="en-US" w:eastAsia="zh-CN" w:bidi="ar"/>
        </w:rPr>
        <w:t>1、米、面</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、油、</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肉类等食材符合国家强制性标准；米选优质产品（含香米系列）；油在保质期</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12</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个月以内（含香油系列）</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杂粮系列保质期在</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6</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个月以上，达到《国家食品国标总目录》相关</w:t>
      </w:r>
      <w:r>
        <w:rPr>
          <w:rFonts w:hint="default" w:ascii="仿宋_GB2312" w:hAnsi="仿宋_GB2312" w:eastAsia="仿宋_GB2312" w:cs="仿宋_GB2312"/>
          <w:b w:val="0"/>
          <w:bCs w:val="0"/>
          <w:i w:val="0"/>
          <w:iCs w:val="0"/>
          <w:caps w:val="0"/>
          <w:color w:val="auto"/>
          <w:spacing w:val="0"/>
          <w:kern w:val="0"/>
          <w:sz w:val="26"/>
          <w:szCs w:val="26"/>
          <w:highlight w:val="none"/>
          <w:lang w:val="en-US" w:eastAsia="zh-CN" w:bidi="ar"/>
        </w:rPr>
        <w:t>内容规定，未达到需方要求，可在</w:t>
      </w:r>
      <w:r>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t>24</w:t>
      </w:r>
      <w:r>
        <w:rPr>
          <w:rFonts w:hint="default" w:ascii="仿宋_GB2312" w:hAnsi="仿宋_GB2312" w:eastAsia="仿宋_GB2312" w:cs="仿宋_GB2312"/>
          <w:b w:val="0"/>
          <w:bCs w:val="0"/>
          <w:i w:val="0"/>
          <w:iCs w:val="0"/>
          <w:caps w:val="0"/>
          <w:color w:val="auto"/>
          <w:spacing w:val="0"/>
          <w:kern w:val="0"/>
          <w:sz w:val="26"/>
          <w:szCs w:val="26"/>
          <w:highlight w:val="none"/>
          <w:lang w:val="en-US" w:eastAsia="zh-CN" w:bidi="ar"/>
        </w:rPr>
        <w:t>小时内无条件退货</w:t>
      </w:r>
      <w:r>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t>；牛、羊、猪、鸡、鱼肉等当天宰杀新鲜、剔骨肉、不含油，不得冷冻的肉类，牛、羊、猪、鸡需具备《动物卫生防疫合格证》等相关资质齐全；冻货符合GB-31646-2018食品安全国家标准，具有检疫合格证或原产地证明，外包</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装不得有污染及损坏，出厂日期保证新鲜。</w:t>
      </w:r>
    </w:p>
    <w:p w14:paraId="134C63CC">
      <w:pPr>
        <w:pStyle w:val="2"/>
        <w:ind w:left="0" w:leftChars="0" w:firstLine="520" w:firstLineChars="200"/>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default" w:ascii="仿宋_GB2312" w:hAnsi="仿宋_GB2312" w:eastAsia="仿宋_GB2312" w:cs="仿宋_GB2312"/>
          <w:b w:val="0"/>
          <w:bCs w:val="0"/>
          <w:i w:val="0"/>
          <w:iCs w:val="0"/>
          <w:caps w:val="0"/>
          <w:color w:val="000000"/>
          <w:spacing w:val="0"/>
          <w:kern w:val="0"/>
          <w:sz w:val="26"/>
          <w:szCs w:val="26"/>
          <w:lang w:val="en-US" w:eastAsia="zh-CN" w:bidi="ar"/>
        </w:rPr>
        <w:t>2、蔬菜、水果</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类</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要求保证新鲜程度，能长期保存的</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蔬菜和水果要求成熟适度，新鲜脆嫩，外形色泽良好，无异味，无影响食用的病虫害、机械损伤，无残留农药。</w:t>
      </w:r>
    </w:p>
    <w:p w14:paraId="0BEB9518">
      <w:pPr>
        <w:pStyle w:val="2"/>
        <w:ind w:left="0" w:leftChars="0" w:firstLine="520" w:firstLineChars="200"/>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default" w:ascii="仿宋_GB2312" w:hAnsi="仿宋_GB2312" w:eastAsia="仿宋_GB2312" w:cs="仿宋_GB2312"/>
          <w:b w:val="0"/>
          <w:bCs w:val="0"/>
          <w:i w:val="0"/>
          <w:iCs w:val="0"/>
          <w:caps w:val="0"/>
          <w:color w:val="000000"/>
          <w:spacing w:val="0"/>
          <w:kern w:val="0"/>
          <w:sz w:val="26"/>
          <w:szCs w:val="26"/>
          <w:lang w:val="en-US" w:eastAsia="zh-CN" w:bidi="ar"/>
        </w:rPr>
        <w:t>3、调味品、乳品类原材料卫生，须有包装，且包装密封性好，属于国家标注品牌产品，市场占有率排名靠前，在产品有效期内，符合国家相关标准；液态调味包装规范无滴漏现象，在保质期内</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不得有过期产品。</w:t>
      </w:r>
    </w:p>
    <w:p w14:paraId="1103E386">
      <w:pPr>
        <w:pStyle w:val="2"/>
        <w:ind w:left="0" w:leftChars="0" w:firstLine="520" w:firstLineChars="200"/>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default" w:ascii="仿宋_GB2312" w:hAnsi="仿宋_GB2312" w:eastAsia="仿宋_GB2312" w:cs="仿宋_GB2312"/>
          <w:b w:val="0"/>
          <w:bCs w:val="0"/>
          <w:i w:val="0"/>
          <w:iCs w:val="0"/>
          <w:caps w:val="0"/>
          <w:color w:val="000000"/>
          <w:spacing w:val="0"/>
          <w:kern w:val="0"/>
          <w:sz w:val="26"/>
          <w:szCs w:val="26"/>
          <w:lang w:val="en-US" w:eastAsia="zh-CN" w:bidi="ar"/>
        </w:rPr>
        <w:t>供货商保证不得提供以下食品</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（1）无名称</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无产地</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无厂名</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无生产日期</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无保质期</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（2）超过保质期或者不符合食品标签规定的定型包装食品</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（3）腐败变质、油脂酸败、霉变、生虫、混有异物或者其他感染性状异常，含有毒</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有害物质污染</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可能对人体健康有害食品</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不合格调味品</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工业食盐</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非碘盐或非食品原料和滥用食品添加剂</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等。</w:t>
      </w:r>
    </w:p>
    <w:p w14:paraId="4B4C03CF">
      <w:pPr>
        <w:pStyle w:val="4"/>
        <w:numPr>
          <w:ilvl w:val="0"/>
          <w:numId w:val="11"/>
        </w:numPr>
        <w:spacing w:line="360" w:lineRule="auto"/>
        <w:rPr>
          <w:rFonts w:hint="eastAsia" w:ascii="仿宋_GB2312" w:hAnsi="仿宋_GB2312" w:eastAsia="仿宋_GB2312" w:cs="仿宋_GB2312"/>
          <w:b/>
          <w:bCs/>
          <w:i w:val="0"/>
          <w:iCs w:val="0"/>
          <w:caps w:val="0"/>
          <w:color w:val="000000"/>
          <w:spacing w:val="0"/>
          <w:kern w:val="0"/>
          <w:sz w:val="26"/>
          <w:szCs w:val="26"/>
          <w:highlight w:val="none"/>
          <w:lang w:val="en-US" w:eastAsia="zh-CN" w:bidi="ar"/>
        </w:rPr>
      </w:pPr>
      <w:r>
        <w:rPr>
          <w:rFonts w:hint="eastAsia" w:ascii="仿宋_GB2312" w:hAnsi="仿宋_GB2312" w:eastAsia="仿宋_GB2312" w:cs="仿宋_GB2312"/>
          <w:b/>
          <w:bCs/>
          <w:i w:val="0"/>
          <w:iCs w:val="0"/>
          <w:caps w:val="0"/>
          <w:color w:val="000000"/>
          <w:spacing w:val="0"/>
          <w:kern w:val="0"/>
          <w:sz w:val="26"/>
          <w:szCs w:val="26"/>
          <w:highlight w:val="none"/>
          <w:lang w:val="en-US" w:eastAsia="zh-CN" w:bidi="ar"/>
        </w:rPr>
        <w:t>服务要求</w:t>
      </w:r>
    </w:p>
    <w:p w14:paraId="72747C8E">
      <w:pPr>
        <w:pStyle w:val="4"/>
        <w:numPr>
          <w:ilvl w:val="0"/>
          <w:numId w:val="0"/>
        </w:numPr>
        <w:spacing w:line="360" w:lineRule="auto"/>
        <w:ind w:firstLine="560" w:firstLineChars="200"/>
        <w:rPr>
          <w:rFonts w:hint="eastAsia"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针对本项目配备配送人员（所有参与人员均需要有健康体检证明），配备充足的配送车辆，配送车辆须定期检修、消毒、必须符合食品安全要求，确保按时送到指定地点。</w:t>
      </w:r>
    </w:p>
    <w:p w14:paraId="46E5EA06">
      <w:pPr>
        <w:pStyle w:val="4"/>
        <w:numPr>
          <w:ilvl w:val="0"/>
          <w:numId w:val="0"/>
        </w:numPr>
        <w:spacing w:line="360" w:lineRule="auto"/>
        <w:ind w:firstLine="560" w:firstLineChars="200"/>
        <w:rPr>
          <w:rFonts w:hint="default" w:ascii="仿宋_GB2312" w:hAnsi="仿宋_GB2312" w:eastAsia="仿宋_GB2312" w:cs="仿宋_GB2312"/>
          <w:i w:val="0"/>
          <w:iCs w:val="0"/>
          <w:caps w:val="0"/>
          <w:color w:val="000000"/>
          <w:spacing w:val="0"/>
          <w:kern w:val="0"/>
          <w:sz w:val="28"/>
          <w:szCs w:val="28"/>
          <w:highlight w:val="none"/>
          <w:lang w:val="en-US" w:eastAsia="zh-CN" w:bidi="ar"/>
        </w:rPr>
      </w:pPr>
      <w:r>
        <w:rPr>
          <w:rFonts w:hint="eastAsia" w:ascii="仿宋_GB2312" w:hAnsi="仿宋_GB2312" w:eastAsia="仿宋_GB2312" w:cs="仿宋_GB2312"/>
          <w:i w:val="0"/>
          <w:iCs w:val="0"/>
          <w:caps w:val="0"/>
          <w:color w:val="000000"/>
          <w:spacing w:val="0"/>
          <w:kern w:val="0"/>
          <w:sz w:val="28"/>
          <w:szCs w:val="28"/>
          <w:highlight w:val="none"/>
          <w:lang w:val="en-US" w:eastAsia="zh-CN" w:bidi="ar"/>
        </w:rPr>
        <w:t>配备24小时专人负责与采购人对接，有操作性强的应急配送预案，确保及时处理突发情况。在接到紧急订单后，确保在30分钟内完成配送，如遇特殊紧急突发情况，需在30分钟内完成退换补货，确保按时完成配送要求。</w:t>
      </w:r>
    </w:p>
    <w:p w14:paraId="678EBD81">
      <w:pPr>
        <w:pStyle w:val="4"/>
        <w:spacing w:line="360" w:lineRule="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（十）验收要求</w:t>
      </w:r>
    </w:p>
    <w:p w14:paraId="1B6258E6">
      <w:pPr>
        <w:pStyle w:val="4"/>
        <w:spacing w:line="360" w:lineRule="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货物质量保证按国家最新的食品验收标淮严格执行，货物必须符合国家食品安全标准的技术等级要求，在检测、验收的过程中，严格按有关规定验收。</w:t>
      </w:r>
    </w:p>
    <w:p w14:paraId="740E3C36">
      <w:pPr>
        <w:pStyle w:val="4"/>
        <w:spacing w:line="360" w:lineRule="auto"/>
        <w:rPr>
          <w:rFonts w:hint="eastAsia"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（十一）结算方式</w:t>
      </w:r>
    </w:p>
    <w:p w14:paraId="2D2A4EB1">
      <w:pPr>
        <w:pStyle w:val="5"/>
        <w:numPr>
          <w:ilvl w:val="0"/>
          <w:numId w:val="0"/>
        </w:numPr>
        <w:spacing w:line="360" w:lineRule="auto"/>
        <w:ind w:leftChars="100" w:firstLine="260" w:firstLineChars="1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结算方式为隔月结算，根据实际供货情况以及凭相关的支付材料隔月结算支根据实际供货情况以及凭相关的支付材料隔月结算支付货款付，制定肉食、蔬菜及调味品配送清单(两联单，</w:t>
      </w:r>
      <w:r>
        <w:rPr>
          <w:rFonts w:hint="eastAsia" w:ascii="仿宋_GB2312" w:hAnsi="仿宋_GB2312" w:eastAsia="仿宋_GB2312" w:cs="仿宋_GB2312"/>
          <w:b w:val="0"/>
          <w:bCs w:val="0"/>
          <w:i w:val="0"/>
          <w:iCs w:val="0"/>
          <w:caps w:val="0"/>
          <w:color w:val="000000"/>
          <w:spacing w:val="0"/>
          <w:kern w:val="0"/>
          <w:sz w:val="26"/>
          <w:szCs w:val="26"/>
          <w:highlight w:val="green"/>
          <w:lang w:val="en-US" w:eastAsia="zh-CN" w:bidi="ar"/>
        </w:rPr>
        <w:t>采购人、</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供应商各一份)，由</w:t>
      </w:r>
      <w:r>
        <w:rPr>
          <w:rFonts w:hint="eastAsia" w:ascii="仿宋_GB2312" w:hAnsi="仿宋_GB2312" w:eastAsia="仿宋_GB2312" w:cs="仿宋_GB2312"/>
          <w:b w:val="0"/>
          <w:bCs w:val="0"/>
          <w:i w:val="0"/>
          <w:iCs w:val="0"/>
          <w:caps w:val="0"/>
          <w:color w:val="000000"/>
          <w:spacing w:val="0"/>
          <w:kern w:val="0"/>
          <w:sz w:val="26"/>
          <w:szCs w:val="26"/>
          <w:highlight w:val="green"/>
          <w:lang w:val="en-US" w:eastAsia="zh-CN" w:bidi="ar"/>
        </w:rPr>
        <w:t>采购人</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食堂分管领导、食堂管理人员、供应商签字。</w:t>
      </w:r>
    </w:p>
    <w:p w14:paraId="05C47393">
      <w:pPr>
        <w:pStyle w:val="5"/>
        <w:numPr>
          <w:ilvl w:val="0"/>
          <w:numId w:val="0"/>
        </w:numPr>
        <w:spacing w:line="360" w:lineRule="auto"/>
        <w:ind w:leftChars="100" w:firstLine="261" w:firstLineChars="100"/>
        <w:rPr>
          <w:rFonts w:hint="default" w:ascii="仿宋_GB2312" w:hAnsi="仿宋_GB2312" w:eastAsia="仿宋_GB2312" w:cs="仿宋_GB2312"/>
          <w:b/>
          <w:bCs/>
          <w:i w:val="0"/>
          <w:iCs w:val="0"/>
          <w:caps w:val="0"/>
          <w:color w:val="000000"/>
          <w:spacing w:val="0"/>
          <w:kern w:val="0"/>
          <w:sz w:val="26"/>
          <w:szCs w:val="26"/>
          <w:lang w:val="en-US" w:eastAsia="zh-CN" w:bidi="ar"/>
        </w:rPr>
      </w:pPr>
      <w:r>
        <w:rPr>
          <w:rFonts w:hint="eastAsia" w:ascii="仿宋_GB2312" w:hAnsi="仿宋_GB2312" w:eastAsia="仿宋_GB2312" w:cs="仿宋_GB2312"/>
          <w:b/>
          <w:bCs/>
          <w:i w:val="0"/>
          <w:iCs w:val="0"/>
          <w:caps w:val="0"/>
          <w:color w:val="000000"/>
          <w:spacing w:val="0"/>
          <w:kern w:val="0"/>
          <w:sz w:val="26"/>
          <w:szCs w:val="26"/>
          <w:lang w:val="en-US" w:eastAsia="zh-CN" w:bidi="ar"/>
        </w:rPr>
        <w:t>（十二）其他要求</w:t>
      </w:r>
    </w:p>
    <w:p w14:paraId="0062B19D">
      <w:pPr>
        <w:pStyle w:val="4"/>
        <w:numPr>
          <w:ilvl w:val="0"/>
          <w:numId w:val="0"/>
        </w:numPr>
        <w:spacing w:line="360" w:lineRule="auto"/>
        <w:ind w:firstLine="780" w:firstLineChars="3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1、一季度内连续三次接到</w:t>
      </w:r>
      <w:r>
        <w:rPr>
          <w:rFonts w:hint="eastAsia" w:ascii="仿宋_GB2312" w:hAnsi="仿宋_GB2312" w:eastAsia="仿宋_GB2312" w:cs="仿宋_GB2312"/>
          <w:b w:val="0"/>
          <w:bCs w:val="0"/>
          <w:i w:val="0"/>
          <w:iCs w:val="0"/>
          <w:caps w:val="0"/>
          <w:color w:val="000000"/>
          <w:spacing w:val="0"/>
          <w:kern w:val="0"/>
          <w:sz w:val="26"/>
          <w:szCs w:val="26"/>
          <w:highlight w:val="green"/>
          <w:lang w:val="en-US" w:eastAsia="zh-CN" w:bidi="ar"/>
        </w:rPr>
        <w:t>采购人</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因伙食材料质量差、数量不足、不能及时供货及特殊时期不按合同履行私自变动价格的供应商，由</w:t>
      </w:r>
      <w:r>
        <w:rPr>
          <w:rFonts w:hint="eastAsia" w:ascii="仿宋_GB2312" w:hAnsi="仿宋_GB2312" w:eastAsia="仿宋_GB2312" w:cs="仿宋_GB2312"/>
          <w:b w:val="0"/>
          <w:bCs w:val="0"/>
          <w:i w:val="0"/>
          <w:iCs w:val="0"/>
          <w:caps w:val="0"/>
          <w:color w:val="000000"/>
          <w:spacing w:val="0"/>
          <w:kern w:val="0"/>
          <w:sz w:val="26"/>
          <w:szCs w:val="26"/>
          <w:highlight w:val="green"/>
          <w:lang w:val="en-US" w:eastAsia="zh-CN" w:bidi="ar"/>
        </w:rPr>
        <w:t>采购人</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组织相关监管进行调查，如情况属实，直接取消该供应商的供货资格；</w:t>
      </w:r>
    </w:p>
    <w:p w14:paraId="07C73783">
      <w:pPr>
        <w:pStyle w:val="4"/>
        <w:numPr>
          <w:ilvl w:val="0"/>
          <w:numId w:val="0"/>
        </w:numPr>
        <w:spacing w:line="360" w:lineRule="auto"/>
        <w:ind w:firstLine="780" w:firstLineChars="300"/>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2、</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食材质量违约处罚：如乙方提供的食材质量有问题</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、缺斤少两（正常损耗除外）等情况</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，第一次警告，第二次处以当日配送食品</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2</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倍的罚款，第三次发现相同问题，终止供货合同。</w:t>
      </w:r>
    </w:p>
    <w:p w14:paraId="20C6B193">
      <w:pPr>
        <w:pStyle w:val="4"/>
        <w:numPr>
          <w:ilvl w:val="0"/>
          <w:numId w:val="0"/>
        </w:numPr>
        <w:spacing w:line="360" w:lineRule="auto"/>
        <w:ind w:firstLine="780" w:firstLineChars="300"/>
        <w:rPr>
          <w:rFonts w:hint="default"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3、</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如果因食用乙方提供的食材，造成食用者农药中毒等事故，由乙方负责后续所有治疗费、误工费、赔偿金等费用。</w:t>
      </w:r>
    </w:p>
    <w:p w14:paraId="7CBEF9EC">
      <w:pPr>
        <w:pStyle w:val="4"/>
        <w:numPr>
          <w:ilvl w:val="0"/>
          <w:numId w:val="0"/>
        </w:numPr>
        <w:spacing w:line="360" w:lineRule="auto"/>
        <w:ind w:firstLine="780" w:firstLineChars="3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4、</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中标企业要保证食品配送的连续性</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r>
        <w:rPr>
          <w:rFonts w:hint="default" w:ascii="仿宋_GB2312" w:hAnsi="仿宋_GB2312" w:eastAsia="仿宋_GB2312" w:cs="仿宋_GB2312"/>
          <w:b w:val="0"/>
          <w:bCs w:val="0"/>
          <w:i w:val="0"/>
          <w:iCs w:val="0"/>
          <w:caps w:val="0"/>
          <w:color w:val="000000"/>
          <w:spacing w:val="0"/>
          <w:kern w:val="0"/>
          <w:sz w:val="26"/>
          <w:szCs w:val="26"/>
          <w:lang w:val="en-US" w:eastAsia="zh-CN" w:bidi="ar"/>
        </w:rPr>
        <w:t>不得中断《除特殊情况外）中标企业若违约，将采取相关处罚措施</w:t>
      </w:r>
      <w:r>
        <w:rPr>
          <w:rFonts w:hint="eastAsia" w:ascii="仿宋_GB2312" w:hAnsi="仿宋_GB2312" w:eastAsia="仿宋_GB2312" w:cs="仿宋_GB2312"/>
          <w:b w:val="0"/>
          <w:bCs w:val="0"/>
          <w:i w:val="0"/>
          <w:iCs w:val="0"/>
          <w:caps w:val="0"/>
          <w:color w:val="000000"/>
          <w:spacing w:val="0"/>
          <w:kern w:val="0"/>
          <w:sz w:val="26"/>
          <w:szCs w:val="26"/>
          <w:lang w:val="en-US" w:eastAsia="zh-CN" w:bidi="ar"/>
        </w:rPr>
        <w:t>。</w:t>
      </w:r>
    </w:p>
    <w:p w14:paraId="200B8E4F">
      <w:pPr>
        <w:pStyle w:val="4"/>
        <w:numPr>
          <w:ilvl w:val="0"/>
          <w:numId w:val="0"/>
        </w:numPr>
        <w:spacing w:line="360" w:lineRule="auto"/>
        <w:ind w:firstLine="780" w:firstLineChars="300"/>
        <w:rPr>
          <w:rFonts w:hint="eastAsia" w:ascii="仿宋_GB2312" w:hAnsi="仿宋_GB2312" w:eastAsia="仿宋_GB2312" w:cs="仿宋_GB2312"/>
          <w:b w:val="0"/>
          <w:bCs w:val="0"/>
          <w:i w:val="0"/>
          <w:iCs w:val="0"/>
          <w:caps w:val="0"/>
          <w:color w:val="000000"/>
          <w:spacing w:val="0"/>
          <w:kern w:val="0"/>
          <w:sz w:val="26"/>
          <w:szCs w:val="26"/>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5、乙方应遵守国家和地方有关的环境和食品卫生标淮，供应的食品、副食必须确保进货渠道正规，乙方必须按有关部门的要求及时向甲方提供各类进货原始票据，乙方应按甲方要求的规格与标准供应，无过期、临期商品、假冒伪劣食品，无以次充好现象；若出现质量问题，无条件包退、包换，一切责任由乙方承担。</w:t>
      </w:r>
    </w:p>
    <w:p w14:paraId="681B79EC">
      <w:pPr>
        <w:pStyle w:val="5"/>
        <w:spacing w:line="360" w:lineRule="auto"/>
        <w:ind w:left="0" w:leftChars="0" w:firstLine="0" w:firstLineChars="0"/>
        <w:rPr>
          <w:rFonts w:hint="eastAsia" w:ascii="仿宋_GB2312" w:hAnsi="仿宋_GB2312" w:eastAsia="仿宋_GB2312" w:cs="仿宋_GB2312"/>
          <w:b w:val="0"/>
          <w:bCs w:val="0"/>
          <w:i w:val="0"/>
          <w:iCs w:val="0"/>
          <w:caps w:val="0"/>
          <w:color w:val="000000"/>
          <w:spacing w:val="0"/>
          <w:kern w:val="0"/>
          <w:sz w:val="26"/>
          <w:szCs w:val="26"/>
          <w:highlight w:val="yellow"/>
          <w:lang w:val="en-US" w:eastAsia="zh-CN" w:bidi="ar"/>
        </w:rPr>
      </w:pPr>
      <w:r>
        <w:rPr>
          <w:rFonts w:hint="eastAsia" w:ascii="仿宋_GB2312" w:hAnsi="仿宋_GB2312" w:eastAsia="仿宋_GB2312" w:cs="仿宋_GB2312"/>
          <w:b w:val="0"/>
          <w:bCs w:val="0"/>
          <w:i w:val="0"/>
          <w:iCs w:val="0"/>
          <w:caps w:val="0"/>
          <w:color w:val="000000"/>
          <w:spacing w:val="0"/>
          <w:kern w:val="0"/>
          <w:sz w:val="26"/>
          <w:szCs w:val="26"/>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t xml:space="preserve">  </w:t>
      </w:r>
      <w:bookmarkEnd w:id="237"/>
      <w:r>
        <w:rPr>
          <w:rFonts w:hint="eastAsia" w:ascii="仿宋_GB2312" w:hAnsi="仿宋_GB2312" w:eastAsia="仿宋_GB2312" w:cs="仿宋_GB2312"/>
          <w:b w:val="0"/>
          <w:bCs w:val="0"/>
          <w:i w:val="0"/>
          <w:iCs w:val="0"/>
          <w:caps w:val="0"/>
          <w:color w:val="auto"/>
          <w:spacing w:val="0"/>
          <w:kern w:val="0"/>
          <w:sz w:val="26"/>
          <w:szCs w:val="26"/>
          <w:highlight w:val="none"/>
          <w:lang w:val="en-US" w:eastAsia="zh-CN" w:bidi="ar"/>
        </w:rPr>
        <w:t xml:space="preserve"> 6、履约期限：供应商报下浮率为一年供货下浮，要求所报下浮率三年内有效。中标人须与招标人签订一年的年度合同。同时中标人须与采购人签订三年协议。根据中标人的供货情况，采购人将根据自身的相关制度对供应商供货开展年度评价，根据年度评价的结果，采购人将在一年的年度合同到期前通知中标人是否由其继续提供下一年度的供货，如由中标人继续供货，将按照三年协议的约定的下浮率以及需要的货物内容继续签订下一年度合同。</w:t>
      </w:r>
    </w:p>
    <w:p w14:paraId="127478BF">
      <w:pPr>
        <w:pStyle w:val="2"/>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p w14:paraId="5CD86B85">
      <w:pPr>
        <w:pStyle w:val="4"/>
        <w:rPr>
          <w:rFonts w:hint="eastAsia" w:ascii="仿宋_GB2312" w:hAnsi="仿宋_GB2312" w:eastAsia="仿宋_GB2312" w:cs="仿宋_GB2312"/>
          <w:b w:val="0"/>
          <w:bCs w:val="0"/>
          <w:i w:val="0"/>
          <w:iCs w:val="0"/>
          <w:caps w:val="0"/>
          <w:color w:val="000000"/>
          <w:spacing w:val="0"/>
          <w:kern w:val="0"/>
          <w:sz w:val="26"/>
          <w:szCs w:val="26"/>
          <w:lang w:val="en-US" w:eastAsia="zh-CN" w:bidi="ar"/>
        </w:rPr>
      </w:pPr>
    </w:p>
    <w:p w14:paraId="381AB8FF">
      <w:pPr>
        <w:pStyle w:val="34"/>
        <w:pageBreakBefore w:val="0"/>
        <w:kinsoku/>
        <w:wordWrap/>
        <w:overflowPunct/>
        <w:topLinePunct w:val="0"/>
        <w:autoSpaceDE/>
        <w:autoSpaceDN/>
        <w:bidi w:val="0"/>
        <w:adjustRightInd/>
        <w:spacing w:line="396" w:lineRule="auto"/>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第五章  政府采购合同格式</w:t>
      </w:r>
    </w:p>
    <w:p w14:paraId="77F6F8FC">
      <w:pPr>
        <w:numPr>
          <w:ilvl w:val="0"/>
          <w:numId w:val="0"/>
        </w:numPr>
        <w:spacing w:line="240" w:lineRule="auto"/>
        <w:ind w:leftChars="0"/>
        <w:jc w:val="center"/>
        <w:outlineLvl w:val="0"/>
        <w:rPr>
          <w:rFonts w:hint="eastAsia" w:ascii="仿宋" w:hAnsi="仿宋" w:eastAsia="仿宋" w:cs="仿宋"/>
          <w:sz w:val="24"/>
          <w:szCs w:val="24"/>
        </w:rPr>
      </w:pPr>
    </w:p>
    <w:p w14:paraId="50FBB494">
      <w:pPr>
        <w:numPr>
          <w:ilvl w:val="0"/>
          <w:numId w:val="0"/>
        </w:numPr>
        <w:spacing w:line="240" w:lineRule="auto"/>
        <w:ind w:leftChars="0"/>
        <w:jc w:val="center"/>
        <w:outlineLvl w:val="0"/>
        <w:rPr>
          <w:rFonts w:hint="eastAsia" w:ascii="仿宋" w:hAnsi="仿宋" w:eastAsia="仿宋" w:cs="仿宋"/>
          <w:sz w:val="24"/>
          <w:szCs w:val="24"/>
          <w:lang w:val="en-US" w:eastAsia="zh-CN"/>
        </w:rPr>
      </w:pPr>
      <w:r>
        <w:rPr>
          <w:rFonts w:hint="eastAsia" w:ascii="仿宋" w:hAnsi="仿宋" w:eastAsia="仿宋" w:cs="仿宋"/>
          <w:sz w:val="24"/>
          <w:szCs w:val="24"/>
        </w:rPr>
        <w:t>请参照货物类政府采购合同参考范本订立采购合同。</w:t>
      </w:r>
      <w:r>
        <w:rPr>
          <w:rFonts w:hint="eastAsia" w:ascii="仿宋" w:hAnsi="仿宋" w:eastAsia="仿宋" w:cs="仿宋"/>
          <w:sz w:val="24"/>
          <w:szCs w:val="24"/>
          <w:lang w:val="en-US" w:eastAsia="zh-CN"/>
        </w:rPr>
        <w:t xml:space="preserve">                      </w:t>
      </w:r>
    </w:p>
    <w:p w14:paraId="2AF3E714">
      <w:pPr>
        <w:numPr>
          <w:ilvl w:val="0"/>
          <w:numId w:val="0"/>
        </w:numPr>
        <w:spacing w:line="240" w:lineRule="auto"/>
        <w:ind w:leftChars="0"/>
        <w:jc w:val="center"/>
        <w:outlineLvl w:val="0"/>
        <w:rPr>
          <w:rFonts w:hint="eastAsia" w:ascii="仿宋" w:hAnsi="仿宋" w:eastAsia="仿宋" w:cs="仿宋"/>
          <w:sz w:val="24"/>
          <w:szCs w:val="24"/>
        </w:rPr>
      </w:pPr>
    </w:p>
    <w:p w14:paraId="56013AE4">
      <w:pPr>
        <w:numPr>
          <w:ilvl w:val="0"/>
          <w:numId w:val="0"/>
        </w:numPr>
        <w:spacing w:line="240" w:lineRule="auto"/>
        <w:ind w:leftChars="0"/>
        <w:jc w:val="center"/>
        <w:outlineLvl w:val="0"/>
        <w:rPr>
          <w:rFonts w:hint="eastAsia" w:ascii="仿宋" w:hAnsi="仿宋" w:eastAsia="仿宋" w:cs="仿宋"/>
          <w:sz w:val="28"/>
          <w:szCs w:val="28"/>
        </w:rPr>
      </w:pPr>
    </w:p>
    <w:p w14:paraId="5A5A8C19">
      <w:pPr>
        <w:numPr>
          <w:ilvl w:val="0"/>
          <w:numId w:val="0"/>
        </w:numPr>
        <w:spacing w:line="240" w:lineRule="auto"/>
        <w:ind w:leftChars="0"/>
        <w:jc w:val="center"/>
        <w:outlineLvl w:val="0"/>
        <w:rPr>
          <w:rFonts w:hint="eastAsia" w:ascii="仿宋" w:hAnsi="仿宋" w:eastAsia="仿宋" w:cs="仿宋"/>
          <w:sz w:val="28"/>
          <w:szCs w:val="28"/>
        </w:rPr>
      </w:pPr>
    </w:p>
    <w:p w14:paraId="29E6630A">
      <w:pPr>
        <w:numPr>
          <w:ilvl w:val="0"/>
          <w:numId w:val="0"/>
        </w:numPr>
        <w:spacing w:line="240" w:lineRule="auto"/>
        <w:ind w:leftChars="0"/>
        <w:jc w:val="center"/>
        <w:outlineLvl w:val="0"/>
        <w:rPr>
          <w:rFonts w:hint="eastAsia" w:ascii="仿宋" w:hAnsi="仿宋" w:eastAsia="仿宋" w:cs="仿宋"/>
          <w:sz w:val="28"/>
          <w:szCs w:val="28"/>
        </w:rPr>
      </w:pPr>
      <w:r>
        <w:rPr>
          <w:rFonts w:hint="eastAsia" w:ascii="仿宋" w:hAnsi="仿宋" w:eastAsia="仿宋" w:cs="仿宋"/>
          <w:sz w:val="28"/>
          <w:szCs w:val="28"/>
        </w:rPr>
        <w:t>合同编号：</w:t>
      </w:r>
    </w:p>
    <w:p w14:paraId="4AA7B44E">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240" w:name="_Toc29279"/>
      <w:bookmarkStart w:id="241" w:name="_Toc18009"/>
    </w:p>
    <w:p w14:paraId="3783DF92">
      <w:pPr>
        <w:pStyle w:val="19"/>
        <w:rPr>
          <w:rFonts w:hint="eastAsia"/>
        </w:rPr>
      </w:pPr>
    </w:p>
    <w:p w14:paraId="6553FFD4">
      <w:pPr>
        <w:pStyle w:val="15"/>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sz w:val="24"/>
          <w:szCs w:val="24"/>
        </w:rPr>
      </w:pPr>
      <w:r>
        <w:rPr>
          <w:rFonts w:hint="eastAsia" w:ascii="仿宋" w:hAnsi="仿宋" w:eastAsia="仿宋" w:cs="仿宋"/>
          <w:b/>
          <w:bCs/>
          <w:sz w:val="28"/>
          <w:szCs w:val="28"/>
        </w:rPr>
        <w:t>政府采购合同参考范本</w:t>
      </w:r>
      <w:bookmarkEnd w:id="240"/>
      <w:bookmarkEnd w:id="241"/>
    </w:p>
    <w:p w14:paraId="2E756A7F">
      <w:pPr>
        <w:pStyle w:val="15"/>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bCs/>
          <w:sz w:val="24"/>
          <w:szCs w:val="24"/>
        </w:rPr>
      </w:pPr>
      <w:bookmarkStart w:id="242" w:name="_Toc19688"/>
      <w:bookmarkStart w:id="243" w:name="_Toc21663"/>
    </w:p>
    <w:p w14:paraId="63DD2830">
      <w:pPr>
        <w:pStyle w:val="19"/>
        <w:rPr>
          <w:rFonts w:hint="eastAsia"/>
        </w:rPr>
      </w:pPr>
    </w:p>
    <w:p w14:paraId="67C84938">
      <w:pPr>
        <w:pStyle w:val="15"/>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第一部分 合同书</w:t>
      </w:r>
      <w:bookmarkEnd w:id="242"/>
      <w:bookmarkEnd w:id="243"/>
    </w:p>
    <w:p w14:paraId="48151DC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p>
    <w:p w14:paraId="2195199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项目名称：                                   </w:t>
      </w:r>
    </w:p>
    <w:p w14:paraId="7663057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p>
    <w:p w14:paraId="066B83A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甲方：                                       </w:t>
      </w:r>
    </w:p>
    <w:p w14:paraId="3E74989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p>
    <w:p w14:paraId="486319FE">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乙方：                                       </w:t>
      </w:r>
    </w:p>
    <w:p w14:paraId="58A71592">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p>
    <w:p w14:paraId="48AFF57C">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签订地：                                     </w:t>
      </w:r>
    </w:p>
    <w:p w14:paraId="18D4027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p>
    <w:p w14:paraId="28527E0C">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签订日期：               年       月       日</w:t>
      </w:r>
    </w:p>
    <w:p w14:paraId="1E2C693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sectPr>
          <w:pgSz w:w="11905" w:h="16838"/>
          <w:pgMar w:top="1440" w:right="1083" w:bottom="1440" w:left="1083" w:header="851" w:footer="850" w:gutter="0"/>
          <w:pgNumType w:fmt="decimal"/>
          <w:cols w:space="0" w:num="1"/>
          <w:rtlGutter w:val="0"/>
          <w:docGrid w:linePitch="462" w:charSpace="0"/>
        </w:sectPr>
      </w:pPr>
    </w:p>
    <w:p w14:paraId="5C7F644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244" w:name="_Toc24059"/>
      <w:bookmarkStart w:id="245" w:name="_Toc26721"/>
      <w:bookmarkStart w:id="246" w:name="_Toc3029"/>
      <w:bookmarkStart w:id="247" w:name="_Toc2659"/>
      <w:bookmarkStart w:id="248" w:name="_Toc2232"/>
      <w:bookmarkStart w:id="249" w:name="_Toc1846"/>
      <w:r>
        <w:rPr>
          <w:rFonts w:hint="eastAsia" w:ascii="仿宋" w:hAnsi="仿宋" w:eastAsia="仿宋" w:cs="仿宋"/>
          <w:sz w:val="24"/>
          <w:szCs w:val="24"/>
          <w:lang w:val="zh-CN"/>
        </w:rPr>
        <w:t xml:space="preserve"> </w:t>
      </w:r>
      <w:r>
        <w:rPr>
          <w:rFonts w:hint="eastAsia" w:ascii="仿宋" w:hAnsi="仿宋" w:eastAsia="仿宋" w:cs="仿宋"/>
          <w:sz w:val="24"/>
          <w:szCs w:val="24"/>
          <w:u w:val="none"/>
          <w:lang w:val="zh-CN"/>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none"/>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none"/>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u w:val="none"/>
          <w:lang w:val="zh-CN"/>
        </w:rPr>
        <w:t>日，</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u w:val="none"/>
        </w:rPr>
        <w:t>以</w:t>
      </w:r>
      <w:r>
        <w:rPr>
          <w:rFonts w:hint="eastAsia" w:ascii="仿宋" w:hAnsi="仿宋" w:eastAsia="仿宋" w:cs="仿宋"/>
          <w:sz w:val="24"/>
          <w:szCs w:val="24"/>
          <w:u w:val="single"/>
        </w:rPr>
        <w:t xml:space="preserve">   （政府采购方式）  </w:t>
      </w:r>
      <w:r>
        <w:rPr>
          <w:rFonts w:hint="eastAsia" w:ascii="仿宋" w:hAnsi="仿宋" w:eastAsia="仿宋" w:cs="仿宋"/>
          <w:sz w:val="24"/>
          <w:szCs w:val="24"/>
          <w:u w:val="none"/>
        </w:rPr>
        <w:t>对</w:t>
      </w:r>
      <w:r>
        <w:rPr>
          <w:rFonts w:hint="eastAsia" w:ascii="仿宋" w:hAnsi="仿宋" w:eastAsia="仿宋" w:cs="仿宋"/>
          <w:sz w:val="24"/>
          <w:szCs w:val="24"/>
          <w:u w:val="single"/>
        </w:rPr>
        <w:t xml:space="preserve">   （同前页项目名称）   </w:t>
      </w:r>
      <w:r>
        <w:rPr>
          <w:rFonts w:hint="eastAsia" w:ascii="仿宋" w:hAnsi="仿宋" w:eastAsia="仿宋" w:cs="仿宋"/>
          <w:sz w:val="24"/>
          <w:szCs w:val="24"/>
          <w:u w:val="none"/>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u w:val="none"/>
        </w:rPr>
        <w:t>评定</w:t>
      </w:r>
      <w:r>
        <w:rPr>
          <w:rFonts w:hint="eastAsia" w:ascii="仿宋" w:hAnsi="仿宋" w:eastAsia="仿宋" w:cs="仿宋"/>
          <w:sz w:val="24"/>
          <w:szCs w:val="24"/>
        </w:rPr>
        <w:t>，   （中标</w:t>
      </w:r>
      <w:r>
        <w:rPr>
          <w:rFonts w:hint="eastAsia" w:ascii="仿宋" w:hAnsi="仿宋" w:eastAsia="仿宋" w:cs="仿宋"/>
          <w:sz w:val="24"/>
          <w:szCs w:val="24"/>
          <w:lang w:eastAsia="zh-CN"/>
        </w:rPr>
        <w:t>投标人</w:t>
      </w:r>
      <w:r>
        <w:rPr>
          <w:rFonts w:hint="eastAsia" w:ascii="仿宋" w:hAnsi="仿宋" w:eastAsia="仿宋" w:cs="仿宋"/>
          <w:sz w:val="24"/>
          <w:szCs w:val="24"/>
        </w:rPr>
        <w:t>名称）为该项目中标</w:t>
      </w:r>
      <w:r>
        <w:rPr>
          <w:rFonts w:hint="eastAsia" w:ascii="仿宋" w:hAnsi="仿宋" w:eastAsia="仿宋" w:cs="仿宋"/>
          <w:sz w:val="24"/>
          <w:szCs w:val="24"/>
          <w:lang w:eastAsia="zh-CN"/>
        </w:rPr>
        <w:t>投标人</w:t>
      </w:r>
      <w:r>
        <w:rPr>
          <w:rFonts w:hint="eastAsia" w:ascii="仿宋" w:hAnsi="仿宋" w:eastAsia="仿宋" w:cs="仿宋"/>
          <w:sz w:val="24"/>
          <w:szCs w:val="24"/>
        </w:rPr>
        <w:t>。现于中标通知书发出之日起三十日内，按照采购文件确定的事项签订本合同。</w:t>
      </w:r>
    </w:p>
    <w:p w14:paraId="643F8253">
      <w:pPr>
        <w:pStyle w:val="15"/>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w:t>
      </w:r>
      <w:r>
        <w:rPr>
          <w:rFonts w:hint="eastAsia" w:ascii="仿宋" w:hAnsi="仿宋" w:eastAsia="仿宋" w:cs="仿宋"/>
          <w:sz w:val="24"/>
          <w:szCs w:val="24"/>
          <w:u w:val="single"/>
          <w:lang w:eastAsia="zh-CN"/>
        </w:rPr>
        <w:t>投标人</w:t>
      </w:r>
      <w:r>
        <w:rPr>
          <w:rFonts w:hint="eastAsia" w:ascii="仿宋" w:hAnsi="仿宋" w:eastAsia="仿宋" w:cs="仿宋"/>
          <w:sz w:val="24"/>
          <w:szCs w:val="24"/>
          <w:u w:val="single"/>
        </w:rPr>
        <w:t xml:space="preserve">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bookmarkEnd w:id="244"/>
    <w:bookmarkEnd w:id="245"/>
    <w:bookmarkEnd w:id="246"/>
    <w:bookmarkEnd w:id="247"/>
    <w:bookmarkEnd w:id="248"/>
    <w:bookmarkEnd w:id="249"/>
    <w:p w14:paraId="18D2716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250" w:name="_Toc24186"/>
      <w:bookmarkStart w:id="251" w:name="_Toc6038"/>
      <w:bookmarkStart w:id="252" w:name="_Toc30575"/>
      <w:bookmarkStart w:id="253" w:name="_Toc25202"/>
      <w:bookmarkStart w:id="254" w:name="_Toc18247"/>
      <w:bookmarkStart w:id="255" w:name="_Toc29481"/>
      <w:bookmarkStart w:id="256" w:name="_Toc21386"/>
      <w:bookmarkStart w:id="257" w:name="_Toc4498"/>
      <w:bookmarkStart w:id="258" w:name="_Toc10894"/>
      <w:bookmarkStart w:id="259" w:name="_Toc4751"/>
      <w:bookmarkStart w:id="260" w:name="_Toc12974"/>
      <w:bookmarkStart w:id="261" w:name="_Toc25352"/>
      <w:bookmarkStart w:id="262" w:name="_Toc14142"/>
      <w:r>
        <w:rPr>
          <w:rFonts w:hint="eastAsia" w:ascii="仿宋" w:hAnsi="仿宋" w:eastAsia="仿宋" w:cs="仿宋"/>
          <w:sz w:val="24"/>
          <w:szCs w:val="24"/>
        </w:rPr>
        <w:t>1.1 合同组成部分</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1CE91A0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362FBD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27A78A0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1.1.2 中标通知书；</w:t>
      </w:r>
    </w:p>
    <w:p w14:paraId="5A26097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14:paraId="34BCB90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62D6B4B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1.1.5 其他相关采购文件。</w:t>
      </w:r>
    </w:p>
    <w:p w14:paraId="626D8A4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263" w:name="_Toc29371"/>
      <w:bookmarkStart w:id="264" w:name="_Toc25735"/>
      <w:bookmarkStart w:id="265" w:name="_Toc21295"/>
      <w:bookmarkStart w:id="266" w:name="_Toc15345"/>
      <w:bookmarkStart w:id="267" w:name="_Toc5906"/>
      <w:bookmarkStart w:id="268" w:name="_Toc14769"/>
      <w:bookmarkStart w:id="269" w:name="_Toc1446"/>
      <w:bookmarkStart w:id="270" w:name="_Toc9006"/>
      <w:bookmarkStart w:id="271" w:name="_Toc14235"/>
      <w:bookmarkStart w:id="272" w:name="_Toc27126"/>
      <w:bookmarkStart w:id="273" w:name="_Toc8631"/>
      <w:bookmarkStart w:id="274" w:name="_Toc411"/>
      <w:bookmarkStart w:id="275" w:name="_Toc21217"/>
      <w:bookmarkStart w:id="276" w:name="_Toc3883"/>
      <w:bookmarkStart w:id="277" w:name="_Toc24300"/>
      <w:bookmarkStart w:id="278" w:name="_Toc27318"/>
      <w:bookmarkStart w:id="279" w:name="_Toc25402"/>
      <w:bookmarkStart w:id="280" w:name="_Toc13138"/>
      <w:bookmarkStart w:id="281" w:name="_Toc7977"/>
      <w:bookmarkStart w:id="282" w:name="_Toc19432"/>
      <w:r>
        <w:rPr>
          <w:rFonts w:hint="eastAsia" w:ascii="仿宋" w:hAnsi="仿宋" w:eastAsia="仿宋" w:cs="仿宋"/>
          <w:sz w:val="24"/>
          <w:szCs w:val="24"/>
        </w:rPr>
        <w:t>1.2 货物</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3A0440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1.2.1 货物名称：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424625C">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1.2.2 货物数量：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5AEB82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1.2.3 货物质量：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4F106B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283" w:name="_Toc23292"/>
      <w:bookmarkStart w:id="284" w:name="_Toc9364"/>
      <w:bookmarkStart w:id="285" w:name="_Toc10942"/>
      <w:bookmarkStart w:id="286" w:name="_Toc13322"/>
      <w:bookmarkStart w:id="287" w:name="_Toc8386"/>
      <w:bookmarkStart w:id="288" w:name="_Toc21631"/>
      <w:bookmarkStart w:id="289" w:name="_Toc6395"/>
      <w:bookmarkStart w:id="290" w:name="_Toc30755"/>
      <w:bookmarkStart w:id="291" w:name="_Toc21551"/>
      <w:bookmarkStart w:id="292" w:name="_Toc1267"/>
      <w:bookmarkStart w:id="293" w:name="_Toc21040"/>
      <w:bookmarkStart w:id="294" w:name="_Toc11045"/>
      <w:bookmarkStart w:id="295" w:name="_Toc13898"/>
      <w:bookmarkStart w:id="296" w:name="_Toc25368"/>
      <w:bookmarkStart w:id="297" w:name="_Toc12266"/>
      <w:bookmarkStart w:id="298" w:name="_Toc30667"/>
      <w:bookmarkStart w:id="299" w:name="_Toc633"/>
      <w:bookmarkStart w:id="300" w:name="_Toc11537"/>
      <w:bookmarkStart w:id="301" w:name="_Toc19682"/>
      <w:r>
        <w:rPr>
          <w:rFonts w:hint="eastAsia" w:ascii="仿宋" w:hAnsi="仿宋" w:eastAsia="仿宋" w:cs="仿宋"/>
          <w:sz w:val="24"/>
          <w:szCs w:val="24"/>
        </w:rPr>
        <w:t>1.3 价款</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041B22F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14:paraId="4AD58363">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分项价格：</w:t>
      </w:r>
    </w:p>
    <w:tbl>
      <w:tblPr>
        <w:tblStyle w:val="25"/>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4E8C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37BFF8E3">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3738" w:type="dxa"/>
            <w:noWrap w:val="0"/>
            <w:vAlign w:val="center"/>
          </w:tcPr>
          <w:p w14:paraId="1BDBABFF">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分项名称</w:t>
            </w:r>
          </w:p>
        </w:tc>
        <w:tc>
          <w:tcPr>
            <w:tcW w:w="2803" w:type="dxa"/>
            <w:noWrap w:val="0"/>
            <w:vAlign w:val="center"/>
          </w:tcPr>
          <w:p w14:paraId="71D16267">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分项价格</w:t>
            </w:r>
          </w:p>
        </w:tc>
      </w:tr>
      <w:tr w14:paraId="0B48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319" w:type="dxa"/>
            <w:noWrap w:val="0"/>
            <w:vAlign w:val="center"/>
          </w:tcPr>
          <w:p w14:paraId="1CFDCA7A">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3738" w:type="dxa"/>
            <w:noWrap w:val="0"/>
            <w:vAlign w:val="center"/>
          </w:tcPr>
          <w:p w14:paraId="445DCAE9">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2803" w:type="dxa"/>
            <w:noWrap w:val="0"/>
            <w:vAlign w:val="center"/>
          </w:tcPr>
          <w:p w14:paraId="6A7D9DA4">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r w14:paraId="52C2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5D16CCEB">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总价</w:t>
            </w:r>
          </w:p>
        </w:tc>
        <w:tc>
          <w:tcPr>
            <w:tcW w:w="2803" w:type="dxa"/>
            <w:noWrap w:val="0"/>
            <w:vAlign w:val="center"/>
          </w:tcPr>
          <w:p w14:paraId="76175608">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bl>
    <w:p w14:paraId="074D82B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302" w:name="_Toc21349"/>
      <w:bookmarkStart w:id="303" w:name="_Toc28790"/>
      <w:bookmarkStart w:id="304" w:name="_Toc24781"/>
      <w:bookmarkStart w:id="305" w:name="_Toc28773"/>
      <w:bookmarkStart w:id="306" w:name="_Toc30643"/>
      <w:bookmarkStart w:id="307" w:name="_Toc26470"/>
      <w:bookmarkStart w:id="308" w:name="_Toc10086"/>
      <w:bookmarkStart w:id="309" w:name="_Toc5736"/>
      <w:bookmarkStart w:id="310" w:name="_Toc27811"/>
      <w:bookmarkStart w:id="311" w:name="_Toc27817"/>
      <w:bookmarkStart w:id="312" w:name="_Toc27654"/>
      <w:bookmarkStart w:id="313" w:name="_Toc31610"/>
      <w:bookmarkStart w:id="314" w:name="_Toc16850"/>
      <w:bookmarkStart w:id="315" w:name="_Toc6407"/>
      <w:bookmarkStart w:id="316" w:name="_Toc1814"/>
      <w:bookmarkStart w:id="317" w:name="_Toc4585"/>
      <w:bookmarkStart w:id="318" w:name="_Toc7458"/>
      <w:bookmarkStart w:id="319" w:name="_Toc22618"/>
      <w:bookmarkStart w:id="320" w:name="_Toc10340"/>
      <w:r>
        <w:rPr>
          <w:rFonts w:hint="eastAsia" w:ascii="仿宋" w:hAnsi="仿宋" w:eastAsia="仿宋" w:cs="仿宋"/>
          <w:sz w:val="24"/>
          <w:szCs w:val="24"/>
        </w:rPr>
        <w:t>1.4 付款方式和发票开具方式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06587A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1.4.1 付款方式：</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87ADDB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20F83F2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321" w:name="_Toc30563"/>
      <w:bookmarkStart w:id="322" w:name="_Toc2846"/>
      <w:bookmarkStart w:id="323" w:name="_Toc11920"/>
      <w:bookmarkStart w:id="324" w:name="_Toc12017"/>
      <w:bookmarkStart w:id="325" w:name="_Toc17448"/>
      <w:bookmarkStart w:id="326" w:name="_Toc9478"/>
      <w:bookmarkStart w:id="327" w:name="_Toc18454"/>
      <w:bookmarkStart w:id="328" w:name="_Toc16823"/>
      <w:bookmarkStart w:id="329" w:name="_Toc30447"/>
      <w:bookmarkStart w:id="330" w:name="_Toc32071"/>
      <w:bookmarkStart w:id="331" w:name="_Toc22861"/>
      <w:bookmarkStart w:id="332" w:name="_Toc14447"/>
      <w:bookmarkStart w:id="333" w:name="_Toc19304"/>
      <w:bookmarkStart w:id="334" w:name="_Toc2083"/>
      <w:bookmarkStart w:id="335" w:name="_Toc4501"/>
      <w:bookmarkStart w:id="336" w:name="_Toc25278"/>
      <w:bookmarkStart w:id="337" w:name="_Toc17179"/>
      <w:bookmarkStart w:id="338" w:name="_Toc23862"/>
      <w:bookmarkStart w:id="339" w:name="_Toc2852"/>
      <w:bookmarkStart w:id="340" w:name="_Toc10276"/>
      <w:r>
        <w:rPr>
          <w:rFonts w:hint="eastAsia" w:ascii="仿宋" w:hAnsi="仿宋" w:eastAsia="仿宋" w:cs="仿宋"/>
          <w:sz w:val="24"/>
          <w:szCs w:val="24"/>
        </w:rPr>
        <w:t>1.5 货物交付期限、地点和方式</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C208FF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1.5.1 交付期限：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71BDB4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1.5.2 交付地点：</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F32063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1.5.3 交付方式：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65BEC73">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341" w:name="_Toc21423"/>
      <w:bookmarkStart w:id="342" w:name="_Toc12753"/>
      <w:bookmarkStart w:id="343" w:name="_Toc26850"/>
      <w:bookmarkStart w:id="344" w:name="_Toc26792"/>
      <w:bookmarkStart w:id="345" w:name="_Toc8754"/>
      <w:bookmarkStart w:id="346" w:name="_Toc12629"/>
      <w:bookmarkStart w:id="347" w:name="_Toc2529"/>
      <w:bookmarkStart w:id="348" w:name="_Toc12988"/>
      <w:bookmarkStart w:id="349" w:name="_Toc13569"/>
      <w:bookmarkStart w:id="350" w:name="_Toc19554"/>
      <w:bookmarkStart w:id="351" w:name="_Toc4190"/>
      <w:bookmarkStart w:id="352" w:name="_Toc6841"/>
      <w:bookmarkStart w:id="353" w:name="_Toc27250"/>
      <w:bookmarkStart w:id="354" w:name="_Toc7847"/>
      <w:bookmarkStart w:id="355" w:name="_Toc11237"/>
      <w:bookmarkStart w:id="356" w:name="_Toc13854"/>
      <w:bookmarkStart w:id="357" w:name="_Toc15865"/>
      <w:bookmarkStart w:id="358" w:name="_Toc1835"/>
      <w:bookmarkStart w:id="359" w:name="_Toc26484"/>
      <w:bookmarkStart w:id="360" w:name="_Toc21406"/>
      <w:r>
        <w:rPr>
          <w:rFonts w:hint="eastAsia" w:ascii="仿宋" w:hAnsi="仿宋" w:eastAsia="仿宋" w:cs="仿宋"/>
          <w:sz w:val="24"/>
          <w:szCs w:val="24"/>
        </w:rPr>
        <w:t>1.6 违约责任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D474F8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%；迟延交付货物的违约金计算数额达到前述最高限额之日起，甲方有权在要求乙方支付违约金的同时，书面通知乙方解除本合同；</w:t>
      </w:r>
    </w:p>
    <w:p w14:paraId="09621B5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14:paraId="1636BCB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DBFFFB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765A23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2D80D6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75C37D3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361" w:name="_Toc20610"/>
      <w:bookmarkStart w:id="362" w:name="_Toc19011"/>
      <w:bookmarkStart w:id="363" w:name="_Toc28375"/>
      <w:bookmarkStart w:id="364" w:name="_Toc5482"/>
      <w:bookmarkStart w:id="365" w:name="_Toc15583"/>
      <w:bookmarkStart w:id="366" w:name="_Toc16021"/>
      <w:bookmarkStart w:id="367" w:name="_Toc27762"/>
      <w:bookmarkStart w:id="368" w:name="_Toc27927"/>
      <w:bookmarkStart w:id="369" w:name="_Toc495"/>
      <w:bookmarkStart w:id="370" w:name="_Toc17792"/>
      <w:bookmarkStart w:id="371" w:name="_Toc9202"/>
      <w:bookmarkStart w:id="372" w:name="_Toc10362"/>
      <w:bookmarkStart w:id="373" w:name="_Toc25915"/>
      <w:bookmarkStart w:id="374" w:name="_Toc29338"/>
      <w:bookmarkStart w:id="375" w:name="_Toc16341"/>
      <w:bookmarkStart w:id="376" w:name="_Toc8914"/>
      <w:bookmarkStart w:id="377" w:name="_Toc6344"/>
      <w:bookmarkStart w:id="378" w:name="_Toc2474"/>
      <w:bookmarkStart w:id="379" w:name="_Toc3403"/>
      <w:bookmarkStart w:id="380" w:name="_Toc7216"/>
      <w:r>
        <w:rPr>
          <w:rFonts w:hint="eastAsia" w:ascii="仿宋" w:hAnsi="仿宋" w:eastAsia="仿宋" w:cs="仿宋"/>
          <w:sz w:val="24"/>
          <w:szCs w:val="24"/>
        </w:rPr>
        <w:t>1.7 合同争议的解决</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1545863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    种方式解决：</w:t>
      </w:r>
    </w:p>
    <w:p w14:paraId="486E85C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1F54A48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279D78F4">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381" w:name="_Toc17113"/>
      <w:bookmarkStart w:id="382" w:name="_Toc518"/>
      <w:bookmarkStart w:id="383" w:name="_Toc30260"/>
      <w:bookmarkStart w:id="384" w:name="_Toc11173"/>
      <w:bookmarkStart w:id="385" w:name="_Toc4516"/>
      <w:bookmarkStart w:id="386" w:name="_Toc2901"/>
      <w:bookmarkStart w:id="387" w:name="_Toc12903"/>
      <w:bookmarkStart w:id="388" w:name="_Toc1647"/>
      <w:bookmarkStart w:id="389" w:name="_Toc31952"/>
      <w:bookmarkStart w:id="390" w:name="_Toc6411"/>
      <w:bookmarkStart w:id="391" w:name="_Toc16410"/>
      <w:bookmarkStart w:id="392" w:name="_Toc10255"/>
      <w:bookmarkStart w:id="393" w:name="_Toc9329"/>
      <w:bookmarkStart w:id="394" w:name="_Toc7245"/>
      <w:bookmarkStart w:id="395" w:name="_Toc28642"/>
      <w:bookmarkStart w:id="396" w:name="_Toc15322"/>
      <w:bookmarkStart w:id="397" w:name="_Toc10429"/>
      <w:bookmarkStart w:id="398" w:name="_Toc2894"/>
      <w:r>
        <w:rPr>
          <w:rFonts w:hint="eastAsia" w:ascii="仿宋" w:hAnsi="仿宋" w:eastAsia="仿宋" w:cs="仿宋"/>
          <w:sz w:val="24"/>
          <w:szCs w:val="24"/>
        </w:rPr>
        <w:t>1.8 合同生效</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A232A2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本合同自双方当事人盖章或者签字时生效。</w:t>
      </w:r>
    </w:p>
    <w:p w14:paraId="7D4A080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lang w:val="zh-CN"/>
        </w:rPr>
      </w:pPr>
    </w:p>
    <w:p w14:paraId="2826F14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甲方：                                   乙方：</w:t>
      </w:r>
    </w:p>
    <w:p w14:paraId="7C48BBD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122466D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0D2FB072">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 xml:space="preserve">法定代表人或授权代表（签字）：              法定代表人或授权代表（签字）:                        </w:t>
      </w:r>
    </w:p>
    <w:p w14:paraId="29774B4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277FD4D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542695C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490A178C">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39884A7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1B888F1C">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bookmarkStart w:id="399" w:name="_Toc331685783"/>
    </w:p>
    <w:p w14:paraId="1B024FCC">
      <w:pPr>
        <w:pStyle w:val="19"/>
        <w:widowControl w:val="0"/>
        <w:numPr>
          <w:ilvl w:val="0"/>
          <w:numId w:val="0"/>
        </w:numPr>
        <w:jc w:val="both"/>
        <w:rPr>
          <w:rFonts w:hint="eastAsia" w:ascii="仿宋" w:hAnsi="仿宋" w:eastAsia="仿宋" w:cs="仿宋"/>
          <w:sz w:val="24"/>
          <w:szCs w:val="24"/>
        </w:rPr>
      </w:pPr>
    </w:p>
    <w:p w14:paraId="04162B9D">
      <w:pPr>
        <w:pStyle w:val="19"/>
        <w:widowControl w:val="0"/>
        <w:numPr>
          <w:ilvl w:val="0"/>
          <w:numId w:val="0"/>
        </w:numPr>
        <w:jc w:val="both"/>
        <w:rPr>
          <w:rFonts w:hint="eastAsia" w:ascii="仿宋" w:hAnsi="仿宋" w:eastAsia="仿宋" w:cs="仿宋"/>
          <w:sz w:val="24"/>
          <w:szCs w:val="24"/>
        </w:rPr>
      </w:pPr>
    </w:p>
    <w:p w14:paraId="3C13CBAF">
      <w:pPr>
        <w:pStyle w:val="19"/>
        <w:widowControl w:val="0"/>
        <w:numPr>
          <w:ilvl w:val="0"/>
          <w:numId w:val="0"/>
        </w:numPr>
        <w:jc w:val="both"/>
        <w:rPr>
          <w:rFonts w:hint="eastAsia" w:ascii="仿宋" w:hAnsi="仿宋" w:eastAsia="仿宋" w:cs="仿宋"/>
          <w:sz w:val="24"/>
          <w:szCs w:val="24"/>
        </w:rPr>
      </w:pPr>
    </w:p>
    <w:p w14:paraId="3EA63DBB">
      <w:pPr>
        <w:pStyle w:val="19"/>
        <w:widowControl w:val="0"/>
        <w:numPr>
          <w:ilvl w:val="0"/>
          <w:numId w:val="0"/>
        </w:numPr>
        <w:jc w:val="both"/>
        <w:rPr>
          <w:rFonts w:hint="eastAsia" w:ascii="仿宋" w:hAnsi="仿宋" w:eastAsia="仿宋" w:cs="仿宋"/>
          <w:sz w:val="24"/>
          <w:szCs w:val="24"/>
        </w:rPr>
      </w:pPr>
    </w:p>
    <w:p w14:paraId="63A4B49E">
      <w:pPr>
        <w:pStyle w:val="19"/>
        <w:widowControl w:val="0"/>
        <w:numPr>
          <w:ilvl w:val="0"/>
          <w:numId w:val="0"/>
        </w:numPr>
        <w:jc w:val="both"/>
        <w:rPr>
          <w:rFonts w:hint="eastAsia" w:ascii="仿宋" w:hAnsi="仿宋" w:eastAsia="仿宋" w:cs="仿宋"/>
          <w:sz w:val="24"/>
          <w:szCs w:val="24"/>
        </w:rPr>
      </w:pPr>
    </w:p>
    <w:p w14:paraId="3B1EF2B3">
      <w:pPr>
        <w:pStyle w:val="19"/>
        <w:widowControl w:val="0"/>
        <w:numPr>
          <w:ilvl w:val="0"/>
          <w:numId w:val="0"/>
        </w:numPr>
        <w:jc w:val="both"/>
        <w:rPr>
          <w:rFonts w:hint="eastAsia" w:ascii="仿宋" w:hAnsi="仿宋" w:eastAsia="仿宋" w:cs="仿宋"/>
          <w:sz w:val="24"/>
          <w:szCs w:val="24"/>
        </w:rPr>
      </w:pPr>
    </w:p>
    <w:p w14:paraId="11516E45">
      <w:pPr>
        <w:pStyle w:val="15"/>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第二部分 合同一般条款</w:t>
      </w:r>
      <w:bookmarkEnd w:id="399"/>
    </w:p>
    <w:p w14:paraId="3BF4679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400" w:name="_Toc487900349"/>
      <w:bookmarkStart w:id="401" w:name="_Toc28763"/>
      <w:bookmarkStart w:id="402" w:name="_Toc2034"/>
      <w:bookmarkStart w:id="403" w:name="_Ref467379205"/>
      <w:bookmarkStart w:id="404" w:name="_Ref467378463"/>
      <w:bookmarkStart w:id="405" w:name="_Toc510"/>
      <w:bookmarkStart w:id="406" w:name="_Toc279701240"/>
      <w:bookmarkStart w:id="407" w:name="_Ref467379109"/>
      <w:bookmarkStart w:id="408" w:name="_Ref467378404"/>
      <w:bookmarkStart w:id="409" w:name="_Toc17886"/>
      <w:bookmarkStart w:id="410" w:name="_Toc26415"/>
      <w:bookmarkStart w:id="411" w:name="_Toc32624"/>
      <w:bookmarkStart w:id="412" w:name="_Ref467378499"/>
      <w:bookmarkStart w:id="413" w:name="_Toc5579"/>
      <w:bookmarkStart w:id="414" w:name="_Toc17718"/>
      <w:bookmarkStart w:id="415" w:name="_Toc25554"/>
      <w:bookmarkStart w:id="416" w:name="_Toc20709"/>
      <w:bookmarkStart w:id="417" w:name="_Toc29315"/>
      <w:bookmarkStart w:id="418" w:name="_Toc31417"/>
      <w:bookmarkStart w:id="419" w:name="_Toc14433"/>
      <w:bookmarkStart w:id="420" w:name="_Ref467379195"/>
      <w:bookmarkStart w:id="421" w:name="_Toc16917"/>
      <w:bookmarkStart w:id="422" w:name="_Ref467379094"/>
      <w:bookmarkStart w:id="423" w:name="_Toc29788"/>
      <w:bookmarkStart w:id="424" w:name="_Toc29659"/>
      <w:bookmarkStart w:id="425" w:name="_Toc26936"/>
      <w:bookmarkStart w:id="426" w:name="_Toc14827"/>
      <w:bookmarkStart w:id="427" w:name="_Toc259093669"/>
      <w:bookmarkStart w:id="428" w:name="_Ref467379214"/>
      <w:bookmarkStart w:id="429" w:name="_Toc19614"/>
      <w:bookmarkStart w:id="430" w:name="_Ref467379101"/>
      <w:bookmarkStart w:id="431" w:name="_Ref467379225"/>
      <w:r>
        <w:rPr>
          <w:rFonts w:hint="eastAsia" w:ascii="仿宋" w:hAnsi="仿宋" w:eastAsia="仿宋" w:cs="仿宋"/>
          <w:sz w:val="24"/>
          <w:szCs w:val="24"/>
        </w:rPr>
        <w:t>2.1 定义</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7233EDD3">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6CF1FC8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2.1.1 “合同”系指采购人和中标</w:t>
      </w:r>
      <w:r>
        <w:rPr>
          <w:rFonts w:hint="eastAsia" w:ascii="仿宋" w:hAnsi="仿宋" w:eastAsia="仿宋" w:cs="仿宋"/>
          <w:sz w:val="24"/>
          <w:szCs w:val="24"/>
          <w:lang w:eastAsia="zh-CN"/>
        </w:rPr>
        <w:t>投标人</w:t>
      </w:r>
      <w:r>
        <w:rPr>
          <w:rFonts w:hint="eastAsia" w:ascii="仿宋" w:hAnsi="仿宋" w:eastAsia="仿宋" w:cs="仿宋"/>
          <w:sz w:val="24"/>
          <w:szCs w:val="24"/>
        </w:rPr>
        <w:t>签订的载明双方当事人所达成的协议，并包括所有的附件、附录和构成合同的其他文件。</w:t>
      </w:r>
    </w:p>
    <w:p w14:paraId="015679B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2.1.2 “合同价”系指根据合同约定，中标</w:t>
      </w:r>
      <w:r>
        <w:rPr>
          <w:rFonts w:hint="eastAsia" w:ascii="仿宋" w:hAnsi="仿宋" w:eastAsia="仿宋" w:cs="仿宋"/>
          <w:sz w:val="24"/>
          <w:szCs w:val="24"/>
          <w:lang w:eastAsia="zh-CN"/>
        </w:rPr>
        <w:t>投标人</w:t>
      </w:r>
      <w:r>
        <w:rPr>
          <w:rFonts w:hint="eastAsia" w:ascii="仿宋" w:hAnsi="仿宋" w:eastAsia="仿宋" w:cs="仿宋"/>
          <w:sz w:val="24"/>
          <w:szCs w:val="24"/>
        </w:rPr>
        <w:t>在完全履行合同义务后，采购人应支付给中标</w:t>
      </w:r>
      <w:r>
        <w:rPr>
          <w:rFonts w:hint="eastAsia" w:ascii="仿宋" w:hAnsi="仿宋" w:eastAsia="仿宋" w:cs="仿宋"/>
          <w:sz w:val="24"/>
          <w:szCs w:val="24"/>
          <w:lang w:eastAsia="zh-CN"/>
        </w:rPr>
        <w:t>投标人</w:t>
      </w:r>
      <w:r>
        <w:rPr>
          <w:rFonts w:hint="eastAsia" w:ascii="仿宋" w:hAnsi="仿宋" w:eastAsia="仿宋" w:cs="仿宋"/>
          <w:sz w:val="24"/>
          <w:szCs w:val="24"/>
        </w:rPr>
        <w:t>的价格。</w:t>
      </w:r>
    </w:p>
    <w:p w14:paraId="2A093F2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2.1.3 “货物”系指中标</w:t>
      </w:r>
      <w:r>
        <w:rPr>
          <w:rFonts w:hint="eastAsia" w:ascii="仿宋" w:hAnsi="仿宋" w:eastAsia="仿宋" w:cs="仿宋"/>
          <w:sz w:val="24"/>
          <w:szCs w:val="24"/>
          <w:lang w:eastAsia="zh-CN"/>
        </w:rPr>
        <w:t>投标人</w:t>
      </w:r>
      <w:r>
        <w:rPr>
          <w:rFonts w:hint="eastAsia" w:ascii="仿宋" w:hAnsi="仿宋" w:eastAsia="仿宋" w:cs="仿宋"/>
          <w:sz w:val="24"/>
          <w:szCs w:val="24"/>
        </w:rPr>
        <w:t>根据合同约定应向采购人交付的一切各种形态和种类的物品，包括原材料、燃料、设备、机械、仪表、备件、计算机软件、产品等，并包括工具、手册等其他相关资料。</w:t>
      </w:r>
    </w:p>
    <w:p w14:paraId="04F9B4D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432" w:name="_Ref467378840"/>
      <w:r>
        <w:rPr>
          <w:rFonts w:hint="eastAsia" w:ascii="仿宋" w:hAnsi="仿宋" w:eastAsia="仿宋" w:cs="仿宋"/>
          <w:sz w:val="24"/>
          <w:szCs w:val="24"/>
        </w:rPr>
        <w:t>2.1.4 “甲方”系指与中标</w:t>
      </w:r>
      <w:r>
        <w:rPr>
          <w:rFonts w:hint="eastAsia" w:ascii="仿宋" w:hAnsi="仿宋" w:eastAsia="仿宋" w:cs="仿宋"/>
          <w:sz w:val="24"/>
          <w:szCs w:val="24"/>
          <w:lang w:eastAsia="zh-CN"/>
        </w:rPr>
        <w:t>投标人</w:t>
      </w:r>
      <w:r>
        <w:rPr>
          <w:rFonts w:hint="eastAsia" w:ascii="仿宋" w:hAnsi="仿宋" w:eastAsia="仿宋" w:cs="仿宋"/>
          <w:sz w:val="24"/>
          <w:szCs w:val="24"/>
        </w:rPr>
        <w:t>签署合同的采购人</w:t>
      </w:r>
      <w:bookmarkEnd w:id="432"/>
      <w:r>
        <w:rPr>
          <w:rFonts w:hint="eastAsia" w:ascii="仿宋" w:hAnsi="仿宋" w:eastAsia="仿宋" w:cs="仿宋"/>
          <w:sz w:val="24"/>
          <w:szCs w:val="24"/>
        </w:rPr>
        <w:t>；采购人委托采购代理机构代表其与乙方签订合同的，采购人的授权委托书作为合同附件。</w:t>
      </w:r>
    </w:p>
    <w:p w14:paraId="0B97322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433" w:name="_Ref467379400"/>
      <w:r>
        <w:rPr>
          <w:rFonts w:hint="eastAsia" w:ascii="仿宋" w:hAnsi="仿宋" w:eastAsia="仿宋" w:cs="仿宋"/>
          <w:sz w:val="24"/>
          <w:szCs w:val="24"/>
        </w:rPr>
        <w:t>2.1.5 “乙方”系指根据合同约定交付货物的中标</w:t>
      </w:r>
      <w:bookmarkEnd w:id="433"/>
      <w:r>
        <w:rPr>
          <w:rFonts w:hint="eastAsia" w:ascii="仿宋" w:hAnsi="仿宋" w:eastAsia="仿宋" w:cs="仿宋"/>
          <w:sz w:val="24"/>
          <w:szCs w:val="24"/>
          <w:lang w:eastAsia="zh-CN"/>
        </w:rPr>
        <w:t>投标人</w:t>
      </w:r>
      <w:r>
        <w:rPr>
          <w:rFonts w:hint="eastAsia" w:ascii="仿宋" w:hAnsi="仿宋" w:eastAsia="仿宋" w:cs="仿宋"/>
          <w:sz w:val="24"/>
          <w:szCs w:val="24"/>
        </w:rPr>
        <w:t>；两个以上的自然人、法人或者其他组织组成一个联合体，以一个</w:t>
      </w:r>
      <w:r>
        <w:rPr>
          <w:rFonts w:hint="eastAsia" w:ascii="仿宋" w:hAnsi="仿宋" w:eastAsia="仿宋" w:cs="仿宋"/>
          <w:sz w:val="24"/>
          <w:szCs w:val="24"/>
          <w:lang w:eastAsia="zh-CN"/>
        </w:rPr>
        <w:t>投标人</w:t>
      </w:r>
      <w:r>
        <w:rPr>
          <w:rFonts w:hint="eastAsia" w:ascii="仿宋" w:hAnsi="仿宋" w:eastAsia="仿宋" w:cs="仿宋"/>
          <w:sz w:val="24"/>
          <w:szCs w:val="24"/>
        </w:rPr>
        <w:t>的身份共同参加政府采购的，联合体各方均应为乙方或者与乙方相同地位的合同当事人，并就合同约定的事项对甲方承担连带责任。</w:t>
      </w:r>
    </w:p>
    <w:p w14:paraId="02ED14E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434" w:name="_Ref467379436"/>
      <w:r>
        <w:rPr>
          <w:rFonts w:hint="eastAsia" w:ascii="仿宋" w:hAnsi="仿宋" w:eastAsia="仿宋" w:cs="仿宋"/>
          <w:sz w:val="24"/>
          <w:szCs w:val="24"/>
        </w:rPr>
        <w:t>2.1.6 “现场”系指合同约定货物将要运至或者安装的地点。</w:t>
      </w:r>
      <w:bookmarkEnd w:id="434"/>
    </w:p>
    <w:p w14:paraId="281C9782">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435" w:name="_Toc27635"/>
      <w:bookmarkStart w:id="436" w:name="_Toc259093670"/>
      <w:bookmarkStart w:id="437" w:name="_Toc24639"/>
      <w:bookmarkStart w:id="438" w:name="_Toc11142"/>
      <w:bookmarkStart w:id="439" w:name="_Toc1352"/>
      <w:bookmarkStart w:id="440" w:name="_Toc32504"/>
      <w:bookmarkStart w:id="441" w:name="_Toc24792"/>
      <w:bookmarkStart w:id="442" w:name="_Toc5592"/>
      <w:bookmarkStart w:id="443" w:name="_Toc7416"/>
      <w:bookmarkStart w:id="444" w:name="_Toc17151"/>
      <w:bookmarkStart w:id="445" w:name="_Toc487900350"/>
      <w:bookmarkStart w:id="446" w:name="_Toc24523"/>
      <w:bookmarkStart w:id="447" w:name="_Toc1221"/>
      <w:bookmarkStart w:id="448" w:name="_Toc11263"/>
      <w:bookmarkStart w:id="449" w:name="_Toc279701241"/>
      <w:bookmarkStart w:id="450" w:name="_Toc23689"/>
      <w:bookmarkStart w:id="451" w:name="_Toc2537"/>
      <w:bookmarkStart w:id="452" w:name="_Toc10701"/>
      <w:bookmarkStart w:id="453" w:name="_Toc1447"/>
      <w:bookmarkStart w:id="454" w:name="_Toc22104"/>
      <w:bookmarkStart w:id="455" w:name="_Toc1183"/>
      <w:bookmarkStart w:id="456" w:name="_Toc22122"/>
      <w:bookmarkStart w:id="457" w:name="_Toc13336"/>
      <w:r>
        <w:rPr>
          <w:rFonts w:hint="eastAsia" w:ascii="仿宋" w:hAnsi="仿宋" w:eastAsia="仿宋" w:cs="仿宋"/>
          <w:sz w:val="24"/>
          <w:szCs w:val="24"/>
        </w:rPr>
        <w:t>2.2 技术规范</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2E83D06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F9623C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458" w:name="_Toc6121"/>
      <w:bookmarkStart w:id="459" w:name="_Toc27853"/>
      <w:bookmarkStart w:id="460" w:name="_Toc4029"/>
      <w:bookmarkStart w:id="461" w:name="_Toc9829"/>
      <w:bookmarkStart w:id="462" w:name="_Toc259093671"/>
      <w:bookmarkStart w:id="463" w:name="_Toc4916"/>
      <w:bookmarkStart w:id="464" w:name="_Toc975"/>
      <w:bookmarkStart w:id="465" w:name="_Toc487900351"/>
      <w:bookmarkStart w:id="466" w:name="_Toc32048"/>
      <w:bookmarkStart w:id="467" w:name="_Toc31634"/>
      <w:bookmarkStart w:id="468" w:name="_Toc7722"/>
      <w:bookmarkStart w:id="469" w:name="_Toc19191"/>
      <w:bookmarkStart w:id="470" w:name="_Toc20130"/>
      <w:bookmarkStart w:id="471" w:name="_Toc12032"/>
      <w:bookmarkStart w:id="472" w:name="_Toc3854"/>
      <w:bookmarkStart w:id="473" w:name="_Toc30552"/>
      <w:bookmarkStart w:id="474" w:name="_Toc21622"/>
      <w:bookmarkStart w:id="475" w:name="_Toc26742"/>
      <w:bookmarkStart w:id="476" w:name="_Toc24537"/>
      <w:bookmarkStart w:id="477" w:name="_Toc279701242"/>
      <w:bookmarkStart w:id="478" w:name="_Toc14632"/>
      <w:bookmarkStart w:id="479" w:name="_Toc23649"/>
      <w:r>
        <w:rPr>
          <w:rFonts w:hint="eastAsia" w:ascii="仿宋" w:hAnsi="仿宋" w:eastAsia="仿宋" w:cs="仿宋"/>
          <w:sz w:val="24"/>
          <w:szCs w:val="24"/>
        </w:rPr>
        <w:t>2.3 知识产权</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F0301E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0F6AD5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2.3.2具有知识产权的计算机软件等货物的知识产权归属，详见合同专用条款。</w:t>
      </w:r>
    </w:p>
    <w:p w14:paraId="4B13691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480" w:name="_Toc365"/>
      <w:bookmarkStart w:id="481" w:name="_Toc479"/>
      <w:bookmarkStart w:id="482" w:name="_Toc6781"/>
      <w:bookmarkStart w:id="483" w:name="_Toc11932"/>
      <w:bookmarkStart w:id="484" w:name="_Toc5395"/>
      <w:bookmarkStart w:id="485" w:name="_Toc4194"/>
      <w:bookmarkStart w:id="486" w:name="_Toc6844"/>
      <w:bookmarkStart w:id="487" w:name="_Toc19638"/>
      <w:bookmarkStart w:id="488" w:name="_Toc23105"/>
      <w:bookmarkStart w:id="489" w:name="_Toc17080"/>
      <w:bookmarkStart w:id="490" w:name="_Toc9470"/>
      <w:bookmarkStart w:id="491" w:name="_Toc10546"/>
      <w:bookmarkStart w:id="492" w:name="_Toc25767"/>
      <w:bookmarkStart w:id="493" w:name="_Toc3486"/>
      <w:bookmarkStart w:id="494" w:name="_Toc26731"/>
      <w:bookmarkStart w:id="495" w:name="_Toc29149"/>
      <w:bookmarkStart w:id="496" w:name="_Toc20620"/>
      <w:bookmarkStart w:id="497" w:name="_Toc12219"/>
      <w:bookmarkStart w:id="498" w:name="_Toc28714"/>
      <w:bookmarkStart w:id="499" w:name="_Toc9332"/>
      <w:r>
        <w:rPr>
          <w:rFonts w:hint="eastAsia" w:ascii="仿宋" w:hAnsi="仿宋" w:eastAsia="仿宋" w:cs="仿宋"/>
          <w:sz w:val="24"/>
          <w:szCs w:val="24"/>
        </w:rPr>
        <w:t>2.4 包装和装运</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01E6FD2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434847C">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2.4.2 装运货物的要求和通知，详见合同专用条款。</w:t>
      </w:r>
    </w:p>
    <w:p w14:paraId="42F258E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500" w:name="_Ref467379527"/>
      <w:bookmarkStart w:id="501" w:name="_Ref467378591"/>
      <w:bookmarkStart w:id="502" w:name="_Toc487900354"/>
      <w:bookmarkStart w:id="503" w:name="_Ref467379536"/>
      <w:bookmarkStart w:id="504" w:name="_Toc259093674"/>
      <w:bookmarkStart w:id="505" w:name="_Ref467379542"/>
      <w:bookmarkStart w:id="506" w:name="_Ref467378541"/>
      <w:bookmarkStart w:id="507" w:name="_Toc279701245"/>
      <w:bookmarkStart w:id="508" w:name="_Toc16539"/>
      <w:bookmarkStart w:id="509" w:name="_Toc24299"/>
      <w:bookmarkStart w:id="510" w:name="_Toc21198"/>
      <w:bookmarkStart w:id="511" w:name="_Toc30516"/>
      <w:bookmarkStart w:id="512" w:name="_Toc26182"/>
      <w:bookmarkStart w:id="513" w:name="_Toc9624"/>
      <w:bookmarkStart w:id="514" w:name="_Toc12428"/>
      <w:bookmarkStart w:id="515" w:name="_Toc15512"/>
      <w:bookmarkStart w:id="516" w:name="_Toc5927"/>
      <w:bookmarkStart w:id="517" w:name="_Toc18515"/>
      <w:bookmarkStart w:id="518" w:name="_Toc18307"/>
      <w:bookmarkStart w:id="519" w:name="_Toc30272"/>
      <w:bookmarkStart w:id="520" w:name="_Toc4831"/>
      <w:bookmarkStart w:id="521" w:name="_Toc1641"/>
      <w:bookmarkStart w:id="522" w:name="_Toc2815"/>
      <w:bookmarkStart w:id="523" w:name="_Toc19074"/>
      <w:bookmarkStart w:id="524" w:name="_Toc19870"/>
      <w:bookmarkStart w:id="525" w:name="_Toc7299"/>
      <w:bookmarkStart w:id="526" w:name="_Toc28937"/>
      <w:bookmarkStart w:id="527" w:name="_Toc24935"/>
      <w:r>
        <w:rPr>
          <w:rFonts w:hint="eastAsia" w:ascii="仿宋" w:hAnsi="仿宋" w:eastAsia="仿宋" w:cs="仿宋"/>
          <w:sz w:val="24"/>
          <w:szCs w:val="24"/>
        </w:rPr>
        <w:t>2.</w:t>
      </w:r>
      <w:bookmarkEnd w:id="500"/>
      <w:bookmarkEnd w:id="501"/>
      <w:bookmarkEnd w:id="502"/>
      <w:bookmarkEnd w:id="503"/>
      <w:bookmarkEnd w:id="504"/>
      <w:bookmarkEnd w:id="505"/>
      <w:bookmarkEnd w:id="506"/>
      <w:bookmarkEnd w:id="507"/>
      <w:r>
        <w:rPr>
          <w:rFonts w:hint="eastAsia" w:ascii="仿宋" w:hAnsi="仿宋" w:eastAsia="仿宋" w:cs="仿宋"/>
          <w:sz w:val="24"/>
          <w:szCs w:val="24"/>
        </w:rPr>
        <w:t>5 履约检查和问题反馈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12C2A634">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528" w:name="_Ref467379657"/>
      <w:r>
        <w:rPr>
          <w:rFonts w:hint="eastAsia" w:ascii="仿宋" w:hAnsi="仿宋" w:eastAsia="仿宋" w:cs="仿宋"/>
          <w:sz w:val="24"/>
          <w:szCs w:val="24"/>
        </w:rPr>
        <w:t>2.5.1</w:t>
      </w:r>
      <w:bookmarkEnd w:id="528"/>
      <w:bookmarkStart w:id="529" w:name="_Toc186431854"/>
      <w:bookmarkStart w:id="530" w:name="_Ref467379807"/>
      <w:bookmarkStart w:id="531" w:name="_Toc487900357"/>
      <w:bookmarkStart w:id="532" w:name="_Ref467379793"/>
      <w:bookmarkStart w:id="533" w:name="_Toc279701247"/>
      <w:bookmarkStart w:id="534" w:name="_Toc259093676"/>
      <w:r>
        <w:rPr>
          <w:rFonts w:hint="eastAsia" w:ascii="仿宋" w:hAnsi="仿宋" w:eastAsia="仿宋" w:cs="仿宋"/>
          <w:sz w:val="24"/>
          <w:szCs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17250C5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2.5.2 合同履行期间，甲方有权将履行过程中出现的问题反馈给乙方，双方当事人应以书面形式约定需要完善和改进的内容</w:t>
      </w:r>
      <w:bookmarkEnd w:id="529"/>
      <w:bookmarkStart w:id="535" w:name="_Toc186431855"/>
      <w:r>
        <w:rPr>
          <w:rFonts w:hint="eastAsia" w:ascii="仿宋" w:hAnsi="仿宋" w:eastAsia="仿宋" w:cs="仿宋"/>
          <w:sz w:val="24"/>
          <w:szCs w:val="24"/>
        </w:rPr>
        <w:t>。</w:t>
      </w:r>
    </w:p>
    <w:bookmarkEnd w:id="535"/>
    <w:p w14:paraId="37C5467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536" w:name="_Toc234"/>
      <w:bookmarkStart w:id="537" w:name="_Toc9092"/>
      <w:bookmarkStart w:id="538" w:name="_Toc26232"/>
      <w:bookmarkStart w:id="539" w:name="_Toc2067"/>
      <w:bookmarkStart w:id="540" w:name="_Toc23872"/>
      <w:bookmarkStart w:id="541" w:name="_Toc28451"/>
      <w:bookmarkStart w:id="542" w:name="_Toc30354"/>
      <w:bookmarkStart w:id="543" w:name="_Toc5304"/>
      <w:bookmarkStart w:id="544" w:name="_Toc11522"/>
      <w:bookmarkStart w:id="545" w:name="_Toc582"/>
      <w:bookmarkStart w:id="546" w:name="_Toc19219"/>
      <w:bookmarkStart w:id="547" w:name="_Toc31520"/>
      <w:bookmarkStart w:id="548" w:name="_Toc5007"/>
      <w:bookmarkStart w:id="549" w:name="_Toc15793"/>
      <w:bookmarkStart w:id="550" w:name="_Toc23261"/>
      <w:bookmarkStart w:id="551" w:name="_Toc17283"/>
      <w:bookmarkStart w:id="552" w:name="_Toc12360"/>
      <w:bookmarkStart w:id="553" w:name="_Toc26298"/>
      <w:bookmarkStart w:id="554" w:name="_Toc7836"/>
      <w:bookmarkStart w:id="555" w:name="_Toc4522"/>
      <w:r>
        <w:rPr>
          <w:rFonts w:hint="eastAsia" w:ascii="仿宋" w:hAnsi="仿宋" w:eastAsia="仿宋" w:cs="仿宋"/>
          <w:sz w:val="24"/>
          <w:szCs w:val="24"/>
        </w:rPr>
        <w:t>2.6 结算方式和付款条件</w:t>
      </w:r>
      <w:bookmarkEnd w:id="530"/>
      <w:bookmarkEnd w:id="531"/>
      <w:bookmarkEnd w:id="532"/>
      <w:bookmarkEnd w:id="533"/>
      <w:bookmarkEnd w:id="534"/>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251F948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详见合同专用条款。</w:t>
      </w:r>
    </w:p>
    <w:p w14:paraId="4CA4997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556" w:name="_Ref467379923"/>
      <w:bookmarkStart w:id="557" w:name="_Toc259093677"/>
      <w:bookmarkStart w:id="558" w:name="_Toc279701248"/>
      <w:bookmarkStart w:id="559" w:name="_Ref467379852"/>
      <w:bookmarkStart w:id="560" w:name="_Ref467379863"/>
      <w:bookmarkStart w:id="561" w:name="_Toc487900358"/>
      <w:bookmarkStart w:id="562" w:name="_Toc9845"/>
      <w:bookmarkStart w:id="563" w:name="_Toc17051"/>
      <w:bookmarkStart w:id="564" w:name="_Toc774"/>
      <w:bookmarkStart w:id="565" w:name="_Toc10114"/>
      <w:bookmarkStart w:id="566" w:name="_Toc28781"/>
      <w:bookmarkStart w:id="567" w:name="_Toc3497"/>
      <w:bookmarkStart w:id="568" w:name="_Toc13023"/>
      <w:bookmarkStart w:id="569" w:name="_Toc18668"/>
      <w:bookmarkStart w:id="570" w:name="_Toc16110"/>
      <w:bookmarkStart w:id="571" w:name="_Toc31305"/>
      <w:bookmarkStart w:id="572" w:name="_Toc29030"/>
      <w:bookmarkStart w:id="573" w:name="_Toc29616"/>
      <w:bookmarkStart w:id="574" w:name="_Toc10173"/>
      <w:bookmarkStart w:id="575" w:name="_Toc11236"/>
      <w:bookmarkStart w:id="576" w:name="_Toc31971"/>
      <w:bookmarkStart w:id="577" w:name="_Toc17607"/>
      <w:bookmarkStart w:id="578" w:name="_Toc3225"/>
      <w:bookmarkStart w:id="579" w:name="_Toc1200"/>
      <w:bookmarkStart w:id="580" w:name="_Toc14491"/>
      <w:bookmarkStart w:id="581" w:name="_Toc12878"/>
      <w:r>
        <w:rPr>
          <w:rFonts w:hint="eastAsia" w:ascii="仿宋" w:hAnsi="仿宋" w:eastAsia="仿宋" w:cs="仿宋"/>
          <w:sz w:val="24"/>
          <w:szCs w:val="24"/>
        </w:rPr>
        <w:t>2.7 技术资料</w:t>
      </w:r>
      <w:bookmarkEnd w:id="556"/>
      <w:bookmarkEnd w:id="557"/>
      <w:bookmarkEnd w:id="558"/>
      <w:bookmarkEnd w:id="559"/>
      <w:bookmarkEnd w:id="560"/>
      <w:bookmarkEnd w:id="561"/>
      <w:r>
        <w:rPr>
          <w:rFonts w:hint="eastAsia" w:ascii="仿宋" w:hAnsi="仿宋" w:eastAsia="仿宋" w:cs="仿宋"/>
          <w:sz w:val="24"/>
          <w:szCs w:val="24"/>
        </w:rPr>
        <w:t>和保密义务</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60C0F23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2.7.1 乙方有权依据合同约定和项目需要，向甲方了解有关情况，调阅有关资料等，甲方应予积极配合；</w:t>
      </w:r>
    </w:p>
    <w:p w14:paraId="61A4A09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2.7.2 乙方有义务妥善保管和保护由甲方提供的前款信息和资料等；</w:t>
      </w:r>
    </w:p>
    <w:p w14:paraId="36FF4CA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6F04D3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582" w:name="_Toc4252"/>
      <w:bookmarkStart w:id="583" w:name="_Toc16190"/>
      <w:bookmarkStart w:id="584" w:name="_Toc11328"/>
      <w:bookmarkStart w:id="585" w:name="_Toc30503"/>
      <w:bookmarkStart w:id="586" w:name="_Toc5200"/>
      <w:bookmarkStart w:id="587" w:name="_Toc19177"/>
      <w:bookmarkStart w:id="588" w:name="_Toc18551"/>
      <w:bookmarkStart w:id="589" w:name="_Toc8288"/>
      <w:bookmarkStart w:id="590" w:name="_Toc10326"/>
      <w:bookmarkStart w:id="591" w:name="_Toc21267"/>
      <w:bookmarkStart w:id="592" w:name="_Toc10475"/>
      <w:bookmarkStart w:id="593" w:name="_Toc30386"/>
      <w:bookmarkStart w:id="594" w:name="_Toc3156"/>
      <w:bookmarkStart w:id="595" w:name="_Toc30477"/>
      <w:bookmarkStart w:id="596" w:name="_Toc23081"/>
      <w:bookmarkStart w:id="597" w:name="_Toc27453"/>
      <w:bookmarkStart w:id="598" w:name="_Toc11530"/>
      <w:bookmarkStart w:id="599" w:name="_Toc7860"/>
      <w:r>
        <w:rPr>
          <w:rFonts w:hint="eastAsia" w:ascii="仿宋" w:hAnsi="仿宋" w:eastAsia="仿宋" w:cs="仿宋"/>
          <w:sz w:val="24"/>
          <w:szCs w:val="24"/>
        </w:rPr>
        <w:t>2.8 质量保证</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5A05EF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2.8.1 乙方应建立和完善履行合同的内部质量保证体系，并提供相关内部规章制度给甲方，以便甲方进行监督检查；</w:t>
      </w:r>
    </w:p>
    <w:p w14:paraId="15EDEE97">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2.8.2 乙方应保证履行合同的人员数量和素质、软件和硬件设备的配置、场地、环境和设施等满足全面履行合同的要求，并应接受甲方的监督检查。</w:t>
      </w:r>
    </w:p>
    <w:p w14:paraId="20299C4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600" w:name="_Toc17203"/>
      <w:bookmarkStart w:id="601" w:name="_Toc25529"/>
      <w:bookmarkStart w:id="602" w:name="_Toc23172"/>
      <w:bookmarkStart w:id="603" w:name="_Toc17030"/>
      <w:bookmarkStart w:id="604" w:name="_Toc13812"/>
      <w:bookmarkStart w:id="605" w:name="_Toc812"/>
      <w:bookmarkStart w:id="606" w:name="_Toc12010"/>
      <w:bookmarkStart w:id="607" w:name="_Toc26555"/>
      <w:bookmarkStart w:id="608" w:name="_Toc27708"/>
      <w:bookmarkStart w:id="609" w:name="_Toc27234"/>
      <w:bookmarkStart w:id="610" w:name="_Toc18977"/>
      <w:bookmarkStart w:id="611" w:name="_Toc17244"/>
      <w:bookmarkStart w:id="612" w:name="_Toc17497"/>
      <w:bookmarkStart w:id="613" w:name="_Toc26151"/>
      <w:bookmarkStart w:id="614" w:name="_Toc14663"/>
      <w:bookmarkStart w:id="615" w:name="_Toc27238"/>
      <w:bookmarkStart w:id="616" w:name="_Toc22016"/>
      <w:bookmarkStart w:id="617" w:name="_Toc14596"/>
      <w:bookmarkStart w:id="618" w:name="_Toc487900362"/>
      <w:bookmarkStart w:id="619" w:name="_Toc279701252"/>
      <w:bookmarkStart w:id="620" w:name="_Toc259093681"/>
      <w:r>
        <w:rPr>
          <w:rFonts w:hint="eastAsia" w:ascii="仿宋" w:hAnsi="仿宋" w:eastAsia="仿宋" w:cs="仿宋"/>
          <w:sz w:val="24"/>
          <w:szCs w:val="24"/>
        </w:rPr>
        <w:t>2.9 货物的风险负担</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C8AC2B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货物或者在途货物或者交付给第一承运人后的货物毁损、灭失风险负担详见合同专用条款。</w:t>
      </w:r>
    </w:p>
    <w:p w14:paraId="33B206D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621" w:name="_Toc12270"/>
      <w:bookmarkStart w:id="622" w:name="_Toc7986"/>
      <w:bookmarkStart w:id="623" w:name="_Toc2"/>
      <w:bookmarkStart w:id="624" w:name="_Toc19684"/>
      <w:bookmarkStart w:id="625" w:name="_Toc25663"/>
      <w:bookmarkStart w:id="626" w:name="_Toc29837"/>
      <w:bookmarkStart w:id="627" w:name="_Toc14055"/>
      <w:bookmarkStart w:id="628" w:name="_Toc29224"/>
      <w:bookmarkStart w:id="629" w:name="_Toc1299"/>
      <w:bookmarkStart w:id="630" w:name="_Toc25231"/>
      <w:bookmarkStart w:id="631" w:name="_Toc15465"/>
      <w:bookmarkStart w:id="632" w:name="_Toc14698"/>
      <w:bookmarkStart w:id="633" w:name="_Toc11963"/>
      <w:bookmarkStart w:id="634" w:name="_Toc6602"/>
      <w:bookmarkStart w:id="635" w:name="_Toc15972"/>
      <w:bookmarkStart w:id="636" w:name="_Toc22674"/>
      <w:bookmarkStart w:id="637" w:name="_Toc5196"/>
      <w:bookmarkStart w:id="638" w:name="_Toc6601"/>
      <w:r>
        <w:rPr>
          <w:rFonts w:hint="eastAsia" w:ascii="仿宋" w:hAnsi="仿宋" w:eastAsia="仿宋" w:cs="仿宋"/>
          <w:sz w:val="24"/>
          <w:szCs w:val="24"/>
        </w:rPr>
        <w:t>2.10 延迟交货</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36619DE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009E98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639" w:name="_Toc7444"/>
      <w:bookmarkStart w:id="640" w:name="_Toc14851"/>
      <w:bookmarkStart w:id="641" w:name="_Toc10956"/>
      <w:bookmarkStart w:id="642" w:name="_Toc18704"/>
      <w:bookmarkStart w:id="643" w:name="_Toc4586"/>
      <w:bookmarkStart w:id="644" w:name="_Toc3064"/>
      <w:bookmarkStart w:id="645" w:name="_Toc8441"/>
      <w:bookmarkStart w:id="646" w:name="_Toc17237"/>
      <w:bookmarkStart w:id="647" w:name="_Toc26108"/>
      <w:bookmarkStart w:id="648" w:name="_Toc25717"/>
      <w:bookmarkStart w:id="649" w:name="_Toc507"/>
      <w:bookmarkStart w:id="650" w:name="_Toc27737"/>
      <w:bookmarkStart w:id="651" w:name="_Toc24598"/>
      <w:bookmarkStart w:id="652" w:name="_Toc16810"/>
      <w:bookmarkStart w:id="653" w:name="_Toc7502"/>
      <w:bookmarkStart w:id="654" w:name="_Toc16528"/>
      <w:bookmarkStart w:id="655" w:name="_Toc16430"/>
      <w:bookmarkStart w:id="656" w:name="_Ref467378121"/>
      <w:bookmarkStart w:id="657" w:name="_Toc487900364"/>
      <w:bookmarkStart w:id="658" w:name="_Toc259093683"/>
      <w:bookmarkStart w:id="659" w:name="_Toc279701254"/>
      <w:r>
        <w:rPr>
          <w:rFonts w:hint="eastAsia" w:ascii="仿宋" w:hAnsi="仿宋" w:eastAsia="仿宋" w:cs="仿宋"/>
          <w:sz w:val="24"/>
          <w:szCs w:val="24"/>
        </w:rPr>
        <w:t>2.11 合同变更</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51A6050E">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14:paraId="292BB6D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2.11.2 合同继续履行将损害国家利益和社会公共利益的，双方当事人应当以书面形式变更合同。有过错的一方应当承担赔偿责任，双方当事人都有过错的，各自承担相应的责任。</w:t>
      </w:r>
      <w:bookmarkStart w:id="660" w:name="_Toc259093688"/>
      <w:bookmarkStart w:id="661" w:name="_Toc487900369"/>
      <w:bookmarkStart w:id="662" w:name="_Toc279701259"/>
    </w:p>
    <w:p w14:paraId="3D80662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663" w:name="_Toc12630"/>
      <w:bookmarkStart w:id="664" w:name="_Toc22955"/>
      <w:bookmarkStart w:id="665" w:name="_Toc21817"/>
      <w:bookmarkStart w:id="666" w:name="_Toc10537"/>
      <w:bookmarkStart w:id="667" w:name="_Toc23079"/>
      <w:bookmarkStart w:id="668" w:name="_Toc11626"/>
      <w:bookmarkStart w:id="669" w:name="_Toc26224"/>
      <w:bookmarkStart w:id="670" w:name="_Toc10366"/>
      <w:bookmarkStart w:id="671" w:name="_Toc3062"/>
      <w:bookmarkStart w:id="672" w:name="_Toc24511"/>
      <w:bookmarkStart w:id="673" w:name="_Toc15237"/>
      <w:bookmarkStart w:id="674" w:name="_Toc3928"/>
      <w:bookmarkStart w:id="675" w:name="_Toc3825"/>
      <w:bookmarkStart w:id="676" w:name="_Toc25508"/>
      <w:bookmarkStart w:id="677" w:name="_Toc14895"/>
      <w:bookmarkStart w:id="678" w:name="_Toc19380"/>
      <w:bookmarkStart w:id="679" w:name="_Toc28630"/>
      <w:bookmarkStart w:id="680" w:name="_Toc3931"/>
      <w:bookmarkStart w:id="681" w:name="_Toc27772"/>
      <w:bookmarkStart w:id="682" w:name="_Toc19839"/>
      <w:r>
        <w:rPr>
          <w:rFonts w:hint="eastAsia" w:ascii="仿宋" w:hAnsi="仿宋" w:eastAsia="仿宋" w:cs="仿宋"/>
          <w:sz w:val="24"/>
          <w:szCs w:val="24"/>
        </w:rPr>
        <w:t>2.12 合同转让</w:t>
      </w:r>
      <w:bookmarkEnd w:id="660"/>
      <w:bookmarkEnd w:id="661"/>
      <w:bookmarkEnd w:id="662"/>
      <w:r>
        <w:rPr>
          <w:rFonts w:hint="eastAsia" w:ascii="仿宋" w:hAnsi="仿宋" w:eastAsia="仿宋" w:cs="仿宋"/>
          <w:sz w:val="24"/>
          <w:szCs w:val="24"/>
        </w:rPr>
        <w:t>和分包</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2A74E25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sz w:val="24"/>
          <w:szCs w:val="24"/>
          <w:lang w:eastAsia="zh-CN"/>
        </w:rPr>
        <w:t>投标人</w:t>
      </w:r>
      <w:r>
        <w:rPr>
          <w:rFonts w:hint="eastAsia" w:ascii="仿宋" w:hAnsi="仿宋" w:eastAsia="仿宋" w:cs="仿宋"/>
          <w:sz w:val="24"/>
          <w:szCs w:val="24"/>
        </w:rPr>
        <w:t>就分包项目向甲方承担连带责任。</w:t>
      </w:r>
    </w:p>
    <w:p w14:paraId="3DEF267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683" w:name="_Toc14752"/>
      <w:bookmarkStart w:id="684" w:name="_Toc16893"/>
      <w:bookmarkStart w:id="685" w:name="_Toc15741"/>
      <w:bookmarkStart w:id="686" w:name="_Toc15496"/>
      <w:bookmarkStart w:id="687" w:name="_Toc13557"/>
      <w:bookmarkStart w:id="688" w:name="_Toc1850"/>
      <w:bookmarkStart w:id="689" w:name="_Toc13566"/>
      <w:bookmarkStart w:id="690" w:name="_Toc14809"/>
      <w:bookmarkStart w:id="691" w:name="_Toc12809"/>
      <w:bookmarkStart w:id="692" w:name="_Toc12165"/>
      <w:bookmarkStart w:id="693" w:name="_Toc4540"/>
      <w:bookmarkStart w:id="694" w:name="_Toc8114"/>
      <w:bookmarkStart w:id="695" w:name="_Toc14066"/>
      <w:bookmarkStart w:id="696" w:name="_Toc3533"/>
      <w:bookmarkStart w:id="697" w:name="_Toc16508"/>
      <w:bookmarkStart w:id="698" w:name="_Toc24741"/>
      <w:bookmarkStart w:id="699" w:name="_Toc5484"/>
      <w:bookmarkStart w:id="700" w:name="_Toc17498"/>
      <w:bookmarkStart w:id="701" w:name="_Toc2586"/>
      <w:bookmarkStart w:id="702" w:name="_Toc11252"/>
      <w:r>
        <w:rPr>
          <w:rFonts w:hint="eastAsia" w:ascii="仿宋" w:hAnsi="仿宋" w:eastAsia="仿宋" w:cs="仿宋"/>
          <w:sz w:val="24"/>
          <w:szCs w:val="24"/>
        </w:rPr>
        <w:t>2.13 不可抗力</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ABA49B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2.13.1如果任何一方遭遇法律规定的不可抗力，致使合同履行受阻时，履行合同的期限应予延长，延长的期限应相当于不可抗力所影响的时间；</w:t>
      </w:r>
    </w:p>
    <w:p w14:paraId="1253274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2.13.2 因不可抗力致使不能实现合同目的的，当事人可以解除合同；</w:t>
      </w:r>
    </w:p>
    <w:p w14:paraId="182F7AE3">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2.13.3 因不可抗力致使合同有变更必要的，双方当事人应在合同专用条款约定时间内以书面形式变更合同；</w:t>
      </w:r>
    </w:p>
    <w:p w14:paraId="5988F20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2.13.4受不可抗力影响的一方在不可抗力发生后，应在合同专用条款约定时间内以书面形式通知对方当事人，并在合同专用条款约定时间内，将有关部门出具的证明文件送达对方当事人。</w:t>
      </w:r>
    </w:p>
    <w:p w14:paraId="1E5F961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703" w:name="_Toc259093684"/>
      <w:bookmarkStart w:id="704" w:name="_Toc6288"/>
      <w:bookmarkStart w:id="705" w:name="_Toc26085"/>
      <w:bookmarkStart w:id="706" w:name="_Toc10528"/>
      <w:bookmarkStart w:id="707" w:name="_Toc279701255"/>
      <w:bookmarkStart w:id="708" w:name="_Toc20686"/>
      <w:bookmarkStart w:id="709" w:name="_Toc19312"/>
      <w:bookmarkStart w:id="710" w:name="_Toc6969"/>
      <w:bookmarkStart w:id="711" w:name="_Toc3463"/>
      <w:bookmarkStart w:id="712" w:name="_Toc31597"/>
      <w:bookmarkStart w:id="713" w:name="_Toc13910"/>
      <w:bookmarkStart w:id="714" w:name="_Toc30676"/>
      <w:bookmarkStart w:id="715" w:name="_Toc11876"/>
      <w:bookmarkStart w:id="716" w:name="_Toc6676"/>
      <w:bookmarkStart w:id="717" w:name="_Toc487900365"/>
      <w:bookmarkStart w:id="718" w:name="_Toc689"/>
      <w:bookmarkStart w:id="719" w:name="_Toc7145"/>
      <w:bookmarkStart w:id="720" w:name="_Toc5980"/>
      <w:bookmarkStart w:id="721" w:name="_Toc1584"/>
      <w:bookmarkStart w:id="722" w:name="_Toc4006"/>
      <w:r>
        <w:rPr>
          <w:rFonts w:hint="eastAsia" w:ascii="仿宋" w:hAnsi="仿宋" w:eastAsia="仿宋" w:cs="仿宋"/>
          <w:sz w:val="24"/>
          <w:szCs w:val="24"/>
        </w:rPr>
        <w:t>2.14 税费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5B75128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w:t>
      </w:r>
    </w:p>
    <w:p w14:paraId="00598A6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723" w:name="_Toc29869"/>
      <w:bookmarkStart w:id="724" w:name="_Toc4812"/>
      <w:bookmarkStart w:id="725" w:name="_Toc259093687"/>
      <w:bookmarkStart w:id="726" w:name="_Toc14181"/>
      <w:bookmarkStart w:id="727" w:name="_Toc25260"/>
      <w:bookmarkStart w:id="728" w:name="_Toc7102"/>
      <w:bookmarkStart w:id="729" w:name="_Toc23266"/>
      <w:bookmarkStart w:id="730" w:name="_Toc11308"/>
      <w:bookmarkStart w:id="731" w:name="_Toc13626"/>
      <w:bookmarkStart w:id="732" w:name="_Toc32313"/>
      <w:bookmarkStart w:id="733" w:name="_Toc12141"/>
      <w:bookmarkStart w:id="734" w:name="_Toc29948"/>
      <w:bookmarkStart w:id="735" w:name="_Toc8298"/>
      <w:bookmarkStart w:id="736" w:name="_Toc487900368"/>
      <w:bookmarkStart w:id="737" w:name="_Toc8934"/>
      <w:bookmarkStart w:id="738" w:name="_Toc7117"/>
      <w:bookmarkStart w:id="739" w:name="_Toc16959"/>
      <w:bookmarkStart w:id="740" w:name="_Toc20424"/>
      <w:bookmarkStart w:id="741" w:name="_Toc14403"/>
      <w:bookmarkStart w:id="742" w:name="_Toc22239"/>
      <w:bookmarkStart w:id="743" w:name="_Toc515"/>
      <w:bookmarkStart w:id="744" w:name="_Toc20594"/>
      <w:bookmarkStart w:id="745" w:name="_Toc279701258"/>
      <w:r>
        <w:rPr>
          <w:rFonts w:hint="eastAsia" w:ascii="仿宋" w:hAnsi="仿宋" w:eastAsia="仿宋" w:cs="仿宋"/>
          <w:sz w:val="24"/>
          <w:szCs w:val="24"/>
        </w:rPr>
        <w:t>2.15 乙方破产</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C74517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A291AB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746" w:name="_Toc15445"/>
      <w:bookmarkStart w:id="747" w:name="_Toc8550"/>
      <w:bookmarkStart w:id="748" w:name="_Toc12606"/>
      <w:bookmarkStart w:id="749" w:name="_Toc31307"/>
      <w:bookmarkStart w:id="750" w:name="_Toc26255"/>
      <w:bookmarkStart w:id="751" w:name="_Toc8260"/>
      <w:bookmarkStart w:id="752" w:name="_Toc6134"/>
      <w:bookmarkStart w:id="753" w:name="_Toc4227"/>
      <w:bookmarkStart w:id="754" w:name="_Toc29764"/>
      <w:bookmarkStart w:id="755" w:name="_Toc818"/>
      <w:bookmarkStart w:id="756" w:name="_Toc31639"/>
      <w:bookmarkStart w:id="757" w:name="_Toc24066"/>
      <w:bookmarkStart w:id="758" w:name="_Toc29333"/>
      <w:bookmarkStart w:id="759" w:name="_Toc15605"/>
      <w:bookmarkStart w:id="760" w:name="_Toc9808"/>
      <w:bookmarkStart w:id="761" w:name="_Toc24867"/>
      <w:bookmarkStart w:id="762" w:name="_Toc15387"/>
      <w:bookmarkStart w:id="763" w:name="_Toc9318"/>
      <w:bookmarkStart w:id="764" w:name="_Toc27106"/>
      <w:bookmarkStart w:id="765" w:name="_Toc24976"/>
      <w:r>
        <w:rPr>
          <w:rFonts w:hint="eastAsia" w:ascii="仿宋" w:hAnsi="仿宋" w:eastAsia="仿宋" w:cs="仿宋"/>
          <w:sz w:val="24"/>
          <w:szCs w:val="24"/>
        </w:rPr>
        <w:t>2.16 合同中止、终止</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0A1277B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2.16.1 双方当事人不得擅自中止或者终止合同；</w:t>
      </w:r>
    </w:p>
    <w:p w14:paraId="72E0AA80">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2.16.2合同继续履行将损害国家利益和社会公共利益的，双方当事人应当中止或者终止合同。有过错的一方应当承担赔偿责任，双方当事人都有过错的，各自承担相应的责任。</w:t>
      </w:r>
    </w:p>
    <w:p w14:paraId="6E362B5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766" w:name="_Toc19271"/>
      <w:bookmarkStart w:id="767" w:name="_Toc11658"/>
      <w:bookmarkStart w:id="768" w:name="_Toc25710"/>
      <w:bookmarkStart w:id="769" w:name="_Toc6596"/>
      <w:bookmarkStart w:id="770" w:name="_Toc25358"/>
      <w:bookmarkStart w:id="771" w:name="_Toc20145"/>
      <w:bookmarkStart w:id="772" w:name="_Toc26299"/>
      <w:bookmarkStart w:id="773" w:name="_Toc24731"/>
      <w:bookmarkStart w:id="774" w:name="_Toc30476"/>
      <w:bookmarkStart w:id="775" w:name="_Toc4111"/>
      <w:bookmarkStart w:id="776" w:name="_Toc30133"/>
      <w:bookmarkStart w:id="777" w:name="_Toc19755"/>
      <w:bookmarkStart w:id="778" w:name="_Toc1125"/>
      <w:bookmarkStart w:id="779" w:name="_Toc20534"/>
      <w:bookmarkStart w:id="780" w:name="_Toc14563"/>
      <w:bookmarkStart w:id="781" w:name="_Toc23927"/>
      <w:bookmarkStart w:id="782" w:name="_Toc30958"/>
      <w:bookmarkStart w:id="783" w:name="_Toc13150"/>
      <w:bookmarkStart w:id="784" w:name="_Toc25844"/>
      <w:bookmarkStart w:id="785" w:name="_Toc14890"/>
      <w:r>
        <w:rPr>
          <w:rFonts w:hint="eastAsia" w:ascii="仿宋" w:hAnsi="仿宋" w:eastAsia="仿宋" w:cs="仿宋"/>
          <w:sz w:val="24"/>
          <w:szCs w:val="24"/>
        </w:rPr>
        <w:t>2.17 检验和验收</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5CA603A3">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14:paraId="0A7D44E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F2A36AD">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2.17.3 检验和验收标准、程序等具体内容以及前述验收书的效力详见合同专用条款。</w:t>
      </w:r>
    </w:p>
    <w:bookmarkEnd w:id="656"/>
    <w:bookmarkEnd w:id="657"/>
    <w:bookmarkEnd w:id="658"/>
    <w:bookmarkEnd w:id="659"/>
    <w:p w14:paraId="0ED6C4B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786" w:name="_Toc487900371"/>
      <w:bookmarkStart w:id="787" w:name="_Toc279701261"/>
      <w:bookmarkStart w:id="788" w:name="_Toc259093690"/>
      <w:bookmarkStart w:id="789" w:name="_Toc27621"/>
      <w:bookmarkStart w:id="790" w:name="_Toc22021"/>
      <w:bookmarkStart w:id="791" w:name="_Toc31218"/>
      <w:bookmarkStart w:id="792" w:name="_Toc12493"/>
      <w:bookmarkStart w:id="793" w:name="_Toc9266"/>
      <w:bookmarkStart w:id="794" w:name="_Toc197"/>
      <w:bookmarkStart w:id="795" w:name="_Toc17211"/>
      <w:bookmarkStart w:id="796" w:name="_Toc17270"/>
      <w:bookmarkStart w:id="797" w:name="_Toc14242"/>
      <w:bookmarkStart w:id="798" w:name="_Toc18538"/>
      <w:bookmarkStart w:id="799" w:name="_Toc26823"/>
      <w:bookmarkStart w:id="800" w:name="_Toc8096"/>
      <w:bookmarkStart w:id="801" w:name="_Toc19604"/>
      <w:bookmarkStart w:id="802" w:name="_Toc25182"/>
      <w:bookmarkStart w:id="803" w:name="_Toc15037"/>
      <w:bookmarkStart w:id="804" w:name="_Toc26892"/>
      <w:bookmarkStart w:id="805" w:name="_Toc4983"/>
      <w:bookmarkStart w:id="806" w:name="_Toc11284"/>
      <w:bookmarkStart w:id="807" w:name="_Toc13220"/>
      <w:bookmarkStart w:id="808" w:name="_Toc725"/>
      <w:r>
        <w:rPr>
          <w:rFonts w:hint="eastAsia" w:ascii="仿宋" w:hAnsi="仿宋" w:eastAsia="仿宋" w:cs="仿宋"/>
          <w:sz w:val="24"/>
          <w:szCs w:val="24"/>
        </w:rPr>
        <w:t>2.18 通知</w:t>
      </w:r>
      <w:bookmarkEnd w:id="786"/>
      <w:bookmarkEnd w:id="787"/>
      <w:bookmarkEnd w:id="788"/>
      <w:r>
        <w:rPr>
          <w:rFonts w:hint="eastAsia" w:ascii="仿宋" w:hAnsi="仿宋" w:eastAsia="仿宋" w:cs="仿宋"/>
          <w:sz w:val="24"/>
          <w:szCs w:val="24"/>
        </w:rPr>
        <w:t>和送达</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3B155063">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809" w:name="_Toc6698"/>
      <w:bookmarkStart w:id="810" w:name="_Toc3135"/>
      <w:bookmarkStart w:id="811" w:name="_Toc279701262"/>
      <w:bookmarkStart w:id="812" w:name="_Toc259093691"/>
      <w:bookmarkStart w:id="813" w:name="_Toc487900372"/>
      <w:r>
        <w:rPr>
          <w:rFonts w:hint="eastAsia" w:ascii="仿宋" w:hAnsi="仿宋" w:eastAsia="仿宋" w:cs="仿宋"/>
          <w:sz w:val="24"/>
          <w:szCs w:val="24"/>
        </w:rPr>
        <w:t>2.18.1 任何一方因履行合同而以合同第一部分尾部所列明的</w:t>
      </w:r>
      <w:r>
        <w:rPr>
          <w:rFonts w:hint="eastAsia" w:ascii="仿宋" w:hAnsi="仿宋" w:eastAsia="仿宋" w:cs="仿宋"/>
          <w:sz w:val="24"/>
          <w:szCs w:val="24"/>
          <w:u w:val="single"/>
        </w:rPr>
        <w:t xml:space="preserve">          </w:t>
      </w:r>
      <w:r>
        <w:rPr>
          <w:rFonts w:hint="eastAsia" w:ascii="仿宋" w:hAnsi="仿宋" w:eastAsia="仿宋" w:cs="仿宋"/>
          <w:sz w:val="24"/>
          <w:szCs w:val="24"/>
        </w:rPr>
        <w:t>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809"/>
      <w:bookmarkEnd w:id="810"/>
    </w:p>
    <w:p w14:paraId="6BE6FD72">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814" w:name="_Toc23128"/>
      <w:bookmarkStart w:id="815" w:name="_Toc23294"/>
      <w:r>
        <w:rPr>
          <w:rFonts w:hint="eastAsia" w:ascii="仿宋" w:hAnsi="仿宋" w:eastAsia="仿宋" w:cs="仿宋"/>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814"/>
      <w:bookmarkEnd w:id="815"/>
    </w:p>
    <w:p w14:paraId="5051C358">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816" w:name="_Toc14810"/>
      <w:bookmarkStart w:id="817" w:name="_Toc31861"/>
      <w:bookmarkStart w:id="818" w:name="_Toc30599"/>
      <w:bookmarkStart w:id="819" w:name="_Toc20309"/>
      <w:bookmarkStart w:id="820" w:name="_Toc32268"/>
      <w:bookmarkStart w:id="821" w:name="_Toc2623"/>
      <w:bookmarkStart w:id="822" w:name="_Toc29312"/>
      <w:bookmarkStart w:id="823" w:name="_Toc19885"/>
      <w:bookmarkStart w:id="824" w:name="_Toc20914"/>
      <w:bookmarkStart w:id="825" w:name="_Toc9371"/>
      <w:bookmarkStart w:id="826" w:name="_Toc4747"/>
      <w:bookmarkStart w:id="827" w:name="_Toc13014"/>
      <w:bookmarkStart w:id="828" w:name="_Toc18540"/>
      <w:bookmarkStart w:id="829" w:name="_Toc12721"/>
      <w:bookmarkStart w:id="830" w:name="_Toc27038"/>
      <w:bookmarkStart w:id="831" w:name="_Toc11892"/>
      <w:bookmarkStart w:id="832" w:name="_Toc4241"/>
      <w:bookmarkStart w:id="833" w:name="_Toc21923"/>
      <w:bookmarkStart w:id="834" w:name="_Toc4355"/>
      <w:r>
        <w:rPr>
          <w:rFonts w:hint="eastAsia" w:ascii="仿宋" w:hAnsi="仿宋" w:eastAsia="仿宋" w:cs="仿宋"/>
          <w:sz w:val="24"/>
          <w:szCs w:val="24"/>
        </w:rPr>
        <w:t>2.19 计量单位</w:t>
      </w:r>
      <w:bookmarkEnd w:id="811"/>
      <w:bookmarkEnd w:id="812"/>
      <w:bookmarkEnd w:id="813"/>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4E27D94A">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除技术规范中另有规定外,合同的计量单位均使用国家法定计量单位。</w:t>
      </w:r>
    </w:p>
    <w:p w14:paraId="3CF44224">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835" w:name="_Toc18567"/>
      <w:bookmarkStart w:id="836" w:name="_Toc13131"/>
      <w:bookmarkStart w:id="837" w:name="_Toc17517"/>
      <w:bookmarkStart w:id="838" w:name="_Toc27589"/>
      <w:bookmarkStart w:id="839" w:name="_Toc15868"/>
      <w:bookmarkStart w:id="840" w:name="_Toc21774"/>
      <w:bookmarkStart w:id="841" w:name="_Toc9626"/>
      <w:bookmarkStart w:id="842" w:name="_Toc279701263"/>
      <w:bookmarkStart w:id="843" w:name="_Toc18322"/>
      <w:bookmarkStart w:id="844" w:name="_Toc8800"/>
      <w:bookmarkStart w:id="845" w:name="_Toc12773"/>
      <w:bookmarkStart w:id="846" w:name="_Toc487900373"/>
      <w:bookmarkStart w:id="847" w:name="_Toc259093692"/>
      <w:bookmarkStart w:id="848" w:name="_Toc5796"/>
      <w:bookmarkStart w:id="849" w:name="_Toc10330"/>
      <w:bookmarkStart w:id="850" w:name="_Toc28784"/>
      <w:bookmarkStart w:id="851" w:name="_Toc18634"/>
      <w:bookmarkStart w:id="852" w:name="_Toc16880"/>
      <w:bookmarkStart w:id="853" w:name="_Toc19154"/>
      <w:bookmarkStart w:id="854" w:name="_Toc32583"/>
      <w:bookmarkStart w:id="855" w:name="_Toc20624"/>
      <w:bookmarkStart w:id="856" w:name="_Toc21095"/>
      <w:bookmarkStart w:id="857" w:name="_Toc15428"/>
      <w:r>
        <w:rPr>
          <w:rFonts w:hint="eastAsia" w:ascii="仿宋" w:hAnsi="仿宋" w:eastAsia="仿宋" w:cs="仿宋"/>
          <w:sz w:val="24"/>
          <w:szCs w:val="24"/>
        </w:rPr>
        <w:t>2.20 合同使用的文字和适用的法律</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3753660B">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2.20.1 合同使用汉语书就、变更和解释；</w:t>
      </w:r>
    </w:p>
    <w:p w14:paraId="26C24339">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2.20.2 合同适用中华人民共和国法律。</w:t>
      </w:r>
    </w:p>
    <w:p w14:paraId="620F8CE1">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858" w:name="_Toc5000"/>
      <w:bookmarkStart w:id="859" w:name="_Toc32497"/>
      <w:bookmarkStart w:id="860" w:name="_Toc26372"/>
      <w:bookmarkStart w:id="861" w:name="_Toc8602"/>
      <w:bookmarkStart w:id="862" w:name="_Toc279701264"/>
      <w:bookmarkStart w:id="863" w:name="_Toc538"/>
      <w:bookmarkStart w:id="864" w:name="_Toc25551"/>
      <w:bookmarkStart w:id="865" w:name="_Toc638"/>
      <w:bookmarkStart w:id="866" w:name="_Toc16673"/>
      <w:bookmarkStart w:id="867" w:name="_Toc1670"/>
      <w:bookmarkStart w:id="868" w:name="_Toc31790"/>
      <w:bookmarkStart w:id="869" w:name="_Toc29942"/>
      <w:bookmarkStart w:id="870" w:name="_Toc14964"/>
      <w:bookmarkStart w:id="871" w:name="_Toc18845"/>
      <w:bookmarkStart w:id="872" w:name="_Toc259093693"/>
      <w:bookmarkStart w:id="873" w:name="_Toc11628"/>
      <w:bookmarkStart w:id="874" w:name="_Toc15434"/>
      <w:bookmarkStart w:id="875" w:name="_Toc3148"/>
      <w:bookmarkStart w:id="876" w:name="_Toc14308"/>
      <w:bookmarkStart w:id="877" w:name="_Toc8022"/>
      <w:bookmarkStart w:id="878" w:name="_Toc12004"/>
      <w:bookmarkStart w:id="879" w:name="_Toc23680"/>
      <w:bookmarkStart w:id="880" w:name="_Toc487900374"/>
      <w:r>
        <w:rPr>
          <w:rFonts w:hint="eastAsia" w:ascii="仿宋" w:hAnsi="仿宋" w:eastAsia="仿宋" w:cs="仿宋"/>
          <w:sz w:val="24"/>
          <w:szCs w:val="24"/>
        </w:rPr>
        <w:t>2.21 履约保证金</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17E7E196">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2.21.1 采购文件要求乙方提交履约保证金的，乙方应按合同专用条款约定的方式，以支票、汇票、本票或者金融机构、担保机构出具的保函等非现金形式，提交不超过合同价10%的履约保证金；</w:t>
      </w:r>
    </w:p>
    <w:p w14:paraId="58267455">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2.21.2  履约保证金在合同专用条款约定期间内或者货物质量保证期内不予退还或者应完全有效，前述约定期间届满或者货物质量保证期届满之日起  个工作日内，甲方应将履约保证金退还乙方；</w:t>
      </w:r>
    </w:p>
    <w:p w14:paraId="1B20CB7C">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880"/>
    <w:p w14:paraId="432DF0B4">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bookmarkStart w:id="881" w:name="_Toc19890"/>
      <w:bookmarkStart w:id="882" w:name="_Toc6885"/>
      <w:bookmarkStart w:id="883" w:name="_Toc22184"/>
      <w:bookmarkStart w:id="884" w:name="_Toc22821"/>
      <w:bookmarkStart w:id="885" w:name="_Toc27563"/>
      <w:bookmarkStart w:id="886" w:name="_Toc15273"/>
      <w:bookmarkStart w:id="887" w:name="_Toc10801"/>
      <w:bookmarkStart w:id="888" w:name="_Toc5227"/>
      <w:bookmarkStart w:id="889" w:name="_Toc30847"/>
      <w:bookmarkStart w:id="890" w:name="_Toc24006"/>
      <w:bookmarkStart w:id="891" w:name="_Toc22496"/>
      <w:bookmarkStart w:id="892" w:name="_Toc11103"/>
      <w:bookmarkStart w:id="893" w:name="_Toc14001"/>
      <w:bookmarkStart w:id="894" w:name="_Toc25691"/>
      <w:bookmarkStart w:id="895" w:name="_Toc2720"/>
      <w:bookmarkStart w:id="896" w:name="_Toc8495"/>
      <w:bookmarkStart w:id="897" w:name="_Toc8867"/>
      <w:bookmarkStart w:id="898" w:name="_Toc32408"/>
      <w:bookmarkStart w:id="899" w:name="_Toc13439"/>
      <w:bookmarkStart w:id="900" w:name="_Toc30496"/>
      <w:r>
        <w:rPr>
          <w:rFonts w:hint="eastAsia" w:ascii="仿宋" w:hAnsi="仿宋" w:eastAsia="仿宋" w:cs="仿宋"/>
          <w:sz w:val="24"/>
          <w:szCs w:val="24"/>
        </w:rPr>
        <w:t>2.22 合同份数</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601BAEAF">
      <w:pPr>
        <w:pStyle w:val="15"/>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t>合同份数按合同专用条款规定，每份均具有同等法律效力。</w:t>
      </w:r>
      <w:bookmarkStart w:id="901" w:name="_Toc331685784"/>
    </w:p>
    <w:p w14:paraId="57F85B23">
      <w:pPr>
        <w:pStyle w:val="15"/>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sz w:val="24"/>
          <w:szCs w:val="24"/>
        </w:rPr>
      </w:pPr>
    </w:p>
    <w:p w14:paraId="17A52961">
      <w:pPr>
        <w:pStyle w:val="15"/>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第三部分  合同专用条款</w:t>
      </w:r>
      <w:bookmarkEnd w:id="901"/>
    </w:p>
    <w:p w14:paraId="28DAE153">
      <w:pPr>
        <w:pStyle w:val="15"/>
        <w:keepNext w:val="0"/>
        <w:keepLines w:val="0"/>
        <w:pageBreakBefore w:val="0"/>
        <w:widowControl w:val="0"/>
        <w:kinsoku/>
        <w:wordWrap/>
        <w:overflowPunct/>
        <w:topLinePunct w:val="0"/>
        <w:autoSpaceDE/>
        <w:autoSpaceDN/>
        <w:bidi w:val="0"/>
        <w:adjustRightInd/>
        <w:snapToGrid w:val="0"/>
        <w:spacing w:line="50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5724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182142B5">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r>
              <w:rPr>
                <w:rFonts w:hint="eastAsia" w:ascii="仿宋" w:hAnsi="仿宋" w:eastAsia="仿宋" w:cs="仿宋"/>
                <w:sz w:val="24"/>
                <w:szCs w:val="24"/>
              </w:rPr>
              <w:t>条款号</w:t>
            </w:r>
          </w:p>
        </w:tc>
        <w:tc>
          <w:tcPr>
            <w:tcW w:w="7633" w:type="dxa"/>
            <w:noWrap w:val="0"/>
            <w:vAlign w:val="center"/>
          </w:tcPr>
          <w:p w14:paraId="2F76E88D">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jc w:val="center"/>
              <w:textAlignment w:val="auto"/>
              <w:rPr>
                <w:rFonts w:hint="eastAsia" w:ascii="仿宋" w:hAnsi="仿宋" w:eastAsia="仿宋" w:cs="仿宋"/>
                <w:sz w:val="24"/>
                <w:szCs w:val="24"/>
              </w:rPr>
            </w:pPr>
            <w:r>
              <w:rPr>
                <w:rFonts w:hint="eastAsia" w:ascii="仿宋" w:hAnsi="仿宋" w:eastAsia="仿宋" w:cs="仿宋"/>
                <w:sz w:val="24"/>
                <w:szCs w:val="24"/>
              </w:rPr>
              <w:t>约定内容</w:t>
            </w:r>
          </w:p>
        </w:tc>
      </w:tr>
      <w:tr w14:paraId="7484A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4365ADC9">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7633" w:type="dxa"/>
            <w:noWrap w:val="0"/>
            <w:vAlign w:val="center"/>
          </w:tcPr>
          <w:p w14:paraId="12078275">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r w14:paraId="781B2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0A16FE5">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7633" w:type="dxa"/>
            <w:noWrap w:val="0"/>
            <w:vAlign w:val="center"/>
          </w:tcPr>
          <w:p w14:paraId="05482529">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r w14:paraId="68600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FC8140A">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7633" w:type="dxa"/>
            <w:noWrap w:val="0"/>
            <w:vAlign w:val="center"/>
          </w:tcPr>
          <w:p w14:paraId="5C93F17D">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r w14:paraId="1B222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3916C20">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7633" w:type="dxa"/>
            <w:noWrap w:val="0"/>
            <w:vAlign w:val="center"/>
          </w:tcPr>
          <w:p w14:paraId="5842AF9A">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r w14:paraId="7C0F7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2AF222A">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7633" w:type="dxa"/>
            <w:noWrap w:val="0"/>
            <w:vAlign w:val="center"/>
          </w:tcPr>
          <w:p w14:paraId="34F7A06D">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r w14:paraId="11DF7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6576AAC7">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7633" w:type="dxa"/>
            <w:noWrap w:val="0"/>
            <w:vAlign w:val="center"/>
          </w:tcPr>
          <w:p w14:paraId="04E6DAD7">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r w14:paraId="49953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1DBFFECD">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c>
          <w:tcPr>
            <w:tcW w:w="7633" w:type="dxa"/>
            <w:noWrap w:val="0"/>
            <w:vAlign w:val="center"/>
          </w:tcPr>
          <w:p w14:paraId="60904F0D">
            <w:pPr>
              <w:pStyle w:val="1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00" w:lineRule="exact"/>
              <w:ind w:left="0" w:right="0"/>
              <w:textAlignment w:val="auto"/>
              <w:rPr>
                <w:rFonts w:hint="eastAsia" w:ascii="仿宋" w:hAnsi="仿宋" w:eastAsia="仿宋" w:cs="仿宋"/>
                <w:sz w:val="24"/>
                <w:szCs w:val="24"/>
              </w:rPr>
            </w:pPr>
          </w:p>
        </w:tc>
      </w:tr>
    </w:tbl>
    <w:p w14:paraId="2EE3FB02">
      <w:pPr>
        <w:pStyle w:val="34"/>
        <w:pageBreakBefore w:val="0"/>
        <w:numPr>
          <w:ilvl w:val="0"/>
          <w:numId w:val="0"/>
        </w:numPr>
        <w:kinsoku/>
        <w:wordWrap/>
        <w:overflowPunct/>
        <w:topLinePunct w:val="0"/>
        <w:autoSpaceDE/>
        <w:autoSpaceDN/>
        <w:bidi w:val="0"/>
        <w:adjustRightInd/>
        <w:spacing w:line="396" w:lineRule="auto"/>
        <w:jc w:val="center"/>
        <w:textAlignment w:val="auto"/>
        <w:rPr>
          <w:rFonts w:hint="eastAsia" w:ascii="仿宋" w:hAnsi="仿宋" w:eastAsia="仿宋" w:cs="仿宋"/>
          <w:b/>
          <w:sz w:val="36"/>
          <w:szCs w:val="36"/>
          <w:lang w:val="en-US" w:eastAsia="zh-CN"/>
        </w:rPr>
      </w:pPr>
    </w:p>
    <w:p w14:paraId="1FDADB8D">
      <w:pPr>
        <w:pStyle w:val="34"/>
        <w:pageBreakBefore w:val="0"/>
        <w:numPr>
          <w:ilvl w:val="0"/>
          <w:numId w:val="0"/>
        </w:numPr>
        <w:kinsoku/>
        <w:wordWrap/>
        <w:overflowPunct/>
        <w:topLinePunct w:val="0"/>
        <w:autoSpaceDE/>
        <w:autoSpaceDN/>
        <w:bidi w:val="0"/>
        <w:adjustRightInd/>
        <w:spacing w:line="240" w:lineRule="auto"/>
        <w:jc w:val="center"/>
        <w:textAlignment w:val="auto"/>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第六章  投标文件格式</w:t>
      </w:r>
    </w:p>
    <w:p w14:paraId="6ACAA695">
      <w:pPr>
        <w:pStyle w:val="7"/>
        <w:numPr>
          <w:ilvl w:val="0"/>
          <w:numId w:val="12"/>
        </w:numPr>
        <w:spacing w:before="0" w:line="240" w:lineRule="auto"/>
        <w:ind w:left="1080" w:leftChars="257" w:hanging="540"/>
        <w:rPr>
          <w:rFonts w:hint="eastAsia"/>
        </w:rPr>
      </w:pPr>
      <w:bookmarkStart w:id="902" w:name="_Toc18974"/>
      <w:bookmarkStart w:id="903" w:name="_Toc28505"/>
      <w:bookmarkStart w:id="904" w:name="_Toc4017"/>
      <w:bookmarkStart w:id="905" w:name="_Toc18694"/>
      <w:bookmarkStart w:id="906" w:name="_Toc515647803"/>
      <w:bookmarkStart w:id="907" w:name="_Toc3663"/>
      <w:bookmarkStart w:id="908" w:name="_Toc17768"/>
      <w:bookmarkStart w:id="909" w:name="_Toc31627"/>
      <w:r>
        <w:rPr>
          <w:rFonts w:hint="eastAsia" w:ascii="仿宋" w:hAnsi="仿宋" w:eastAsia="仿宋" w:cs="仿宋"/>
          <w:color w:val="auto"/>
          <w:sz w:val="28"/>
          <w:szCs w:val="28"/>
          <w:highlight w:val="none"/>
        </w:rPr>
        <w:t>开标一览表及资格证明文件</w:t>
      </w:r>
      <w:bookmarkEnd w:id="902"/>
      <w:bookmarkEnd w:id="903"/>
      <w:bookmarkEnd w:id="904"/>
      <w:bookmarkEnd w:id="905"/>
      <w:bookmarkEnd w:id="906"/>
      <w:bookmarkEnd w:id="907"/>
      <w:bookmarkEnd w:id="908"/>
      <w:bookmarkEnd w:id="909"/>
    </w:p>
    <w:p w14:paraId="26FAB46D">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（1）投标人须具备有效经年检合格的“三证合一”营业执照；</w:t>
      </w:r>
    </w:p>
    <w:p w14:paraId="691F132C">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（2）法定代表人、委托人的身份证明及授权委托书；</w:t>
      </w:r>
    </w:p>
    <w:p w14:paraId="10265336">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（3）投标人需提供本单位依法缴纳投标截止时间前半年内任意连续近三个月社保缴纳证明单位缴费个人明细表（社保证明可含：社保缴费凭证、社保缴费证明、社保缴费汇总单、依法缴纳社保的完税证明）；</w:t>
      </w:r>
    </w:p>
    <w:p w14:paraId="26DFB589">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（4）投标人需提供2023年度第三方审计机构出具的财务审计报告(会计周期不满一年的提供近三个月银行出具的资信证明）和健全的财务会计制度；</w:t>
      </w:r>
    </w:p>
    <w:p w14:paraId="58891660">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（5）投标人需提供税务部门出具投标截止时间前半年内任意连续近三个月缴纳税收的完税证明（需含增值税、印花税等税种；如当月无需缴税需提供税务机关出具的无欠税证明）；</w:t>
      </w:r>
    </w:p>
    <w:p w14:paraId="48EB6437">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凡拟参加本次招标项目的投标人，近三年内如在“信用中国（www.creditchina.gov.cn）”被列入失信被执行人、企业经营异常名录、重大税收违法案件当事人名单、政府采购严重违法失信名单（尚在处罚期内的）“中国政府采购网（www.ccgp.gov.cn）”被列入政府采购严重违法失信行为记录名单的（尚在处罚期内的）“国家企业信用信息公示系统（http://www.gsxt.gov.cn）”列入经营异常名录信息、严重违法失信名单（黑名单）信息（尚在处罚期内的）；将拒绝其参与本次政府采购活动；提供上述网页查询截图并加盖公章，</w:t>
      </w:r>
      <w:r>
        <w:rPr>
          <w:rFonts w:hint="eastAsia" w:ascii="仿宋" w:hAnsi="仿宋" w:eastAsia="仿宋" w:cs="仿宋"/>
          <w:kern w:val="2"/>
          <w:sz w:val="24"/>
          <w:szCs w:val="24"/>
          <w:highlight w:val="green"/>
          <w:lang w:val="en-US" w:eastAsia="zh-CN" w:bidi="ar-SA"/>
        </w:rPr>
        <w:t>查询日期必须为此项目公告发布至开标截止时间前一日内有效；</w:t>
      </w:r>
    </w:p>
    <w:p w14:paraId="6E2B45DE">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（7）投标人提供针对本次项目《反商业贿赂承诺书》；</w:t>
      </w:r>
    </w:p>
    <w:p w14:paraId="7CCC6566">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（8）参加政府采购活动前3年内在经营活动中没有重大违法记录的书面声明；</w:t>
      </w:r>
    </w:p>
    <w:p w14:paraId="78B7DB6D">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（9）投标人提供有效期内《食品经营许可证》或《食品流通许可证》或《食品生产许可证》；</w:t>
      </w:r>
    </w:p>
    <w:p w14:paraId="0865B2BA">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（10）投标保证金有效凭证；</w:t>
      </w:r>
    </w:p>
    <w:p w14:paraId="148AD44C">
      <w:pPr>
        <w:pStyle w:val="15"/>
        <w:pageBreakBefore w:val="0"/>
        <w:kinsoku/>
        <w:wordWrap/>
        <w:overflowPunct/>
        <w:topLinePunct w:val="0"/>
        <w:autoSpaceDE/>
        <w:autoSpaceDN/>
        <w:bidi w:val="0"/>
        <w:adjustRightInd/>
        <w:snapToGrid w:val="0"/>
        <w:spacing w:line="360"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（11）落实政府采购政策需满足的资格要求：本项目专门面向中小微企业采购，不再执行价格评审优惠政策。请根据要求单独上传《中小企业声明函》，格式以采购文件中要求为准。</w:t>
      </w:r>
    </w:p>
    <w:p w14:paraId="68692B60">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1F4E07C6">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2D27E0C9">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1EA4A221">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30EA5808">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2AAD98E4">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05544487">
      <w:pPr>
        <w:tabs>
          <w:tab w:val="left" w:pos="5580"/>
        </w:tabs>
        <w:spacing w:line="240" w:lineRule="atLeast"/>
        <w:jc w:val="center"/>
        <w:rPr>
          <w:rFonts w:hint="eastAsia" w:ascii="仿宋" w:hAnsi="仿宋" w:eastAsia="仿宋" w:cs="仿宋"/>
          <w:b/>
          <w:bCs/>
          <w:color w:val="auto"/>
          <w:sz w:val="28"/>
          <w:szCs w:val="28"/>
          <w:highlight w:val="none"/>
        </w:rPr>
      </w:pPr>
      <w:bookmarkStart w:id="910" w:name="_Toc12424"/>
      <w:bookmarkStart w:id="911" w:name="_Toc18145"/>
      <w:bookmarkStart w:id="912" w:name="_Toc16786"/>
      <w:bookmarkStart w:id="913" w:name="_Toc515647804"/>
      <w:bookmarkStart w:id="914" w:name="_Toc30524"/>
      <w:bookmarkStart w:id="915" w:name="_Toc16568"/>
    </w:p>
    <w:p w14:paraId="243BB923">
      <w:pPr>
        <w:tabs>
          <w:tab w:val="left" w:pos="5580"/>
        </w:tabs>
        <w:spacing w:line="240" w:lineRule="atLeast"/>
        <w:jc w:val="center"/>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8"/>
          <w:szCs w:val="28"/>
          <w:highlight w:val="none"/>
        </w:rPr>
        <w:t>1、开标一览表</w:t>
      </w:r>
      <w:bookmarkEnd w:id="910"/>
      <w:bookmarkEnd w:id="911"/>
      <w:bookmarkEnd w:id="912"/>
      <w:bookmarkEnd w:id="913"/>
      <w:bookmarkEnd w:id="914"/>
      <w:bookmarkEnd w:id="915"/>
      <w:r>
        <w:rPr>
          <w:rFonts w:hint="eastAsia" w:ascii="仿宋" w:hAnsi="仿宋" w:eastAsia="仿宋" w:cs="仿宋"/>
          <w:b/>
          <w:bCs/>
          <w:color w:val="auto"/>
          <w:sz w:val="28"/>
          <w:szCs w:val="28"/>
          <w:highlight w:val="none"/>
          <w:lang w:eastAsia="zh-CN"/>
        </w:rPr>
        <w:t>（投标文件格式</w:t>
      </w:r>
      <w:r>
        <w:rPr>
          <w:rFonts w:hint="eastAsia" w:ascii="仿宋" w:hAnsi="仿宋" w:eastAsia="仿宋" w:cs="仿宋"/>
          <w:b/>
          <w:bCs/>
          <w:color w:val="auto"/>
          <w:sz w:val="28"/>
          <w:szCs w:val="28"/>
          <w:highlight w:val="none"/>
          <w:lang w:val="en-US" w:eastAsia="zh-CN"/>
        </w:rPr>
        <w:t>一）</w:t>
      </w:r>
    </w:p>
    <w:p w14:paraId="4A0A7429">
      <w:pPr>
        <w:pStyle w:val="15"/>
        <w:tabs>
          <w:tab w:val="left" w:pos="5580"/>
        </w:tabs>
        <w:spacing w:line="240" w:lineRule="atLeast"/>
        <w:ind w:left="269" w:leftChars="128"/>
        <w:rPr>
          <w:rFonts w:hint="eastAsia" w:ascii="仿宋" w:hAnsi="仿宋" w:eastAsia="仿宋" w:cs="仿宋"/>
          <w:color w:val="auto"/>
          <w:sz w:val="24"/>
          <w:szCs w:val="24"/>
          <w:highlight w:val="none"/>
        </w:rPr>
      </w:pPr>
    </w:p>
    <w:p w14:paraId="39C42874">
      <w:pPr>
        <w:pStyle w:val="4"/>
        <w:tabs>
          <w:tab w:val="left" w:pos="5580"/>
        </w:tabs>
        <w:spacing w:line="240" w:lineRule="atLeast"/>
        <w:ind w:left="0" w:leftChars="0" w:firstLine="0" w:firstLineChars="0"/>
        <w:jc w:val="center"/>
        <w:rPr>
          <w:rFonts w:hint="eastAsia" w:ascii="仿宋" w:hAnsi="仿宋" w:eastAsia="仿宋" w:cs="仿宋"/>
          <w:b/>
          <w:color w:val="auto"/>
          <w:highlight w:val="none"/>
        </w:rPr>
      </w:pPr>
      <w:bookmarkStart w:id="916" w:name="_Hlt520356241"/>
      <w:bookmarkEnd w:id="916"/>
      <w:bookmarkStart w:id="917" w:name="_Toc494296984"/>
      <w:bookmarkStart w:id="918" w:name="_Toc480942349"/>
      <w:bookmarkStart w:id="919" w:name="_Ref467988698"/>
      <w:bookmarkStart w:id="920" w:name="_Toc520356217"/>
      <w:bookmarkStart w:id="921" w:name="_Toc216582813"/>
      <w:r>
        <w:rPr>
          <w:rFonts w:hint="eastAsia" w:ascii="仿宋" w:hAnsi="仿宋" w:eastAsia="仿宋" w:cs="仿宋"/>
          <w:b/>
          <w:color w:val="auto"/>
          <w:highlight w:val="none"/>
        </w:rPr>
        <w:t>开标一览表</w:t>
      </w:r>
      <w:bookmarkEnd w:id="917"/>
    </w:p>
    <w:p w14:paraId="1651E59E">
      <w:pPr>
        <w:pStyle w:val="4"/>
        <w:tabs>
          <w:tab w:val="left" w:pos="5580"/>
        </w:tabs>
        <w:spacing w:line="240" w:lineRule="atLeast"/>
        <w:ind w:left="0" w:leftChars="0" w:firstLine="0" w:firstLineChars="0"/>
        <w:rPr>
          <w:rFonts w:hint="eastAsia" w:ascii="仿宋" w:hAnsi="仿宋" w:eastAsia="仿宋" w:cs="仿宋"/>
          <w:color w:val="auto"/>
          <w:highlight w:val="none"/>
        </w:rPr>
      </w:pPr>
    </w:p>
    <w:p w14:paraId="76149FA0">
      <w:pPr>
        <w:tabs>
          <w:tab w:val="left" w:pos="1800"/>
          <w:tab w:val="left" w:pos="5580"/>
        </w:tabs>
        <w:spacing w:line="240" w:lineRule="atLeast"/>
        <w:ind w:right="-867" w:rightChars="-413"/>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项目名称：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z w:val="24"/>
          <w:highlight w:val="none"/>
          <w:lang w:val="en-US" w:eastAsia="zh-CN"/>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 xml:space="preserve">     </w:t>
      </w:r>
      <w:r>
        <w:rPr>
          <w:rFonts w:hint="eastAsia" w:ascii="仿宋" w:hAnsi="仿宋" w:eastAsia="仿宋" w:cs="仿宋"/>
          <w:color w:val="auto"/>
          <w:sz w:val="24"/>
          <w:szCs w:val="24"/>
          <w:lang w:val="en-US" w:eastAsia="zh-CN"/>
        </w:rPr>
        <w:t>报价</w:t>
      </w:r>
      <w:r>
        <w:rPr>
          <w:rFonts w:hint="eastAsia" w:ascii="仿宋" w:hAnsi="仿宋" w:eastAsia="仿宋" w:cs="仿宋"/>
          <w:color w:val="auto"/>
          <w:sz w:val="24"/>
          <w:szCs w:val="24"/>
        </w:rPr>
        <w:t>单位：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val="en-US" w:eastAsia="zh-CN"/>
        </w:rPr>
        <w:t xml:space="preserve">    </w:t>
      </w:r>
    </w:p>
    <w:tbl>
      <w:tblPr>
        <w:tblStyle w:val="25"/>
        <w:tblpPr w:leftFromText="180" w:rightFromText="180" w:vertAnchor="text" w:horzAnchor="page" w:tblpX="1089" w:tblpY="420"/>
        <w:tblOverlap w:val="never"/>
        <w:tblW w:w="10550" w:type="dxa"/>
        <w:tblInd w:w="0" w:type="dxa"/>
        <w:tblLayout w:type="fixed"/>
        <w:tblCellMar>
          <w:top w:w="0" w:type="dxa"/>
          <w:left w:w="0" w:type="dxa"/>
          <w:bottom w:w="0" w:type="dxa"/>
          <w:right w:w="0" w:type="dxa"/>
        </w:tblCellMar>
      </w:tblPr>
      <w:tblGrid>
        <w:gridCol w:w="1760"/>
        <w:gridCol w:w="1790"/>
        <w:gridCol w:w="2000"/>
        <w:gridCol w:w="1550"/>
        <w:gridCol w:w="1650"/>
        <w:gridCol w:w="1800"/>
      </w:tblGrid>
      <w:tr w14:paraId="20423AFD">
        <w:tblPrEx>
          <w:tblCellMar>
            <w:top w:w="0" w:type="dxa"/>
            <w:left w:w="0" w:type="dxa"/>
            <w:bottom w:w="0" w:type="dxa"/>
            <w:right w:w="0" w:type="dxa"/>
          </w:tblCellMar>
        </w:tblPrEx>
        <w:trPr>
          <w:trHeight w:val="631" w:hRule="atLeast"/>
        </w:trPr>
        <w:tc>
          <w:tcPr>
            <w:tcW w:w="1760" w:type="dxa"/>
            <w:tcBorders>
              <w:top w:val="single" w:color="auto" w:sz="4" w:space="0"/>
              <w:left w:val="single" w:color="auto" w:sz="4" w:space="0"/>
              <w:bottom w:val="single" w:color="auto" w:sz="4" w:space="0"/>
              <w:right w:val="single" w:color="auto" w:sz="4" w:space="0"/>
            </w:tcBorders>
            <w:noWrap w:val="0"/>
            <w:vAlign w:val="center"/>
          </w:tcPr>
          <w:p w14:paraId="124CDF72">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lang w:eastAsia="zh-CN"/>
              </w:rPr>
              <w:t>名称</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8C6699A">
            <w:pPr>
              <w:keepNext w:val="0"/>
              <w:keepLines w:val="0"/>
              <w:suppressLineNumbers w:val="0"/>
              <w:tabs>
                <w:tab w:val="left" w:pos="5580"/>
              </w:tabs>
              <w:spacing w:before="0" w:beforeAutospacing="0" w:after="0" w:afterAutospacing="0" w:line="240" w:lineRule="atLeast"/>
              <w:ind w:left="0" w:leftChars="0" w:right="0" w:rightChars="0"/>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下浮率（%）</w:t>
            </w:r>
          </w:p>
        </w:tc>
        <w:tc>
          <w:tcPr>
            <w:tcW w:w="2000" w:type="dxa"/>
            <w:tcBorders>
              <w:top w:val="single" w:color="auto" w:sz="4" w:space="0"/>
              <w:left w:val="single" w:color="auto" w:sz="4" w:space="0"/>
              <w:bottom w:val="single" w:color="auto" w:sz="4" w:space="0"/>
              <w:right w:val="single" w:color="auto" w:sz="4" w:space="0"/>
            </w:tcBorders>
            <w:noWrap w:val="0"/>
            <w:vAlign w:val="center"/>
          </w:tcPr>
          <w:p w14:paraId="4C60F93B">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投标保证金</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29EDAE8">
            <w:pPr>
              <w:keepNext w:val="0"/>
              <w:keepLines w:val="0"/>
              <w:suppressLineNumbers w:val="0"/>
              <w:tabs>
                <w:tab w:val="left" w:pos="5580"/>
              </w:tabs>
              <w:spacing w:before="0" w:beforeAutospacing="0" w:after="0" w:afterAutospacing="0" w:line="240" w:lineRule="atLeas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交货期</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6E2508D">
            <w:pPr>
              <w:keepNext w:val="0"/>
              <w:keepLines w:val="0"/>
              <w:suppressLineNumbers w:val="0"/>
              <w:tabs>
                <w:tab w:val="left" w:pos="5580"/>
              </w:tabs>
              <w:spacing w:before="0" w:beforeAutospacing="0" w:after="0" w:afterAutospacing="0" w:line="240" w:lineRule="atLeast"/>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交货地点</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0FB4B7A">
            <w:pPr>
              <w:keepNext w:val="0"/>
              <w:keepLines w:val="0"/>
              <w:suppressLineNumbers w:val="0"/>
              <w:tabs>
                <w:tab w:val="left" w:pos="5580"/>
              </w:tabs>
              <w:spacing w:before="0" w:beforeAutospacing="0" w:after="0" w:afterAutospacing="0" w:line="240" w:lineRule="atLeast"/>
              <w:ind w:left="0" w:leftChars="0" w:right="0" w:right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7F94D333">
        <w:tblPrEx>
          <w:tblCellMar>
            <w:top w:w="0" w:type="dxa"/>
            <w:left w:w="0" w:type="dxa"/>
            <w:bottom w:w="0" w:type="dxa"/>
            <w:right w:w="0" w:type="dxa"/>
          </w:tblCellMar>
        </w:tblPrEx>
        <w:trPr>
          <w:cantSplit/>
          <w:trHeight w:val="1183" w:hRule="atLeast"/>
        </w:trPr>
        <w:tc>
          <w:tcPr>
            <w:tcW w:w="1760" w:type="dxa"/>
            <w:tcBorders>
              <w:top w:val="single" w:color="auto" w:sz="4" w:space="0"/>
              <w:left w:val="single" w:color="auto" w:sz="4" w:space="0"/>
              <w:bottom w:val="single" w:color="auto" w:sz="4" w:space="0"/>
              <w:right w:val="single" w:color="auto" w:sz="4" w:space="0"/>
            </w:tcBorders>
            <w:noWrap w:val="0"/>
            <w:vAlign w:val="center"/>
          </w:tcPr>
          <w:p w14:paraId="7EF216DC">
            <w:pPr>
              <w:keepNext w:val="0"/>
              <w:keepLines w:val="0"/>
              <w:suppressLineNumbers w:val="0"/>
              <w:tabs>
                <w:tab w:val="left" w:pos="5580"/>
              </w:tabs>
              <w:spacing w:before="0" w:beforeAutospacing="0" w:after="0" w:afterAutospacing="0" w:line="240" w:lineRule="atLeast"/>
              <w:ind w:left="0" w:right="0"/>
              <w:jc w:val="left"/>
              <w:rPr>
                <w:rFonts w:hint="eastAsia" w:ascii="仿宋" w:hAnsi="仿宋" w:eastAsia="仿宋" w:cs="仿宋"/>
                <w:color w:val="auto"/>
                <w:sz w:val="24"/>
                <w:szCs w:val="24"/>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14:paraId="6149A9A1">
            <w:pPr>
              <w:keepNext w:val="0"/>
              <w:keepLines w:val="0"/>
              <w:suppressLineNumbers w:val="0"/>
              <w:tabs>
                <w:tab w:val="left" w:pos="5580"/>
              </w:tabs>
              <w:spacing w:before="0" w:beforeAutospacing="0" w:after="0" w:afterAutospacing="0" w:line="240" w:lineRule="atLeast"/>
              <w:ind w:left="0" w:leftChars="0" w:right="0" w:rightChars="0"/>
              <w:jc w:val="both"/>
              <w:rPr>
                <w:rFonts w:hint="eastAsia" w:ascii="仿宋" w:hAnsi="仿宋" w:eastAsia="仿宋" w:cs="仿宋"/>
                <w:color w:val="auto"/>
                <w:sz w:val="24"/>
                <w:szCs w:val="24"/>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14:paraId="67A449C4">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szCs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6907FB8">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szCs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F4E0F08">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22E31D">
            <w:pPr>
              <w:keepNext w:val="0"/>
              <w:keepLines w:val="0"/>
              <w:suppressLineNumbers w:val="0"/>
              <w:tabs>
                <w:tab w:val="left" w:pos="5580"/>
              </w:tabs>
              <w:spacing w:before="0" w:beforeAutospacing="0" w:after="0" w:afterAutospacing="0" w:line="240" w:lineRule="atLeast"/>
              <w:ind w:left="0" w:right="0"/>
              <w:jc w:val="center"/>
              <w:rPr>
                <w:rFonts w:hint="eastAsia" w:ascii="仿宋" w:hAnsi="仿宋" w:eastAsia="仿宋" w:cs="仿宋"/>
                <w:color w:val="auto"/>
                <w:sz w:val="24"/>
                <w:szCs w:val="24"/>
              </w:rPr>
            </w:pPr>
          </w:p>
        </w:tc>
      </w:tr>
    </w:tbl>
    <w:p w14:paraId="737F1DEC">
      <w:pPr>
        <w:pStyle w:val="15"/>
        <w:tabs>
          <w:tab w:val="left" w:pos="5580"/>
        </w:tabs>
        <w:spacing w:line="240" w:lineRule="atLeast"/>
        <w:rPr>
          <w:rFonts w:hint="eastAsia" w:ascii="仿宋" w:hAnsi="仿宋" w:eastAsia="仿宋" w:cs="仿宋"/>
          <w:color w:val="auto"/>
          <w:sz w:val="24"/>
          <w:highlight w:val="none"/>
        </w:rPr>
      </w:pPr>
    </w:p>
    <w:p w14:paraId="6BDA3E70">
      <w:pPr>
        <w:pStyle w:val="4"/>
        <w:tabs>
          <w:tab w:val="left" w:pos="5580"/>
        </w:tabs>
        <w:spacing w:line="240" w:lineRule="atLeast"/>
        <w:ind w:left="1080" w:leftChars="257" w:hanging="540"/>
        <w:jc w:val="both"/>
        <w:rPr>
          <w:rFonts w:hint="eastAsia" w:ascii="仿宋" w:hAnsi="仿宋" w:eastAsia="仿宋" w:cs="仿宋"/>
          <w:b/>
          <w:color w:val="auto"/>
          <w:highlight w:val="none"/>
          <w:lang w:val="en-US" w:eastAsia="zh-CN"/>
        </w:rPr>
      </w:pPr>
    </w:p>
    <w:p w14:paraId="524CD896">
      <w:pPr>
        <w:pStyle w:val="4"/>
        <w:tabs>
          <w:tab w:val="left" w:pos="5580"/>
        </w:tabs>
        <w:spacing w:line="240" w:lineRule="atLeast"/>
        <w:ind w:left="1080" w:leftChars="257" w:hanging="54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投标人名称（单位盖章）：_______________________________</w:t>
      </w:r>
    </w:p>
    <w:p w14:paraId="5227F577">
      <w:pPr>
        <w:pStyle w:val="4"/>
        <w:tabs>
          <w:tab w:val="left" w:pos="5580"/>
        </w:tabs>
        <w:spacing w:line="240" w:lineRule="atLeast"/>
        <w:ind w:left="1080" w:leftChars="257" w:hanging="540"/>
        <w:jc w:val="both"/>
        <w:rPr>
          <w:rFonts w:hint="eastAsia" w:ascii="仿宋" w:hAnsi="仿宋" w:eastAsia="仿宋" w:cs="仿宋"/>
          <w:color w:val="auto"/>
          <w:kern w:val="2"/>
          <w:sz w:val="24"/>
          <w:szCs w:val="24"/>
          <w:highlight w:val="none"/>
          <w:lang w:val="en-US" w:eastAsia="zh-CN" w:bidi="ar-SA"/>
        </w:rPr>
      </w:pPr>
    </w:p>
    <w:p w14:paraId="11D3CBC4">
      <w:pPr>
        <w:pStyle w:val="4"/>
        <w:tabs>
          <w:tab w:val="left" w:pos="5580"/>
        </w:tabs>
        <w:spacing w:line="240" w:lineRule="atLeast"/>
        <w:ind w:left="1080" w:leftChars="257" w:hanging="54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法定代表人或委托代理(签字)：___________________________</w:t>
      </w:r>
    </w:p>
    <w:p w14:paraId="0D9E7B73">
      <w:pPr>
        <w:pStyle w:val="4"/>
        <w:tabs>
          <w:tab w:val="left" w:pos="5580"/>
        </w:tabs>
        <w:spacing w:line="240" w:lineRule="atLeast"/>
        <w:ind w:left="1080" w:leftChars="257" w:hanging="540"/>
        <w:jc w:val="both"/>
        <w:rPr>
          <w:rFonts w:hint="eastAsia" w:ascii="仿宋" w:hAnsi="仿宋" w:eastAsia="仿宋" w:cs="仿宋"/>
          <w:color w:val="auto"/>
          <w:kern w:val="2"/>
          <w:sz w:val="24"/>
          <w:szCs w:val="24"/>
          <w:highlight w:val="none"/>
          <w:lang w:val="en-US" w:eastAsia="zh-CN" w:bidi="ar-SA"/>
        </w:rPr>
      </w:pPr>
    </w:p>
    <w:p w14:paraId="4283612C">
      <w:pPr>
        <w:pStyle w:val="4"/>
        <w:tabs>
          <w:tab w:val="left" w:pos="5580"/>
        </w:tabs>
        <w:spacing w:line="240" w:lineRule="atLeast"/>
        <w:ind w:left="1080" w:leftChars="257" w:hanging="54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 1、此表中，投标下浮率应和投标分项下浮表的下浮率一致。</w:t>
      </w:r>
    </w:p>
    <w:p w14:paraId="42BD75C3">
      <w:pPr>
        <w:pStyle w:val="4"/>
        <w:tabs>
          <w:tab w:val="left" w:pos="5580"/>
        </w:tabs>
        <w:spacing w:line="240" w:lineRule="atLeast"/>
        <w:ind w:left="0" w:leftChars="0" w:firstLine="0" w:firstLineChars="0"/>
        <w:jc w:val="both"/>
        <w:rPr>
          <w:rFonts w:hint="eastAsia" w:ascii="仿宋" w:hAnsi="仿宋" w:eastAsia="仿宋" w:cs="仿宋"/>
          <w:color w:val="auto"/>
          <w:kern w:val="2"/>
          <w:sz w:val="24"/>
          <w:szCs w:val="24"/>
          <w:highlight w:val="none"/>
          <w:lang w:val="en-US" w:eastAsia="zh-CN" w:bidi="ar-SA"/>
        </w:rPr>
      </w:pPr>
    </w:p>
    <w:p w14:paraId="27492BF7">
      <w:pPr>
        <w:pStyle w:val="4"/>
        <w:numPr>
          <w:ilvl w:val="0"/>
          <w:numId w:val="0"/>
        </w:numPr>
        <w:tabs>
          <w:tab w:val="left" w:pos="5580"/>
        </w:tabs>
        <w:spacing w:line="240" w:lineRule="atLeast"/>
        <w:ind w:leftChars="100" w:firstLine="720" w:firstLineChars="3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2、投标商报价时包含税费等一切与本次项目相关的费用。</w:t>
      </w:r>
    </w:p>
    <w:p w14:paraId="1319926F">
      <w:pPr>
        <w:pStyle w:val="5"/>
        <w:numPr>
          <w:ilvl w:val="0"/>
          <w:numId w:val="0"/>
        </w:numPr>
        <w:ind w:leftChars="100"/>
        <w:rPr>
          <w:rFonts w:hint="eastAsia"/>
        </w:rPr>
      </w:pPr>
    </w:p>
    <w:p w14:paraId="07F3F4B6">
      <w:pPr>
        <w:rPr>
          <w:rFonts w:hint="eastAsia"/>
        </w:rPr>
      </w:pPr>
    </w:p>
    <w:p w14:paraId="74C916C5">
      <w:pPr>
        <w:rPr>
          <w:rFonts w:hint="eastAsia"/>
        </w:rPr>
      </w:pPr>
    </w:p>
    <w:p w14:paraId="37AE59C2">
      <w:pPr>
        <w:rPr>
          <w:rFonts w:hint="eastAsia"/>
        </w:rPr>
      </w:pPr>
    </w:p>
    <w:p w14:paraId="4886041B">
      <w:pPr>
        <w:rPr>
          <w:rFonts w:hint="eastAsia"/>
        </w:rPr>
      </w:pPr>
    </w:p>
    <w:p w14:paraId="0BA524C3">
      <w:pPr>
        <w:rPr>
          <w:rFonts w:hint="eastAsia"/>
        </w:rPr>
      </w:pPr>
    </w:p>
    <w:p w14:paraId="0C1954F2">
      <w:pPr>
        <w:rPr>
          <w:rFonts w:hint="eastAsia"/>
        </w:rPr>
      </w:pPr>
    </w:p>
    <w:p w14:paraId="02223B62">
      <w:pPr>
        <w:rPr>
          <w:rFonts w:hint="eastAsia"/>
        </w:rPr>
      </w:pPr>
    </w:p>
    <w:p w14:paraId="6858BE79">
      <w:pPr>
        <w:rPr>
          <w:rFonts w:hint="eastAsia"/>
        </w:rPr>
      </w:pPr>
    </w:p>
    <w:p w14:paraId="6475533C">
      <w:pPr>
        <w:numPr>
          <w:ilvl w:val="0"/>
          <w:numId w:val="0"/>
        </w:numPr>
        <w:spacing w:before="78" w:line="360" w:lineRule="auto"/>
        <w:ind w:right="102" w:rightChars="0"/>
        <w:rPr>
          <w:rFonts w:hint="eastAsia" w:ascii="仿宋" w:hAnsi="仿宋" w:eastAsia="仿宋" w:cs="仿宋"/>
          <w:b/>
          <w:bCs/>
          <w:color w:val="auto"/>
          <w:sz w:val="24"/>
          <w:szCs w:val="24"/>
          <w:highlight w:val="none"/>
        </w:rPr>
      </w:pPr>
      <w:bookmarkStart w:id="922" w:name="_Toc11047"/>
      <w:bookmarkStart w:id="923" w:name="_Toc28445"/>
      <w:bookmarkStart w:id="924" w:name="_Toc515647809"/>
      <w:r>
        <w:rPr>
          <w:rFonts w:hint="eastAsia" w:ascii="仿宋" w:hAnsi="仿宋" w:eastAsia="仿宋" w:cs="仿宋"/>
          <w:b/>
          <w:bCs/>
          <w:color w:val="auto"/>
          <w:sz w:val="24"/>
          <w:highlight w:val="none"/>
          <w:lang w:val="en-US" w:eastAsia="zh-CN"/>
        </w:rPr>
        <w:t>2、投标人须具备有效经年检合格的“三证合一”营业执照；</w:t>
      </w:r>
    </w:p>
    <w:p w14:paraId="6C590CE7">
      <w:pPr>
        <w:numPr>
          <w:ilvl w:val="0"/>
          <w:numId w:val="0"/>
        </w:numPr>
        <w:spacing w:before="78" w:line="360" w:lineRule="auto"/>
        <w:ind w:right="102" w:rightChars="0" w:firstLine="230"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说明：复</w:t>
      </w:r>
      <w:r>
        <w:rPr>
          <w:rFonts w:hint="eastAsia" w:ascii="仿宋" w:hAnsi="仿宋" w:eastAsia="仿宋" w:cs="仿宋"/>
          <w:color w:val="auto"/>
          <w:spacing w:val="-2"/>
          <w:sz w:val="24"/>
          <w:szCs w:val="24"/>
          <w:highlight w:val="none"/>
        </w:rPr>
        <w:t>印件上应加盖本单位章。</w:t>
      </w:r>
    </w:p>
    <w:p w14:paraId="429EBCAD">
      <w:pPr>
        <w:pStyle w:val="15"/>
        <w:tabs>
          <w:tab w:val="left" w:pos="5580"/>
        </w:tabs>
        <w:spacing w:line="240" w:lineRule="atLeast"/>
        <w:jc w:val="both"/>
        <w:rPr>
          <w:rFonts w:hint="eastAsia" w:ascii="仿宋" w:hAnsi="仿宋" w:eastAsia="仿宋" w:cs="仿宋"/>
          <w:b/>
          <w:color w:val="auto"/>
          <w:sz w:val="24"/>
          <w:szCs w:val="24"/>
          <w:highlight w:val="none"/>
        </w:rPr>
      </w:pPr>
    </w:p>
    <w:p w14:paraId="310A955F">
      <w:pPr>
        <w:pStyle w:val="5"/>
        <w:ind w:left="0" w:leftChars="0" w:firstLine="0" w:firstLineChars="0"/>
        <w:rPr>
          <w:rFonts w:hint="eastAsia"/>
        </w:rPr>
      </w:pPr>
    </w:p>
    <w:p w14:paraId="19EC8CC8">
      <w:pPr>
        <w:rPr>
          <w:rFonts w:hint="eastAsia"/>
        </w:rPr>
      </w:pPr>
    </w:p>
    <w:p w14:paraId="76DFE83B">
      <w:pPr>
        <w:rPr>
          <w:rFonts w:hint="eastAsia"/>
        </w:rPr>
      </w:pPr>
    </w:p>
    <w:p w14:paraId="38F13BD7">
      <w:pPr>
        <w:rPr>
          <w:rFonts w:hint="eastAsia"/>
        </w:rPr>
      </w:pPr>
    </w:p>
    <w:p w14:paraId="62E7107E">
      <w:pPr>
        <w:rPr>
          <w:rFonts w:hint="eastAsia"/>
        </w:rPr>
      </w:pPr>
    </w:p>
    <w:p w14:paraId="7F6744EA">
      <w:pPr>
        <w:rPr>
          <w:rFonts w:hint="eastAsia"/>
        </w:rPr>
      </w:pPr>
    </w:p>
    <w:p w14:paraId="0FC5BDA3">
      <w:pPr>
        <w:rPr>
          <w:rFonts w:hint="eastAsia"/>
        </w:rPr>
      </w:pPr>
    </w:p>
    <w:p w14:paraId="698C0B03">
      <w:pPr>
        <w:rPr>
          <w:rFonts w:hint="eastAsia"/>
        </w:rPr>
      </w:pPr>
    </w:p>
    <w:p w14:paraId="0228393E">
      <w:pPr>
        <w:rPr>
          <w:rFonts w:hint="eastAsia"/>
        </w:rPr>
      </w:pPr>
    </w:p>
    <w:p w14:paraId="0D6CEFB0">
      <w:pPr>
        <w:rPr>
          <w:rFonts w:hint="eastAsia"/>
        </w:rPr>
      </w:pPr>
    </w:p>
    <w:p w14:paraId="1ADA2D0A">
      <w:pPr>
        <w:rPr>
          <w:rFonts w:hint="eastAsia"/>
        </w:rPr>
      </w:pPr>
    </w:p>
    <w:p w14:paraId="1AA6A859">
      <w:pPr>
        <w:pStyle w:val="2"/>
        <w:rPr>
          <w:rFonts w:hint="eastAsia"/>
        </w:rPr>
      </w:pPr>
    </w:p>
    <w:p w14:paraId="1C261942">
      <w:pPr>
        <w:rPr>
          <w:rFonts w:hint="eastAsia"/>
        </w:rPr>
      </w:pPr>
    </w:p>
    <w:p w14:paraId="3742BE66">
      <w:pPr>
        <w:rPr>
          <w:rFonts w:hint="eastAsia"/>
        </w:rPr>
      </w:pPr>
    </w:p>
    <w:p w14:paraId="4625956A">
      <w:pPr>
        <w:tabs>
          <w:tab w:val="left" w:pos="5580"/>
        </w:tabs>
        <w:spacing w:line="360" w:lineRule="auto"/>
        <w:rPr>
          <w:rFonts w:hint="eastAsia"/>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kern w:val="2"/>
          <w:sz w:val="24"/>
          <w:szCs w:val="24"/>
          <w:lang w:val="en-US" w:eastAsia="zh-CN" w:bidi="ar-SA"/>
        </w:rPr>
        <w:t>法定代表人参加投标应附《法定代表人身份证明书》及身份证复印件，委托代理人参加投标应附《法定代表人授权委托书》及身份证复印件</w:t>
      </w:r>
      <w:r>
        <w:rPr>
          <w:rFonts w:hint="eastAsia" w:ascii="仿宋" w:hAnsi="仿宋" w:eastAsia="仿宋" w:cs="仿宋"/>
          <w:b/>
          <w:bCs/>
          <w:color w:val="auto"/>
          <w:sz w:val="24"/>
          <w:highlight w:val="none"/>
          <w:lang w:val="en-US" w:eastAsia="zh-CN"/>
        </w:rPr>
        <w:t>；</w:t>
      </w:r>
    </w:p>
    <w:p w14:paraId="4E58D5A2">
      <w:pPr>
        <w:adjustRightInd w:val="0"/>
        <w:snapToGrid w:val="0"/>
        <w:spacing w:before="312" w:beforeLines="100" w:after="312" w:afterLines="100" w:line="360" w:lineRule="auto"/>
        <w:jc w:val="center"/>
        <w:rPr>
          <w:rFonts w:hint="eastAsia" w:ascii="仿宋" w:hAnsi="仿宋" w:eastAsia="仿宋" w:cs="仿宋"/>
          <w:color w:val="auto"/>
          <w:sz w:val="24"/>
          <w:szCs w:val="24"/>
          <w:highlight w:val="none"/>
        </w:rPr>
      </w:pPr>
      <w:bookmarkStart w:id="925" w:name="_Toc515647808"/>
      <w:bookmarkStart w:id="926" w:name="_Toc7039"/>
      <w:bookmarkStart w:id="927" w:name="_Toc32520"/>
      <w:r>
        <w:rPr>
          <w:rFonts w:hint="eastAsia" w:ascii="仿宋" w:hAnsi="仿宋" w:eastAsia="仿宋" w:cs="仿宋"/>
          <w:b/>
          <w:color w:val="auto"/>
          <w:sz w:val="24"/>
          <w:szCs w:val="24"/>
          <w:highlight w:val="none"/>
        </w:rPr>
        <w:t>（一）法定代表人身份证明书</w:t>
      </w:r>
    </w:p>
    <w:p w14:paraId="3A703E0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14:paraId="09BBCA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                      签发日期：</w:t>
      </w:r>
    </w:p>
    <w:p w14:paraId="3049F2C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                性别：            年龄：           </w:t>
      </w:r>
    </w:p>
    <w:p w14:paraId="33632E6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                联系电话：</w:t>
      </w:r>
    </w:p>
    <w:p w14:paraId="792042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14:paraId="134FE17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7A879FF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14:paraId="47E80FE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w:t>
      </w:r>
    </w:p>
    <w:p w14:paraId="29BDC6DD">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3、将此证明书原件提交采购代理机构作为谈判响应文件附件。</w:t>
      </w:r>
    </w:p>
    <w:p w14:paraId="2F14C8C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472B956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附：法定代表人身份证复印件</w:t>
      </w:r>
    </w:p>
    <w:p w14:paraId="65327B5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EF5C2D1">
                            <w:pPr>
                              <w:jc w:val="center"/>
                              <w:rPr>
                                <w:rFonts w:hAnsi="宋体"/>
                                <w:szCs w:val="21"/>
                              </w:rPr>
                            </w:pPr>
                          </w:p>
                          <w:p w14:paraId="165586B9">
                            <w:pPr>
                              <w:jc w:val="center"/>
                              <w:rPr>
                                <w:rFonts w:hAnsi="宋体"/>
                                <w:szCs w:val="21"/>
                              </w:rPr>
                            </w:pPr>
                          </w:p>
                          <w:p w14:paraId="7E23F58F">
                            <w:pPr>
                              <w:jc w:val="center"/>
                              <w:rPr>
                                <w:rFonts w:hAnsi="宋体"/>
                                <w:szCs w:val="21"/>
                              </w:rPr>
                            </w:pPr>
                          </w:p>
                          <w:p w14:paraId="4310EF06">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3360;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3EF5C2D1">
                      <w:pPr>
                        <w:jc w:val="center"/>
                        <w:rPr>
                          <w:rFonts w:hAnsi="宋体"/>
                          <w:szCs w:val="21"/>
                        </w:rPr>
                      </w:pPr>
                    </w:p>
                    <w:p w14:paraId="165586B9">
                      <w:pPr>
                        <w:jc w:val="center"/>
                        <w:rPr>
                          <w:rFonts w:hAnsi="宋体"/>
                          <w:szCs w:val="21"/>
                        </w:rPr>
                      </w:pPr>
                    </w:p>
                    <w:p w14:paraId="7E23F58F">
                      <w:pPr>
                        <w:jc w:val="center"/>
                        <w:rPr>
                          <w:rFonts w:hAnsi="宋体"/>
                          <w:szCs w:val="21"/>
                        </w:rPr>
                      </w:pPr>
                    </w:p>
                    <w:p w14:paraId="4310EF06">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AC318A9">
                            <w:pPr>
                              <w:jc w:val="center"/>
                              <w:rPr>
                                <w:rFonts w:hAnsi="宋体"/>
                                <w:szCs w:val="21"/>
                              </w:rPr>
                            </w:pPr>
                            <w:r>
                              <w:rPr>
                                <w:rFonts w:hint="eastAsia" w:hAnsi="宋体"/>
                                <w:szCs w:val="21"/>
                              </w:rPr>
                              <w:t xml:space="preserve">  </w:t>
                            </w:r>
                          </w:p>
                          <w:p w14:paraId="28B85CEA">
                            <w:pPr>
                              <w:jc w:val="center"/>
                              <w:rPr>
                                <w:rFonts w:hAnsi="宋体"/>
                                <w:szCs w:val="21"/>
                              </w:rPr>
                            </w:pPr>
                          </w:p>
                          <w:p w14:paraId="7AD99189">
                            <w:pPr>
                              <w:jc w:val="center"/>
                              <w:rPr>
                                <w:rFonts w:hAnsi="宋体"/>
                                <w:szCs w:val="21"/>
                              </w:rPr>
                            </w:pPr>
                          </w:p>
                          <w:p w14:paraId="08C0B8E2">
                            <w:pPr>
                              <w:jc w:val="center"/>
                              <w:rPr>
                                <w:szCs w:val="21"/>
                              </w:rPr>
                            </w:pPr>
                            <w:r>
                              <w:rPr>
                                <w:rFonts w:hint="eastAsia" w:hAnsi="宋体"/>
                                <w:szCs w:val="21"/>
                              </w:rPr>
                              <w:t>法定代表人身份证复印件反面</w:t>
                            </w:r>
                          </w:p>
                          <w:p w14:paraId="778BD4E8"/>
                          <w:p w14:paraId="0AAF11B1">
                            <w:pPr>
                              <w:pStyle w:val="4"/>
                            </w:pPr>
                          </w:p>
                          <w:p w14:paraId="54B993AC">
                            <w:pPr>
                              <w:pStyle w:val="4"/>
                            </w:pPr>
                          </w:p>
                          <w:p w14:paraId="71E4B45F">
                            <w:pPr>
                              <w:pStyle w:val="4"/>
                            </w:pPr>
                          </w:p>
                          <w:p w14:paraId="761021F3">
                            <w:pPr>
                              <w:pStyle w:val="4"/>
                            </w:pPr>
                          </w:p>
                        </w:txbxContent>
                      </wps:txbx>
                      <wps:bodyPr upright="1"/>
                    </wps:wsp>
                  </a:graphicData>
                </a:graphic>
              </wp:anchor>
            </w:drawing>
          </mc:Choice>
          <mc:Fallback>
            <w:pict>
              <v:roundrect id="_x0000_s1026" o:spid="_x0000_s1026" o:spt="2" style="position:absolute;left:0pt;margin-left:229.8pt;margin-top:2.25pt;height:122.6pt;width:205.5pt;z-index:251664384;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14:paraId="4AC318A9">
                      <w:pPr>
                        <w:jc w:val="center"/>
                        <w:rPr>
                          <w:rFonts w:hAnsi="宋体"/>
                          <w:szCs w:val="21"/>
                        </w:rPr>
                      </w:pPr>
                      <w:r>
                        <w:rPr>
                          <w:rFonts w:hint="eastAsia" w:hAnsi="宋体"/>
                          <w:szCs w:val="21"/>
                        </w:rPr>
                        <w:t xml:space="preserve">  </w:t>
                      </w:r>
                    </w:p>
                    <w:p w14:paraId="28B85CEA">
                      <w:pPr>
                        <w:jc w:val="center"/>
                        <w:rPr>
                          <w:rFonts w:hAnsi="宋体"/>
                          <w:szCs w:val="21"/>
                        </w:rPr>
                      </w:pPr>
                    </w:p>
                    <w:p w14:paraId="7AD99189">
                      <w:pPr>
                        <w:jc w:val="center"/>
                        <w:rPr>
                          <w:rFonts w:hAnsi="宋体"/>
                          <w:szCs w:val="21"/>
                        </w:rPr>
                      </w:pPr>
                    </w:p>
                    <w:p w14:paraId="08C0B8E2">
                      <w:pPr>
                        <w:jc w:val="center"/>
                        <w:rPr>
                          <w:szCs w:val="21"/>
                        </w:rPr>
                      </w:pPr>
                      <w:r>
                        <w:rPr>
                          <w:rFonts w:hint="eastAsia" w:hAnsi="宋体"/>
                          <w:szCs w:val="21"/>
                        </w:rPr>
                        <w:t>法定代表人身份证复印件反面</w:t>
                      </w:r>
                    </w:p>
                    <w:p w14:paraId="778BD4E8"/>
                    <w:p w14:paraId="0AAF11B1">
                      <w:pPr>
                        <w:pStyle w:val="4"/>
                      </w:pPr>
                    </w:p>
                    <w:p w14:paraId="54B993AC">
                      <w:pPr>
                        <w:pStyle w:val="4"/>
                      </w:pPr>
                    </w:p>
                    <w:p w14:paraId="71E4B45F">
                      <w:pPr>
                        <w:pStyle w:val="4"/>
                      </w:pPr>
                    </w:p>
                    <w:p w14:paraId="761021F3">
                      <w:pPr>
                        <w:pStyle w:val="4"/>
                      </w:pPr>
                    </w:p>
                  </w:txbxContent>
                </v:textbox>
              </v:roundrect>
            </w:pict>
          </mc:Fallback>
        </mc:AlternateContent>
      </w:r>
    </w:p>
    <w:p w14:paraId="63753543">
      <w:pPr>
        <w:spacing w:line="360" w:lineRule="auto"/>
        <w:rPr>
          <w:rFonts w:hint="eastAsia" w:ascii="仿宋" w:hAnsi="仿宋" w:eastAsia="仿宋" w:cs="仿宋"/>
          <w:color w:val="auto"/>
          <w:sz w:val="24"/>
          <w:szCs w:val="24"/>
          <w:highlight w:val="none"/>
        </w:rPr>
      </w:pPr>
    </w:p>
    <w:p w14:paraId="08D12EA5">
      <w:pPr>
        <w:spacing w:line="360" w:lineRule="auto"/>
        <w:rPr>
          <w:rFonts w:hint="eastAsia" w:ascii="仿宋" w:hAnsi="仿宋" w:eastAsia="仿宋" w:cs="仿宋"/>
          <w:color w:val="auto"/>
          <w:sz w:val="24"/>
          <w:szCs w:val="24"/>
          <w:highlight w:val="none"/>
        </w:rPr>
      </w:pPr>
    </w:p>
    <w:p w14:paraId="377921B8">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仿宋" w:hAnsi="仿宋" w:eastAsia="仿宋" w:cs="仿宋"/>
          <w:color w:val="auto"/>
          <w:sz w:val="24"/>
          <w:szCs w:val="24"/>
          <w:highlight w:val="none"/>
        </w:rPr>
      </w:pPr>
    </w:p>
    <w:p w14:paraId="5D056460">
      <w:pPr>
        <w:autoSpaceDE w:val="0"/>
        <w:autoSpaceDN w:val="0"/>
        <w:adjustRightInd w:val="0"/>
        <w:spacing w:line="360" w:lineRule="auto"/>
        <w:ind w:right="246"/>
        <w:rPr>
          <w:rFonts w:hint="eastAsia" w:ascii="仿宋" w:hAnsi="仿宋" w:eastAsia="仿宋" w:cs="仿宋"/>
          <w:color w:val="auto"/>
          <w:kern w:val="0"/>
          <w:sz w:val="24"/>
          <w:szCs w:val="24"/>
          <w:highlight w:val="none"/>
        </w:rPr>
      </w:pPr>
    </w:p>
    <w:p w14:paraId="3BF4EAE1">
      <w:pPr>
        <w:pStyle w:val="20"/>
        <w:rPr>
          <w:rFonts w:hint="eastAsia" w:ascii="仿宋" w:hAnsi="仿宋" w:eastAsia="仿宋" w:cs="仿宋"/>
          <w:color w:val="auto"/>
          <w:sz w:val="24"/>
          <w:szCs w:val="24"/>
          <w:highlight w:val="none"/>
        </w:rPr>
      </w:pPr>
    </w:p>
    <w:p w14:paraId="1C0697B1">
      <w:pPr>
        <w:autoSpaceDE w:val="0"/>
        <w:autoSpaceDN w:val="0"/>
        <w:adjustRightInd w:val="0"/>
        <w:spacing w:line="360" w:lineRule="auto"/>
        <w:ind w:right="246" w:firstLine="784" w:firstLineChars="327"/>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投标人（盖章）： </w:t>
      </w:r>
      <w:r>
        <w:rPr>
          <w:rFonts w:hint="eastAsia" w:ascii="仿宋" w:hAnsi="仿宋" w:eastAsia="仿宋" w:cs="仿宋"/>
          <w:color w:val="auto"/>
          <w:kern w:val="0"/>
          <w:sz w:val="24"/>
          <w:szCs w:val="24"/>
          <w:highlight w:val="none"/>
          <w:u w:val="single"/>
        </w:rPr>
        <w:t xml:space="preserve">                   </w:t>
      </w:r>
    </w:p>
    <w:p w14:paraId="6457487B">
      <w:pPr>
        <w:adjustRightInd w:val="0"/>
        <w:snapToGrid w:val="0"/>
        <w:spacing w:line="360" w:lineRule="auto"/>
        <w:ind w:firstLine="784" w:firstLineChars="3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法定代表人（签章）：</w:t>
      </w:r>
      <w:r>
        <w:rPr>
          <w:rFonts w:hint="eastAsia" w:ascii="仿宋" w:hAnsi="仿宋" w:eastAsia="仿宋" w:cs="仿宋"/>
          <w:color w:val="auto"/>
          <w:sz w:val="24"/>
          <w:szCs w:val="24"/>
          <w:highlight w:val="none"/>
          <w:u w:val="single"/>
        </w:rPr>
        <w:t xml:space="preserve">             </w:t>
      </w:r>
    </w:p>
    <w:p w14:paraId="0AD4A8E5">
      <w:pPr>
        <w:adjustRightInd w:val="0"/>
        <w:snapToGrid w:val="0"/>
        <w:spacing w:line="360" w:lineRule="auto"/>
        <w:ind w:firstLine="784" w:firstLineChars="32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05632178">
      <w:pPr>
        <w:pStyle w:val="15"/>
        <w:tabs>
          <w:tab w:val="left" w:pos="5580"/>
        </w:tabs>
        <w:spacing w:line="240" w:lineRule="atLeast"/>
        <w:ind w:left="1080" w:leftChars="257" w:hanging="540"/>
        <w:rPr>
          <w:rFonts w:hint="eastAsia" w:ascii="仿宋" w:hAnsi="仿宋" w:eastAsia="仿宋" w:cs="仿宋"/>
          <w:b/>
          <w:color w:val="auto"/>
          <w:sz w:val="24"/>
          <w:szCs w:val="24"/>
          <w:highlight w:val="none"/>
        </w:rPr>
      </w:pPr>
    </w:p>
    <w:p w14:paraId="0B3A44B7">
      <w:pPr>
        <w:pStyle w:val="15"/>
        <w:tabs>
          <w:tab w:val="left" w:pos="5580"/>
        </w:tabs>
        <w:spacing w:line="240" w:lineRule="atLeast"/>
        <w:ind w:left="1155" w:leftChars="371" w:hanging="376" w:hangingChars="1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 投标人为自然人的，应提供身份证明的复印件。</w:t>
      </w:r>
    </w:p>
    <w:p w14:paraId="175FD308">
      <w:pPr>
        <w:pStyle w:val="15"/>
        <w:tabs>
          <w:tab w:val="left" w:pos="5580"/>
        </w:tabs>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2.联合体投标应提供联合体各方满足以上要求的证明文件。</w:t>
      </w:r>
    </w:p>
    <w:p w14:paraId="470B8A2E">
      <w:pPr>
        <w:pStyle w:val="15"/>
        <w:tabs>
          <w:tab w:val="left" w:pos="5580"/>
        </w:tabs>
        <w:spacing w:line="240" w:lineRule="atLeast"/>
        <w:ind w:left="1080" w:leftChars="257" w:hanging="54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5B80C94">
      <w:pPr>
        <w:pStyle w:val="7"/>
        <w:spacing w:before="0" w:line="240" w:lineRule="atLeast"/>
        <w:ind w:left="1080" w:leftChars="257" w:hanging="540"/>
        <w:rPr>
          <w:rFonts w:hint="eastAsia" w:ascii="仿宋" w:hAnsi="仿宋" w:eastAsia="仿宋" w:cs="仿宋"/>
          <w:b w:val="0"/>
          <w:color w:val="auto"/>
          <w:sz w:val="24"/>
          <w:szCs w:val="24"/>
          <w:highlight w:val="none"/>
          <w:u w:val="single"/>
        </w:rPr>
      </w:pPr>
      <w:bookmarkStart w:id="928" w:name="_Toc12175"/>
      <w:bookmarkStart w:id="929" w:name="_Toc23503"/>
      <w:bookmarkStart w:id="930" w:name="_Toc19602"/>
      <w:bookmarkStart w:id="931" w:name="_Toc1083"/>
      <w:bookmarkStart w:id="932" w:name="_Toc7431"/>
      <w:bookmarkStart w:id="933" w:name="_Toc515647807"/>
      <w:bookmarkStart w:id="934" w:name="_Toc22472"/>
      <w:r>
        <w:rPr>
          <w:rFonts w:hint="eastAsia" w:ascii="仿宋" w:hAnsi="仿宋" w:eastAsia="仿宋" w:cs="仿宋"/>
          <w:color w:val="auto"/>
          <w:sz w:val="24"/>
          <w:szCs w:val="24"/>
          <w:highlight w:val="none"/>
        </w:rPr>
        <w:t xml:space="preserve"> </w:t>
      </w:r>
      <w:bookmarkStart w:id="935" w:name="_Toc7552"/>
      <w:bookmarkStart w:id="936" w:name="_Toc3704"/>
      <w:bookmarkStart w:id="937" w:name="_Toc20712"/>
      <w:r>
        <w:rPr>
          <w:rFonts w:hint="eastAsia" w:ascii="仿宋" w:hAnsi="仿宋" w:eastAsia="仿宋" w:cs="仿宋"/>
          <w:color w:val="auto"/>
          <w:sz w:val="24"/>
          <w:szCs w:val="24"/>
          <w:highlight w:val="none"/>
        </w:rPr>
        <w:t>（二）法定代表人授权委托书(投标文件格式二，自然人投标的无需提供)</w:t>
      </w:r>
      <w:bookmarkEnd w:id="928"/>
      <w:bookmarkEnd w:id="929"/>
      <w:bookmarkEnd w:id="930"/>
      <w:bookmarkEnd w:id="931"/>
      <w:bookmarkEnd w:id="932"/>
      <w:bookmarkEnd w:id="933"/>
      <w:bookmarkEnd w:id="934"/>
      <w:bookmarkEnd w:id="935"/>
      <w:bookmarkEnd w:id="936"/>
      <w:bookmarkEnd w:id="937"/>
    </w:p>
    <w:p w14:paraId="35913275">
      <w:pPr>
        <w:pStyle w:val="15"/>
        <w:spacing w:line="240" w:lineRule="atLeast"/>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cr/>
      </w:r>
    </w:p>
    <w:p w14:paraId="64149C95">
      <w:pPr>
        <w:pStyle w:val="15"/>
        <w:tabs>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本授权书声明：注册于</w:t>
      </w:r>
      <w:r>
        <w:rPr>
          <w:rFonts w:hint="eastAsia" w:ascii="仿宋" w:hAnsi="仿宋" w:eastAsia="仿宋" w:cs="仿宋"/>
          <w:color w:val="auto"/>
          <w:sz w:val="24"/>
          <w:szCs w:val="24"/>
          <w:highlight w:val="none"/>
          <w:u w:val="single"/>
        </w:rPr>
        <w:t>（国家或地区的名称）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投标人</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法人代表姓名、职务</w:t>
      </w:r>
      <w:r>
        <w:rPr>
          <w:rFonts w:hint="eastAsia" w:ascii="仿宋" w:hAnsi="仿宋" w:eastAsia="仿宋" w:cs="仿宋"/>
          <w:color w:val="auto"/>
          <w:sz w:val="24"/>
          <w:szCs w:val="24"/>
          <w:highlight w:val="none"/>
        </w:rPr>
        <w:t>）代表我单位授权（</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被授权人的姓名、职务</w:t>
      </w:r>
      <w:r>
        <w:rPr>
          <w:rFonts w:hint="eastAsia" w:ascii="仿宋" w:hAnsi="仿宋" w:eastAsia="仿宋" w:cs="仿宋"/>
          <w:color w:val="auto"/>
          <w:sz w:val="24"/>
          <w:szCs w:val="24"/>
          <w:highlight w:val="none"/>
        </w:rPr>
        <w:t>）为我单位的合法代理人，就（</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合同名称</w:t>
      </w:r>
      <w:r>
        <w:rPr>
          <w:rFonts w:hint="eastAsia" w:ascii="仿宋" w:hAnsi="仿宋" w:eastAsia="仿宋" w:cs="仿宋"/>
          <w:color w:val="auto"/>
          <w:sz w:val="24"/>
          <w:szCs w:val="24"/>
          <w:highlight w:val="none"/>
        </w:rPr>
        <w:t>）投标，以我单位名义处理一切与之有关的事务。</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r>
        <w:rPr>
          <w:rFonts w:hint="eastAsia" w:ascii="仿宋" w:hAnsi="仿宋" w:eastAsia="仿宋" w:cs="仿宋"/>
          <w:color w:val="auto"/>
          <w:sz w:val="24"/>
          <w:szCs w:val="24"/>
          <w:highlight w:val="none"/>
        </w:rPr>
        <w:cr/>
      </w:r>
    </w:p>
    <w:p w14:paraId="4202E9FF">
      <w:pPr>
        <w:pStyle w:val="15"/>
        <w:tabs>
          <w:tab w:val="left" w:pos="5580"/>
        </w:tabs>
        <w:spacing w:line="240" w:lineRule="atLeast"/>
        <w:ind w:left="-540" w:leftChars="-257" w:firstLine="900" w:firstLine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11" name="圆角矩形 11"/>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000000"/>
                          </a:solidFill>
                          <a:prstDash val="solid"/>
                          <a:headEnd type="none" w="med" len="med"/>
                          <a:tailEnd type="none" w="med" len="med"/>
                        </a:ln>
                      </wps:spPr>
                      <wps:txbx>
                        <w:txbxContent>
                          <w:p w14:paraId="6A25B48A">
                            <w:pPr>
                              <w:rPr>
                                <w:rFonts w:hint="eastAsia" w:hAnsi="宋体"/>
                              </w:rPr>
                            </w:pPr>
                          </w:p>
                          <w:p w14:paraId="7A886B3B">
                            <w:pPr>
                              <w:rPr>
                                <w:rFonts w:hint="eastAsia" w:hAnsi="宋体"/>
                              </w:rPr>
                            </w:pPr>
                          </w:p>
                          <w:p w14:paraId="5AD993CF">
                            <w:pPr>
                              <w:rPr>
                                <w:rFonts w:hint="eastAsia" w:hAnsi="宋体"/>
                              </w:rPr>
                            </w:pPr>
                          </w:p>
                          <w:p w14:paraId="2FF849C8">
                            <w:pPr>
                              <w:tabs>
                                <w:tab w:val="left" w:pos="5580"/>
                              </w:tabs>
                              <w:spacing w:line="240" w:lineRule="atLeast"/>
                              <w:ind w:firstLine="240" w:firstLineChars="100"/>
                              <w:rPr>
                                <w:rFonts w:hint="eastAsia" w:ascii="仿宋_GB2312" w:eastAsia="仿宋_GB2312"/>
                                <w:sz w:val="24"/>
                              </w:rPr>
                            </w:pPr>
                            <w:r>
                              <w:rPr>
                                <w:rFonts w:hint="eastAsia" w:ascii="仿宋_GB2312" w:eastAsia="仿宋_GB2312"/>
                                <w:sz w:val="24"/>
                              </w:rPr>
                              <w:t>授权委托人身份证复印件反面</w:t>
                            </w:r>
                          </w:p>
                          <w:p w14:paraId="62C3FB29"/>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2a4l9kAAAAKAQAADwAAAAAAAAABACAAAAAiAAAAZHJzL2Rvd25yZXYueG1sUEsBAhQAFAAAAAgA&#10;h07iQKWo58wkAgAAWgQAAA4AAAAAAAAAAQAgAAAAKAEAAGRycy9lMm9Eb2MueG1sUEsFBgAAAAAG&#10;AAYAWQEAAL4FAAAAAA==&#10;">
                <v:fill on="t" focussize="0,0"/>
                <v:stroke weight="1.25pt" color="#000000" joinstyle="round"/>
                <v:imagedata o:title=""/>
                <o:lock v:ext="edit" aspectratio="f"/>
                <v:textbox>
                  <w:txbxContent>
                    <w:p w14:paraId="6A25B48A">
                      <w:pPr>
                        <w:rPr>
                          <w:rFonts w:hint="eastAsia" w:hAnsi="宋体"/>
                        </w:rPr>
                      </w:pPr>
                    </w:p>
                    <w:p w14:paraId="7A886B3B">
                      <w:pPr>
                        <w:rPr>
                          <w:rFonts w:hint="eastAsia" w:hAnsi="宋体"/>
                        </w:rPr>
                      </w:pPr>
                    </w:p>
                    <w:p w14:paraId="5AD993CF">
                      <w:pPr>
                        <w:rPr>
                          <w:rFonts w:hint="eastAsia" w:hAnsi="宋体"/>
                        </w:rPr>
                      </w:pPr>
                    </w:p>
                    <w:p w14:paraId="2FF849C8">
                      <w:pPr>
                        <w:tabs>
                          <w:tab w:val="left" w:pos="5580"/>
                        </w:tabs>
                        <w:spacing w:line="240" w:lineRule="atLeast"/>
                        <w:ind w:firstLine="240" w:firstLineChars="100"/>
                        <w:rPr>
                          <w:rFonts w:hint="eastAsia" w:ascii="仿宋_GB2312" w:eastAsia="仿宋_GB2312"/>
                          <w:sz w:val="24"/>
                        </w:rPr>
                      </w:pPr>
                      <w:r>
                        <w:rPr>
                          <w:rFonts w:hint="eastAsia" w:ascii="仿宋_GB2312" w:eastAsia="仿宋_GB2312"/>
                          <w:sz w:val="24"/>
                        </w:rPr>
                        <w:t>授权委托人身份证复印件反面</w:t>
                      </w:r>
                    </w:p>
                    <w:p w14:paraId="62C3FB29"/>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0" name="流程图: 可选过程 10"/>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16154B">
                            <w:pPr>
                              <w:jc w:val="center"/>
                              <w:rPr>
                                <w:rFonts w:hint="eastAsia" w:hAnsi="宋体"/>
                              </w:rPr>
                            </w:pPr>
                          </w:p>
                          <w:p w14:paraId="429E8E4E">
                            <w:pPr>
                              <w:jc w:val="center"/>
                              <w:rPr>
                                <w:rFonts w:hint="eastAsia" w:hAnsi="宋体"/>
                              </w:rPr>
                            </w:pPr>
                          </w:p>
                          <w:p w14:paraId="684A4A4D">
                            <w:pPr>
                              <w:tabs>
                                <w:tab w:val="left" w:pos="5580"/>
                              </w:tabs>
                              <w:spacing w:line="240" w:lineRule="atLeast"/>
                              <w:ind w:left="540"/>
                              <w:rPr>
                                <w:rFonts w:hint="eastAsia" w:ascii="仿宋_GB2312" w:hAnsi="宋体" w:eastAsia="仿宋_GB2312"/>
                                <w:sz w:val="24"/>
                              </w:rPr>
                            </w:pPr>
                          </w:p>
                          <w:p w14:paraId="411040FA">
                            <w:pPr>
                              <w:tabs>
                                <w:tab w:val="left" w:pos="5580"/>
                              </w:tabs>
                              <w:spacing w:line="240" w:lineRule="atLeast"/>
                              <w:ind w:firstLine="240" w:firstLineChars="100"/>
                              <w:rPr>
                                <w:rFonts w:hint="eastAsia" w:ascii="仿宋_GB2312" w:hAnsi="宋体" w:eastAsia="仿宋_GB2312"/>
                                <w:sz w:val="24"/>
                              </w:rPr>
                            </w:pPr>
                            <w:r>
                              <w:rPr>
                                <w:rFonts w:hint="eastAsia" w:ascii="仿宋_GB2312" w:hAnsi="宋体" w:eastAsia="仿宋_GB2312"/>
                                <w:sz w:val="24"/>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BIyMNYAAAAIAQAADwAAAAAAAAABACAAAAAiAAAAZHJzL2Rvd25yZXYueG1sUEsBAhQA&#10;FAAAAAgAh07iQA3ffUYtAgAAUgQAAA4AAAAAAAAAAQAgAAAAJQEAAGRycy9lMm9Eb2MueG1sUEsF&#10;BgAAAAAGAAYAWQEAAMQFAAAAAA==&#10;">
                <v:fill on="t" focussize="0,0"/>
                <v:stroke color="#000000" joinstyle="miter"/>
                <v:imagedata o:title=""/>
                <o:lock v:ext="edit" aspectratio="f"/>
                <v:textbox>
                  <w:txbxContent>
                    <w:p w14:paraId="6016154B">
                      <w:pPr>
                        <w:jc w:val="center"/>
                        <w:rPr>
                          <w:rFonts w:hint="eastAsia" w:hAnsi="宋体"/>
                        </w:rPr>
                      </w:pPr>
                    </w:p>
                    <w:p w14:paraId="429E8E4E">
                      <w:pPr>
                        <w:jc w:val="center"/>
                        <w:rPr>
                          <w:rFonts w:hint="eastAsia" w:hAnsi="宋体"/>
                        </w:rPr>
                      </w:pPr>
                    </w:p>
                    <w:p w14:paraId="684A4A4D">
                      <w:pPr>
                        <w:tabs>
                          <w:tab w:val="left" w:pos="5580"/>
                        </w:tabs>
                        <w:spacing w:line="240" w:lineRule="atLeast"/>
                        <w:ind w:left="540"/>
                        <w:rPr>
                          <w:rFonts w:hint="eastAsia" w:ascii="仿宋_GB2312" w:hAnsi="宋体" w:eastAsia="仿宋_GB2312"/>
                          <w:sz w:val="24"/>
                        </w:rPr>
                      </w:pPr>
                    </w:p>
                    <w:p w14:paraId="411040FA">
                      <w:pPr>
                        <w:tabs>
                          <w:tab w:val="left" w:pos="5580"/>
                        </w:tabs>
                        <w:spacing w:line="240" w:lineRule="atLeast"/>
                        <w:ind w:firstLine="240" w:firstLineChars="100"/>
                        <w:rPr>
                          <w:rFonts w:hint="eastAsia" w:ascii="仿宋_GB2312" w:hAnsi="宋体" w:eastAsia="仿宋_GB2312"/>
                          <w:sz w:val="24"/>
                        </w:rPr>
                      </w:pPr>
                      <w:r>
                        <w:rPr>
                          <w:rFonts w:hint="eastAsia" w:ascii="仿宋_GB2312" w:hAnsi="宋体" w:eastAsia="仿宋_GB2312"/>
                          <w:sz w:val="24"/>
                        </w:rPr>
                        <w:t>授权委托人身份证复印件正面</w:t>
                      </w:r>
                    </w:p>
                  </w:txbxContent>
                </v:textbox>
              </v:shape>
            </w:pict>
          </mc:Fallback>
        </mc:AlternateContent>
      </w:r>
    </w:p>
    <w:p w14:paraId="6581CC3D">
      <w:pPr>
        <w:spacing w:line="360" w:lineRule="auto"/>
        <w:ind w:firstLine="240" w:firstLineChars="100"/>
        <w:rPr>
          <w:rFonts w:hint="eastAsia" w:ascii="仿宋" w:hAnsi="仿宋" w:eastAsia="仿宋" w:cs="仿宋"/>
          <w:color w:val="auto"/>
          <w:sz w:val="24"/>
          <w:szCs w:val="24"/>
          <w:highlight w:val="none"/>
        </w:rPr>
      </w:pPr>
    </w:p>
    <w:p w14:paraId="71567DA7">
      <w:pPr>
        <w:spacing w:line="360" w:lineRule="auto"/>
        <w:ind w:firstLine="240" w:firstLineChars="100"/>
        <w:rPr>
          <w:rFonts w:hint="eastAsia" w:ascii="仿宋" w:hAnsi="仿宋" w:eastAsia="仿宋" w:cs="仿宋"/>
          <w:color w:val="auto"/>
          <w:sz w:val="24"/>
          <w:szCs w:val="24"/>
          <w:highlight w:val="none"/>
        </w:rPr>
      </w:pPr>
    </w:p>
    <w:p w14:paraId="0CCCC343">
      <w:pPr>
        <w:spacing w:line="360" w:lineRule="auto"/>
        <w:ind w:firstLine="240" w:firstLineChars="100"/>
        <w:rPr>
          <w:rFonts w:hint="eastAsia" w:ascii="仿宋" w:hAnsi="仿宋" w:eastAsia="仿宋" w:cs="仿宋"/>
          <w:color w:val="auto"/>
          <w:sz w:val="24"/>
          <w:szCs w:val="24"/>
          <w:highlight w:val="none"/>
        </w:rPr>
      </w:pPr>
    </w:p>
    <w:p w14:paraId="54BCEF34">
      <w:pPr>
        <w:spacing w:line="360" w:lineRule="auto"/>
        <w:ind w:firstLine="240" w:firstLineChars="100"/>
        <w:rPr>
          <w:rFonts w:hint="eastAsia" w:ascii="仿宋" w:hAnsi="仿宋" w:eastAsia="仿宋" w:cs="仿宋"/>
          <w:color w:val="auto"/>
          <w:sz w:val="24"/>
          <w:szCs w:val="24"/>
          <w:highlight w:val="none"/>
        </w:rPr>
      </w:pPr>
    </w:p>
    <w:p w14:paraId="26365D8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7" name="圆角矩形 17"/>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000000"/>
                          </a:solidFill>
                          <a:prstDash val="solid"/>
                          <a:headEnd type="none" w="med" len="med"/>
                          <a:tailEnd type="none" w="med" len="med"/>
                        </a:ln>
                      </wps:spPr>
                      <wps:txbx>
                        <w:txbxContent>
                          <w:p w14:paraId="572E6029">
                            <w:pPr>
                              <w:jc w:val="center"/>
                              <w:rPr>
                                <w:rFonts w:hint="eastAsia" w:hAnsi="宋体"/>
                              </w:rPr>
                            </w:pPr>
                            <w:r>
                              <w:rPr>
                                <w:rFonts w:hint="eastAsia" w:hAnsi="宋体"/>
                              </w:rPr>
                              <w:t xml:space="preserve">  </w:t>
                            </w:r>
                          </w:p>
                          <w:p w14:paraId="0DED750F">
                            <w:pPr>
                              <w:jc w:val="center"/>
                              <w:rPr>
                                <w:rFonts w:hint="eastAsia" w:hAnsi="宋体"/>
                              </w:rPr>
                            </w:pPr>
                          </w:p>
                          <w:p w14:paraId="363CE398">
                            <w:pPr>
                              <w:jc w:val="center"/>
                              <w:rPr>
                                <w:rFonts w:hint="eastAsia" w:hAnsi="宋体"/>
                              </w:rPr>
                            </w:pPr>
                          </w:p>
                          <w:p w14:paraId="6312C6EE">
                            <w:pPr>
                              <w:tabs>
                                <w:tab w:val="left" w:pos="5580"/>
                              </w:tabs>
                              <w:spacing w:line="240" w:lineRule="atLeast"/>
                              <w:ind w:firstLine="240" w:firstLineChars="100"/>
                              <w:rPr>
                                <w:rFonts w:hint="eastAsia" w:ascii="仿宋_GB2312" w:hAnsi="宋体" w:eastAsia="仿宋_GB2312"/>
                                <w:sz w:val="24"/>
                              </w:rPr>
                            </w:pPr>
                            <w:r>
                              <w:rPr>
                                <w:rFonts w:hint="eastAsia" w:ascii="仿宋_GB2312" w:hAnsi="宋体" w:eastAsia="仿宋_GB2312"/>
                                <w:sz w:val="24"/>
                              </w:rPr>
                              <w:t>法人身份证复印件反面</w:t>
                            </w:r>
                          </w:p>
                          <w:p w14:paraId="1315B7B4"/>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Vj+qtkAAAAJAQAADwAAAAAAAAABACAAAAAiAAAAZHJzL2Rvd25yZXYueG1sUEsBAhQAFAAAAAgA&#10;h07iQA6a/y8kAgAAWgQAAA4AAAAAAAAAAQAgAAAAKAEAAGRycy9lMm9Eb2MueG1sUEsFBgAAAAAG&#10;AAYAWQEAAL4FAAAAAA==&#10;">
                <v:fill on="t" focussize="0,0"/>
                <v:stroke weight="1.25pt" color="#000000" joinstyle="round"/>
                <v:imagedata o:title=""/>
                <o:lock v:ext="edit" aspectratio="f"/>
                <v:textbox>
                  <w:txbxContent>
                    <w:p w14:paraId="572E6029">
                      <w:pPr>
                        <w:jc w:val="center"/>
                        <w:rPr>
                          <w:rFonts w:hint="eastAsia" w:hAnsi="宋体"/>
                        </w:rPr>
                      </w:pPr>
                      <w:r>
                        <w:rPr>
                          <w:rFonts w:hint="eastAsia" w:hAnsi="宋体"/>
                        </w:rPr>
                        <w:t xml:space="preserve">  </w:t>
                      </w:r>
                    </w:p>
                    <w:p w14:paraId="0DED750F">
                      <w:pPr>
                        <w:jc w:val="center"/>
                        <w:rPr>
                          <w:rFonts w:hint="eastAsia" w:hAnsi="宋体"/>
                        </w:rPr>
                      </w:pPr>
                    </w:p>
                    <w:p w14:paraId="363CE398">
                      <w:pPr>
                        <w:jc w:val="center"/>
                        <w:rPr>
                          <w:rFonts w:hint="eastAsia" w:hAnsi="宋体"/>
                        </w:rPr>
                      </w:pPr>
                    </w:p>
                    <w:p w14:paraId="6312C6EE">
                      <w:pPr>
                        <w:tabs>
                          <w:tab w:val="left" w:pos="5580"/>
                        </w:tabs>
                        <w:spacing w:line="240" w:lineRule="atLeast"/>
                        <w:ind w:firstLine="240" w:firstLineChars="100"/>
                        <w:rPr>
                          <w:rFonts w:hint="eastAsia" w:ascii="仿宋_GB2312" w:hAnsi="宋体" w:eastAsia="仿宋_GB2312"/>
                          <w:sz w:val="24"/>
                        </w:rPr>
                      </w:pPr>
                      <w:r>
                        <w:rPr>
                          <w:rFonts w:hint="eastAsia" w:ascii="仿宋_GB2312" w:hAnsi="宋体" w:eastAsia="仿宋_GB2312"/>
                          <w:sz w:val="24"/>
                        </w:rPr>
                        <w:t>法人身份证复印件反面</w:t>
                      </w:r>
                    </w:p>
                    <w:p w14:paraId="1315B7B4"/>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2" name="圆角矩形 12"/>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000000"/>
                          </a:solidFill>
                          <a:prstDash val="solid"/>
                          <a:headEnd type="none" w="med" len="med"/>
                          <a:tailEnd type="none" w="med" len="med"/>
                        </a:ln>
                      </wps:spPr>
                      <wps:txbx>
                        <w:txbxContent>
                          <w:p w14:paraId="4FC28A58">
                            <w:pPr>
                              <w:jc w:val="center"/>
                              <w:rPr>
                                <w:rFonts w:hint="eastAsia" w:hAnsi="宋体"/>
                              </w:rPr>
                            </w:pPr>
                          </w:p>
                          <w:p w14:paraId="3E1CECE3">
                            <w:pPr>
                              <w:jc w:val="center"/>
                              <w:rPr>
                                <w:rFonts w:hint="eastAsia" w:hAnsi="宋体"/>
                              </w:rPr>
                            </w:pPr>
                          </w:p>
                          <w:p w14:paraId="28668E7E">
                            <w:pPr>
                              <w:jc w:val="center"/>
                              <w:rPr>
                                <w:rFonts w:hint="eastAsia" w:hAnsi="宋体"/>
                              </w:rPr>
                            </w:pPr>
                          </w:p>
                          <w:p w14:paraId="08D29487">
                            <w:pPr>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法人身份证复印件正面</w:t>
                            </w:r>
                          </w:p>
                          <w:p w14:paraId="746EB1F9"/>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J9&#10;3IbWAAAACAEAAA8AAAAAAAAAAQAgAAAAIgAAAGRycy9kb3ducmV2LnhtbFBLAQIUABQAAAAIAIdO&#10;4kCpS1gOJQIAAFoEAAAOAAAAAAAAAAEAIAAAACUBAABkcnMvZTJvRG9jLnhtbFBLBQYAAAAABgAG&#10;AFkBAAC8BQAAAAA=&#10;">
                <v:fill on="t" focussize="0,0"/>
                <v:stroke weight="1.25pt" color="#000000" joinstyle="round"/>
                <v:imagedata o:title=""/>
                <o:lock v:ext="edit" aspectratio="f"/>
                <v:textbox>
                  <w:txbxContent>
                    <w:p w14:paraId="4FC28A58">
                      <w:pPr>
                        <w:jc w:val="center"/>
                        <w:rPr>
                          <w:rFonts w:hint="eastAsia" w:hAnsi="宋体"/>
                        </w:rPr>
                      </w:pPr>
                    </w:p>
                    <w:p w14:paraId="3E1CECE3">
                      <w:pPr>
                        <w:jc w:val="center"/>
                        <w:rPr>
                          <w:rFonts w:hint="eastAsia" w:hAnsi="宋体"/>
                        </w:rPr>
                      </w:pPr>
                    </w:p>
                    <w:p w14:paraId="28668E7E">
                      <w:pPr>
                        <w:jc w:val="center"/>
                        <w:rPr>
                          <w:rFonts w:hint="eastAsia" w:hAnsi="宋体"/>
                        </w:rPr>
                      </w:pPr>
                    </w:p>
                    <w:p w14:paraId="08D29487">
                      <w:pPr>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法人身份证复印件正面</w:t>
                      </w:r>
                    </w:p>
                    <w:p w14:paraId="746EB1F9"/>
                  </w:txbxContent>
                </v:textbox>
              </v:roundrect>
            </w:pict>
          </mc:Fallback>
        </mc:AlternateContent>
      </w:r>
    </w:p>
    <w:p w14:paraId="61D043FE">
      <w:pPr>
        <w:spacing w:line="360" w:lineRule="auto"/>
        <w:ind w:firstLine="240" w:firstLineChars="100"/>
        <w:rPr>
          <w:rFonts w:hint="eastAsia" w:ascii="仿宋" w:hAnsi="仿宋" w:eastAsia="仿宋" w:cs="仿宋"/>
          <w:color w:val="auto"/>
          <w:sz w:val="24"/>
          <w:szCs w:val="24"/>
          <w:highlight w:val="none"/>
        </w:rPr>
      </w:pPr>
    </w:p>
    <w:p w14:paraId="3C5009E2">
      <w:pPr>
        <w:spacing w:line="360" w:lineRule="auto"/>
        <w:ind w:firstLine="240" w:firstLineChars="100"/>
        <w:rPr>
          <w:rFonts w:hint="eastAsia" w:ascii="仿宋" w:hAnsi="仿宋" w:eastAsia="仿宋" w:cs="仿宋"/>
          <w:color w:val="auto"/>
          <w:sz w:val="24"/>
          <w:szCs w:val="24"/>
          <w:highlight w:val="none"/>
        </w:rPr>
      </w:pPr>
    </w:p>
    <w:p w14:paraId="674ABF6C">
      <w:pPr>
        <w:spacing w:line="360" w:lineRule="auto"/>
        <w:ind w:firstLine="240" w:firstLineChars="100"/>
        <w:rPr>
          <w:rFonts w:hint="eastAsia" w:ascii="仿宋" w:hAnsi="仿宋" w:eastAsia="仿宋" w:cs="仿宋"/>
          <w:color w:val="auto"/>
          <w:sz w:val="24"/>
          <w:szCs w:val="24"/>
          <w:highlight w:val="none"/>
        </w:rPr>
      </w:pPr>
    </w:p>
    <w:p w14:paraId="58C143D7">
      <w:pPr>
        <w:spacing w:line="360" w:lineRule="auto"/>
        <w:ind w:firstLine="240" w:firstLineChars="100"/>
        <w:rPr>
          <w:rFonts w:hint="eastAsia" w:ascii="仿宋" w:hAnsi="仿宋" w:eastAsia="仿宋" w:cs="仿宋"/>
          <w:color w:val="auto"/>
          <w:sz w:val="24"/>
          <w:szCs w:val="24"/>
          <w:highlight w:val="none"/>
        </w:rPr>
      </w:pPr>
    </w:p>
    <w:p w14:paraId="64CB7C81">
      <w:pPr>
        <w:pStyle w:val="15"/>
        <w:tabs>
          <w:tab w:val="left" w:pos="5580"/>
        </w:tabs>
        <w:spacing w:line="240" w:lineRule="atLeast"/>
        <w:ind w:left="-540" w:leftChars="-257" w:firstLine="900" w:firstLineChars="375"/>
        <w:rPr>
          <w:rFonts w:hint="eastAsia" w:ascii="仿宋" w:hAnsi="仿宋" w:eastAsia="仿宋" w:cs="仿宋"/>
          <w:color w:val="auto"/>
          <w:sz w:val="24"/>
          <w:szCs w:val="24"/>
          <w:highlight w:val="none"/>
        </w:rPr>
      </w:pPr>
    </w:p>
    <w:p w14:paraId="1EB4ED9A">
      <w:pPr>
        <w:pStyle w:val="15"/>
        <w:tabs>
          <w:tab w:val="left" w:pos="5580"/>
        </w:tabs>
        <w:spacing w:line="240" w:lineRule="atLeast"/>
        <w:ind w:left="-540" w:leftChars="-257" w:firstLine="900" w:firstLineChars="375"/>
        <w:rPr>
          <w:rFonts w:hint="eastAsia" w:ascii="仿宋" w:hAnsi="仿宋" w:eastAsia="仿宋" w:cs="仿宋"/>
          <w:color w:val="auto"/>
          <w:sz w:val="24"/>
          <w:szCs w:val="24"/>
          <w:highlight w:val="none"/>
        </w:rPr>
      </w:pPr>
    </w:p>
    <w:p w14:paraId="38796EA3">
      <w:pPr>
        <w:pStyle w:val="15"/>
        <w:tabs>
          <w:tab w:val="left" w:pos="5580"/>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 xml:space="preserve">                           </w:t>
      </w:r>
    </w:p>
    <w:p w14:paraId="6EA6AF76">
      <w:pPr>
        <w:pStyle w:val="15"/>
        <w:tabs>
          <w:tab w:val="left" w:pos="558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14:paraId="60C2651F">
      <w:pPr>
        <w:pStyle w:val="15"/>
        <w:tabs>
          <w:tab w:val="left" w:pos="5580"/>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none"/>
        </w:rPr>
        <w:t xml:space="preserve">__________________________________ </w:t>
      </w:r>
    </w:p>
    <w:p w14:paraId="2267E2DB">
      <w:pPr>
        <w:pStyle w:val="15"/>
        <w:tabs>
          <w:tab w:val="left" w:pos="5580"/>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p>
    <w:p w14:paraId="4BB5DA9C">
      <w:pPr>
        <w:pStyle w:val="15"/>
        <w:tabs>
          <w:tab w:val="left" w:pos="5580"/>
        </w:tabs>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14:paraId="48149B8E">
      <w:pPr>
        <w:pStyle w:val="15"/>
        <w:tabs>
          <w:tab w:val="left" w:pos="558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详细通讯地址：</w:t>
      </w:r>
      <w:r>
        <w:rPr>
          <w:rFonts w:hint="eastAsia" w:ascii="仿宋" w:hAnsi="仿宋" w:eastAsia="仿宋" w:cs="仿宋"/>
          <w:color w:val="auto"/>
          <w:sz w:val="24"/>
          <w:szCs w:val="24"/>
          <w:highlight w:val="none"/>
          <w:u w:val="single"/>
        </w:rPr>
        <w:t xml:space="preserve">                                 </w:t>
      </w:r>
    </w:p>
    <w:p w14:paraId="0794F20A">
      <w:pPr>
        <w:pStyle w:val="15"/>
        <w:tabs>
          <w:tab w:val="left" w:pos="558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政 编 码 ：</w:t>
      </w:r>
      <w:r>
        <w:rPr>
          <w:rFonts w:hint="eastAsia" w:ascii="仿宋" w:hAnsi="仿宋" w:eastAsia="仿宋" w:cs="仿宋"/>
          <w:color w:val="auto"/>
          <w:sz w:val="24"/>
          <w:szCs w:val="24"/>
          <w:highlight w:val="none"/>
          <w:u w:val="single"/>
        </w:rPr>
        <w:t xml:space="preserve">                                 </w:t>
      </w:r>
    </w:p>
    <w:p w14:paraId="182008B3">
      <w:pPr>
        <w:pStyle w:val="15"/>
        <w:tabs>
          <w:tab w:val="left" w:pos="558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14:paraId="1994966B">
      <w:pPr>
        <w:pStyle w:val="15"/>
        <w:tabs>
          <w:tab w:val="left" w:pos="558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14:paraId="30F6ADB6">
      <w:pPr>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w:t>
      </w:r>
    </w:p>
    <w:p w14:paraId="4036B35F">
      <w:pPr>
        <w:pStyle w:val="7"/>
        <w:spacing w:before="0" w:line="240" w:lineRule="atLeas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925"/>
    <w:bookmarkEnd w:id="926"/>
    <w:bookmarkEnd w:id="927"/>
    <w:p w14:paraId="12C04124">
      <w:pPr>
        <w:pStyle w:val="20"/>
        <w:ind w:firstLine="241" w:firstLineChars="1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4、投标人需提供本单位依法缴纳投标截止时间前半年内任意连续近三个月社保缴纳证明单位缴费个人明细表（社保证明可含：社保缴费凭证、社保缴费证明、社保缴费汇总单、依法缴纳社保的完税证明）；</w:t>
      </w:r>
    </w:p>
    <w:p w14:paraId="14CE0DEA">
      <w:pPr>
        <w:pStyle w:val="24"/>
        <w:ind w:firstLine="230"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说明：</w:t>
      </w:r>
      <w:r>
        <w:rPr>
          <w:rFonts w:hint="eastAsia" w:ascii="仿宋" w:hAnsi="仿宋" w:eastAsia="仿宋" w:cs="仿宋"/>
          <w:color w:val="auto"/>
          <w:spacing w:val="-1"/>
          <w:sz w:val="24"/>
          <w:szCs w:val="24"/>
          <w:highlight w:val="none"/>
        </w:rPr>
        <w:t>复印件上应加盖本单位章。</w:t>
      </w:r>
    </w:p>
    <w:p w14:paraId="291E0121">
      <w:pPr>
        <w:pStyle w:val="24"/>
        <w:ind w:firstLine="0" w:firstLineChars="0"/>
        <w:rPr>
          <w:rFonts w:hint="eastAsia" w:ascii="仿宋" w:hAnsi="仿宋" w:eastAsia="仿宋" w:cs="仿宋"/>
          <w:color w:val="auto"/>
          <w:sz w:val="24"/>
          <w:szCs w:val="24"/>
          <w:highlight w:val="none"/>
        </w:rPr>
      </w:pPr>
    </w:p>
    <w:p w14:paraId="559FF445">
      <w:pPr>
        <w:pStyle w:val="21"/>
        <w:rPr>
          <w:rFonts w:hint="eastAsia" w:ascii="仿宋" w:hAnsi="仿宋" w:eastAsia="仿宋" w:cs="仿宋"/>
          <w:b/>
          <w:bCs/>
          <w:color w:val="auto"/>
          <w:sz w:val="24"/>
          <w:szCs w:val="24"/>
          <w:highlight w:val="none"/>
        </w:rPr>
      </w:pPr>
    </w:p>
    <w:p w14:paraId="3DA3084C">
      <w:pPr>
        <w:rPr>
          <w:rFonts w:hint="eastAsia" w:ascii="仿宋" w:hAnsi="仿宋" w:eastAsia="仿宋" w:cs="仿宋"/>
          <w:b/>
          <w:bCs/>
          <w:color w:val="auto"/>
          <w:sz w:val="24"/>
          <w:szCs w:val="24"/>
          <w:highlight w:val="none"/>
        </w:rPr>
      </w:pPr>
    </w:p>
    <w:p w14:paraId="4589525C">
      <w:pPr>
        <w:rPr>
          <w:rFonts w:hint="eastAsia" w:ascii="仿宋" w:hAnsi="仿宋" w:eastAsia="仿宋" w:cs="仿宋"/>
          <w:b/>
          <w:bCs/>
          <w:color w:val="auto"/>
          <w:sz w:val="24"/>
          <w:szCs w:val="24"/>
          <w:highlight w:val="none"/>
        </w:rPr>
      </w:pPr>
    </w:p>
    <w:p w14:paraId="6CC3FD1B">
      <w:pPr>
        <w:spacing w:line="360" w:lineRule="auto"/>
        <w:ind w:firstLine="241" w:firstLineChars="100"/>
        <w:rPr>
          <w:rFonts w:hint="eastAsia" w:eastAsia="仿宋"/>
          <w:b/>
          <w:bCs/>
          <w:lang w:val="en-US" w:eastAsia="zh-CN"/>
        </w:rPr>
      </w:pPr>
      <w:r>
        <w:rPr>
          <w:rFonts w:hint="eastAsia" w:ascii="仿宋" w:hAnsi="仿宋" w:eastAsia="仿宋" w:cs="仿宋"/>
          <w:b/>
          <w:bCs/>
          <w:color w:val="auto"/>
          <w:sz w:val="24"/>
          <w:szCs w:val="24"/>
          <w:highlight w:val="none"/>
          <w:lang w:val="en-US" w:eastAsia="zh-CN"/>
        </w:rPr>
        <w:t>5、投标人需提供2023年度第三方审计机构出具的财务审计报告(会计周期不满一年的提供近三个月银行出具的资信证明）和健全的财务会计制度；</w:t>
      </w:r>
    </w:p>
    <w:p w14:paraId="4B500C46">
      <w:pPr>
        <w:pStyle w:val="24"/>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5"/>
          <w:sz w:val="24"/>
          <w:szCs w:val="24"/>
          <w:highlight w:val="none"/>
        </w:rPr>
        <w:t>说明：</w:t>
      </w:r>
      <w:r>
        <w:rPr>
          <w:rFonts w:hint="eastAsia" w:ascii="仿宋" w:hAnsi="仿宋" w:eastAsia="仿宋" w:cs="仿宋"/>
          <w:color w:val="auto"/>
          <w:spacing w:val="-1"/>
          <w:sz w:val="24"/>
          <w:szCs w:val="24"/>
          <w:highlight w:val="none"/>
        </w:rPr>
        <w:t>复印件上应加盖本单位章</w:t>
      </w:r>
    </w:p>
    <w:p w14:paraId="66ADF8D5">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2CDFE0F9">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30C99D1F">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0A04EBDF">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04D0FC65">
      <w:pPr>
        <w:pStyle w:val="15"/>
        <w:pageBreakBefore w:val="0"/>
        <w:kinsoku/>
        <w:wordWrap/>
        <w:overflowPunct/>
        <w:topLinePunct w:val="0"/>
        <w:autoSpaceDE/>
        <w:autoSpaceDN/>
        <w:bidi w:val="0"/>
        <w:adjustRightInd/>
        <w:snapToGrid w:val="0"/>
        <w:spacing w:line="396" w:lineRule="auto"/>
        <w:textAlignment w:val="auto"/>
        <w:outlineLvl w:val="2"/>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r>
        <w:rPr>
          <w:rFonts w:hint="eastAsia" w:ascii="仿宋" w:hAnsi="仿宋" w:eastAsia="仿宋" w:cs="仿宋"/>
          <w:b/>
          <w:bCs/>
          <w:color w:val="auto"/>
          <w:kern w:val="2"/>
          <w:sz w:val="24"/>
          <w:szCs w:val="24"/>
          <w:highlight w:val="none"/>
          <w:lang w:val="en-US" w:eastAsia="zh-CN" w:bidi="ar-SA"/>
        </w:rPr>
        <w:t>6、投标人需提供税务部门出具投标截止时间前半年内任意连续近三个月缴纳税收的完税证明（需含增值税、印花税等税种；如当月无需缴税需提供无欠税证明）；</w:t>
      </w:r>
    </w:p>
    <w:p w14:paraId="44D28A6B">
      <w:pPr>
        <w:numPr>
          <w:ilvl w:val="0"/>
          <w:numId w:val="0"/>
        </w:numPr>
        <w:spacing w:before="78" w:line="360" w:lineRule="auto"/>
        <w:ind w:right="102" w:rightChars="0" w:firstLine="230" w:firstLineChars="10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说明：</w:t>
      </w:r>
      <w:r>
        <w:rPr>
          <w:rFonts w:hint="eastAsia" w:ascii="仿宋" w:hAnsi="仿宋" w:eastAsia="仿宋" w:cs="仿宋"/>
          <w:color w:val="auto"/>
          <w:spacing w:val="-1"/>
          <w:sz w:val="24"/>
          <w:szCs w:val="24"/>
          <w:highlight w:val="none"/>
        </w:rPr>
        <w:t>复印件上应加盖本单位章。</w:t>
      </w:r>
    </w:p>
    <w:p w14:paraId="72794C0F">
      <w:pPr>
        <w:pStyle w:val="2"/>
        <w:rPr>
          <w:rFonts w:hint="eastAsia" w:ascii="仿宋" w:hAnsi="仿宋" w:eastAsia="仿宋" w:cs="仿宋"/>
          <w:b/>
          <w:bCs/>
          <w:color w:val="auto"/>
          <w:spacing w:val="-1"/>
          <w:sz w:val="24"/>
          <w:szCs w:val="24"/>
          <w:highlight w:val="none"/>
        </w:rPr>
      </w:pPr>
    </w:p>
    <w:p w14:paraId="6D519E20">
      <w:pPr>
        <w:pStyle w:val="4"/>
        <w:rPr>
          <w:rFonts w:hint="eastAsia" w:ascii="仿宋" w:hAnsi="仿宋" w:eastAsia="仿宋" w:cs="仿宋"/>
          <w:b/>
          <w:bCs/>
          <w:color w:val="auto"/>
          <w:spacing w:val="-1"/>
          <w:sz w:val="24"/>
          <w:szCs w:val="24"/>
          <w:highlight w:val="none"/>
        </w:rPr>
      </w:pPr>
    </w:p>
    <w:p w14:paraId="7982B63B">
      <w:pPr>
        <w:pStyle w:val="5"/>
        <w:rPr>
          <w:rFonts w:hint="eastAsia"/>
        </w:rPr>
      </w:pPr>
    </w:p>
    <w:p w14:paraId="73B76DCB">
      <w:pPr>
        <w:pStyle w:val="4"/>
        <w:spacing w:line="360" w:lineRule="auto"/>
        <w:ind w:left="0" w:leftChars="0" w:firstLine="0" w:firstLineChars="0"/>
        <w:rPr>
          <w:rFonts w:hint="default" w:eastAsia="仿宋"/>
          <w:b/>
          <w:bCs/>
          <w:lang w:val="en-US" w:eastAsia="zh-CN"/>
        </w:rPr>
      </w:pPr>
      <w:r>
        <w:rPr>
          <w:rFonts w:hint="eastAsia" w:ascii="仿宋" w:hAnsi="仿宋" w:eastAsia="仿宋" w:cs="仿宋"/>
          <w:b/>
          <w:bCs/>
          <w:color w:val="auto"/>
          <w:spacing w:val="-1"/>
          <w:sz w:val="24"/>
          <w:szCs w:val="24"/>
          <w:highlight w:val="none"/>
          <w:lang w:val="en-US" w:eastAsia="zh-CN"/>
        </w:rPr>
        <w:t xml:space="preserve">   7、参加本次招标项目的投标人，近三年内如在“信用中国”被列入失信被执行人、企业经营异常名录、重大税收违法案件当事人名单、政府采购严重违法失信名单（尚在处罚期内的）“中国政府采购网”被列入政府采购严重违法失信行为记录名单的（尚在处罚期内的）“国家企业信用信息公示系统”列入经营异常名录信息、严重违法失信名单（黑名单）信息（尚在处罚期内的）；将拒绝其参与本次政府采购活动；</w:t>
      </w:r>
    </w:p>
    <w:p w14:paraId="68D6C958">
      <w:pPr>
        <w:numPr>
          <w:ilvl w:val="0"/>
          <w:numId w:val="0"/>
        </w:numPr>
        <w:spacing w:before="78" w:line="360" w:lineRule="auto"/>
        <w:ind w:right="102" w:rightChars="0" w:firstLine="230" w:firstLineChars="10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说明：</w:t>
      </w:r>
      <w:r>
        <w:rPr>
          <w:rFonts w:hint="eastAsia" w:ascii="仿宋" w:hAnsi="仿宋" w:eastAsia="仿宋" w:cs="仿宋"/>
          <w:color w:val="auto"/>
          <w:spacing w:val="-1"/>
          <w:sz w:val="24"/>
          <w:szCs w:val="24"/>
          <w:highlight w:val="none"/>
        </w:rPr>
        <w:t>复印件上应加盖本单位章。</w:t>
      </w:r>
    </w:p>
    <w:p w14:paraId="50809104">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57FB9417">
      <w:pPr>
        <w:pStyle w:val="15"/>
        <w:pageBreakBefore w:val="0"/>
        <w:kinsoku/>
        <w:wordWrap/>
        <w:overflowPunct/>
        <w:topLinePunct w:val="0"/>
        <w:autoSpaceDE/>
        <w:autoSpaceDN/>
        <w:bidi w:val="0"/>
        <w:adjustRightInd/>
        <w:snapToGrid w:val="0"/>
        <w:spacing w:line="396" w:lineRule="auto"/>
        <w:ind w:left="239" w:leftChars="114" w:firstLine="120" w:firstLineChars="50"/>
        <w:textAlignment w:val="auto"/>
        <w:outlineLvl w:val="2"/>
        <w:rPr>
          <w:rFonts w:hint="eastAsia" w:ascii="仿宋" w:hAnsi="仿宋" w:eastAsia="仿宋" w:cs="仿宋"/>
          <w:kern w:val="2"/>
          <w:sz w:val="24"/>
          <w:szCs w:val="24"/>
          <w:lang w:val="en-US" w:eastAsia="zh-CN" w:bidi="ar-SA"/>
        </w:rPr>
      </w:pPr>
    </w:p>
    <w:p w14:paraId="20924D4E">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24EB71CF">
      <w:pPr>
        <w:pStyle w:val="15"/>
        <w:pageBreakBefore w:val="0"/>
        <w:numPr>
          <w:ilvl w:val="0"/>
          <w:numId w:val="13"/>
        </w:numPr>
        <w:kinsoku/>
        <w:wordWrap/>
        <w:overflowPunct/>
        <w:topLinePunct w:val="0"/>
        <w:autoSpaceDE/>
        <w:autoSpaceDN/>
        <w:bidi w:val="0"/>
        <w:adjustRightInd/>
        <w:snapToGrid w:val="0"/>
        <w:spacing w:line="396" w:lineRule="auto"/>
        <w:ind w:left="479" w:leftChars="0" w:firstLine="0" w:firstLineChars="0"/>
        <w:textAlignment w:val="auto"/>
        <w:outlineLvl w:val="2"/>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投标人提供针对本次项目《反商业贿赂承诺书》；</w:t>
      </w:r>
    </w:p>
    <w:p w14:paraId="1CA3C350">
      <w:pPr>
        <w:pStyle w:val="15"/>
        <w:pageBreakBefore w:val="0"/>
        <w:numPr>
          <w:ilvl w:val="0"/>
          <w:numId w:val="0"/>
        </w:numPr>
        <w:kinsoku/>
        <w:wordWrap/>
        <w:overflowPunct/>
        <w:topLinePunct w:val="0"/>
        <w:autoSpaceDE/>
        <w:autoSpaceDN/>
        <w:bidi w:val="0"/>
        <w:adjustRightInd/>
        <w:snapToGrid w:val="0"/>
        <w:spacing w:line="396" w:lineRule="auto"/>
        <w:ind w:left="479" w:leftChars="0"/>
        <w:textAlignment w:val="auto"/>
        <w:outlineLvl w:val="2"/>
        <w:rPr>
          <w:rFonts w:hint="eastAsia" w:ascii="仿宋" w:hAnsi="仿宋" w:eastAsia="仿宋" w:cs="仿宋"/>
          <w:b/>
          <w:bCs/>
          <w:kern w:val="2"/>
          <w:sz w:val="24"/>
          <w:szCs w:val="24"/>
          <w:lang w:val="en-US" w:eastAsia="zh-CN" w:bidi="ar-SA"/>
        </w:rPr>
      </w:pPr>
    </w:p>
    <w:p w14:paraId="38ACDBFD">
      <w:pPr>
        <w:pStyle w:val="15"/>
        <w:pageBreakBefore w:val="0"/>
        <w:numPr>
          <w:ilvl w:val="0"/>
          <w:numId w:val="0"/>
        </w:numPr>
        <w:kinsoku/>
        <w:wordWrap/>
        <w:overflowPunct/>
        <w:topLinePunct w:val="0"/>
        <w:autoSpaceDE/>
        <w:autoSpaceDN/>
        <w:bidi w:val="0"/>
        <w:adjustRightInd/>
        <w:snapToGrid w:val="0"/>
        <w:spacing w:line="480" w:lineRule="auto"/>
        <w:ind w:left="479" w:leftChars="0"/>
        <w:jc w:val="center"/>
        <w:textAlignment w:val="auto"/>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投标单位（供应商）反商业贿赂承诺书</w:t>
      </w:r>
    </w:p>
    <w:p w14:paraId="64FD51AB">
      <w:pPr>
        <w:pStyle w:val="15"/>
        <w:pageBreakBefore w:val="0"/>
        <w:numPr>
          <w:ilvl w:val="0"/>
          <w:numId w:val="0"/>
        </w:numPr>
        <w:kinsoku/>
        <w:wordWrap/>
        <w:overflowPunct/>
        <w:topLinePunct w:val="0"/>
        <w:autoSpaceDE/>
        <w:autoSpaceDN/>
        <w:bidi w:val="0"/>
        <w:adjustRightInd/>
        <w:snapToGrid w:val="0"/>
        <w:spacing w:line="480" w:lineRule="auto"/>
        <w:ind w:left="479" w:leftChars="0" w:firstLine="240" w:firstLineChars="100"/>
        <w:textAlignment w:val="auto"/>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我公司承诺在</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项</w:t>
      </w:r>
      <w:r>
        <w:rPr>
          <w:rFonts w:hint="eastAsia" w:ascii="仿宋" w:hAnsi="仿宋" w:eastAsia="仿宋" w:cs="仿宋"/>
          <w:b w:val="0"/>
          <w:bCs w:val="0"/>
          <w:kern w:val="2"/>
          <w:sz w:val="24"/>
          <w:szCs w:val="24"/>
          <w:lang w:val="en-US" w:eastAsia="zh-CN" w:bidi="ar-SA"/>
        </w:rPr>
        <w:t>目招标活动中，不给予国家工作人员以及中介</w:t>
      </w:r>
    </w:p>
    <w:p w14:paraId="72E2EF1C">
      <w:pPr>
        <w:pStyle w:val="15"/>
        <w:pageBreakBefore w:val="0"/>
        <w:numPr>
          <w:ilvl w:val="0"/>
          <w:numId w:val="0"/>
        </w:numPr>
        <w:kinsoku/>
        <w:wordWrap/>
        <w:overflowPunct/>
        <w:topLinePunct w:val="0"/>
        <w:autoSpaceDE/>
        <w:autoSpaceDN/>
        <w:bidi w:val="0"/>
        <w:adjustRightInd/>
        <w:snapToGrid w:val="0"/>
        <w:spacing w:line="480" w:lineRule="auto"/>
        <w:textAlignment w:val="auto"/>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45B5E052">
      <w:pPr>
        <w:pStyle w:val="15"/>
        <w:pageBreakBefore w:val="0"/>
        <w:numPr>
          <w:ilvl w:val="0"/>
          <w:numId w:val="0"/>
        </w:numPr>
        <w:kinsoku/>
        <w:wordWrap/>
        <w:overflowPunct/>
        <w:topLinePunct w:val="0"/>
        <w:autoSpaceDE/>
        <w:autoSpaceDN/>
        <w:bidi w:val="0"/>
        <w:adjustRightInd/>
        <w:snapToGrid w:val="0"/>
        <w:spacing w:line="480" w:lineRule="auto"/>
        <w:ind w:left="479" w:leftChars="0"/>
        <w:textAlignment w:val="auto"/>
        <w:outlineLvl w:val="2"/>
        <w:rPr>
          <w:rFonts w:hint="eastAsia" w:ascii="仿宋" w:hAnsi="仿宋" w:eastAsia="仿宋" w:cs="仿宋"/>
          <w:b w:val="0"/>
          <w:bCs w:val="0"/>
          <w:kern w:val="2"/>
          <w:sz w:val="24"/>
          <w:szCs w:val="24"/>
          <w:lang w:val="en-US" w:eastAsia="zh-CN" w:bidi="ar-SA"/>
        </w:rPr>
      </w:pPr>
    </w:p>
    <w:p w14:paraId="31FFB34C">
      <w:pPr>
        <w:pStyle w:val="15"/>
        <w:pageBreakBefore w:val="0"/>
        <w:numPr>
          <w:ilvl w:val="0"/>
          <w:numId w:val="0"/>
        </w:numPr>
        <w:kinsoku/>
        <w:wordWrap/>
        <w:overflowPunct/>
        <w:topLinePunct w:val="0"/>
        <w:autoSpaceDE/>
        <w:autoSpaceDN/>
        <w:bidi w:val="0"/>
        <w:adjustRightInd/>
        <w:snapToGrid w:val="0"/>
        <w:spacing w:line="480" w:lineRule="auto"/>
        <w:ind w:left="479" w:leftChars="0"/>
        <w:textAlignment w:val="auto"/>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公 司 名 称：（盖章）</w:t>
      </w:r>
    </w:p>
    <w:p w14:paraId="60EF4184">
      <w:pPr>
        <w:pStyle w:val="15"/>
        <w:pageBreakBefore w:val="0"/>
        <w:numPr>
          <w:ilvl w:val="0"/>
          <w:numId w:val="0"/>
        </w:numPr>
        <w:kinsoku/>
        <w:wordWrap/>
        <w:overflowPunct/>
        <w:topLinePunct w:val="0"/>
        <w:autoSpaceDE/>
        <w:autoSpaceDN/>
        <w:bidi w:val="0"/>
        <w:adjustRightInd/>
        <w:snapToGrid w:val="0"/>
        <w:spacing w:line="396" w:lineRule="auto"/>
        <w:ind w:left="479" w:leftChars="0"/>
        <w:textAlignment w:val="auto"/>
        <w:outlineLvl w:val="2"/>
        <w:rPr>
          <w:rFonts w:hint="eastAsia" w:ascii="仿宋" w:hAnsi="仿宋" w:eastAsia="仿宋" w:cs="仿宋"/>
          <w:b w:val="0"/>
          <w:bCs w:val="0"/>
          <w:kern w:val="2"/>
          <w:sz w:val="24"/>
          <w:szCs w:val="24"/>
          <w:lang w:val="en-US" w:eastAsia="zh-CN" w:bidi="ar-SA"/>
        </w:rPr>
      </w:pPr>
    </w:p>
    <w:p w14:paraId="66D7B0A1">
      <w:pPr>
        <w:pStyle w:val="15"/>
        <w:pageBreakBefore w:val="0"/>
        <w:numPr>
          <w:ilvl w:val="0"/>
          <w:numId w:val="0"/>
        </w:numPr>
        <w:kinsoku/>
        <w:wordWrap/>
        <w:overflowPunct/>
        <w:topLinePunct w:val="0"/>
        <w:autoSpaceDE/>
        <w:autoSpaceDN/>
        <w:bidi w:val="0"/>
        <w:adjustRightInd/>
        <w:snapToGrid w:val="0"/>
        <w:spacing w:line="396" w:lineRule="auto"/>
        <w:ind w:left="479" w:leftChars="0"/>
        <w:textAlignment w:val="auto"/>
        <w:outlineLvl w:val="2"/>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公司法人代表或授权代表：（签字或盖章）</w:t>
      </w:r>
    </w:p>
    <w:p w14:paraId="08E153C7">
      <w:pPr>
        <w:pStyle w:val="15"/>
        <w:pageBreakBefore w:val="0"/>
        <w:numPr>
          <w:ilvl w:val="0"/>
          <w:numId w:val="0"/>
        </w:numPr>
        <w:kinsoku/>
        <w:wordWrap/>
        <w:overflowPunct/>
        <w:topLinePunct w:val="0"/>
        <w:autoSpaceDE/>
        <w:autoSpaceDN/>
        <w:bidi w:val="0"/>
        <w:adjustRightInd/>
        <w:snapToGrid w:val="0"/>
        <w:spacing w:line="396" w:lineRule="auto"/>
        <w:ind w:left="479" w:leftChars="0"/>
        <w:textAlignment w:val="auto"/>
        <w:outlineLvl w:val="2"/>
        <w:rPr>
          <w:rFonts w:hint="eastAsia" w:ascii="仿宋" w:hAnsi="仿宋" w:eastAsia="仿宋" w:cs="仿宋"/>
          <w:b/>
          <w:bCs/>
          <w:kern w:val="2"/>
          <w:sz w:val="24"/>
          <w:szCs w:val="24"/>
          <w:lang w:val="en-US" w:eastAsia="zh-CN" w:bidi="ar-SA"/>
        </w:rPr>
      </w:pPr>
    </w:p>
    <w:p w14:paraId="54C07DD6">
      <w:pPr>
        <w:pStyle w:val="15"/>
        <w:pageBreakBefore w:val="0"/>
        <w:numPr>
          <w:ilvl w:val="0"/>
          <w:numId w:val="0"/>
        </w:numPr>
        <w:kinsoku/>
        <w:wordWrap/>
        <w:overflowPunct/>
        <w:topLinePunct w:val="0"/>
        <w:autoSpaceDE/>
        <w:autoSpaceDN/>
        <w:bidi w:val="0"/>
        <w:adjustRightInd/>
        <w:snapToGrid w:val="0"/>
        <w:spacing w:line="396" w:lineRule="auto"/>
        <w:ind w:left="479" w:leftChars="0"/>
        <w:textAlignment w:val="auto"/>
        <w:outlineLvl w:val="2"/>
        <w:rPr>
          <w:rFonts w:hint="eastAsia" w:ascii="仿宋" w:hAnsi="仿宋" w:eastAsia="仿宋" w:cs="仿宋"/>
          <w:b/>
          <w:bCs/>
          <w:kern w:val="2"/>
          <w:sz w:val="24"/>
          <w:szCs w:val="24"/>
          <w:lang w:val="en-US" w:eastAsia="zh-CN" w:bidi="ar-SA"/>
        </w:rPr>
      </w:pPr>
    </w:p>
    <w:p w14:paraId="50B66067">
      <w:pPr>
        <w:pStyle w:val="15"/>
        <w:pageBreakBefore w:val="0"/>
        <w:numPr>
          <w:ilvl w:val="0"/>
          <w:numId w:val="0"/>
        </w:numPr>
        <w:kinsoku/>
        <w:wordWrap/>
        <w:overflowPunct/>
        <w:topLinePunct w:val="0"/>
        <w:autoSpaceDE/>
        <w:autoSpaceDN/>
        <w:bidi w:val="0"/>
        <w:adjustRightInd/>
        <w:snapToGrid w:val="0"/>
        <w:spacing w:line="396" w:lineRule="auto"/>
        <w:ind w:left="479" w:leftChars="0"/>
        <w:textAlignment w:val="auto"/>
        <w:outlineLvl w:val="2"/>
        <w:rPr>
          <w:rFonts w:hint="eastAsia" w:ascii="仿宋" w:hAnsi="仿宋" w:eastAsia="仿宋" w:cs="仿宋"/>
          <w:b/>
          <w:bCs/>
          <w:kern w:val="2"/>
          <w:sz w:val="24"/>
          <w:szCs w:val="24"/>
          <w:lang w:val="en-US" w:eastAsia="zh-CN" w:bidi="ar-SA"/>
        </w:rPr>
      </w:pPr>
    </w:p>
    <w:p w14:paraId="6ED0AD75">
      <w:pPr>
        <w:pStyle w:val="15"/>
        <w:pageBreakBefore w:val="0"/>
        <w:numPr>
          <w:ilvl w:val="0"/>
          <w:numId w:val="0"/>
        </w:numPr>
        <w:kinsoku/>
        <w:wordWrap/>
        <w:overflowPunct/>
        <w:topLinePunct w:val="0"/>
        <w:autoSpaceDE/>
        <w:autoSpaceDN/>
        <w:bidi w:val="0"/>
        <w:adjustRightInd/>
        <w:snapToGrid w:val="0"/>
        <w:spacing w:line="396" w:lineRule="auto"/>
        <w:ind w:firstLine="482" w:firstLineChars="200"/>
        <w:textAlignment w:val="auto"/>
        <w:outlineLvl w:val="2"/>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9、参加政府采购活动前3年内在经营活动中没有重大违法记录的书面声明；</w:t>
      </w:r>
    </w:p>
    <w:p w14:paraId="30AAFA1E">
      <w:pPr>
        <w:spacing w:before="78" w:line="185" w:lineRule="auto"/>
        <w:ind w:firstLine="678" w:firstLineChars="30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说明：1.</w:t>
      </w:r>
      <w:r>
        <w:rPr>
          <w:rFonts w:hint="eastAsia" w:ascii="仿宋" w:hAnsi="仿宋" w:eastAsia="仿宋" w:cs="仿宋"/>
          <w:color w:val="auto"/>
          <w:spacing w:val="-9"/>
          <w:sz w:val="24"/>
          <w:szCs w:val="24"/>
          <w:highlight w:val="none"/>
        </w:rPr>
        <w:t>供应商应按照相关法规规定如实作出说明</w:t>
      </w:r>
      <w:r>
        <w:rPr>
          <w:rFonts w:hint="eastAsia" w:ascii="仿宋" w:hAnsi="仿宋" w:eastAsia="仿宋" w:cs="仿宋"/>
          <w:color w:val="auto"/>
          <w:spacing w:val="-7"/>
          <w:sz w:val="24"/>
          <w:szCs w:val="24"/>
          <w:highlight w:val="none"/>
        </w:rPr>
        <w:t>。</w:t>
      </w:r>
    </w:p>
    <w:p w14:paraId="1B89DB70">
      <w:pPr>
        <w:spacing w:before="78" w:line="185" w:lineRule="auto"/>
        <w:ind w:firstLine="1349" w:firstLineChars="56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2.按照</w:t>
      </w:r>
      <w:r>
        <w:rPr>
          <w:rFonts w:hint="eastAsia" w:ascii="仿宋" w:hAnsi="仿宋" w:eastAsia="仿宋" w:cs="仿宋"/>
          <w:color w:val="auto"/>
          <w:spacing w:val="-1"/>
          <w:sz w:val="24"/>
          <w:szCs w:val="24"/>
          <w:highlight w:val="none"/>
          <w:lang w:eastAsia="zh-CN"/>
        </w:rPr>
        <w:t>招标文件</w:t>
      </w:r>
      <w:r>
        <w:rPr>
          <w:rFonts w:hint="eastAsia" w:ascii="仿宋" w:hAnsi="仿宋" w:eastAsia="仿宋" w:cs="仿宋"/>
          <w:color w:val="auto"/>
          <w:spacing w:val="-1"/>
          <w:sz w:val="24"/>
          <w:szCs w:val="24"/>
          <w:highlight w:val="none"/>
        </w:rPr>
        <w:t>的规定加盖公章。</w:t>
      </w:r>
    </w:p>
    <w:p w14:paraId="052BFFA2">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091630FD">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6B831904">
      <w:pPr>
        <w:pStyle w:val="15"/>
        <w:pageBreakBefore w:val="0"/>
        <w:numPr>
          <w:ilvl w:val="0"/>
          <w:numId w:val="0"/>
        </w:numPr>
        <w:kinsoku/>
        <w:wordWrap/>
        <w:overflowPunct/>
        <w:topLinePunct w:val="0"/>
        <w:autoSpaceDE/>
        <w:autoSpaceDN/>
        <w:bidi w:val="0"/>
        <w:adjustRightInd/>
        <w:snapToGrid w:val="0"/>
        <w:spacing w:line="396" w:lineRule="auto"/>
        <w:ind w:left="479" w:leftChars="0"/>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10、投标人提供有效期内《食品经营许可证》或《食品流通许可证》或《食品生产许可证》；</w:t>
      </w:r>
    </w:p>
    <w:p w14:paraId="48DDA77A">
      <w:pPr>
        <w:pStyle w:val="15"/>
        <w:pageBreakBefore w:val="0"/>
        <w:numPr>
          <w:ilvl w:val="0"/>
          <w:numId w:val="0"/>
        </w:numPr>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4DB9CDA4">
      <w:pPr>
        <w:pStyle w:val="15"/>
        <w:pageBreakBefore w:val="0"/>
        <w:numPr>
          <w:ilvl w:val="0"/>
          <w:numId w:val="0"/>
        </w:numPr>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p>
    <w:p w14:paraId="3C38B32A">
      <w:pPr>
        <w:pStyle w:val="15"/>
        <w:pageBreakBefore w:val="0"/>
        <w:numPr>
          <w:ilvl w:val="0"/>
          <w:numId w:val="0"/>
        </w:numPr>
        <w:kinsoku/>
        <w:wordWrap/>
        <w:overflowPunct/>
        <w:topLinePunct w:val="0"/>
        <w:autoSpaceDE/>
        <w:autoSpaceDN/>
        <w:bidi w:val="0"/>
        <w:adjustRightInd/>
        <w:snapToGrid w:val="0"/>
        <w:spacing w:line="396" w:lineRule="auto"/>
        <w:ind w:left="599" w:leftChars="0"/>
        <w:textAlignment w:val="auto"/>
        <w:outlineLvl w:val="2"/>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11、投标保证金有效凭证；</w:t>
      </w:r>
    </w:p>
    <w:p w14:paraId="4B99B445">
      <w:pPr>
        <w:numPr>
          <w:ilvl w:val="0"/>
          <w:numId w:val="0"/>
        </w:numPr>
        <w:spacing w:before="78" w:line="360" w:lineRule="auto"/>
        <w:ind w:right="102" w:rightChars="0" w:firstLine="708" w:firstLineChars="300"/>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说明：投标保证金缴纳的有效证明是指：投标保证金（汇款</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转账凭证</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保函凭证等</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或</w:t>
      </w:r>
      <w:r>
        <w:rPr>
          <w:rFonts w:hint="eastAsia" w:ascii="仿宋" w:hAnsi="仿宋" w:eastAsia="仿宋" w:cs="仿宋"/>
          <w:color w:val="auto"/>
          <w:spacing w:val="-2"/>
          <w:sz w:val="24"/>
          <w:szCs w:val="24"/>
          <w:highlight w:val="none"/>
        </w:rPr>
        <w:t>保证金收据复印件并加盖公章。</w:t>
      </w:r>
    </w:p>
    <w:p w14:paraId="221F889A">
      <w:pPr>
        <w:pStyle w:val="15"/>
        <w:pageBreakBefore w:val="0"/>
        <w:numPr>
          <w:ilvl w:val="0"/>
          <w:numId w:val="0"/>
        </w:numPr>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b w:val="0"/>
          <w:bCs w:val="0"/>
          <w:color w:val="auto"/>
          <w:sz w:val="24"/>
          <w:highlight w:val="none"/>
        </w:rPr>
      </w:pPr>
    </w:p>
    <w:p w14:paraId="07F1A9EC">
      <w:pPr>
        <w:numPr>
          <w:ilvl w:val="0"/>
          <w:numId w:val="0"/>
        </w:numPr>
        <w:spacing w:before="78" w:line="360" w:lineRule="auto"/>
        <w:ind w:right="102" w:rightChars="0" w:firstLine="723" w:firstLineChars="300"/>
        <w:rPr>
          <w:rFonts w:hint="eastAsia" w:ascii="仿宋" w:hAnsi="仿宋" w:eastAsia="仿宋" w:cs="仿宋"/>
          <w:color w:val="auto"/>
          <w:spacing w:val="-2"/>
          <w:sz w:val="24"/>
          <w:szCs w:val="24"/>
          <w:highlight w:val="none"/>
          <w:lang w:val="en-US" w:eastAsia="zh-CN"/>
        </w:rPr>
      </w:pPr>
      <w:r>
        <w:rPr>
          <w:rFonts w:hint="eastAsia" w:ascii="仿宋" w:hAnsi="仿宋" w:eastAsia="仿宋" w:cs="仿宋"/>
          <w:b/>
          <w:bCs/>
          <w:color w:val="auto"/>
          <w:sz w:val="24"/>
          <w:highlight w:val="none"/>
          <w:lang w:val="en-US" w:eastAsia="zh-CN"/>
        </w:rPr>
        <w:t>12、</w:t>
      </w:r>
      <w:r>
        <w:rPr>
          <w:rFonts w:hint="eastAsia" w:ascii="仿宋" w:hAnsi="仿宋" w:eastAsia="仿宋" w:cs="仿宋"/>
          <w:b/>
          <w:bCs/>
          <w:color w:val="auto"/>
          <w:spacing w:val="-2"/>
          <w:sz w:val="24"/>
          <w:szCs w:val="24"/>
          <w:highlight w:val="none"/>
          <w:lang w:val="en-US" w:eastAsia="zh-CN"/>
        </w:rPr>
        <w:t>落实政府采购政策需满足的资格要求：</w:t>
      </w:r>
      <w:r>
        <w:rPr>
          <w:rFonts w:hint="eastAsia" w:ascii="仿宋" w:hAnsi="仿宋" w:eastAsia="仿宋" w:cs="仿宋"/>
          <w:color w:val="auto"/>
          <w:spacing w:val="-2"/>
          <w:sz w:val="24"/>
          <w:szCs w:val="24"/>
          <w:highlight w:val="none"/>
          <w:lang w:val="en-US" w:eastAsia="zh-CN"/>
        </w:rPr>
        <w:t>本项目专门面向中小微企业采购，不再执行价格评审优惠政策。请根据要求单独上传《中小企业声明函》，格式以采购文件中要求为准。</w:t>
      </w:r>
    </w:p>
    <w:p w14:paraId="58D0CB00">
      <w:pPr>
        <w:pStyle w:val="15"/>
        <w:pageBreakBefore w:val="0"/>
        <w:numPr>
          <w:ilvl w:val="0"/>
          <w:numId w:val="0"/>
        </w:numPr>
        <w:kinsoku/>
        <w:wordWrap/>
        <w:overflowPunct/>
        <w:topLinePunct w:val="0"/>
        <w:autoSpaceDE/>
        <w:autoSpaceDN/>
        <w:bidi w:val="0"/>
        <w:adjustRightInd/>
        <w:snapToGrid w:val="0"/>
        <w:spacing w:line="396" w:lineRule="auto"/>
        <w:ind w:left="599" w:leftChars="0"/>
        <w:textAlignment w:val="auto"/>
        <w:outlineLvl w:val="2"/>
        <w:rPr>
          <w:rFonts w:hint="eastAsia" w:ascii="仿宋_GB2312" w:hAnsi="仿宋_GB2312" w:eastAsia="仿宋_GB2312" w:cs="仿宋_GB2312"/>
          <w:kern w:val="2"/>
          <w:sz w:val="28"/>
          <w:szCs w:val="28"/>
          <w:lang w:val="en-US" w:eastAsia="zh-CN" w:bidi="ar-SA"/>
        </w:rPr>
      </w:pPr>
      <w:bookmarkStart w:id="1061" w:name="_GoBack"/>
      <w:bookmarkEnd w:id="1061"/>
    </w:p>
    <w:p w14:paraId="0A8A0FAB">
      <w:pPr>
        <w:pStyle w:val="15"/>
        <w:pageBreakBefore w:val="0"/>
        <w:numPr>
          <w:ilvl w:val="0"/>
          <w:numId w:val="0"/>
        </w:numPr>
        <w:kinsoku/>
        <w:wordWrap/>
        <w:overflowPunct/>
        <w:topLinePunct w:val="0"/>
        <w:autoSpaceDE/>
        <w:autoSpaceDN/>
        <w:bidi w:val="0"/>
        <w:adjustRightInd/>
        <w:snapToGrid w:val="0"/>
        <w:spacing w:line="396" w:lineRule="auto"/>
        <w:ind w:left="599" w:leftChars="0"/>
        <w:textAlignment w:val="auto"/>
        <w:outlineLvl w:val="2"/>
        <w:rPr>
          <w:rFonts w:hint="eastAsia" w:ascii="仿宋_GB2312" w:hAnsi="仿宋_GB2312" w:eastAsia="仿宋_GB2312" w:cs="仿宋_GB2312"/>
          <w:kern w:val="2"/>
          <w:sz w:val="28"/>
          <w:szCs w:val="28"/>
          <w:lang w:val="en-US" w:eastAsia="zh-CN" w:bidi="ar-SA"/>
        </w:rPr>
      </w:pPr>
    </w:p>
    <w:p w14:paraId="48A53D79">
      <w:pPr>
        <w:pStyle w:val="15"/>
        <w:pageBreakBefore w:val="0"/>
        <w:numPr>
          <w:ilvl w:val="0"/>
          <w:numId w:val="0"/>
        </w:numPr>
        <w:kinsoku/>
        <w:wordWrap/>
        <w:overflowPunct/>
        <w:topLinePunct w:val="0"/>
        <w:autoSpaceDE/>
        <w:autoSpaceDN/>
        <w:bidi w:val="0"/>
        <w:adjustRightInd/>
        <w:snapToGrid w:val="0"/>
        <w:spacing w:line="396" w:lineRule="auto"/>
        <w:ind w:left="599" w:leftChars="0"/>
        <w:textAlignment w:val="auto"/>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highlight w:val="none"/>
          <w:lang w:val="en-US" w:eastAsia="zh-CN"/>
        </w:rPr>
        <w:t>13、</w:t>
      </w:r>
      <w:r>
        <w:rPr>
          <w:rFonts w:hint="eastAsia" w:ascii="仿宋" w:hAnsi="仿宋" w:eastAsia="仿宋" w:cs="仿宋"/>
          <w:b/>
          <w:bCs/>
          <w:color w:val="auto"/>
          <w:sz w:val="24"/>
          <w:highlight w:val="none"/>
        </w:rPr>
        <w:t>投标人须知资料表要求的其他资格证明文件。</w:t>
      </w:r>
    </w:p>
    <w:p w14:paraId="0FDAB3A3">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说明：1.应提供投标人须知资料表要求的其他资格证明文件。</w:t>
      </w:r>
    </w:p>
    <w:p w14:paraId="11439611">
      <w:pPr>
        <w:pStyle w:val="15"/>
        <w:pageBreakBefore w:val="0"/>
        <w:kinsoku/>
        <w:wordWrap/>
        <w:overflowPunct/>
        <w:topLinePunct w:val="0"/>
        <w:autoSpaceDE/>
        <w:autoSpaceDN/>
        <w:bidi w:val="0"/>
        <w:adjustRightInd/>
        <w:snapToGrid w:val="0"/>
        <w:spacing w:line="396" w:lineRule="auto"/>
        <w:textAlignment w:val="auto"/>
        <w:outlineLvl w:val="2"/>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2.复印件上应加盖本单位章（自然人投标的无需盖章，需要签字）。</w:t>
      </w:r>
    </w:p>
    <w:p w14:paraId="0D4C17CB">
      <w:pPr>
        <w:pStyle w:val="15"/>
        <w:pageBreakBefore w:val="0"/>
        <w:kinsoku/>
        <w:wordWrap/>
        <w:overflowPunct/>
        <w:topLinePunct w:val="0"/>
        <w:autoSpaceDE/>
        <w:autoSpaceDN/>
        <w:bidi w:val="0"/>
        <w:adjustRightInd/>
        <w:snapToGrid w:val="0"/>
        <w:spacing w:line="396" w:lineRule="auto"/>
        <w:ind w:left="1680" w:hanging="1680" w:hangingChars="700"/>
        <w:textAlignment w:val="auto"/>
        <w:outlineLvl w:val="2"/>
        <w:rPr>
          <w:rFonts w:hint="eastAsia" w:ascii="仿宋" w:hAnsi="仿宋" w:eastAsia="仿宋" w:cs="仿宋"/>
        </w:rPr>
      </w:pPr>
      <w:r>
        <w:rPr>
          <w:rFonts w:hint="eastAsia" w:ascii="仿宋" w:hAnsi="仿宋" w:eastAsia="仿宋" w:cs="仿宋"/>
          <w:kern w:val="2"/>
          <w:sz w:val="24"/>
          <w:szCs w:val="24"/>
          <w:lang w:val="en-US" w:eastAsia="zh-CN" w:bidi="ar-SA"/>
        </w:rPr>
        <w:t xml:space="preserve">             3.如果是联合体投标，联合体各方需提供的满足招标文件要求的其他资格证明文件。</w:t>
      </w:r>
    </w:p>
    <w:p w14:paraId="32A70CA1">
      <w:pPr>
        <w:pStyle w:val="2"/>
        <w:rPr>
          <w:rFonts w:hint="eastAsia" w:ascii="仿宋" w:hAnsi="仿宋" w:eastAsia="仿宋" w:cs="仿宋"/>
          <w:color w:val="auto"/>
          <w:sz w:val="24"/>
          <w:szCs w:val="24"/>
          <w:highlight w:val="none"/>
          <w:lang w:val="en-US" w:eastAsia="zh-CN"/>
        </w:rPr>
      </w:pPr>
    </w:p>
    <w:p w14:paraId="33500CC3">
      <w:pPr>
        <w:pStyle w:val="4"/>
        <w:rPr>
          <w:rFonts w:hint="eastAsia" w:ascii="仿宋" w:hAnsi="仿宋" w:eastAsia="仿宋" w:cs="仿宋"/>
          <w:color w:val="auto"/>
          <w:sz w:val="24"/>
          <w:szCs w:val="24"/>
          <w:highlight w:val="none"/>
          <w:lang w:val="en-US" w:eastAsia="zh-CN"/>
        </w:rPr>
      </w:pPr>
    </w:p>
    <w:p w14:paraId="2D447736">
      <w:pPr>
        <w:pStyle w:val="5"/>
        <w:rPr>
          <w:rFonts w:hint="eastAsia" w:ascii="仿宋" w:hAnsi="仿宋" w:eastAsia="仿宋" w:cs="仿宋"/>
          <w:color w:val="auto"/>
          <w:sz w:val="24"/>
          <w:szCs w:val="24"/>
          <w:highlight w:val="none"/>
          <w:lang w:val="en-US" w:eastAsia="zh-CN"/>
        </w:rPr>
      </w:pPr>
    </w:p>
    <w:p w14:paraId="000DAAEF">
      <w:pPr>
        <w:rPr>
          <w:rFonts w:hint="eastAsia" w:ascii="仿宋" w:hAnsi="仿宋" w:eastAsia="仿宋" w:cs="仿宋"/>
          <w:color w:val="auto"/>
          <w:sz w:val="24"/>
          <w:szCs w:val="24"/>
          <w:highlight w:val="none"/>
          <w:lang w:val="en-US" w:eastAsia="zh-CN"/>
        </w:rPr>
      </w:pPr>
    </w:p>
    <w:p w14:paraId="0B67B4DD">
      <w:pPr>
        <w:pStyle w:val="2"/>
        <w:rPr>
          <w:rFonts w:hint="eastAsia" w:ascii="仿宋" w:hAnsi="仿宋" w:eastAsia="仿宋" w:cs="仿宋"/>
          <w:color w:val="auto"/>
          <w:sz w:val="24"/>
          <w:szCs w:val="24"/>
          <w:highlight w:val="none"/>
          <w:lang w:val="en-US" w:eastAsia="zh-CN"/>
        </w:rPr>
      </w:pPr>
    </w:p>
    <w:p w14:paraId="77928192">
      <w:pPr>
        <w:pStyle w:val="4"/>
        <w:rPr>
          <w:rFonts w:hint="eastAsia" w:ascii="仿宋" w:hAnsi="仿宋" w:eastAsia="仿宋" w:cs="仿宋"/>
          <w:color w:val="auto"/>
          <w:sz w:val="24"/>
          <w:szCs w:val="24"/>
          <w:highlight w:val="none"/>
          <w:lang w:val="en-US" w:eastAsia="zh-CN"/>
        </w:rPr>
      </w:pPr>
    </w:p>
    <w:p w14:paraId="1E77A73D">
      <w:pPr>
        <w:pStyle w:val="5"/>
        <w:rPr>
          <w:rFonts w:hint="eastAsia" w:ascii="仿宋" w:hAnsi="仿宋" w:eastAsia="仿宋" w:cs="仿宋"/>
          <w:color w:val="auto"/>
          <w:sz w:val="24"/>
          <w:szCs w:val="24"/>
          <w:highlight w:val="none"/>
          <w:lang w:val="en-US" w:eastAsia="zh-CN"/>
        </w:rPr>
      </w:pPr>
    </w:p>
    <w:p w14:paraId="1A55F26F">
      <w:pPr>
        <w:rPr>
          <w:rFonts w:hint="eastAsia" w:ascii="仿宋" w:hAnsi="仿宋" w:eastAsia="仿宋" w:cs="仿宋"/>
          <w:color w:val="auto"/>
          <w:sz w:val="24"/>
          <w:szCs w:val="24"/>
          <w:highlight w:val="none"/>
          <w:lang w:val="en-US" w:eastAsia="zh-CN"/>
        </w:rPr>
      </w:pPr>
    </w:p>
    <w:p w14:paraId="0C3D6FA7">
      <w:pPr>
        <w:pStyle w:val="2"/>
        <w:rPr>
          <w:rFonts w:hint="eastAsia" w:ascii="仿宋" w:hAnsi="仿宋" w:eastAsia="仿宋" w:cs="仿宋"/>
          <w:color w:val="auto"/>
          <w:sz w:val="24"/>
          <w:szCs w:val="24"/>
          <w:highlight w:val="none"/>
          <w:lang w:val="en-US" w:eastAsia="zh-CN"/>
        </w:rPr>
      </w:pPr>
    </w:p>
    <w:p w14:paraId="06EECB2E">
      <w:pPr>
        <w:pStyle w:val="4"/>
        <w:rPr>
          <w:rFonts w:hint="eastAsia" w:ascii="仿宋" w:hAnsi="仿宋" w:eastAsia="仿宋" w:cs="仿宋"/>
          <w:color w:val="auto"/>
          <w:sz w:val="24"/>
          <w:szCs w:val="24"/>
          <w:highlight w:val="none"/>
          <w:lang w:val="en-US" w:eastAsia="zh-CN"/>
        </w:rPr>
      </w:pPr>
    </w:p>
    <w:p w14:paraId="294E021C">
      <w:pPr>
        <w:pStyle w:val="5"/>
        <w:rPr>
          <w:rFonts w:hint="eastAsia" w:ascii="仿宋" w:hAnsi="仿宋" w:eastAsia="仿宋" w:cs="仿宋"/>
          <w:color w:val="auto"/>
          <w:sz w:val="24"/>
          <w:szCs w:val="24"/>
          <w:highlight w:val="none"/>
          <w:lang w:val="en-US" w:eastAsia="zh-CN"/>
        </w:rPr>
      </w:pPr>
    </w:p>
    <w:p w14:paraId="18576871">
      <w:pPr>
        <w:rPr>
          <w:rFonts w:hint="eastAsia" w:ascii="仿宋" w:hAnsi="仿宋" w:eastAsia="仿宋" w:cs="仿宋"/>
          <w:color w:val="auto"/>
          <w:sz w:val="24"/>
          <w:szCs w:val="24"/>
          <w:highlight w:val="none"/>
          <w:lang w:val="en-US" w:eastAsia="zh-CN"/>
        </w:rPr>
      </w:pPr>
    </w:p>
    <w:p w14:paraId="287271B3">
      <w:pPr>
        <w:pStyle w:val="2"/>
        <w:ind w:left="0" w:leftChars="0" w:firstLine="0" w:firstLineChars="0"/>
        <w:rPr>
          <w:rFonts w:hint="eastAsia"/>
          <w:lang w:val="en-US" w:eastAsia="zh-CN"/>
        </w:rPr>
      </w:pPr>
    </w:p>
    <w:p w14:paraId="66599726">
      <w:pPr>
        <w:pStyle w:val="4"/>
        <w:rPr>
          <w:rFonts w:hint="eastAsia"/>
          <w:lang w:val="en-US" w:eastAsia="zh-CN"/>
        </w:rPr>
      </w:pPr>
    </w:p>
    <w:p w14:paraId="05834CFC">
      <w:pPr>
        <w:pStyle w:val="5"/>
        <w:rPr>
          <w:rFonts w:hint="eastAsia"/>
          <w:lang w:val="en-US" w:eastAsia="zh-CN"/>
        </w:rPr>
      </w:pPr>
    </w:p>
    <w:p w14:paraId="78ED3809">
      <w:pPr>
        <w:rPr>
          <w:rFonts w:hint="eastAsia"/>
          <w:lang w:val="en-US" w:eastAsia="zh-CN"/>
        </w:rPr>
      </w:pPr>
    </w:p>
    <w:p w14:paraId="1070DADA">
      <w:pPr>
        <w:pStyle w:val="2"/>
        <w:rPr>
          <w:rFonts w:hint="eastAsia"/>
          <w:lang w:val="en-US" w:eastAsia="zh-CN"/>
        </w:rPr>
      </w:pPr>
    </w:p>
    <w:p w14:paraId="7846C1AC">
      <w:pPr>
        <w:pStyle w:val="4"/>
        <w:rPr>
          <w:rFonts w:hint="eastAsia"/>
          <w:lang w:val="en-US" w:eastAsia="zh-CN"/>
        </w:rPr>
      </w:pPr>
    </w:p>
    <w:p w14:paraId="6C161D48">
      <w:pPr>
        <w:pStyle w:val="5"/>
        <w:rPr>
          <w:rFonts w:hint="eastAsia"/>
          <w:lang w:val="en-US" w:eastAsia="zh-CN"/>
        </w:rPr>
      </w:pPr>
    </w:p>
    <w:p w14:paraId="26C9A741">
      <w:pPr>
        <w:rPr>
          <w:rFonts w:hint="eastAsia"/>
          <w:lang w:val="en-US" w:eastAsia="zh-CN"/>
        </w:rPr>
      </w:pPr>
    </w:p>
    <w:p w14:paraId="71E14AE6">
      <w:pPr>
        <w:pStyle w:val="2"/>
        <w:rPr>
          <w:rFonts w:hint="eastAsia"/>
          <w:lang w:val="en-US" w:eastAsia="zh-CN"/>
        </w:rPr>
      </w:pPr>
    </w:p>
    <w:p w14:paraId="3C541A60">
      <w:pPr>
        <w:pStyle w:val="4"/>
        <w:rPr>
          <w:rFonts w:hint="eastAsia"/>
          <w:lang w:val="en-US" w:eastAsia="zh-CN"/>
        </w:rPr>
      </w:pPr>
    </w:p>
    <w:p w14:paraId="069647E5">
      <w:pPr>
        <w:pStyle w:val="5"/>
        <w:rPr>
          <w:rFonts w:hint="eastAsia"/>
          <w:lang w:val="en-US" w:eastAsia="zh-CN"/>
        </w:rPr>
      </w:pPr>
    </w:p>
    <w:p w14:paraId="043A96F3">
      <w:pPr>
        <w:rPr>
          <w:rFonts w:hint="eastAsia"/>
          <w:lang w:val="en-US" w:eastAsia="zh-CN"/>
        </w:rPr>
      </w:pPr>
    </w:p>
    <w:p w14:paraId="5781D2CF">
      <w:pPr>
        <w:pStyle w:val="2"/>
        <w:rPr>
          <w:rFonts w:hint="eastAsia"/>
          <w:lang w:val="en-US" w:eastAsia="zh-CN"/>
        </w:rPr>
      </w:pPr>
    </w:p>
    <w:p w14:paraId="1B0C8E8A">
      <w:pPr>
        <w:pStyle w:val="4"/>
        <w:rPr>
          <w:rFonts w:hint="eastAsia"/>
          <w:lang w:val="en-US" w:eastAsia="zh-CN"/>
        </w:rPr>
      </w:pPr>
    </w:p>
    <w:p w14:paraId="68BB05BE">
      <w:pPr>
        <w:pStyle w:val="5"/>
        <w:rPr>
          <w:rFonts w:hint="eastAsia"/>
          <w:lang w:val="en-US" w:eastAsia="zh-CN"/>
        </w:rPr>
      </w:pPr>
    </w:p>
    <w:p w14:paraId="1E1D6440">
      <w:pPr>
        <w:rPr>
          <w:rFonts w:hint="eastAsia"/>
          <w:lang w:val="en-US" w:eastAsia="zh-CN"/>
        </w:rPr>
      </w:pPr>
    </w:p>
    <w:p w14:paraId="4014AB70">
      <w:pPr>
        <w:pStyle w:val="2"/>
        <w:rPr>
          <w:rFonts w:hint="eastAsia"/>
          <w:lang w:val="en-US" w:eastAsia="zh-CN"/>
        </w:rPr>
      </w:pPr>
    </w:p>
    <w:bookmarkEnd w:id="922"/>
    <w:bookmarkEnd w:id="923"/>
    <w:bookmarkEnd w:id="924"/>
    <w:p w14:paraId="2F844367">
      <w:pPr>
        <w:jc w:val="both"/>
        <w:rPr>
          <w:rFonts w:hint="eastAsia" w:ascii="仿宋" w:hAnsi="仿宋" w:eastAsia="仿宋" w:cs="仿宋"/>
          <w:b/>
          <w:bCs/>
          <w:color w:val="auto"/>
          <w:sz w:val="24"/>
          <w:highlight w:val="none"/>
        </w:rPr>
      </w:pPr>
    </w:p>
    <w:p w14:paraId="3B85BC75">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政府采购投标担保函 （项目用）（投标文件格式三）</w:t>
      </w:r>
    </w:p>
    <w:p w14:paraId="7E1A6A54">
      <w:pPr>
        <w:ind w:firstLine="6720" w:firstLineChars="3200"/>
        <w:rPr>
          <w:rFonts w:hint="eastAsia" w:ascii="仿宋" w:hAnsi="仿宋" w:eastAsia="仿宋" w:cs="仿宋"/>
          <w:color w:val="auto"/>
          <w:highlight w:val="none"/>
        </w:rPr>
      </w:pPr>
      <w:r>
        <w:rPr>
          <w:rFonts w:hint="eastAsia" w:ascii="仿宋" w:hAnsi="仿宋" w:eastAsia="仿宋" w:cs="仿宋"/>
          <w:color w:val="auto"/>
          <w:highlight w:val="none"/>
        </w:rPr>
        <w:t>编号：</w:t>
      </w:r>
    </w:p>
    <w:p w14:paraId="7A753EF2">
      <w:pPr>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（采购人或采购代理机构）：</w:t>
      </w:r>
    </w:p>
    <w:p w14:paraId="67EA1CE4">
      <w:pPr>
        <w:rPr>
          <w:rFonts w:hint="eastAsia" w:ascii="仿宋" w:hAnsi="仿宋" w:eastAsia="仿宋" w:cs="仿宋"/>
          <w:color w:val="auto"/>
          <w:highlight w:val="none"/>
        </w:rPr>
      </w:pPr>
    </w:p>
    <w:p w14:paraId="5B06E0E7">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鉴于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（以下简称“投标人”）拟参加编号为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52BB52E6">
      <w:pPr>
        <w:rPr>
          <w:rFonts w:hint="eastAsia" w:ascii="仿宋" w:hAnsi="仿宋" w:eastAsia="仿宋" w:cs="仿宋"/>
          <w:color w:val="auto"/>
          <w:highlight w:val="none"/>
        </w:rPr>
      </w:pPr>
      <w:r>
        <w:rPr>
          <w:rFonts w:hint="eastAsia" w:ascii="仿宋" w:hAnsi="仿宋" w:eastAsia="仿宋" w:cs="仿宋"/>
          <w:color w:val="auto"/>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7471E8C">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一、保证责任的情形及保证金额</w:t>
      </w:r>
    </w:p>
    <w:p w14:paraId="44EE2F81">
      <w:pPr>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（一）在投标人出现下列情形之一时，我方承担保证责任：</w:t>
      </w:r>
    </w:p>
    <w:p w14:paraId="04172C1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1．中标后投标人无正当理由不与采购人或者采购代理机构签订《政府采购合同》；</w:t>
      </w:r>
    </w:p>
    <w:p w14:paraId="7F817D94">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2．招标文件规定的投标人应当缴纳保证金的其他情形。</w:t>
      </w:r>
    </w:p>
    <w:p w14:paraId="6A7410C3">
      <w:pPr>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（二）我方承担保证责任的最高金额为人民币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），即本项目的投标保证金金额。</w:t>
      </w:r>
    </w:p>
    <w:p w14:paraId="5234C494">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二、保证的方式及保证期间</w:t>
      </w:r>
    </w:p>
    <w:p w14:paraId="0D4E684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我方保证的方式为：连带责任保证。</w:t>
      </w:r>
    </w:p>
    <w:p w14:paraId="73D9DA84">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我方的保证期间为：自本保函生效之日起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个月止。</w:t>
      </w:r>
    </w:p>
    <w:p w14:paraId="06FF38E9">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三、承担保证责任的程序</w:t>
      </w:r>
    </w:p>
    <w:p w14:paraId="3BB3254E">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6671EA16">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2．我方在收到索赔通知及相关证明材料后，在</w:t>
      </w:r>
      <w:r>
        <w:rPr>
          <w:rFonts w:hint="eastAsia" w:ascii="仿宋" w:hAnsi="仿宋" w:eastAsia="仿宋" w:cs="仿宋"/>
          <w:color w:val="auto"/>
          <w:highlight w:val="none"/>
          <w:u w:val="single"/>
        </w:rPr>
        <w:t>　　　</w:t>
      </w:r>
      <w:r>
        <w:rPr>
          <w:rFonts w:hint="eastAsia" w:ascii="仿宋" w:hAnsi="仿宋" w:eastAsia="仿宋" w:cs="仿宋"/>
          <w:color w:val="auto"/>
          <w:highlight w:val="none"/>
        </w:rPr>
        <w:t>个工作日内进行审查，符合应承担保证责任情形的，我方应按照你方的要求代投标人向你方支付投标保证金。</w:t>
      </w:r>
    </w:p>
    <w:p w14:paraId="01B76C2F">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四、保证责任的终止</w:t>
      </w:r>
    </w:p>
    <w:p w14:paraId="2F48BEC1">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1．保证期间届满你方未向我方书面主张保证责任的，自保证期间届满次日起，我方保证责任自动终止。</w:t>
      </w:r>
    </w:p>
    <w:p w14:paraId="4475816E">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2．我方按照本保函向你贵方履行了保证责任后，自我方向你贵方支付款项（支付款项从我方账户划出）之日起，保证责任终止。</w:t>
      </w:r>
    </w:p>
    <w:p w14:paraId="080FB8D7">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3．按照法律法规的规定或出现我方保证责任终止的其它情形的，我方在本保函项下的保证责任亦终止。</w:t>
      </w:r>
    </w:p>
    <w:p w14:paraId="5BF0B3FB">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五、免责条款</w:t>
      </w:r>
    </w:p>
    <w:p w14:paraId="06BEC886">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1．依照法律规定或你方与投标人的另行约定，全部或者部分免除投标人投标保证金义务时，我方亦免除相应的保证责任。</w:t>
      </w:r>
    </w:p>
    <w:p w14:paraId="66189109">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2．因你方原因致使投标人发生本保函第一条第（一）款约定情形的，我方不承担保证责任。</w:t>
      </w:r>
    </w:p>
    <w:p w14:paraId="02E86A90">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3．因不可抗力造成投标人发生本保函第一条约定情形的，我方不承担保证责任。</w:t>
      </w:r>
    </w:p>
    <w:p w14:paraId="402AF87A">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4．你方或其他有权机关对招标文件进行任何澄清或修改，加重我方保证责任的，我方对加重部分不承担保证责任，但该澄清或修改经我方事先书面同意的除外。</w:t>
      </w:r>
    </w:p>
    <w:p w14:paraId="6C75B2D4">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六、争议的解决</w:t>
      </w:r>
    </w:p>
    <w:p w14:paraId="7B38C051">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因本保函发生的纠纷，由你我双方协商解决，协商不成的，通过诉讼程序解决，诉讼管辖地法院为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法院。</w:t>
      </w:r>
    </w:p>
    <w:p w14:paraId="4DE7F6FE">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七、保函的生效</w:t>
      </w:r>
    </w:p>
    <w:p w14:paraId="183C5A82">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本保函自我方加盖公章之日起生效。      </w:t>
      </w:r>
    </w:p>
    <w:p w14:paraId="31A5F263">
      <w:pPr>
        <w:ind w:firstLine="4620" w:firstLineChars="2200"/>
        <w:rPr>
          <w:rFonts w:hint="eastAsia" w:ascii="仿宋" w:hAnsi="仿宋" w:eastAsia="仿宋" w:cs="仿宋"/>
          <w:color w:val="auto"/>
          <w:highlight w:val="none"/>
          <w:lang w:val="en-US" w:eastAsia="zh-CN"/>
        </w:rPr>
        <w:sectPr>
          <w:headerReference r:id="rId5" w:type="default"/>
          <w:footerReference r:id="rId6" w:type="default"/>
          <w:pgSz w:w="11905" w:h="16838"/>
          <w:pgMar w:top="1440" w:right="1083" w:bottom="1440" w:left="1083" w:header="851" w:footer="850" w:gutter="0"/>
          <w:pgNumType w:fmt="decimal"/>
          <w:cols w:space="0" w:num="1"/>
          <w:rtlGutter w:val="0"/>
          <w:docGrid w:linePitch="312" w:charSpace="0"/>
        </w:sectPr>
      </w:pPr>
      <w:r>
        <w:rPr>
          <w:rFonts w:hint="eastAsia" w:ascii="仿宋" w:hAnsi="仿宋" w:eastAsia="仿宋" w:cs="仿宋"/>
          <w:color w:val="auto"/>
          <w:highlight w:val="none"/>
        </w:rPr>
        <w:t xml:space="preserve">保证人：（公章）    年     月    </w:t>
      </w:r>
      <w:r>
        <w:rPr>
          <w:rFonts w:hint="eastAsia" w:ascii="仿宋" w:hAnsi="仿宋" w:eastAsia="仿宋" w:cs="仿宋"/>
          <w:color w:val="auto"/>
          <w:highlight w:val="none"/>
          <w:lang w:val="en-US" w:eastAsia="zh-CN"/>
        </w:rPr>
        <w:t>日</w:t>
      </w:r>
    </w:p>
    <w:p w14:paraId="070B2B71">
      <w:pPr>
        <w:numPr>
          <w:ilvl w:val="0"/>
          <w:numId w:val="12"/>
        </w:numPr>
        <w:ind w:left="1080" w:leftChars="257" w:hanging="540" w:firstLineChars="0"/>
        <w:jc w:val="center"/>
        <w:rPr>
          <w:rFonts w:hint="eastAsia" w:ascii="仿宋" w:hAnsi="仿宋" w:eastAsia="仿宋" w:cs="仿宋"/>
          <w:b/>
          <w:bCs/>
          <w:color w:val="auto"/>
          <w:sz w:val="28"/>
          <w:szCs w:val="28"/>
          <w:highlight w:val="none"/>
        </w:rPr>
      </w:pPr>
      <w:bookmarkStart w:id="938" w:name="_Toc12006"/>
      <w:bookmarkStart w:id="939" w:name="_Toc6760"/>
      <w:bookmarkStart w:id="940" w:name="_Toc11180"/>
      <w:bookmarkStart w:id="941" w:name="_Toc515647816"/>
      <w:bookmarkStart w:id="942" w:name="_Toc22967"/>
      <w:bookmarkStart w:id="943" w:name="_Toc27069"/>
      <w:bookmarkStart w:id="944" w:name="_Toc17147"/>
      <w:bookmarkStart w:id="945" w:name="_Toc24042"/>
      <w:r>
        <w:rPr>
          <w:rFonts w:hint="eastAsia" w:ascii="仿宋" w:hAnsi="仿宋" w:eastAsia="仿宋" w:cs="仿宋"/>
          <w:b/>
          <w:bCs/>
          <w:color w:val="auto"/>
          <w:sz w:val="28"/>
          <w:szCs w:val="28"/>
          <w:highlight w:val="none"/>
        </w:rPr>
        <w:t xml:space="preserve"> 商务及技术文件</w:t>
      </w:r>
      <w:bookmarkEnd w:id="938"/>
      <w:bookmarkEnd w:id="939"/>
      <w:bookmarkEnd w:id="940"/>
      <w:bookmarkEnd w:id="941"/>
      <w:bookmarkEnd w:id="942"/>
      <w:bookmarkEnd w:id="943"/>
      <w:bookmarkEnd w:id="944"/>
      <w:bookmarkEnd w:id="945"/>
    </w:p>
    <w:p w14:paraId="617FC0CF">
      <w:pPr>
        <w:pStyle w:val="2"/>
        <w:numPr>
          <w:ilvl w:val="0"/>
          <w:numId w:val="0"/>
        </w:numPr>
        <w:ind w:leftChars="257"/>
        <w:rPr>
          <w:rFonts w:hint="eastAsia"/>
        </w:rPr>
      </w:pPr>
    </w:p>
    <w:p w14:paraId="070DFB66">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14:paraId="58F2B0C4">
      <w:pPr>
        <w:tabs>
          <w:tab w:val="left" w:pos="5580"/>
        </w:tabs>
        <w:spacing w:line="360" w:lineRule="auto"/>
        <w:ind w:left="1" w:firstLine="564" w:firstLineChars="2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2、投标保证金缴纳有效证明（见投标文件格式六）</w:t>
      </w:r>
    </w:p>
    <w:p w14:paraId="3F9C9843">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3、投标分项报价表（投标文件格式七）</w:t>
      </w:r>
    </w:p>
    <w:p w14:paraId="3791986A">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4、服务说明一览表（投标文件格式八）</w:t>
      </w:r>
    </w:p>
    <w:p w14:paraId="1CC033AE">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5、技术规格偏离表（投标文件格式九）</w:t>
      </w:r>
    </w:p>
    <w:p w14:paraId="6A929333">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6、商务条款偏离表（投标文件格式十）</w:t>
      </w:r>
    </w:p>
    <w:p w14:paraId="76B6F3B6">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7、符合《政府采购促进中小企业发展暂行办法》《关于政府采购支持监狱企业发展有关</w:t>
      </w:r>
    </w:p>
    <w:p w14:paraId="47EC9B27">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问题的通知》和《三部门联合发布关于促进残疾人就业政府采购政策的通知》价格扣减</w:t>
      </w:r>
    </w:p>
    <w:p w14:paraId="27A36B9F">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条件的投标人须提交）</w:t>
      </w:r>
    </w:p>
    <w:p w14:paraId="1D88E3E0">
      <w:pPr>
        <w:pStyle w:val="15"/>
        <w:spacing w:line="360" w:lineRule="auto"/>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rPr>
        <w:t>7-1《投标人企业（单位）类型声明函》（投标文件格式十一）</w:t>
      </w:r>
    </w:p>
    <w:p w14:paraId="47D686D6">
      <w:pPr>
        <w:pStyle w:val="15"/>
        <w:spacing w:line="360" w:lineRule="auto"/>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rPr>
        <w:t>7-2《中小企业声明函（服务）》（投标文件格式十二）</w:t>
      </w:r>
    </w:p>
    <w:p w14:paraId="2DA1F3B6">
      <w:pPr>
        <w:pStyle w:val="15"/>
        <w:spacing w:line="360" w:lineRule="auto"/>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rPr>
        <w:t>7-3《残疾人福利性单位声明函》（投标文件格式十三）</w:t>
      </w:r>
    </w:p>
    <w:p w14:paraId="53F5DA7E">
      <w:pPr>
        <w:pStyle w:val="15"/>
        <w:spacing w:line="360" w:lineRule="auto"/>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8、投标人关联单位的说明（格式自拟）</w:t>
      </w:r>
    </w:p>
    <w:p w14:paraId="4EECE92F">
      <w:pPr>
        <w:pStyle w:val="15"/>
        <w:spacing w:line="360" w:lineRule="auto"/>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9、投标文件还应包括投标人须知里的所有技术文件</w:t>
      </w:r>
    </w:p>
    <w:p w14:paraId="57DAD908">
      <w:pPr>
        <w:pStyle w:val="15"/>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A853903">
      <w:pPr>
        <w:pStyle w:val="7"/>
        <w:spacing w:before="0" w:line="240" w:lineRule="atLeast"/>
        <w:ind w:left="1080" w:leftChars="257" w:hanging="540"/>
        <w:rPr>
          <w:rFonts w:hint="eastAsia" w:ascii="仿宋" w:hAnsi="仿宋" w:eastAsia="仿宋" w:cs="仿宋"/>
          <w:color w:val="auto"/>
          <w:sz w:val="24"/>
          <w:highlight w:val="none"/>
        </w:rPr>
      </w:pPr>
      <w:bookmarkStart w:id="946" w:name="_Toc295"/>
      <w:bookmarkStart w:id="947" w:name="_Toc9721"/>
      <w:bookmarkStart w:id="948" w:name="_Toc233"/>
      <w:bookmarkStart w:id="949" w:name="_Toc16899"/>
      <w:bookmarkStart w:id="950" w:name="_Toc19142"/>
      <w:bookmarkStart w:id="951" w:name="_Toc7957"/>
      <w:bookmarkStart w:id="952" w:name="_Toc2041"/>
      <w:bookmarkStart w:id="953" w:name="_Toc14669"/>
      <w:bookmarkStart w:id="954" w:name="_Toc14915"/>
      <w:bookmarkStart w:id="955" w:name="_Toc515647817"/>
      <w:r>
        <w:rPr>
          <w:rFonts w:hint="eastAsia" w:ascii="仿宋" w:hAnsi="仿宋" w:eastAsia="仿宋" w:cs="仿宋"/>
          <w:color w:val="auto"/>
          <w:sz w:val="24"/>
          <w:highlight w:val="none"/>
        </w:rPr>
        <w:t xml:space="preserve">1   </w:t>
      </w:r>
      <w:bookmarkStart w:id="956" w:name="_Hlt520355504"/>
      <w:bookmarkEnd w:id="956"/>
      <w:r>
        <w:rPr>
          <w:rFonts w:hint="eastAsia" w:ascii="仿宋" w:hAnsi="仿宋" w:eastAsia="仿宋" w:cs="仿宋"/>
          <w:color w:val="auto"/>
          <w:sz w:val="24"/>
          <w:highlight w:val="none"/>
        </w:rPr>
        <w:t>投标</w:t>
      </w:r>
      <w:bookmarkEnd w:id="918"/>
      <w:bookmarkEnd w:id="919"/>
      <w:r>
        <w:rPr>
          <w:rFonts w:hint="eastAsia" w:ascii="仿宋" w:hAnsi="仿宋" w:eastAsia="仿宋" w:cs="仿宋"/>
          <w:color w:val="auto"/>
          <w:sz w:val="24"/>
          <w:highlight w:val="none"/>
        </w:rPr>
        <w:t>书</w:t>
      </w:r>
      <w:bookmarkEnd w:id="920"/>
      <w:r>
        <w:rPr>
          <w:rFonts w:hint="eastAsia" w:ascii="仿宋" w:hAnsi="仿宋" w:eastAsia="仿宋" w:cs="仿宋"/>
          <w:color w:val="auto"/>
          <w:sz w:val="24"/>
          <w:highlight w:val="none"/>
        </w:rPr>
        <w:t>（投标文件格式五）</w:t>
      </w:r>
      <w:bookmarkEnd w:id="921"/>
      <w:bookmarkEnd w:id="946"/>
      <w:bookmarkEnd w:id="947"/>
      <w:bookmarkEnd w:id="948"/>
      <w:bookmarkEnd w:id="949"/>
      <w:bookmarkEnd w:id="950"/>
      <w:bookmarkEnd w:id="951"/>
      <w:bookmarkEnd w:id="952"/>
      <w:bookmarkEnd w:id="953"/>
      <w:bookmarkEnd w:id="954"/>
      <w:bookmarkEnd w:id="955"/>
    </w:p>
    <w:p w14:paraId="1CDB35E4">
      <w:pPr>
        <w:tabs>
          <w:tab w:val="left" w:pos="5580"/>
        </w:tabs>
        <w:spacing w:line="240" w:lineRule="atLeast"/>
        <w:ind w:left="1080" w:leftChars="257" w:hanging="540"/>
        <w:rPr>
          <w:rFonts w:hint="eastAsia" w:ascii="仿宋" w:hAnsi="仿宋" w:eastAsia="仿宋" w:cs="仿宋"/>
          <w:color w:val="auto"/>
          <w:sz w:val="24"/>
          <w:highlight w:val="none"/>
        </w:rPr>
      </w:pPr>
    </w:p>
    <w:p w14:paraId="3CA528BC">
      <w:pPr>
        <w:tabs>
          <w:tab w:val="left" w:pos="5580"/>
        </w:tabs>
        <w:spacing w:line="240" w:lineRule="atLeas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p>
    <w:p w14:paraId="4502D60F">
      <w:pPr>
        <w:pStyle w:val="15"/>
        <w:tabs>
          <w:tab w:val="left" w:pos="5580"/>
        </w:tabs>
        <w:spacing w:line="240" w:lineRule="atLeast"/>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14:paraId="2131E967">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14:paraId="14A6879F">
      <w:pPr>
        <w:pStyle w:val="15"/>
        <w:tabs>
          <w:tab w:val="left" w:pos="720"/>
          <w:tab w:val="left" w:pos="900"/>
        </w:tabs>
        <w:spacing w:line="240" w:lineRule="atLeast"/>
        <w:ind w:left="769" w:leftChars="257" w:hanging="22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w:t>
      </w:r>
      <w:r>
        <w:rPr>
          <w:rFonts w:hint="eastAsia" w:ascii="仿宋" w:hAnsi="仿宋" w:eastAsia="仿宋" w:cs="仿宋"/>
          <w:color w:val="auto"/>
          <w:sz w:val="24"/>
          <w:highlight w:val="none"/>
          <w:u w:val="single"/>
          <w:lang w:eastAsia="zh-CN"/>
        </w:rPr>
        <w:t>。</w:t>
      </w:r>
    </w:p>
    <w:p w14:paraId="5279DC28">
      <w:pPr>
        <w:pStyle w:val="15"/>
        <w:tabs>
          <w:tab w:val="left" w:pos="720"/>
          <w:tab w:val="left" w:pos="900"/>
        </w:tabs>
        <w:spacing w:line="240" w:lineRule="atLeast"/>
        <w:ind w:left="769"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14:paraId="40117D8E">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14:paraId="3C29C8A0">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（4）已详细审查全部招标文件，包括所有补充通知（如果有的话），完全理解并同意放弃对这方面有不明、误解和质疑的权力。</w:t>
      </w:r>
    </w:p>
    <w:p w14:paraId="1A3CD94A">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（5）在规定的开标时间后，遵守招标文件中有关保证金的规定。</w:t>
      </w:r>
    </w:p>
    <w:p w14:paraId="165ADC10">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14:paraId="1B01B795">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（7）在领取中标通知书的同时按招标文件规定的形式，向贵方一次性支付中标服务费。</w:t>
      </w:r>
    </w:p>
    <w:p w14:paraId="3A1D0380">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14:paraId="7023F23A">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（9）按照招标文件的规定履行合同责任和义务。</w:t>
      </w:r>
    </w:p>
    <w:p w14:paraId="4DD124E5">
      <w:pPr>
        <w:pStyle w:val="15"/>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14:paraId="796A99A6">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14:paraId="51BFEBB0">
      <w:pPr>
        <w:pStyle w:val="15"/>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14:paraId="48F56573">
      <w:pPr>
        <w:pStyle w:val="15"/>
        <w:tabs>
          <w:tab w:val="left" w:pos="5580"/>
        </w:tabs>
        <w:spacing w:line="240" w:lineRule="atLeast"/>
        <w:ind w:left="1080" w:leftChars="257" w:hanging="540"/>
        <w:rPr>
          <w:rFonts w:hint="eastAsia" w:ascii="仿宋" w:hAnsi="仿宋" w:eastAsia="仿宋" w:cs="仿宋"/>
          <w:color w:val="auto"/>
          <w:sz w:val="24"/>
          <w:highlight w:val="none"/>
        </w:rPr>
      </w:pPr>
    </w:p>
    <w:p w14:paraId="0F58D93E">
      <w:pPr>
        <w:pStyle w:val="15"/>
        <w:tabs>
          <w:tab w:val="left" w:pos="558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p>
    <w:p w14:paraId="55CA955E">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6C464AA">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xml:space="preserve">　　　　　　  </w:t>
      </w:r>
    </w:p>
    <w:p w14:paraId="332F49AF">
      <w:pPr>
        <w:pStyle w:val="15"/>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投标人银行帐号</w:t>
      </w:r>
      <w:r>
        <w:rPr>
          <w:rFonts w:hint="eastAsia" w:ascii="仿宋" w:hAnsi="仿宋" w:eastAsia="仿宋" w:cs="仿宋"/>
          <w:color w:val="auto"/>
          <w:sz w:val="24"/>
          <w:highlight w:val="none"/>
          <w:u w:val="single"/>
        </w:rPr>
        <w:t>　　　　　　　　 　 　</w:t>
      </w:r>
    </w:p>
    <w:p w14:paraId="7BBAA7B4">
      <w:pPr>
        <w:pStyle w:val="15"/>
        <w:tabs>
          <w:tab w:val="left" w:pos="558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投标人单位章</w:t>
      </w:r>
      <w:r>
        <w:rPr>
          <w:rFonts w:hint="eastAsia" w:ascii="仿宋" w:hAnsi="仿宋" w:eastAsia="仿宋" w:cs="仿宋"/>
          <w:color w:val="auto"/>
          <w:sz w:val="24"/>
          <w:highlight w:val="none"/>
          <w:u w:val="single"/>
        </w:rPr>
        <w:t xml:space="preserve">                        </w:t>
      </w:r>
    </w:p>
    <w:p w14:paraId="2E64EC55">
      <w:pPr>
        <w:pStyle w:val="15"/>
        <w:tabs>
          <w:tab w:val="left" w:pos="558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日期 </w:t>
      </w:r>
      <w:r>
        <w:rPr>
          <w:rFonts w:hint="eastAsia" w:ascii="仿宋" w:hAnsi="仿宋" w:eastAsia="仿宋" w:cs="仿宋"/>
          <w:color w:val="auto"/>
          <w:sz w:val="24"/>
          <w:highlight w:val="none"/>
          <w:u w:val="single"/>
        </w:rPr>
        <w:t xml:space="preserve">                               </w:t>
      </w:r>
    </w:p>
    <w:p w14:paraId="343006A8">
      <w:pPr>
        <w:spacing w:line="480" w:lineRule="auto"/>
        <w:rPr>
          <w:rFonts w:hint="eastAsia" w:ascii="仿宋" w:hAnsi="仿宋" w:eastAsia="仿宋" w:cs="仿宋"/>
          <w:b/>
          <w:bCs/>
          <w:color w:val="auto"/>
          <w:kern w:val="2"/>
          <w:sz w:val="24"/>
          <w:szCs w:val="24"/>
          <w:shd w:val="clear" w:color="auto" w:fill="auto"/>
          <w:lang w:val="en-US" w:eastAsia="zh-CN" w:bidi="ar-SA"/>
        </w:rPr>
      </w:pPr>
      <w:r>
        <w:rPr>
          <w:rFonts w:hint="eastAsia" w:ascii="仿宋" w:hAnsi="仿宋" w:eastAsia="仿宋" w:cs="仿宋"/>
          <w:color w:val="auto"/>
          <w:sz w:val="24"/>
          <w:highlight w:val="none"/>
        </w:rPr>
        <w:br w:type="page"/>
      </w:r>
      <w:bookmarkStart w:id="957" w:name="_Toc27035"/>
      <w:bookmarkStart w:id="958" w:name="_Toc30740"/>
      <w:bookmarkStart w:id="959" w:name="_Toc23473"/>
      <w:bookmarkStart w:id="960" w:name="_Toc13156"/>
      <w:bookmarkStart w:id="961" w:name="_Toc9982"/>
      <w:bookmarkStart w:id="962" w:name="_Toc6632"/>
      <w:bookmarkStart w:id="963" w:name="_Toc1266"/>
      <w:bookmarkStart w:id="964" w:name="_Toc6475"/>
      <w:r>
        <w:rPr>
          <w:rFonts w:hint="eastAsia" w:ascii="仿宋" w:hAnsi="仿宋" w:eastAsia="仿宋" w:cs="仿宋"/>
          <w:color w:val="auto"/>
          <w:sz w:val="24"/>
          <w:highlight w:val="none"/>
        </w:rPr>
        <w:t xml:space="preserve">2   </w:t>
      </w:r>
      <w:bookmarkEnd w:id="957"/>
      <w:bookmarkEnd w:id="958"/>
      <w:bookmarkEnd w:id="959"/>
      <w:bookmarkEnd w:id="960"/>
      <w:bookmarkEnd w:id="961"/>
      <w:bookmarkEnd w:id="962"/>
      <w:bookmarkEnd w:id="963"/>
      <w:bookmarkEnd w:id="964"/>
      <w:r>
        <w:rPr>
          <w:rFonts w:hint="eastAsia" w:ascii="仿宋" w:hAnsi="仿宋" w:eastAsia="仿宋" w:cs="仿宋"/>
          <w:b/>
          <w:bCs/>
          <w:color w:val="auto"/>
          <w:kern w:val="2"/>
          <w:sz w:val="24"/>
          <w:szCs w:val="24"/>
          <w:shd w:val="clear" w:color="auto" w:fill="auto"/>
          <w:lang w:val="en-US" w:eastAsia="zh-CN" w:bidi="ar-SA"/>
        </w:rPr>
        <w:t>投标保证金缴纳有效证明</w:t>
      </w:r>
    </w:p>
    <w:p w14:paraId="2B9ED81C">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25"/>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1373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noWrap w:val="0"/>
            <w:vAlign w:val="top"/>
          </w:tcPr>
          <w:p w14:paraId="306AA62B">
            <w:pPr>
              <w:keepNext w:val="0"/>
              <w:keepLines w:val="0"/>
              <w:suppressLineNumbers w:val="0"/>
              <w:spacing w:before="0" w:beforeAutospacing="0" w:after="0" w:afterAutospacing="0" w:line="360" w:lineRule="exact"/>
              <w:ind w:left="0" w:right="0"/>
              <w:rPr>
                <w:rFonts w:hint="eastAsia" w:ascii="仿宋" w:hAnsi="仿宋" w:eastAsia="仿宋" w:cs="仿宋"/>
                <w:color w:val="auto"/>
              </w:rPr>
            </w:pPr>
          </w:p>
          <w:p w14:paraId="3DC9432F">
            <w:pPr>
              <w:keepNext w:val="0"/>
              <w:keepLines w:val="0"/>
              <w:suppressLineNumbers w:val="0"/>
              <w:spacing w:before="0" w:beforeAutospacing="0" w:after="0" w:afterAutospacing="0" w:line="360" w:lineRule="exact"/>
              <w:ind w:left="0" w:right="0"/>
              <w:rPr>
                <w:rFonts w:hint="eastAsia" w:ascii="仿宋" w:hAnsi="仿宋" w:eastAsia="仿宋" w:cs="仿宋"/>
                <w:color w:val="auto"/>
              </w:rPr>
            </w:pPr>
          </w:p>
          <w:p w14:paraId="3F45E9DC">
            <w:pPr>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rPr>
            </w:pPr>
          </w:p>
          <w:p w14:paraId="52580B57">
            <w:pPr>
              <w:keepNext w:val="0"/>
              <w:keepLines w:val="0"/>
              <w:suppressLineNumbers w:val="0"/>
              <w:spacing w:before="0" w:beforeAutospacing="0" w:after="0" w:afterAutospacing="0" w:line="360" w:lineRule="exact"/>
              <w:ind w:left="0" w:right="0"/>
              <w:jc w:val="center"/>
              <w:rPr>
                <w:rFonts w:hint="eastAsia" w:ascii="仿宋" w:hAnsi="仿宋" w:eastAsia="仿宋" w:cs="仿宋"/>
                <w:color w:val="auto"/>
              </w:rPr>
            </w:pPr>
            <w:r>
              <w:rPr>
                <w:rFonts w:hint="eastAsia" w:ascii="仿宋" w:hAnsi="仿宋" w:eastAsia="仿宋" w:cs="仿宋"/>
                <w:color w:val="auto"/>
              </w:rPr>
              <w:t>投标保证金</w:t>
            </w:r>
            <w:r>
              <w:rPr>
                <w:rFonts w:hint="eastAsia" w:ascii="仿宋" w:hAnsi="仿宋" w:eastAsia="仿宋" w:cs="仿宋"/>
                <w:color w:val="auto"/>
                <w:lang w:val="en-US" w:eastAsia="zh-CN"/>
              </w:rPr>
              <w:t>凭证</w:t>
            </w:r>
            <w:r>
              <w:rPr>
                <w:rFonts w:hint="eastAsia" w:ascii="仿宋" w:hAnsi="仿宋" w:eastAsia="仿宋" w:cs="仿宋"/>
                <w:color w:val="auto"/>
              </w:rPr>
              <w:t>或银行转账回执单复印件</w:t>
            </w:r>
          </w:p>
        </w:tc>
      </w:tr>
    </w:tbl>
    <w:p w14:paraId="4155A2F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color w:val="auto"/>
          <w:sz w:val="21"/>
          <w:szCs w:val="21"/>
          <w:highlight w:val="none"/>
        </w:rPr>
      </w:pPr>
    </w:p>
    <w:p w14:paraId="7834484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 w:val="21"/>
          <w:szCs w:val="21"/>
          <w:highlight w:val="none"/>
        </w:rPr>
      </w:pPr>
    </w:p>
    <w:p w14:paraId="60D4FB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ab/>
      </w:r>
    </w:p>
    <w:p w14:paraId="0A8692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0E8479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48BCBE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3EF408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4F9104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71650F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7C49F5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42A380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2B75DE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2451FD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30A490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3598F5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19965A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454251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7E720A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673A6B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6BBA2E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1AB9D5D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5D1F29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7D9E2B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22D016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674CD3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6DBF0D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22A4D2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57E17A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5EB317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627767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39FB73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 w:val="21"/>
          <w:szCs w:val="21"/>
          <w:highlight w:val="none"/>
        </w:rPr>
      </w:pPr>
    </w:p>
    <w:p w14:paraId="3A7197A9">
      <w:pPr>
        <w:jc w:val="both"/>
        <w:rPr>
          <w:rFonts w:hint="eastAsia" w:ascii="仿宋" w:hAnsi="仿宋" w:eastAsia="仿宋" w:cs="仿宋"/>
          <w:b/>
          <w:bCs/>
          <w:color w:val="auto"/>
          <w:sz w:val="24"/>
          <w:highlight w:val="none"/>
        </w:rPr>
      </w:pPr>
    </w:p>
    <w:p w14:paraId="044443AA">
      <w:pPr>
        <w:jc w:val="both"/>
        <w:rPr>
          <w:rFonts w:hint="eastAsia" w:ascii="仿宋" w:hAnsi="仿宋" w:eastAsia="仿宋" w:cs="仿宋"/>
          <w:b/>
          <w:bCs/>
          <w:color w:val="auto"/>
          <w:sz w:val="24"/>
          <w:highlight w:val="none"/>
        </w:rPr>
      </w:pPr>
    </w:p>
    <w:p w14:paraId="70F5B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398FA43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198923B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2649623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13413B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77A59A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6902F87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09C9FC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p>
    <w:p w14:paraId="77E8C823">
      <w:p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4"/>
          <w:highlight w:val="none"/>
        </w:rPr>
        <w:t>政府采购投标担保函 （项目用）（投标文件格式六）</w:t>
      </w:r>
    </w:p>
    <w:p w14:paraId="32737477">
      <w:pPr>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p>
    <w:p w14:paraId="73FFDA3C">
      <w:pPr>
        <w:ind w:firstLine="7680" w:firstLineChars="3200"/>
        <w:rPr>
          <w:rFonts w:hint="eastAsia" w:ascii="仿宋" w:hAnsi="仿宋" w:eastAsia="仿宋" w:cs="仿宋"/>
          <w:color w:val="auto"/>
          <w:sz w:val="24"/>
          <w:highlight w:val="none"/>
        </w:rPr>
      </w:pPr>
    </w:p>
    <w:p w14:paraId="6A22ED3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（采购人或采购代理机构）：</w:t>
      </w:r>
    </w:p>
    <w:p w14:paraId="5847364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鉴于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（以下简称“投标人”）拟参加编号为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E2410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57A6D3F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一、保证责任的情形及保证金额</w:t>
      </w:r>
    </w:p>
    <w:p w14:paraId="038D2729">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（一）在投标人出现下列情形之一时，我方承担保证责任：</w:t>
      </w:r>
    </w:p>
    <w:p w14:paraId="5D7A62F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1．中标后投标人无正当理由不与采购人或者采购代理机构签订《政府采购合同》；</w:t>
      </w:r>
    </w:p>
    <w:p w14:paraId="6CE0191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2．招标文件规定的投标人应当缴纳保证金的其他情形。</w:t>
      </w:r>
    </w:p>
    <w:p w14:paraId="4D96F421">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（二）我方承担保证责任的最高金额为人民币</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元（大写</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），即本项目的投标保证金金额。</w:t>
      </w:r>
    </w:p>
    <w:p w14:paraId="48D3769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二、保证的方式及保证期间</w:t>
      </w:r>
    </w:p>
    <w:p w14:paraId="15E3A76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我方保证的方式为：连带责任保证。</w:t>
      </w:r>
    </w:p>
    <w:p w14:paraId="7DA9746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我方的保证期间为：自本保函生效之日起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个月止。</w:t>
      </w:r>
    </w:p>
    <w:p w14:paraId="571A0CB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三、承担保证责任的程序</w:t>
      </w:r>
    </w:p>
    <w:p w14:paraId="322C84C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049FD76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2．我方在收到索赔通知及相关证明材料后，在</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rPr>
        <w:t>个工作日内进行审查，符合应承担保证责任情形的，我方应按照你方的要求代投标人向你方支付投标保证金。</w:t>
      </w:r>
    </w:p>
    <w:p w14:paraId="50D7C7D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四、保证责任的终止</w:t>
      </w:r>
    </w:p>
    <w:p w14:paraId="6BB405B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1．保证期间届满你方未向我方书面主张保证责任的，自保证期间届满次日起，我方保证责任自动终止。</w:t>
      </w:r>
    </w:p>
    <w:p w14:paraId="4BAC158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2．我方按照本保函向你贵方履行了保证责任后，自我方向你贵方支付款项（支付款项从我方账户划出）之日起，保证责任终止。</w:t>
      </w:r>
    </w:p>
    <w:p w14:paraId="69CEABF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3．按照法律法规的规定或出现我方保证责任终止的其它情形的，我方在本保函项下的保证责任亦终止。</w:t>
      </w:r>
    </w:p>
    <w:p w14:paraId="009DAAE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五、免责条款</w:t>
      </w:r>
    </w:p>
    <w:p w14:paraId="3F5763E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1．依照法律规定或你方与投标人的另行约定，全部或者部分免除投标人投标保证金义务时，我方亦免除相应的保证责任。</w:t>
      </w:r>
    </w:p>
    <w:p w14:paraId="25D66F6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2．因你方原因致使投标人发生本保函第一条第（一）款约定情形的，我方不承担保证责任。</w:t>
      </w:r>
    </w:p>
    <w:p w14:paraId="1325960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3．因不可抗力造成投标人发生本保函第一条约定情形的，我方不承担保证责任。</w:t>
      </w:r>
    </w:p>
    <w:p w14:paraId="2389D0B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4．你方或其他有权机关对招标文件进行任何澄清或修改，加重我方保证责任的，我方对加重部分不承担保证责任，但该澄清或修改经我方事先书面同意的除外。</w:t>
      </w:r>
    </w:p>
    <w:p w14:paraId="29B9FB4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六、争议的解决</w:t>
      </w:r>
    </w:p>
    <w:p w14:paraId="4669296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因本保函发生的纠纷，由你我双方协商解决，协商不成的，通过诉讼程序解决，诉讼管辖地法院为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法院。</w:t>
      </w:r>
    </w:p>
    <w:p w14:paraId="77ABE86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七、保函的生效</w:t>
      </w:r>
    </w:p>
    <w:p w14:paraId="1A998DD8">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本保函自我方加盖公章之日起生效。</w:t>
      </w:r>
    </w:p>
    <w:p w14:paraId="0FEF211A">
      <w:pPr>
        <w:keepNext w:val="0"/>
        <w:keepLines w:val="0"/>
        <w:pageBreakBefore w:val="0"/>
        <w:widowControl w:val="0"/>
        <w:kinsoku/>
        <w:wordWrap/>
        <w:overflowPunct/>
        <w:topLinePunct w:val="0"/>
        <w:autoSpaceDE/>
        <w:autoSpaceDN/>
        <w:bidi w:val="0"/>
        <w:adjustRightInd/>
        <w:snapToGrid/>
        <w:spacing w:line="300" w:lineRule="exact"/>
        <w:ind w:firstLine="4830" w:firstLineChars="2300"/>
        <w:textAlignment w:val="auto"/>
        <w:rPr>
          <w:rFonts w:hint="eastAsia" w:ascii="仿宋" w:hAnsi="仿宋" w:eastAsia="仿宋" w:cs="仿宋"/>
          <w:color w:val="auto"/>
          <w:sz w:val="21"/>
          <w:szCs w:val="21"/>
          <w:highlight w:val="none"/>
        </w:rPr>
      </w:pPr>
    </w:p>
    <w:p w14:paraId="6171413F">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保证人：（公章）    年   月   日</w:t>
      </w:r>
    </w:p>
    <w:p w14:paraId="401600DC">
      <w:pPr>
        <w:pStyle w:val="15"/>
        <w:keepNext w:val="0"/>
        <w:keepLines w:val="0"/>
        <w:pageBreakBefore w:val="0"/>
        <w:widowControl w:val="0"/>
        <w:tabs>
          <w:tab w:val="left" w:pos="5580"/>
        </w:tabs>
        <w:kinsoku/>
        <w:wordWrap/>
        <w:overflowPunct/>
        <w:topLinePunct w:val="0"/>
        <w:autoSpaceDE/>
        <w:autoSpaceDN/>
        <w:bidi w:val="0"/>
        <w:adjustRightInd/>
        <w:snapToGrid/>
        <w:spacing w:line="300" w:lineRule="exact"/>
        <w:ind w:left="1080" w:leftChars="257" w:hanging="540"/>
        <w:jc w:val="right"/>
        <w:textAlignment w:val="auto"/>
        <w:rPr>
          <w:rFonts w:hint="eastAsia" w:ascii="仿宋" w:hAnsi="仿宋" w:eastAsia="仿宋" w:cs="仿宋"/>
          <w:color w:val="auto"/>
          <w:sz w:val="21"/>
          <w:szCs w:val="21"/>
          <w:highlight w:val="none"/>
        </w:rPr>
        <w:sectPr>
          <w:footerReference r:id="rId7" w:type="default"/>
          <w:pgSz w:w="11905" w:h="16838"/>
          <w:pgMar w:top="1440" w:right="1083" w:bottom="1440" w:left="1083" w:header="851" w:footer="850" w:gutter="0"/>
          <w:pgNumType w:fmt="decimal"/>
          <w:cols w:space="0" w:num="1"/>
          <w:rtlGutter w:val="0"/>
          <w:docGrid w:linePitch="312" w:charSpace="0"/>
        </w:sectPr>
      </w:pPr>
      <w:bookmarkStart w:id="965" w:name="_Hlt520356243"/>
      <w:bookmarkEnd w:id="965"/>
      <w:bookmarkStart w:id="966" w:name="_Hlt520355938"/>
      <w:bookmarkEnd w:id="966"/>
    </w:p>
    <w:p w14:paraId="02777EEB">
      <w:pPr>
        <w:pStyle w:val="7"/>
        <w:spacing w:before="0" w:line="240" w:lineRule="auto"/>
        <w:ind w:left="1080" w:leftChars="257" w:hanging="540"/>
        <w:rPr>
          <w:rFonts w:hint="eastAsia" w:ascii="仿宋" w:hAnsi="仿宋" w:eastAsia="仿宋" w:cs="仿宋"/>
          <w:color w:val="auto"/>
          <w:sz w:val="28"/>
          <w:szCs w:val="36"/>
          <w:highlight w:val="none"/>
        </w:rPr>
      </w:pPr>
      <w:bookmarkStart w:id="967" w:name="_Toc216582815"/>
      <w:bookmarkStart w:id="968" w:name="_Toc7327"/>
      <w:bookmarkStart w:id="969" w:name="_Toc19579"/>
      <w:bookmarkStart w:id="970" w:name="_Toc26329"/>
      <w:bookmarkStart w:id="971" w:name="_Toc2851"/>
      <w:bookmarkStart w:id="972" w:name="_Toc8484"/>
      <w:bookmarkStart w:id="973" w:name="_Toc20897"/>
      <w:bookmarkStart w:id="974" w:name="_Toc4351"/>
      <w:bookmarkStart w:id="975" w:name="_Toc515647818"/>
      <w:bookmarkStart w:id="976" w:name="_Toc1881"/>
      <w:bookmarkStart w:id="977" w:name="_Toc30784"/>
      <w:bookmarkStart w:id="978" w:name="_Toc216582817"/>
      <w:bookmarkStart w:id="979" w:name="_Toc22563"/>
      <w:bookmarkStart w:id="980" w:name="_Toc28959"/>
      <w:bookmarkStart w:id="981" w:name="_Toc515647820"/>
      <w:r>
        <w:rPr>
          <w:rFonts w:hint="eastAsia" w:ascii="仿宋" w:hAnsi="仿宋" w:eastAsia="仿宋" w:cs="仿宋"/>
          <w:color w:val="auto"/>
          <w:sz w:val="28"/>
          <w:szCs w:val="36"/>
          <w:highlight w:val="none"/>
        </w:rPr>
        <w:t>3   投标分项报价表</w:t>
      </w:r>
      <w:bookmarkEnd w:id="967"/>
      <w:r>
        <w:rPr>
          <w:rFonts w:hint="eastAsia" w:ascii="仿宋" w:hAnsi="仿宋" w:eastAsia="仿宋" w:cs="仿宋"/>
          <w:color w:val="auto"/>
          <w:sz w:val="28"/>
          <w:szCs w:val="36"/>
          <w:highlight w:val="none"/>
        </w:rPr>
        <w:t>（投标文件格式七）</w:t>
      </w:r>
      <w:bookmarkEnd w:id="968"/>
      <w:bookmarkEnd w:id="969"/>
      <w:bookmarkEnd w:id="970"/>
      <w:bookmarkEnd w:id="971"/>
      <w:bookmarkEnd w:id="972"/>
      <w:bookmarkEnd w:id="973"/>
      <w:bookmarkEnd w:id="974"/>
      <w:bookmarkEnd w:id="975"/>
      <w:bookmarkEnd w:id="976"/>
      <w:bookmarkEnd w:id="977"/>
    </w:p>
    <w:p w14:paraId="4D266CD5">
      <w:pPr>
        <w:pStyle w:val="15"/>
        <w:spacing w:line="24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报价单位：</w:t>
      </w:r>
      <w:r>
        <w:rPr>
          <w:rFonts w:hint="eastAsia" w:ascii="仿宋" w:hAnsi="仿宋" w:eastAsia="仿宋" w:cs="仿宋"/>
          <w:color w:val="auto"/>
          <w:sz w:val="24"/>
          <w:highlight w:val="none"/>
          <w:lang w:val="en-US" w:eastAsia="zh-CN"/>
        </w:rPr>
        <w:t xml:space="preserve">  %</w:t>
      </w:r>
    </w:p>
    <w:p w14:paraId="626BC26C">
      <w:pPr>
        <w:pStyle w:val="15"/>
        <w:spacing w:line="240" w:lineRule="atLeast"/>
        <w:ind w:left="1080" w:leftChars="257" w:hanging="540"/>
        <w:rPr>
          <w:rFonts w:hint="default" w:ascii="仿宋" w:hAnsi="仿宋" w:eastAsia="仿宋" w:cs="仿宋"/>
          <w:color w:val="auto"/>
          <w:sz w:val="24"/>
          <w:highlight w:val="none"/>
          <w:lang w:val="en-US" w:eastAsia="zh-CN"/>
        </w:rPr>
      </w:pPr>
    </w:p>
    <w:p w14:paraId="1E12DAD6">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D19F370">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tbl>
      <w:tblPr>
        <w:tblStyle w:val="25"/>
        <w:tblpPr w:leftFromText="180" w:rightFromText="180" w:vertAnchor="page" w:horzAnchor="page" w:tblpX="313" w:tblpY="2467"/>
        <w:tblOverlap w:val="never"/>
        <w:tblW w:w="10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314"/>
        <w:gridCol w:w="2954"/>
        <w:gridCol w:w="1243"/>
        <w:gridCol w:w="1050"/>
        <w:gridCol w:w="1120"/>
        <w:gridCol w:w="880"/>
      </w:tblGrid>
      <w:tr w14:paraId="7417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44" w:type="dxa"/>
            <w:noWrap w:val="0"/>
            <w:vAlign w:val="center"/>
          </w:tcPr>
          <w:p w14:paraId="1371F1DD">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2314" w:type="dxa"/>
            <w:noWrap w:val="0"/>
            <w:vAlign w:val="center"/>
          </w:tcPr>
          <w:p w14:paraId="26153E1B">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2954" w:type="dxa"/>
            <w:noWrap w:val="0"/>
            <w:vAlign w:val="center"/>
          </w:tcPr>
          <w:p w14:paraId="19918BE0">
            <w:pPr>
              <w:pStyle w:val="15"/>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规格及要求</w:t>
            </w:r>
          </w:p>
        </w:tc>
        <w:tc>
          <w:tcPr>
            <w:tcW w:w="1243" w:type="dxa"/>
            <w:noWrap w:val="0"/>
            <w:vAlign w:val="center"/>
          </w:tcPr>
          <w:p w14:paraId="5E98CE33">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单位</w:t>
            </w:r>
          </w:p>
        </w:tc>
        <w:tc>
          <w:tcPr>
            <w:tcW w:w="1050" w:type="dxa"/>
            <w:noWrap w:val="0"/>
            <w:vAlign w:val="center"/>
          </w:tcPr>
          <w:p w14:paraId="196093D2">
            <w:pPr>
              <w:pStyle w:val="15"/>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产地</w:t>
            </w:r>
          </w:p>
        </w:tc>
        <w:tc>
          <w:tcPr>
            <w:tcW w:w="1120" w:type="dxa"/>
            <w:noWrap w:val="0"/>
            <w:vAlign w:val="center"/>
          </w:tcPr>
          <w:p w14:paraId="70A305F0">
            <w:pPr>
              <w:pStyle w:val="15"/>
              <w:keepNext w:val="0"/>
              <w:keepLines w:val="0"/>
              <w:suppressLineNumbers w:val="0"/>
              <w:spacing w:before="0" w:beforeAutospacing="0" w:after="0" w:afterAutospacing="0" w:line="240" w:lineRule="atLeast"/>
              <w:ind w:left="0" w:leftChars="0" w:right="0" w:rightChars="0"/>
              <w:jc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highlight w:val="none"/>
                <w:lang w:val="en-US" w:eastAsia="zh-CN"/>
              </w:rPr>
              <w:t>优惠率</w:t>
            </w:r>
          </w:p>
        </w:tc>
        <w:tc>
          <w:tcPr>
            <w:tcW w:w="880" w:type="dxa"/>
            <w:noWrap w:val="0"/>
            <w:vAlign w:val="center"/>
          </w:tcPr>
          <w:p w14:paraId="4A668075">
            <w:pPr>
              <w:pStyle w:val="15"/>
              <w:keepNext w:val="0"/>
              <w:keepLines w:val="0"/>
              <w:suppressLineNumbers w:val="0"/>
              <w:spacing w:before="0" w:beforeAutospacing="0" w:after="0" w:afterAutospacing="0" w:line="240" w:lineRule="atLeast"/>
              <w:ind w:left="0" w:leftChars="0" w:right="0" w:rightChars="0"/>
              <w:jc w:val="center"/>
              <w:rPr>
                <w:rFonts w:hint="eastAsia" w:ascii="仿宋" w:hAnsi="仿宋" w:eastAsia="仿宋" w:cs="仿宋"/>
                <w:color w:val="auto"/>
                <w:kern w:val="2"/>
                <w:sz w:val="24"/>
                <w:szCs w:val="21"/>
                <w:highlight w:val="none"/>
                <w:lang w:val="en-US" w:eastAsia="zh-CN" w:bidi="ar-SA"/>
              </w:rPr>
            </w:pPr>
            <w:r>
              <w:rPr>
                <w:rFonts w:hint="eastAsia" w:ascii="仿宋" w:hAnsi="仿宋" w:eastAsia="仿宋" w:cs="仿宋"/>
                <w:color w:val="auto"/>
                <w:sz w:val="24"/>
                <w:highlight w:val="none"/>
                <w:lang w:val="en-US" w:eastAsia="zh-CN"/>
              </w:rPr>
              <w:t>备注</w:t>
            </w:r>
          </w:p>
        </w:tc>
      </w:tr>
      <w:tr w14:paraId="33CB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44" w:type="dxa"/>
            <w:noWrap w:val="0"/>
            <w:vAlign w:val="center"/>
          </w:tcPr>
          <w:p w14:paraId="3765DF5A">
            <w:pPr>
              <w:pStyle w:val="15"/>
              <w:keepNext w:val="0"/>
              <w:keepLines w:val="0"/>
              <w:suppressLineNumbers w:val="0"/>
              <w:spacing w:before="0" w:beforeAutospacing="0" w:after="0" w:afterAutospacing="0" w:line="240" w:lineRule="atLeast"/>
              <w:ind w:left="269" w:leftChars="128" w:right="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2314" w:type="dxa"/>
            <w:noWrap w:val="0"/>
            <w:vAlign w:val="center"/>
          </w:tcPr>
          <w:p w14:paraId="6A4E61C5">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Cs w:val="21"/>
                <w:highlight w:val="none"/>
                <w:lang w:val="en-US" w:eastAsia="zh-CN"/>
              </w:rPr>
            </w:pPr>
          </w:p>
        </w:tc>
        <w:tc>
          <w:tcPr>
            <w:tcW w:w="2954" w:type="dxa"/>
            <w:noWrap w:val="0"/>
            <w:vAlign w:val="center"/>
          </w:tcPr>
          <w:p w14:paraId="0D8D8FCD">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243" w:type="dxa"/>
            <w:noWrap w:val="0"/>
            <w:vAlign w:val="center"/>
          </w:tcPr>
          <w:p w14:paraId="29772814">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050" w:type="dxa"/>
            <w:noWrap w:val="0"/>
            <w:vAlign w:val="center"/>
          </w:tcPr>
          <w:p w14:paraId="5A212239">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120" w:type="dxa"/>
            <w:noWrap w:val="0"/>
            <w:vAlign w:val="center"/>
          </w:tcPr>
          <w:p w14:paraId="39F984E3">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880" w:type="dxa"/>
            <w:noWrap w:val="0"/>
            <w:vAlign w:val="center"/>
          </w:tcPr>
          <w:p w14:paraId="384096D6">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r>
      <w:tr w14:paraId="2F26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44" w:type="dxa"/>
            <w:noWrap w:val="0"/>
            <w:vAlign w:val="center"/>
          </w:tcPr>
          <w:p w14:paraId="24D5E34F">
            <w:pPr>
              <w:pStyle w:val="15"/>
              <w:keepNext w:val="0"/>
              <w:keepLines w:val="0"/>
              <w:suppressLineNumbers w:val="0"/>
              <w:spacing w:before="0" w:beforeAutospacing="0" w:after="0" w:afterAutospacing="0" w:line="240" w:lineRule="atLeast"/>
              <w:ind w:left="269" w:leftChars="128" w:right="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2314" w:type="dxa"/>
            <w:noWrap w:val="0"/>
            <w:vAlign w:val="center"/>
          </w:tcPr>
          <w:p w14:paraId="1A8C52C9">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Cs w:val="21"/>
                <w:highlight w:val="none"/>
                <w:lang w:val="en-US" w:eastAsia="zh-CN"/>
              </w:rPr>
            </w:pPr>
          </w:p>
        </w:tc>
        <w:tc>
          <w:tcPr>
            <w:tcW w:w="2954" w:type="dxa"/>
            <w:noWrap w:val="0"/>
            <w:vAlign w:val="center"/>
          </w:tcPr>
          <w:p w14:paraId="7E610BE6">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243" w:type="dxa"/>
            <w:noWrap w:val="0"/>
            <w:vAlign w:val="center"/>
          </w:tcPr>
          <w:p w14:paraId="241C5EF4">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050" w:type="dxa"/>
            <w:noWrap w:val="0"/>
            <w:vAlign w:val="center"/>
          </w:tcPr>
          <w:p w14:paraId="3C242F70">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120" w:type="dxa"/>
            <w:noWrap w:val="0"/>
            <w:vAlign w:val="center"/>
          </w:tcPr>
          <w:p w14:paraId="698602C8">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880" w:type="dxa"/>
            <w:noWrap w:val="0"/>
            <w:vAlign w:val="center"/>
          </w:tcPr>
          <w:p w14:paraId="3434105E">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r>
      <w:tr w14:paraId="0C2F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44" w:type="dxa"/>
            <w:noWrap w:val="0"/>
            <w:vAlign w:val="center"/>
          </w:tcPr>
          <w:p w14:paraId="7510C2B3">
            <w:pPr>
              <w:pStyle w:val="15"/>
              <w:keepNext w:val="0"/>
              <w:keepLines w:val="0"/>
              <w:suppressLineNumbers w:val="0"/>
              <w:spacing w:before="0" w:beforeAutospacing="0" w:after="0" w:afterAutospacing="0" w:line="240" w:lineRule="atLeast"/>
              <w:ind w:left="269" w:leftChars="128" w:right="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2314" w:type="dxa"/>
            <w:noWrap w:val="0"/>
            <w:vAlign w:val="center"/>
          </w:tcPr>
          <w:p w14:paraId="4C742517">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Cs w:val="21"/>
                <w:highlight w:val="none"/>
                <w:lang w:val="en-US" w:eastAsia="zh-CN"/>
              </w:rPr>
            </w:pPr>
          </w:p>
        </w:tc>
        <w:tc>
          <w:tcPr>
            <w:tcW w:w="2954" w:type="dxa"/>
            <w:noWrap w:val="0"/>
            <w:vAlign w:val="center"/>
          </w:tcPr>
          <w:p w14:paraId="5F4D6A2E">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p>
        </w:tc>
        <w:tc>
          <w:tcPr>
            <w:tcW w:w="1243" w:type="dxa"/>
            <w:noWrap w:val="0"/>
            <w:vAlign w:val="center"/>
          </w:tcPr>
          <w:p w14:paraId="30E4013E">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p>
        </w:tc>
        <w:tc>
          <w:tcPr>
            <w:tcW w:w="1050" w:type="dxa"/>
            <w:noWrap w:val="0"/>
            <w:vAlign w:val="center"/>
          </w:tcPr>
          <w:p w14:paraId="5B420823">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p>
        </w:tc>
        <w:tc>
          <w:tcPr>
            <w:tcW w:w="1120" w:type="dxa"/>
            <w:noWrap w:val="0"/>
            <w:vAlign w:val="center"/>
          </w:tcPr>
          <w:p w14:paraId="38EACB47">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p>
        </w:tc>
        <w:tc>
          <w:tcPr>
            <w:tcW w:w="880" w:type="dxa"/>
            <w:noWrap w:val="0"/>
            <w:vAlign w:val="center"/>
          </w:tcPr>
          <w:p w14:paraId="7AB18809">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 w:val="24"/>
                <w:highlight w:val="none"/>
                <w:lang w:val="en-US" w:eastAsia="zh-CN"/>
              </w:rPr>
            </w:pPr>
          </w:p>
        </w:tc>
      </w:tr>
      <w:tr w14:paraId="6AA7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44" w:type="dxa"/>
            <w:noWrap w:val="0"/>
            <w:vAlign w:val="center"/>
          </w:tcPr>
          <w:p w14:paraId="27DA9C54">
            <w:pPr>
              <w:pStyle w:val="15"/>
              <w:keepNext w:val="0"/>
              <w:keepLines w:val="0"/>
              <w:suppressLineNumbers w:val="0"/>
              <w:spacing w:before="0" w:beforeAutospacing="0" w:after="0" w:afterAutospacing="0" w:line="240" w:lineRule="atLeast"/>
              <w:ind w:left="269" w:leftChars="128" w:right="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2314" w:type="dxa"/>
            <w:noWrap w:val="0"/>
            <w:vAlign w:val="center"/>
          </w:tcPr>
          <w:p w14:paraId="3F0E979F">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Cs w:val="21"/>
                <w:highlight w:val="none"/>
                <w:lang w:val="en-US" w:eastAsia="zh-CN"/>
              </w:rPr>
            </w:pPr>
          </w:p>
        </w:tc>
        <w:tc>
          <w:tcPr>
            <w:tcW w:w="2954" w:type="dxa"/>
            <w:noWrap w:val="0"/>
            <w:vAlign w:val="center"/>
          </w:tcPr>
          <w:p w14:paraId="623392CC">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243" w:type="dxa"/>
            <w:noWrap w:val="0"/>
            <w:vAlign w:val="center"/>
          </w:tcPr>
          <w:p w14:paraId="2244233E">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050" w:type="dxa"/>
            <w:noWrap w:val="0"/>
            <w:vAlign w:val="center"/>
          </w:tcPr>
          <w:p w14:paraId="124CCA72">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120" w:type="dxa"/>
            <w:noWrap w:val="0"/>
            <w:vAlign w:val="center"/>
          </w:tcPr>
          <w:p w14:paraId="3E3647C0">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880" w:type="dxa"/>
            <w:noWrap w:val="0"/>
            <w:vAlign w:val="center"/>
          </w:tcPr>
          <w:p w14:paraId="3CACD5D4">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r>
      <w:tr w14:paraId="7FB9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44" w:type="dxa"/>
            <w:noWrap w:val="0"/>
            <w:vAlign w:val="center"/>
          </w:tcPr>
          <w:p w14:paraId="7BB7852B">
            <w:pPr>
              <w:pStyle w:val="15"/>
              <w:keepNext w:val="0"/>
              <w:keepLines w:val="0"/>
              <w:suppressLineNumbers w:val="0"/>
              <w:spacing w:before="0" w:beforeAutospacing="0" w:after="0" w:afterAutospacing="0" w:line="240" w:lineRule="atLeast"/>
              <w:ind w:left="269" w:leftChars="128" w:right="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2314" w:type="dxa"/>
            <w:noWrap w:val="0"/>
            <w:vAlign w:val="center"/>
          </w:tcPr>
          <w:p w14:paraId="07BD82C1">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Cs w:val="21"/>
                <w:highlight w:val="none"/>
                <w:lang w:val="en-US" w:eastAsia="zh-CN"/>
              </w:rPr>
            </w:pPr>
          </w:p>
        </w:tc>
        <w:tc>
          <w:tcPr>
            <w:tcW w:w="2954" w:type="dxa"/>
            <w:noWrap w:val="0"/>
            <w:vAlign w:val="center"/>
          </w:tcPr>
          <w:p w14:paraId="73337F90">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243" w:type="dxa"/>
            <w:noWrap w:val="0"/>
            <w:vAlign w:val="center"/>
          </w:tcPr>
          <w:p w14:paraId="3DDC5C6E">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050" w:type="dxa"/>
            <w:noWrap w:val="0"/>
            <w:vAlign w:val="center"/>
          </w:tcPr>
          <w:p w14:paraId="0BB58846">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120" w:type="dxa"/>
            <w:noWrap w:val="0"/>
            <w:vAlign w:val="center"/>
          </w:tcPr>
          <w:p w14:paraId="738BE7F1">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880" w:type="dxa"/>
            <w:noWrap w:val="0"/>
            <w:vAlign w:val="center"/>
          </w:tcPr>
          <w:p w14:paraId="4AFAE65F">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r>
      <w:tr w14:paraId="0DFF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4" w:type="dxa"/>
            <w:noWrap w:val="0"/>
            <w:vAlign w:val="center"/>
          </w:tcPr>
          <w:p w14:paraId="7CC3FA87">
            <w:pPr>
              <w:pStyle w:val="15"/>
              <w:keepNext w:val="0"/>
              <w:keepLines w:val="0"/>
              <w:suppressLineNumbers w:val="0"/>
              <w:spacing w:before="0" w:beforeAutospacing="0" w:after="0" w:afterAutospacing="0" w:line="240" w:lineRule="atLeast"/>
              <w:ind w:left="269" w:leftChars="128" w:right="0"/>
              <w:jc w:val="both"/>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2314" w:type="dxa"/>
            <w:noWrap w:val="0"/>
            <w:vAlign w:val="center"/>
          </w:tcPr>
          <w:p w14:paraId="025A8F23">
            <w:pPr>
              <w:pStyle w:val="15"/>
              <w:keepNext w:val="0"/>
              <w:keepLines w:val="0"/>
              <w:suppressLineNumbers w:val="0"/>
              <w:spacing w:before="0" w:beforeAutospacing="0" w:after="0" w:afterAutospacing="0" w:line="240" w:lineRule="atLeast"/>
              <w:ind w:left="0" w:right="0"/>
              <w:rPr>
                <w:rFonts w:hint="eastAsia" w:ascii="仿宋" w:hAnsi="仿宋" w:eastAsia="仿宋" w:cs="仿宋"/>
                <w:color w:val="auto"/>
                <w:szCs w:val="21"/>
                <w:highlight w:val="none"/>
                <w:lang w:val="en-US" w:eastAsia="zh-CN"/>
              </w:rPr>
            </w:pPr>
          </w:p>
        </w:tc>
        <w:tc>
          <w:tcPr>
            <w:tcW w:w="2954" w:type="dxa"/>
            <w:noWrap w:val="0"/>
            <w:vAlign w:val="center"/>
          </w:tcPr>
          <w:p w14:paraId="71032A4A">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243" w:type="dxa"/>
            <w:noWrap w:val="0"/>
            <w:vAlign w:val="center"/>
          </w:tcPr>
          <w:p w14:paraId="31DAE29F">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050" w:type="dxa"/>
            <w:noWrap w:val="0"/>
            <w:vAlign w:val="center"/>
          </w:tcPr>
          <w:p w14:paraId="090D16BB">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120" w:type="dxa"/>
            <w:noWrap w:val="0"/>
            <w:vAlign w:val="center"/>
          </w:tcPr>
          <w:p w14:paraId="663F4DD0">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880" w:type="dxa"/>
            <w:noWrap w:val="0"/>
            <w:vAlign w:val="center"/>
          </w:tcPr>
          <w:p w14:paraId="450F4D3A">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r>
    </w:tbl>
    <w:p w14:paraId="7B23BF7F">
      <w:pPr>
        <w:pStyle w:val="15"/>
        <w:spacing w:line="240" w:lineRule="atLeast"/>
        <w:rPr>
          <w:rFonts w:hint="eastAsia" w:ascii="仿宋" w:hAnsi="仿宋" w:eastAsia="仿宋" w:cs="仿宋"/>
          <w:color w:val="auto"/>
          <w:sz w:val="24"/>
          <w:highlight w:val="none"/>
        </w:rPr>
      </w:pPr>
    </w:p>
    <w:p w14:paraId="49DBCF48">
      <w:pPr>
        <w:pStyle w:val="15"/>
        <w:spacing w:line="240" w:lineRule="atLeast"/>
        <w:ind w:left="1080" w:leftChars="257" w:hanging="540"/>
        <w:rPr>
          <w:rFonts w:hint="eastAsia" w:ascii="仿宋" w:hAnsi="仿宋" w:eastAsia="仿宋" w:cs="仿宋"/>
          <w:color w:val="auto"/>
          <w:sz w:val="24"/>
          <w:highlight w:val="none"/>
        </w:rPr>
      </w:pPr>
    </w:p>
    <w:p w14:paraId="03811F07">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485E6448">
      <w:pPr>
        <w:pStyle w:val="15"/>
        <w:tabs>
          <w:tab w:val="left" w:pos="537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14:paraId="30D95273">
      <w:pPr>
        <w:pStyle w:val="15"/>
        <w:tabs>
          <w:tab w:val="left" w:pos="5370"/>
        </w:tabs>
        <w:spacing w:line="240" w:lineRule="atLeast"/>
        <w:ind w:left="1080" w:leftChars="257" w:hanging="540"/>
        <w:rPr>
          <w:rFonts w:hint="eastAsia" w:ascii="仿宋" w:hAnsi="仿宋" w:eastAsia="仿宋" w:cs="仿宋"/>
          <w:color w:val="auto"/>
          <w:sz w:val="24"/>
          <w:highlight w:val="none"/>
          <w:u w:val="single"/>
        </w:rPr>
      </w:pPr>
    </w:p>
    <w:p w14:paraId="6D9BC2BE">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注:1.如果投标人认为需要，每种服务需求填写一份该表。</w:t>
      </w:r>
    </w:p>
    <w:p w14:paraId="2F04ABD4">
      <w:pPr>
        <w:pStyle w:val="15"/>
        <w:spacing w:line="240" w:lineRule="atLeast"/>
        <w:ind w:left="1079" w:leftChars="428" w:hanging="180" w:hangingChars="75"/>
        <w:rPr>
          <w:rFonts w:hint="eastAsia" w:ascii="仿宋" w:hAnsi="仿宋" w:eastAsia="仿宋" w:cs="仿宋"/>
          <w:color w:val="auto"/>
          <w:sz w:val="24"/>
          <w:highlight w:val="none"/>
        </w:rPr>
      </w:pPr>
      <w:r>
        <w:rPr>
          <w:rFonts w:hint="eastAsia" w:ascii="仿宋" w:hAnsi="仿宋" w:eastAsia="仿宋" w:cs="仿宋"/>
          <w:color w:val="auto"/>
          <w:sz w:val="24"/>
          <w:highlight w:val="none"/>
        </w:rPr>
        <w:t>2.如果按单价计算的结果与总价不一致,以单价为准修正总价。</w:t>
      </w:r>
    </w:p>
    <w:p w14:paraId="0802197F">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3.如果不提供详细分项报价将视为没有实质性响应招标文件。</w:t>
      </w:r>
    </w:p>
    <w:p w14:paraId="5260E21B">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4.上述各项的详细分项报价，应另页描述。</w:t>
      </w:r>
    </w:p>
    <w:p w14:paraId="2D719048">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5.如果开标一览表（报价表）内容与投标文件中明细表内容不一致的，以开标一览表（报价表）内容为准。</w:t>
      </w:r>
    </w:p>
    <w:p w14:paraId="799CEA8A">
      <w:pPr>
        <w:pStyle w:val="15"/>
        <w:spacing w:line="240" w:lineRule="atLeast"/>
        <w:rPr>
          <w:rFonts w:hint="eastAsia" w:ascii="仿宋" w:hAnsi="仿宋" w:eastAsia="仿宋" w:cs="仿宋"/>
          <w:color w:val="auto"/>
          <w:sz w:val="24"/>
          <w:highlight w:val="none"/>
        </w:rPr>
      </w:pPr>
      <w:bookmarkStart w:id="982" w:name="_Toc216582816"/>
      <w:bookmarkStart w:id="983" w:name="_Toc677"/>
      <w:bookmarkStart w:id="984" w:name="_Toc7802"/>
      <w:bookmarkStart w:id="985" w:name="_Toc515647819"/>
      <w:bookmarkStart w:id="986" w:name="_Toc17010"/>
      <w:bookmarkStart w:id="987" w:name="_Toc14037"/>
      <w:bookmarkStart w:id="988" w:name="_Toc10321"/>
      <w:bookmarkStart w:id="989" w:name="_Toc2036"/>
      <w:bookmarkStart w:id="990" w:name="_Toc14475"/>
      <w:bookmarkStart w:id="991" w:name="_Toc18267"/>
      <w:bookmarkStart w:id="992" w:name="_Toc15225"/>
      <w:r>
        <w:rPr>
          <w:rFonts w:hint="eastAsia" w:ascii="仿宋" w:hAnsi="仿宋" w:eastAsia="仿宋" w:cs="仿宋"/>
          <w:color w:val="auto"/>
          <w:sz w:val="24"/>
          <w:highlight w:val="none"/>
        </w:rPr>
        <w:br w:type="page"/>
      </w:r>
    </w:p>
    <w:p w14:paraId="45B54BDB">
      <w:pPr>
        <w:pStyle w:val="7"/>
        <w:spacing w:before="0" w:line="240" w:lineRule="atLeast"/>
        <w:ind w:left="1080" w:leftChars="257" w:hanging="540"/>
        <w:rPr>
          <w:rFonts w:hint="eastAsia" w:ascii="仿宋" w:hAnsi="仿宋" w:eastAsia="仿宋" w:cs="仿宋"/>
          <w:color w:val="auto"/>
          <w:sz w:val="28"/>
          <w:szCs w:val="36"/>
          <w:highlight w:val="none"/>
        </w:rPr>
      </w:pPr>
      <w:r>
        <w:rPr>
          <w:rFonts w:hint="eastAsia" w:ascii="仿宋" w:hAnsi="仿宋" w:eastAsia="仿宋" w:cs="仿宋"/>
          <w:color w:val="auto"/>
          <w:sz w:val="28"/>
          <w:szCs w:val="36"/>
          <w:highlight w:val="none"/>
        </w:rPr>
        <w:t xml:space="preserve">4   </w:t>
      </w:r>
      <w:r>
        <w:rPr>
          <w:rFonts w:hint="eastAsia" w:ascii="仿宋" w:hAnsi="仿宋" w:eastAsia="仿宋" w:cs="仿宋"/>
          <w:color w:val="auto"/>
          <w:sz w:val="28"/>
          <w:szCs w:val="36"/>
          <w:highlight w:val="none"/>
          <w:lang w:val="en-US" w:eastAsia="zh-CN"/>
        </w:rPr>
        <w:t>货物</w:t>
      </w:r>
      <w:r>
        <w:rPr>
          <w:rFonts w:hint="eastAsia" w:ascii="仿宋" w:hAnsi="仿宋" w:eastAsia="仿宋" w:cs="仿宋"/>
          <w:color w:val="auto"/>
          <w:sz w:val="28"/>
          <w:szCs w:val="36"/>
          <w:highlight w:val="none"/>
        </w:rPr>
        <w:t>说明一览表</w:t>
      </w:r>
      <w:bookmarkEnd w:id="982"/>
      <w:r>
        <w:rPr>
          <w:rFonts w:hint="eastAsia" w:ascii="仿宋" w:hAnsi="仿宋" w:eastAsia="仿宋" w:cs="仿宋"/>
          <w:color w:val="auto"/>
          <w:sz w:val="28"/>
          <w:szCs w:val="36"/>
          <w:highlight w:val="none"/>
        </w:rPr>
        <w:t>（投标文件格式八）</w:t>
      </w:r>
      <w:bookmarkEnd w:id="983"/>
      <w:bookmarkEnd w:id="984"/>
      <w:bookmarkEnd w:id="985"/>
      <w:bookmarkEnd w:id="986"/>
      <w:bookmarkEnd w:id="987"/>
      <w:bookmarkEnd w:id="988"/>
      <w:bookmarkEnd w:id="989"/>
      <w:bookmarkEnd w:id="990"/>
      <w:bookmarkEnd w:id="991"/>
      <w:bookmarkEnd w:id="992"/>
    </w:p>
    <w:p w14:paraId="1EB01091">
      <w:pPr>
        <w:pStyle w:val="15"/>
        <w:spacing w:line="240" w:lineRule="atLeast"/>
        <w:ind w:left="1080" w:leftChars="257" w:hanging="540"/>
        <w:rPr>
          <w:rFonts w:hint="eastAsia" w:ascii="仿宋" w:hAnsi="仿宋" w:eastAsia="仿宋" w:cs="仿宋"/>
          <w:color w:val="auto"/>
          <w:sz w:val="24"/>
          <w:highlight w:val="none"/>
        </w:rPr>
      </w:pPr>
    </w:p>
    <w:p w14:paraId="271646D4">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项目编号:                                          </w:t>
      </w:r>
    </w:p>
    <w:p w14:paraId="2FA7999A">
      <w:pPr>
        <w:pStyle w:val="15"/>
        <w:spacing w:line="240" w:lineRule="atLeast"/>
        <w:ind w:left="1080" w:leftChars="257" w:hanging="540"/>
        <w:rPr>
          <w:rFonts w:hint="eastAsia" w:ascii="仿宋" w:hAnsi="仿宋" w:eastAsia="仿宋" w:cs="仿宋"/>
          <w:color w:val="auto"/>
          <w:sz w:val="24"/>
          <w:highlight w:val="none"/>
        </w:rPr>
      </w:pPr>
    </w:p>
    <w:tbl>
      <w:tblPr>
        <w:tblStyle w:val="25"/>
        <w:tblW w:w="9394" w:type="dxa"/>
        <w:tblInd w:w="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076"/>
        <w:gridCol w:w="3154"/>
        <w:gridCol w:w="1558"/>
        <w:gridCol w:w="1291"/>
        <w:gridCol w:w="1325"/>
      </w:tblGrid>
      <w:tr w14:paraId="2149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center"/>
          </w:tcPr>
          <w:p w14:paraId="3F44613C">
            <w:pPr>
              <w:pStyle w:val="15"/>
              <w:keepNext w:val="0"/>
              <w:keepLines w:val="0"/>
              <w:suppressLineNumbers w:val="0"/>
              <w:spacing w:before="0" w:beforeAutospacing="0" w:after="0" w:afterAutospacing="0" w:line="240" w:lineRule="atLeast"/>
              <w:ind w:left="0" w:right="0" w:firstLine="240" w:firstLineChars="1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076" w:type="dxa"/>
            <w:noWrap w:val="0"/>
            <w:vAlign w:val="center"/>
          </w:tcPr>
          <w:p w14:paraId="6ECA6025">
            <w:pPr>
              <w:pStyle w:val="15"/>
              <w:keepNext w:val="0"/>
              <w:keepLines w:val="0"/>
              <w:suppressLineNumbers w:val="0"/>
              <w:spacing w:before="0" w:beforeAutospacing="0" w:after="0" w:afterAutospacing="0" w:line="240" w:lineRule="atLeast"/>
              <w:ind w:left="0" w:right="0" w:firstLine="240" w:firstLineChars="1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w:t>
            </w:r>
          </w:p>
        </w:tc>
        <w:tc>
          <w:tcPr>
            <w:tcW w:w="3154" w:type="dxa"/>
            <w:noWrap w:val="0"/>
            <w:vAlign w:val="center"/>
          </w:tcPr>
          <w:p w14:paraId="0B0275CF">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规格/参数</w:t>
            </w:r>
          </w:p>
        </w:tc>
        <w:tc>
          <w:tcPr>
            <w:tcW w:w="1558" w:type="dxa"/>
            <w:noWrap w:val="0"/>
            <w:vAlign w:val="center"/>
          </w:tcPr>
          <w:p w14:paraId="255E9BF2">
            <w:pPr>
              <w:pStyle w:val="15"/>
              <w:keepNext w:val="0"/>
              <w:keepLines w:val="0"/>
              <w:suppressLineNumbers w:val="0"/>
              <w:spacing w:before="0" w:beforeAutospacing="0" w:after="0" w:afterAutospacing="0" w:line="240" w:lineRule="atLeast"/>
              <w:ind w:left="0" w:right="0" w:firstLine="240" w:firstLineChars="1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p>
        </w:tc>
        <w:tc>
          <w:tcPr>
            <w:tcW w:w="1291" w:type="dxa"/>
            <w:noWrap w:val="0"/>
            <w:vAlign w:val="center"/>
          </w:tcPr>
          <w:p w14:paraId="0F233831">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交货期</w:t>
            </w:r>
          </w:p>
        </w:tc>
        <w:tc>
          <w:tcPr>
            <w:tcW w:w="1325" w:type="dxa"/>
            <w:noWrap w:val="0"/>
            <w:vAlign w:val="center"/>
          </w:tcPr>
          <w:p w14:paraId="37810703">
            <w:pPr>
              <w:pStyle w:val="15"/>
              <w:keepNext w:val="0"/>
              <w:keepLines w:val="0"/>
              <w:suppressLineNumbers w:val="0"/>
              <w:spacing w:before="0" w:beforeAutospacing="0" w:after="0" w:afterAutospacing="0" w:line="240" w:lineRule="atLeast"/>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交货地点</w:t>
            </w:r>
          </w:p>
        </w:tc>
      </w:tr>
      <w:tr w14:paraId="7D1A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top"/>
          </w:tcPr>
          <w:p w14:paraId="02463216">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076" w:type="dxa"/>
            <w:noWrap w:val="0"/>
            <w:vAlign w:val="top"/>
          </w:tcPr>
          <w:p w14:paraId="08123E14">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3154" w:type="dxa"/>
            <w:noWrap w:val="0"/>
            <w:vAlign w:val="top"/>
          </w:tcPr>
          <w:p w14:paraId="570102D7">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558" w:type="dxa"/>
            <w:noWrap w:val="0"/>
            <w:vAlign w:val="top"/>
          </w:tcPr>
          <w:p w14:paraId="7E557C66">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291" w:type="dxa"/>
            <w:noWrap w:val="0"/>
            <w:vAlign w:val="top"/>
          </w:tcPr>
          <w:p w14:paraId="08AB16CA">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1325" w:type="dxa"/>
            <w:noWrap w:val="0"/>
            <w:vAlign w:val="top"/>
          </w:tcPr>
          <w:p w14:paraId="784D3DB4">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r>
      <w:tr w14:paraId="7786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top"/>
          </w:tcPr>
          <w:p w14:paraId="15E0EA9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076" w:type="dxa"/>
            <w:noWrap w:val="0"/>
            <w:vAlign w:val="top"/>
          </w:tcPr>
          <w:p w14:paraId="255C394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3154" w:type="dxa"/>
            <w:noWrap w:val="0"/>
            <w:vAlign w:val="top"/>
          </w:tcPr>
          <w:p w14:paraId="349197F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558" w:type="dxa"/>
            <w:noWrap w:val="0"/>
            <w:vAlign w:val="top"/>
          </w:tcPr>
          <w:p w14:paraId="7F18C50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91" w:type="dxa"/>
            <w:noWrap w:val="0"/>
            <w:vAlign w:val="top"/>
          </w:tcPr>
          <w:p w14:paraId="76696D1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325" w:type="dxa"/>
            <w:noWrap w:val="0"/>
            <w:vAlign w:val="top"/>
          </w:tcPr>
          <w:p w14:paraId="6E6CAFE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3F2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top"/>
          </w:tcPr>
          <w:p w14:paraId="23EAA82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076" w:type="dxa"/>
            <w:noWrap w:val="0"/>
            <w:vAlign w:val="top"/>
          </w:tcPr>
          <w:p w14:paraId="7B2578C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3154" w:type="dxa"/>
            <w:noWrap w:val="0"/>
            <w:vAlign w:val="top"/>
          </w:tcPr>
          <w:p w14:paraId="6777B45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558" w:type="dxa"/>
            <w:noWrap w:val="0"/>
            <w:vAlign w:val="top"/>
          </w:tcPr>
          <w:p w14:paraId="67614E6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91" w:type="dxa"/>
            <w:noWrap w:val="0"/>
            <w:vAlign w:val="top"/>
          </w:tcPr>
          <w:p w14:paraId="2E0DF4A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325" w:type="dxa"/>
            <w:noWrap w:val="0"/>
            <w:vAlign w:val="top"/>
          </w:tcPr>
          <w:p w14:paraId="0CF74B3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155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top"/>
          </w:tcPr>
          <w:p w14:paraId="257BC2A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076" w:type="dxa"/>
            <w:noWrap w:val="0"/>
            <w:vAlign w:val="top"/>
          </w:tcPr>
          <w:p w14:paraId="097D9D8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3154" w:type="dxa"/>
            <w:noWrap w:val="0"/>
            <w:vAlign w:val="top"/>
          </w:tcPr>
          <w:p w14:paraId="442377F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558" w:type="dxa"/>
            <w:noWrap w:val="0"/>
            <w:vAlign w:val="top"/>
          </w:tcPr>
          <w:p w14:paraId="0908095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91" w:type="dxa"/>
            <w:noWrap w:val="0"/>
            <w:vAlign w:val="top"/>
          </w:tcPr>
          <w:p w14:paraId="711010D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325" w:type="dxa"/>
            <w:noWrap w:val="0"/>
            <w:vAlign w:val="top"/>
          </w:tcPr>
          <w:p w14:paraId="4484726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1C9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top"/>
          </w:tcPr>
          <w:p w14:paraId="7BA133D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076" w:type="dxa"/>
            <w:noWrap w:val="0"/>
            <w:vAlign w:val="top"/>
          </w:tcPr>
          <w:p w14:paraId="2EEB188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3154" w:type="dxa"/>
            <w:noWrap w:val="0"/>
            <w:vAlign w:val="top"/>
          </w:tcPr>
          <w:p w14:paraId="7F59929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558" w:type="dxa"/>
            <w:noWrap w:val="0"/>
            <w:vAlign w:val="top"/>
          </w:tcPr>
          <w:p w14:paraId="2094B78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91" w:type="dxa"/>
            <w:noWrap w:val="0"/>
            <w:vAlign w:val="top"/>
          </w:tcPr>
          <w:p w14:paraId="1EA24B0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325" w:type="dxa"/>
            <w:noWrap w:val="0"/>
            <w:vAlign w:val="top"/>
          </w:tcPr>
          <w:p w14:paraId="7E6ED28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2CA2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top"/>
          </w:tcPr>
          <w:p w14:paraId="19EA931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076" w:type="dxa"/>
            <w:noWrap w:val="0"/>
            <w:vAlign w:val="top"/>
          </w:tcPr>
          <w:p w14:paraId="5E8BA55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3154" w:type="dxa"/>
            <w:noWrap w:val="0"/>
            <w:vAlign w:val="top"/>
          </w:tcPr>
          <w:p w14:paraId="66A6B9E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558" w:type="dxa"/>
            <w:noWrap w:val="0"/>
            <w:vAlign w:val="top"/>
          </w:tcPr>
          <w:p w14:paraId="1832B41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91" w:type="dxa"/>
            <w:noWrap w:val="0"/>
            <w:vAlign w:val="top"/>
          </w:tcPr>
          <w:p w14:paraId="427868F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325" w:type="dxa"/>
            <w:noWrap w:val="0"/>
            <w:vAlign w:val="top"/>
          </w:tcPr>
          <w:p w14:paraId="7BD3716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FA9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990" w:type="dxa"/>
            <w:noWrap w:val="0"/>
            <w:vAlign w:val="top"/>
          </w:tcPr>
          <w:p w14:paraId="2355541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076" w:type="dxa"/>
            <w:noWrap w:val="0"/>
            <w:vAlign w:val="top"/>
          </w:tcPr>
          <w:p w14:paraId="229AE3E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3154" w:type="dxa"/>
            <w:noWrap w:val="0"/>
            <w:vAlign w:val="top"/>
          </w:tcPr>
          <w:p w14:paraId="6D22741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558" w:type="dxa"/>
            <w:noWrap w:val="0"/>
            <w:vAlign w:val="top"/>
          </w:tcPr>
          <w:p w14:paraId="1D6E6F3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91" w:type="dxa"/>
            <w:noWrap w:val="0"/>
            <w:vAlign w:val="top"/>
          </w:tcPr>
          <w:p w14:paraId="57BBC43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325" w:type="dxa"/>
            <w:noWrap w:val="0"/>
            <w:vAlign w:val="top"/>
          </w:tcPr>
          <w:p w14:paraId="0E62A52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7CBE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990" w:type="dxa"/>
            <w:noWrap w:val="0"/>
            <w:vAlign w:val="top"/>
          </w:tcPr>
          <w:p w14:paraId="5F4649A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076" w:type="dxa"/>
            <w:noWrap w:val="0"/>
            <w:vAlign w:val="top"/>
          </w:tcPr>
          <w:p w14:paraId="4DECC77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3154" w:type="dxa"/>
            <w:noWrap w:val="0"/>
            <w:vAlign w:val="top"/>
          </w:tcPr>
          <w:p w14:paraId="0D49B6F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558" w:type="dxa"/>
            <w:noWrap w:val="0"/>
            <w:vAlign w:val="top"/>
          </w:tcPr>
          <w:p w14:paraId="0875CAC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91" w:type="dxa"/>
            <w:noWrap w:val="0"/>
            <w:vAlign w:val="top"/>
          </w:tcPr>
          <w:p w14:paraId="710A34A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325" w:type="dxa"/>
            <w:noWrap w:val="0"/>
            <w:vAlign w:val="top"/>
          </w:tcPr>
          <w:p w14:paraId="5338904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bl>
    <w:p w14:paraId="03B59557">
      <w:pPr>
        <w:pStyle w:val="15"/>
        <w:spacing w:line="240" w:lineRule="atLeast"/>
        <w:ind w:left="1080" w:leftChars="257" w:hanging="540"/>
        <w:rPr>
          <w:rFonts w:hint="eastAsia" w:ascii="仿宋" w:hAnsi="仿宋" w:eastAsia="仿宋" w:cs="仿宋"/>
          <w:color w:val="auto"/>
          <w:sz w:val="24"/>
          <w:highlight w:val="none"/>
        </w:rPr>
      </w:pPr>
    </w:p>
    <w:p w14:paraId="756479B8">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58A92147">
      <w:pPr>
        <w:pStyle w:val="15"/>
        <w:tabs>
          <w:tab w:val="left" w:pos="537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14:paraId="6EDB8B16">
      <w:pPr>
        <w:pStyle w:val="15"/>
        <w:spacing w:line="240" w:lineRule="atLeast"/>
        <w:ind w:left="1080" w:leftChars="257" w:hanging="540"/>
        <w:rPr>
          <w:rFonts w:hint="eastAsia" w:ascii="仿宋" w:hAnsi="仿宋" w:eastAsia="仿宋" w:cs="仿宋"/>
          <w:color w:val="auto"/>
          <w:sz w:val="24"/>
          <w:highlight w:val="none"/>
        </w:rPr>
      </w:pPr>
    </w:p>
    <w:p w14:paraId="38225DFA">
      <w:pPr>
        <w:pStyle w:val="15"/>
        <w:spacing w:line="240" w:lineRule="atLeast"/>
        <w:ind w:left="1080" w:leftChars="257" w:hanging="540"/>
        <w:jc w:val="center"/>
        <w:rPr>
          <w:rFonts w:hint="eastAsia" w:ascii="仿宋" w:hAnsi="仿宋" w:eastAsia="仿宋" w:cs="仿宋"/>
          <w:color w:val="auto"/>
          <w:sz w:val="24"/>
          <w:highlight w:val="none"/>
        </w:rPr>
      </w:pPr>
    </w:p>
    <w:p w14:paraId="21E9BA88">
      <w:pPr>
        <w:pStyle w:val="15"/>
        <w:spacing w:line="240" w:lineRule="atLeast"/>
        <w:ind w:left="1080" w:leftChars="257" w:hanging="540"/>
        <w:jc w:val="center"/>
        <w:rPr>
          <w:rFonts w:hint="eastAsia" w:ascii="仿宋" w:hAnsi="仿宋" w:eastAsia="仿宋" w:cs="仿宋"/>
          <w:color w:val="auto"/>
          <w:sz w:val="24"/>
          <w:highlight w:val="none"/>
        </w:rPr>
        <w:sectPr>
          <w:pgSz w:w="11905" w:h="16838"/>
          <w:pgMar w:top="1440" w:right="1083" w:bottom="1440" w:left="1083" w:header="851" w:footer="850" w:gutter="0"/>
          <w:pgNumType w:fmt="decimal"/>
          <w:cols w:space="0" w:num="1"/>
          <w:rtlGutter w:val="0"/>
          <w:docGrid w:linePitch="312" w:charSpace="0"/>
        </w:sectPr>
      </w:pPr>
    </w:p>
    <w:bookmarkEnd w:id="978"/>
    <w:bookmarkEnd w:id="979"/>
    <w:bookmarkEnd w:id="980"/>
    <w:bookmarkEnd w:id="981"/>
    <w:p w14:paraId="2A5D9392">
      <w:pPr>
        <w:pStyle w:val="15"/>
        <w:tabs>
          <w:tab w:val="left" w:pos="5580"/>
        </w:tabs>
        <w:spacing w:line="240" w:lineRule="atLeast"/>
        <w:ind w:left="1080" w:leftChars="257" w:hanging="540"/>
        <w:rPr>
          <w:rFonts w:hint="eastAsia" w:ascii="仿宋" w:hAnsi="仿宋" w:eastAsia="仿宋" w:cs="仿宋"/>
          <w:color w:val="auto"/>
          <w:sz w:val="24"/>
          <w:highlight w:val="none"/>
        </w:rPr>
      </w:pPr>
    </w:p>
    <w:p w14:paraId="79A2A2C5">
      <w:pPr>
        <w:pStyle w:val="7"/>
        <w:spacing w:before="0" w:line="240" w:lineRule="atLeast"/>
        <w:ind w:left="1080" w:leftChars="257" w:hanging="540"/>
        <w:rPr>
          <w:rFonts w:hint="eastAsia" w:ascii="仿宋" w:hAnsi="仿宋" w:eastAsia="仿宋" w:cs="仿宋"/>
          <w:color w:val="auto"/>
          <w:sz w:val="24"/>
          <w:highlight w:val="none"/>
        </w:rPr>
      </w:pPr>
      <w:bookmarkStart w:id="993" w:name="_Toc21312"/>
      <w:bookmarkStart w:id="994" w:name="_Toc10725"/>
      <w:bookmarkStart w:id="995" w:name="_Toc515647823"/>
      <w:bookmarkStart w:id="996" w:name="_Toc28099"/>
      <w:bookmarkStart w:id="997" w:name="_Toc515647827"/>
      <w:bookmarkStart w:id="998" w:name="_Toc30795"/>
      <w:r>
        <w:rPr>
          <w:rFonts w:hint="eastAsia" w:ascii="仿宋" w:hAnsi="仿宋" w:eastAsia="仿宋" w:cs="仿宋"/>
          <w:color w:val="auto"/>
          <w:highlight w:val="none"/>
        </w:rPr>
        <w:t xml:space="preserve">   </w:t>
      </w:r>
      <w:r>
        <w:rPr>
          <w:rFonts w:hint="eastAsia" w:ascii="仿宋" w:hAnsi="仿宋" w:eastAsia="仿宋" w:cs="仿宋"/>
          <w:color w:val="auto"/>
          <w:sz w:val="28"/>
          <w:szCs w:val="28"/>
          <w:highlight w:val="none"/>
        </w:rPr>
        <w:t xml:space="preserve"> </w:t>
      </w:r>
      <w:bookmarkStart w:id="999" w:name="_Toc14469"/>
      <w:bookmarkStart w:id="1000" w:name="_Toc6144"/>
      <w:bookmarkStart w:id="1001" w:name="_Toc15877"/>
      <w:bookmarkStart w:id="1002" w:name="_Toc45641500"/>
      <w:bookmarkStart w:id="1003" w:name="_Toc21276"/>
      <w:bookmarkStart w:id="1004" w:name="_Toc9938"/>
      <w:bookmarkStart w:id="1005" w:name="_Toc5717"/>
      <w:bookmarkStart w:id="1006" w:name="_Toc10043"/>
      <w:bookmarkStart w:id="1007" w:name="_Toc16307"/>
      <w:bookmarkStart w:id="1008" w:name="_Toc11240"/>
      <w:r>
        <w:rPr>
          <w:rFonts w:hint="eastAsia" w:ascii="仿宋" w:hAnsi="仿宋" w:eastAsia="仿宋" w:cs="仿宋"/>
          <w:color w:val="auto"/>
          <w:sz w:val="28"/>
          <w:szCs w:val="28"/>
          <w:highlight w:val="none"/>
        </w:rPr>
        <w:t>5   技术规格偏离表（投标文件格式九）</w:t>
      </w:r>
      <w:bookmarkEnd w:id="999"/>
      <w:bookmarkEnd w:id="1000"/>
      <w:bookmarkEnd w:id="1001"/>
      <w:bookmarkEnd w:id="1002"/>
      <w:bookmarkEnd w:id="1003"/>
      <w:bookmarkEnd w:id="1004"/>
      <w:bookmarkEnd w:id="1005"/>
      <w:bookmarkEnd w:id="1006"/>
      <w:bookmarkEnd w:id="1007"/>
      <w:bookmarkEnd w:id="1008"/>
    </w:p>
    <w:p w14:paraId="4D3CD27E">
      <w:pPr>
        <w:pStyle w:val="15"/>
        <w:spacing w:line="240" w:lineRule="atLeast"/>
        <w:ind w:left="1080" w:leftChars="257" w:hanging="540"/>
        <w:rPr>
          <w:rFonts w:hint="eastAsia" w:ascii="仿宋" w:hAnsi="仿宋" w:eastAsia="仿宋" w:cs="仿宋"/>
          <w:color w:val="auto"/>
          <w:sz w:val="24"/>
          <w:highlight w:val="none"/>
        </w:rPr>
      </w:pPr>
    </w:p>
    <w:p w14:paraId="6CDA28A1">
      <w:pPr>
        <w:pStyle w:val="15"/>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招标编号:                </w:t>
      </w:r>
    </w:p>
    <w:p w14:paraId="67E663D6">
      <w:pPr>
        <w:pStyle w:val="15"/>
        <w:spacing w:line="240" w:lineRule="atLeast"/>
        <w:ind w:left="1080" w:leftChars="257" w:hanging="540"/>
        <w:rPr>
          <w:rFonts w:hint="eastAsia" w:ascii="仿宋" w:hAnsi="仿宋" w:eastAsia="仿宋" w:cs="仿宋"/>
          <w:color w:val="auto"/>
          <w:sz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3807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5E133F5C">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260" w:type="dxa"/>
            <w:noWrap w:val="0"/>
            <w:vAlign w:val="center"/>
          </w:tcPr>
          <w:p w14:paraId="71FDE84D">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w:t>
            </w:r>
          </w:p>
        </w:tc>
        <w:tc>
          <w:tcPr>
            <w:tcW w:w="2340" w:type="dxa"/>
            <w:noWrap w:val="0"/>
            <w:vAlign w:val="center"/>
          </w:tcPr>
          <w:p w14:paraId="39709F72">
            <w:pPr>
              <w:pStyle w:val="15"/>
              <w:keepNext w:val="0"/>
              <w:keepLines w:val="0"/>
              <w:suppressLineNumbers w:val="0"/>
              <w:spacing w:before="0" w:beforeAutospacing="0" w:after="0" w:afterAutospacing="0" w:line="240" w:lineRule="atLeast"/>
              <w:ind w:left="269" w:leftChars="128"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招标文件条款号</w:t>
            </w:r>
          </w:p>
        </w:tc>
        <w:tc>
          <w:tcPr>
            <w:tcW w:w="1260" w:type="dxa"/>
            <w:noWrap w:val="0"/>
            <w:vAlign w:val="center"/>
          </w:tcPr>
          <w:p w14:paraId="1DD64E7D">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招标规格</w:t>
            </w:r>
          </w:p>
        </w:tc>
        <w:tc>
          <w:tcPr>
            <w:tcW w:w="1260" w:type="dxa"/>
            <w:noWrap w:val="0"/>
            <w:vAlign w:val="center"/>
          </w:tcPr>
          <w:p w14:paraId="0F851F91">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投标规格</w:t>
            </w:r>
          </w:p>
        </w:tc>
        <w:tc>
          <w:tcPr>
            <w:tcW w:w="900" w:type="dxa"/>
            <w:noWrap w:val="0"/>
            <w:vAlign w:val="center"/>
          </w:tcPr>
          <w:p w14:paraId="4F9C4F2F">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900" w:type="dxa"/>
            <w:noWrap w:val="0"/>
            <w:vAlign w:val="center"/>
          </w:tcPr>
          <w:p w14:paraId="1C1D5A67">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14:paraId="74B8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F34757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ED8BFC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54508A2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01CD2B1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92F1CC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2FE832E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1ACC6AE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7AA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471CA06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A5B2A1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2C90899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45B564D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2C3834B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33F8457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31D774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0C93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1A02FE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D21C12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5AC6A27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04B2731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37FF614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2AB7E7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5B61AFF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7F18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1E253E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4A96DE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1907DCF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1252B45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4A96D5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5D4D056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60D9469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2F6E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8A2C96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15D1FF2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366DAA4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123D90E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4523A60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1F85A5F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3BC7135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7A09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576D22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3FEB956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7E271A2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2767B6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1F37F9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31F96F8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5A62904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488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BC1035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EFB16C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1B7E184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3B0CDB4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247C6F8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DC60A1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04B680A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0E35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9220EA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2FD3196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569CCC1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AAFD94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0DF5576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054B90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3EC2685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798A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5BDA04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877FEE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212A9C0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423568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B06657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1D546A3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6DAC364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72DA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09F36D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4E5D780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1D9A59E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419BD8C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A311BD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0ACAED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5BD0FF9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B7D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76AF35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D978E6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4B29542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1D4119F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CB01B7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5B76024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01E6CCD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2332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85D7C7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298DE49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6257475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97D88E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3A8DB39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38633B0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F3D8B0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64D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994E56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7D8EAE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4EC31BF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744FB35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C9DFB3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20C5E74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7ECDA9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631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FAF5B0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75ED77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0CEA436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2BD18C5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1578AF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96E6C7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1E2D71E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35F5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E3D418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94DDDC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754163D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1E875A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4D75124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17FBF3F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A63896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764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1D2D915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491DFBF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7ABC98D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5980F63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FC94F0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05C9DC3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04AD1B1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3DC7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7974448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0F99983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340" w:type="dxa"/>
            <w:noWrap w:val="0"/>
            <w:vAlign w:val="top"/>
          </w:tcPr>
          <w:p w14:paraId="30C24F6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69795A8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1260" w:type="dxa"/>
            <w:noWrap w:val="0"/>
            <w:vAlign w:val="top"/>
          </w:tcPr>
          <w:p w14:paraId="16BF1AC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5E5E5BE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3741781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bl>
    <w:p w14:paraId="57891693">
      <w:pPr>
        <w:pStyle w:val="15"/>
        <w:spacing w:line="240" w:lineRule="atLeast"/>
        <w:ind w:left="1080" w:leftChars="257" w:hanging="540"/>
        <w:rPr>
          <w:rFonts w:hint="eastAsia" w:ascii="仿宋" w:hAnsi="仿宋" w:eastAsia="仿宋" w:cs="仿宋"/>
          <w:color w:val="auto"/>
          <w:sz w:val="24"/>
          <w:highlight w:val="none"/>
        </w:rPr>
      </w:pPr>
    </w:p>
    <w:p w14:paraId="24BC899D">
      <w:pPr>
        <w:pStyle w:val="15"/>
        <w:spacing w:line="240" w:lineRule="atLeast"/>
        <w:ind w:left="1080" w:leftChars="257" w:hanging="540"/>
        <w:rPr>
          <w:rFonts w:hint="eastAsia" w:ascii="仿宋" w:hAnsi="仿宋" w:eastAsia="仿宋" w:cs="仿宋"/>
          <w:color w:val="auto"/>
          <w:sz w:val="24"/>
          <w:highlight w:val="none"/>
        </w:rPr>
      </w:pPr>
    </w:p>
    <w:p w14:paraId="78565797">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11B53A11">
      <w:pPr>
        <w:pStyle w:val="15"/>
        <w:tabs>
          <w:tab w:val="left" w:pos="537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14:paraId="10CCF0A5">
      <w:pPr>
        <w:pStyle w:val="15"/>
        <w:tabs>
          <w:tab w:val="left" w:pos="5580"/>
        </w:tabs>
        <w:spacing w:line="240" w:lineRule="atLeast"/>
        <w:rPr>
          <w:rFonts w:hint="eastAsia" w:ascii="仿宋" w:hAnsi="仿宋" w:eastAsia="仿宋" w:cs="仿宋"/>
          <w:color w:val="auto"/>
          <w:sz w:val="24"/>
          <w:highlight w:val="none"/>
        </w:rPr>
      </w:pPr>
    </w:p>
    <w:p w14:paraId="3F05B2A1">
      <w:pPr>
        <w:rPr>
          <w:rFonts w:hint="eastAsia" w:ascii="仿宋" w:hAnsi="仿宋" w:eastAsia="仿宋" w:cs="仿宋"/>
          <w:color w:val="auto"/>
          <w:highlight w:val="none"/>
        </w:rPr>
      </w:pPr>
      <w:bookmarkStart w:id="1009" w:name="_Toc31785"/>
    </w:p>
    <w:bookmarkEnd w:id="1009"/>
    <w:p w14:paraId="180E32C3">
      <w:pPr>
        <w:pStyle w:val="15"/>
        <w:spacing w:line="240" w:lineRule="atLeast"/>
        <w:rPr>
          <w:rFonts w:hint="eastAsia" w:ascii="仿宋" w:hAnsi="仿宋" w:eastAsia="仿宋" w:cs="仿宋"/>
          <w:color w:val="auto"/>
          <w:sz w:val="24"/>
          <w:highlight w:val="none"/>
        </w:rPr>
      </w:pPr>
    </w:p>
    <w:p w14:paraId="22EF8104">
      <w:pPr>
        <w:pStyle w:val="7"/>
        <w:spacing w:before="0" w:line="240" w:lineRule="atLeast"/>
        <w:ind w:left="1080" w:leftChars="257" w:hanging="540"/>
        <w:rPr>
          <w:rFonts w:hint="eastAsia" w:ascii="仿宋" w:hAnsi="仿宋" w:eastAsia="仿宋" w:cs="仿宋"/>
          <w:color w:val="auto"/>
          <w:sz w:val="28"/>
          <w:szCs w:val="36"/>
          <w:highlight w:val="none"/>
        </w:rPr>
      </w:pPr>
      <w:bookmarkStart w:id="1010" w:name="_Toc24460"/>
      <w:bookmarkStart w:id="1011" w:name="_Toc5737"/>
      <w:bookmarkStart w:id="1012" w:name="_Toc29586"/>
      <w:bookmarkStart w:id="1013" w:name="_Toc15356"/>
      <w:bookmarkStart w:id="1014" w:name="_Toc20550"/>
      <w:bookmarkStart w:id="1015" w:name="_Toc13513"/>
      <w:bookmarkStart w:id="1016" w:name="_Toc9495"/>
      <w:r>
        <w:rPr>
          <w:rFonts w:hint="eastAsia" w:ascii="仿宋" w:hAnsi="仿宋" w:eastAsia="仿宋" w:cs="仿宋"/>
          <w:color w:val="auto"/>
          <w:sz w:val="28"/>
          <w:szCs w:val="36"/>
          <w:highlight w:val="none"/>
        </w:rPr>
        <w:t>6   商务条款偏离表（投标文件格式十）</w:t>
      </w:r>
      <w:bookmarkEnd w:id="1010"/>
      <w:bookmarkEnd w:id="1011"/>
      <w:bookmarkEnd w:id="1012"/>
      <w:bookmarkEnd w:id="1013"/>
      <w:bookmarkEnd w:id="1014"/>
      <w:bookmarkEnd w:id="1015"/>
      <w:bookmarkEnd w:id="1016"/>
    </w:p>
    <w:p w14:paraId="74FAF5E2">
      <w:pPr>
        <w:pStyle w:val="15"/>
        <w:spacing w:line="240" w:lineRule="atLeast"/>
        <w:ind w:left="1080" w:leftChars="257" w:hanging="540"/>
        <w:rPr>
          <w:rFonts w:hint="eastAsia" w:ascii="仿宋" w:hAnsi="仿宋" w:eastAsia="仿宋" w:cs="仿宋"/>
          <w:color w:val="auto"/>
          <w:sz w:val="24"/>
          <w:highlight w:val="none"/>
        </w:rPr>
      </w:pPr>
    </w:p>
    <w:p w14:paraId="257E5F80">
      <w:pPr>
        <w:pStyle w:val="15"/>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招标编号:             </w:t>
      </w:r>
    </w:p>
    <w:p w14:paraId="1FE5C4AB">
      <w:pPr>
        <w:pStyle w:val="15"/>
        <w:spacing w:line="240" w:lineRule="atLeast"/>
        <w:ind w:left="1080" w:leftChars="257" w:hanging="540"/>
        <w:rPr>
          <w:rFonts w:hint="eastAsia" w:ascii="仿宋" w:hAnsi="仿宋" w:eastAsia="仿宋" w:cs="仿宋"/>
          <w:color w:val="auto"/>
          <w:sz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43BC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6E103B2">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2040" w:type="dxa"/>
            <w:noWrap w:val="0"/>
            <w:vAlign w:val="top"/>
          </w:tcPr>
          <w:p w14:paraId="762EF8F5">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招标文件条款号</w:t>
            </w:r>
          </w:p>
        </w:tc>
        <w:tc>
          <w:tcPr>
            <w:tcW w:w="2520" w:type="dxa"/>
            <w:noWrap w:val="0"/>
            <w:vAlign w:val="top"/>
          </w:tcPr>
          <w:p w14:paraId="6201334C">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招标文件的商务条款</w:t>
            </w:r>
          </w:p>
        </w:tc>
        <w:tc>
          <w:tcPr>
            <w:tcW w:w="2520" w:type="dxa"/>
            <w:noWrap w:val="0"/>
            <w:vAlign w:val="top"/>
          </w:tcPr>
          <w:p w14:paraId="20B6B078">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投标文件的商务条款</w:t>
            </w:r>
          </w:p>
        </w:tc>
        <w:tc>
          <w:tcPr>
            <w:tcW w:w="900" w:type="dxa"/>
            <w:noWrap w:val="0"/>
            <w:vAlign w:val="top"/>
          </w:tcPr>
          <w:p w14:paraId="0B09206C">
            <w:pPr>
              <w:pStyle w:val="15"/>
              <w:keepNext w:val="0"/>
              <w:keepLines w:val="0"/>
              <w:suppressLineNumbers w:val="0"/>
              <w:spacing w:before="0" w:beforeAutospacing="0" w:after="0" w:afterAutospacing="0" w:line="240" w:lineRule="atLeast"/>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14:paraId="0E65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0589EF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2A8FFA8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2A56C75C">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2520" w:type="dxa"/>
            <w:noWrap w:val="0"/>
            <w:vAlign w:val="top"/>
          </w:tcPr>
          <w:p w14:paraId="106DDDD7">
            <w:pPr>
              <w:pStyle w:val="15"/>
              <w:keepNext w:val="0"/>
              <w:keepLines w:val="0"/>
              <w:suppressLineNumbers w:val="0"/>
              <w:spacing w:before="0" w:beforeAutospacing="0" w:after="0" w:afterAutospacing="0" w:line="240" w:lineRule="atLeast"/>
              <w:ind w:left="1080" w:leftChars="257" w:right="0" w:hanging="540"/>
              <w:jc w:val="center"/>
              <w:rPr>
                <w:rFonts w:hint="eastAsia" w:ascii="仿宋" w:hAnsi="仿宋" w:eastAsia="仿宋" w:cs="仿宋"/>
                <w:color w:val="auto"/>
                <w:sz w:val="24"/>
                <w:highlight w:val="none"/>
                <w:lang w:val="en-US" w:eastAsia="zh-CN"/>
              </w:rPr>
            </w:pPr>
          </w:p>
        </w:tc>
        <w:tc>
          <w:tcPr>
            <w:tcW w:w="900" w:type="dxa"/>
            <w:noWrap w:val="0"/>
            <w:vAlign w:val="top"/>
          </w:tcPr>
          <w:p w14:paraId="6976925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491B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98AD31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53C2363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4F50FCF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373DFC6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37D84B8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6C1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CBEEEF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338747F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03C1110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40D0681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6938595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1C76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59A890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67AEC8C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2FDC7A22">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3958C89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6A48692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4E63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D2681E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360FC56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50D2899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6C5A47B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4D9B1B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A07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8F6BC8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1713C77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77EC11E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5990A87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2CBECC2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3BA2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864585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0AAFC29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130A296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2FEC35C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8B8859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083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1D3174C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5176296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7E203D3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109BCE4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20F540C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FB3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31DEF35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1084267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2EF0F33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1F2E747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4711B0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4AED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4AE1811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0775281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07C136C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6EE20EF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64A3056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3DE8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A1810E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1586105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78FFEB7C">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062524B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69142A7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39EC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2883536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319EEC4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1B6D7A9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343A77A5">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2B789180">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9FE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CD694D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2843F774">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6701025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5DFD790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FF7A73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0966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01F74B0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6BB0012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136252DE">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3E0AEF3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EB4437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3C87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F544DE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05EB579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2FC3DD56">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33F8B5F7">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06C5FB7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60AF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57B4775D">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62F38EF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7B37056A">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2BD9C73B">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4AE05B48">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r w14:paraId="5F9AA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14:paraId="683BDBF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040" w:type="dxa"/>
            <w:noWrap w:val="0"/>
            <w:vAlign w:val="top"/>
          </w:tcPr>
          <w:p w14:paraId="297C53E3">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04ADF049">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2520" w:type="dxa"/>
            <w:noWrap w:val="0"/>
            <w:vAlign w:val="top"/>
          </w:tcPr>
          <w:p w14:paraId="01025D4F">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c>
          <w:tcPr>
            <w:tcW w:w="900" w:type="dxa"/>
            <w:noWrap w:val="0"/>
            <w:vAlign w:val="top"/>
          </w:tcPr>
          <w:p w14:paraId="74C55321">
            <w:pPr>
              <w:pStyle w:val="15"/>
              <w:keepNext w:val="0"/>
              <w:keepLines w:val="0"/>
              <w:suppressLineNumbers w:val="0"/>
              <w:spacing w:before="0" w:beforeAutospacing="0" w:after="0" w:afterAutospacing="0" w:line="240" w:lineRule="atLeast"/>
              <w:ind w:left="1080" w:leftChars="257" w:right="0" w:hanging="540"/>
              <w:rPr>
                <w:rFonts w:hint="eastAsia" w:ascii="仿宋" w:hAnsi="仿宋" w:eastAsia="仿宋" w:cs="仿宋"/>
                <w:color w:val="auto"/>
                <w:sz w:val="24"/>
                <w:highlight w:val="none"/>
                <w:lang w:val="en-US" w:eastAsia="zh-CN"/>
              </w:rPr>
            </w:pPr>
          </w:p>
        </w:tc>
      </w:tr>
    </w:tbl>
    <w:p w14:paraId="3B1E0B18">
      <w:pPr>
        <w:pStyle w:val="15"/>
        <w:spacing w:line="240" w:lineRule="atLeast"/>
        <w:ind w:left="1080" w:leftChars="257" w:hanging="540"/>
        <w:rPr>
          <w:rFonts w:hint="eastAsia" w:ascii="仿宋" w:hAnsi="仿宋" w:eastAsia="仿宋" w:cs="仿宋"/>
          <w:color w:val="auto"/>
          <w:sz w:val="24"/>
          <w:highlight w:val="none"/>
        </w:rPr>
      </w:pPr>
    </w:p>
    <w:p w14:paraId="1A57623B">
      <w:pPr>
        <w:pStyle w:val="15"/>
        <w:spacing w:line="240" w:lineRule="atLeast"/>
        <w:ind w:left="1080" w:leftChars="257" w:hanging="540"/>
        <w:rPr>
          <w:rFonts w:hint="eastAsia" w:ascii="仿宋" w:hAnsi="仿宋" w:eastAsia="仿宋" w:cs="仿宋"/>
          <w:color w:val="auto"/>
          <w:sz w:val="24"/>
          <w:highlight w:val="none"/>
        </w:rPr>
      </w:pPr>
    </w:p>
    <w:p w14:paraId="6995BACE">
      <w:pPr>
        <w:pStyle w:val="15"/>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600B79DA">
      <w:pPr>
        <w:pStyle w:val="15"/>
        <w:tabs>
          <w:tab w:val="left" w:pos="537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14:paraId="5B971A1A">
      <w:pPr>
        <w:pStyle w:val="7"/>
        <w:spacing w:before="0" w:line="240" w:lineRule="atLeast"/>
        <w:rPr>
          <w:rFonts w:hint="eastAsia" w:ascii="仿宋" w:hAnsi="仿宋" w:eastAsia="仿宋" w:cs="仿宋"/>
          <w:b w:val="0"/>
          <w:color w:val="auto"/>
          <w:sz w:val="24"/>
          <w:highlight w:val="none"/>
        </w:rPr>
      </w:pPr>
      <w:r>
        <w:rPr>
          <w:rFonts w:hint="eastAsia" w:ascii="仿宋" w:hAnsi="仿宋" w:eastAsia="仿宋" w:cs="仿宋"/>
          <w:color w:val="auto"/>
          <w:highlight w:val="none"/>
        </w:rPr>
        <w:br w:type="page"/>
      </w:r>
      <w:bookmarkStart w:id="1017" w:name="_Toc31507"/>
      <w:bookmarkStart w:id="1018" w:name="_Toc7517"/>
      <w:bookmarkStart w:id="1019" w:name="_Toc19440"/>
      <w:bookmarkStart w:id="1020" w:name="_Toc28804"/>
      <w:bookmarkStart w:id="1021" w:name="_Toc22885"/>
      <w:bookmarkStart w:id="1022" w:name="_Toc12805"/>
      <w:bookmarkStart w:id="1023" w:name="_Toc32430"/>
      <w:r>
        <w:rPr>
          <w:rFonts w:hint="eastAsia" w:ascii="仿宋" w:hAnsi="仿宋" w:eastAsia="仿宋" w:cs="仿宋"/>
          <w:color w:val="auto"/>
          <w:sz w:val="28"/>
          <w:szCs w:val="28"/>
          <w:highlight w:val="none"/>
        </w:rPr>
        <w:t>7-1   投标人企业（单位）类型声明函（投标文件格式十一）</w:t>
      </w:r>
      <w:bookmarkEnd w:id="993"/>
      <w:bookmarkEnd w:id="994"/>
      <w:bookmarkEnd w:id="995"/>
      <w:bookmarkEnd w:id="1017"/>
      <w:bookmarkEnd w:id="1018"/>
      <w:bookmarkEnd w:id="1019"/>
      <w:bookmarkEnd w:id="1020"/>
      <w:bookmarkEnd w:id="1021"/>
      <w:bookmarkEnd w:id="1022"/>
      <w:bookmarkEnd w:id="1023"/>
    </w:p>
    <w:p w14:paraId="78A7C861">
      <w:pPr>
        <w:widowControl/>
        <w:spacing w:before="100" w:beforeAutospacing="1" w:after="100" w:afterAutospacing="1" w:line="33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本企业（单位）郑重声明下列事项（按照实际情况勾选或填空）：</w:t>
      </w:r>
    </w:p>
    <w:p w14:paraId="0673E5D9">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1、□本企业（单位）为直接投标人提供本企业（单位）制造的货物。</w:t>
      </w:r>
    </w:p>
    <w:p w14:paraId="5FE8D5AB">
      <w:pPr>
        <w:widowControl/>
        <w:numPr>
          <w:ilvl w:val="0"/>
          <w:numId w:val="14"/>
        </w:numPr>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14:paraId="0308DFEB">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本企业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（请填写：是、不是）监狱企业。后附省级以上监狱管理局、戒毒管理局（含新疆生产建设兵团）出具的属于监狱企业的证明文件。</w:t>
      </w:r>
    </w:p>
    <w:p w14:paraId="7DC7259D">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r>
        <w:rPr>
          <w:rFonts w:hint="eastAsia" w:ascii="仿宋" w:hAnsi="仿宋" w:eastAsia="仿宋" w:cs="仿宋"/>
          <w:color w:val="auto"/>
          <w:sz w:val="30"/>
          <w:szCs w:val="30"/>
          <w:highlight w:val="none"/>
        </w:rPr>
        <w:t xml:space="preserve"> </w:t>
      </w:r>
      <w:r>
        <w:rPr>
          <w:rFonts w:hint="eastAsia" w:ascii="仿宋" w:hAnsi="仿宋" w:eastAsia="仿宋" w:cs="仿宋"/>
          <w:color w:val="auto"/>
          <w:kern w:val="0"/>
          <w:sz w:val="24"/>
          <w:highlight w:val="none"/>
        </w:rPr>
        <w:t>根据《关于促进残疾人就业政府采购政策的通知》（财库〔2017〕141号）。本单位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（请填写：是、不是）残疾人福利性单位。</w:t>
      </w:r>
    </w:p>
    <w:p w14:paraId="79D3D4E6">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14:paraId="10CE5C00">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5EDFFE1D">
      <w:pPr>
        <w:widowControl/>
        <w:spacing w:before="100" w:beforeAutospacing="1" w:after="100" w:afterAutospacing="1" w:line="330" w:lineRule="atLeast"/>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本企业（单位）对上述声明的真实性负责。如有虚假，将依法承担相应责任。</w:t>
      </w:r>
    </w:p>
    <w:p w14:paraId="29B1630E">
      <w:pPr>
        <w:pStyle w:val="15"/>
        <w:spacing w:line="240" w:lineRule="atLeast"/>
        <w:ind w:firstLine="2880" w:firstLineChars="1200"/>
        <w:rPr>
          <w:rFonts w:hint="eastAsia" w:ascii="仿宋" w:hAnsi="仿宋" w:eastAsia="仿宋" w:cs="仿宋"/>
          <w:color w:val="auto"/>
          <w:kern w:val="0"/>
          <w:sz w:val="24"/>
          <w:highlight w:val="none"/>
        </w:rPr>
      </w:pPr>
    </w:p>
    <w:p w14:paraId="55D52DCF">
      <w:pPr>
        <w:pStyle w:val="15"/>
        <w:spacing w:line="240" w:lineRule="atLeas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投标人名称（盖单位章）：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489E873B">
      <w:pPr>
        <w:pStyle w:val="15"/>
        <w:spacing w:line="240" w:lineRule="atLeast"/>
        <w:ind w:left="1258" w:leftChars="599" w:firstLine="1780" w:firstLineChars="74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14:paraId="1341105F">
      <w:pPr>
        <w:widowControl/>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48D49612">
      <w:pPr>
        <w:widowControl/>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434CB565">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p>
    <w:p w14:paraId="7C95471A">
      <w:pPr>
        <w:spacing w:line="240" w:lineRule="atLeast"/>
        <w:ind w:left="1080" w:leftChars="257" w:hanging="540"/>
        <w:jc w:val="center"/>
        <w:rPr>
          <w:rFonts w:hint="eastAsia" w:ascii="仿宋" w:hAnsi="仿宋" w:eastAsia="仿宋" w:cs="仿宋"/>
          <w:b/>
          <w:color w:val="auto"/>
          <w:kern w:val="0"/>
          <w:sz w:val="24"/>
          <w:szCs w:val="20"/>
          <w:highlight w:val="none"/>
        </w:rPr>
      </w:pPr>
      <w:r>
        <w:rPr>
          <w:rFonts w:hint="eastAsia" w:ascii="仿宋" w:hAnsi="仿宋" w:eastAsia="仿宋" w:cs="仿宋"/>
          <w:b/>
          <w:color w:val="auto"/>
          <w:kern w:val="0"/>
          <w:sz w:val="24"/>
          <w:szCs w:val="20"/>
          <w:highlight w:val="none"/>
        </w:rPr>
        <w:t>　</w:t>
      </w:r>
    </w:p>
    <w:p w14:paraId="31A9750F">
      <w:pPr>
        <w:spacing w:line="360" w:lineRule="exact"/>
        <w:jc w:val="center"/>
        <w:rPr>
          <w:rFonts w:hint="eastAsia" w:ascii="仿宋" w:hAnsi="仿宋" w:eastAsia="仿宋" w:cs="仿宋"/>
          <w:b/>
          <w:color w:val="auto"/>
          <w:sz w:val="24"/>
          <w:szCs w:val="24"/>
        </w:rPr>
      </w:pPr>
      <w:r>
        <w:rPr>
          <w:rFonts w:hint="eastAsia" w:ascii="仿宋" w:hAnsi="仿宋" w:eastAsia="仿宋" w:cs="仿宋"/>
          <w:b/>
          <w:color w:val="auto"/>
          <w:sz w:val="24"/>
          <w:highlight w:val="none"/>
        </w:rPr>
        <w:br w:type="page"/>
      </w:r>
      <w:bookmarkStart w:id="1024" w:name="_Toc28857"/>
      <w:bookmarkStart w:id="1025" w:name="_Toc30490"/>
      <w:bookmarkStart w:id="1026" w:name="_Toc31987"/>
      <w:bookmarkStart w:id="1027" w:name="_Toc11803"/>
      <w:bookmarkStart w:id="1028" w:name="_Toc515647824"/>
      <w:bookmarkStart w:id="1029" w:name="_Toc10977"/>
      <w:bookmarkStart w:id="1030" w:name="_Toc25463"/>
      <w:bookmarkStart w:id="1031" w:name="_Toc11998"/>
      <w:bookmarkStart w:id="1032" w:name="_Toc23677"/>
      <w:r>
        <w:rPr>
          <w:rFonts w:hint="eastAsia" w:ascii="仿宋" w:hAnsi="仿宋" w:eastAsia="仿宋" w:cs="仿宋"/>
          <w:color w:val="auto"/>
          <w:sz w:val="28"/>
          <w:szCs w:val="28"/>
          <w:highlight w:val="none"/>
        </w:rPr>
        <w:t xml:space="preserve">7-2   </w:t>
      </w:r>
      <w:bookmarkEnd w:id="1024"/>
      <w:bookmarkEnd w:id="1025"/>
      <w:bookmarkEnd w:id="1026"/>
      <w:bookmarkEnd w:id="1027"/>
      <w:bookmarkEnd w:id="1028"/>
      <w:bookmarkEnd w:id="1029"/>
      <w:bookmarkEnd w:id="1030"/>
      <w:r>
        <w:rPr>
          <w:rFonts w:hint="eastAsia" w:ascii="仿宋" w:hAnsi="仿宋" w:eastAsia="仿宋" w:cs="仿宋"/>
          <w:color w:val="auto"/>
          <w:sz w:val="28"/>
          <w:szCs w:val="28"/>
          <w:highlight w:val="none"/>
        </w:rPr>
        <w:t xml:space="preserve"> </w:t>
      </w:r>
      <w:bookmarkEnd w:id="1031"/>
      <w:bookmarkEnd w:id="1032"/>
      <w:r>
        <w:rPr>
          <w:rFonts w:hint="eastAsia" w:ascii="仿宋" w:hAnsi="仿宋" w:eastAsia="仿宋" w:cs="仿宋"/>
          <w:b/>
          <w:color w:val="auto"/>
          <w:sz w:val="28"/>
          <w:szCs w:val="28"/>
        </w:rPr>
        <w:t>中小企业声明</w:t>
      </w:r>
      <w:r>
        <w:rPr>
          <w:rFonts w:hint="eastAsia" w:ascii="仿宋" w:hAnsi="仿宋" w:eastAsia="仿宋" w:cs="仿宋"/>
          <w:b/>
          <w:color w:val="auto"/>
          <w:sz w:val="28"/>
          <w:szCs w:val="28"/>
          <w:lang w:val="en-US" w:eastAsia="zh-CN"/>
        </w:rPr>
        <w:t>函</w:t>
      </w:r>
      <w:r>
        <w:rPr>
          <w:rFonts w:hint="eastAsia" w:ascii="仿宋" w:hAnsi="仿宋" w:eastAsia="仿宋" w:cs="仿宋"/>
          <w:b/>
          <w:color w:val="auto"/>
          <w:sz w:val="28"/>
          <w:szCs w:val="28"/>
        </w:rPr>
        <w:t>（</w:t>
      </w:r>
      <w:r>
        <w:rPr>
          <w:rFonts w:hint="eastAsia" w:ascii="仿宋" w:hAnsi="仿宋" w:eastAsia="仿宋" w:cs="仿宋"/>
          <w:b/>
          <w:color w:val="auto"/>
          <w:sz w:val="28"/>
          <w:szCs w:val="28"/>
          <w:lang w:val="en-US" w:eastAsia="zh-CN"/>
        </w:rPr>
        <w:t>货物</w:t>
      </w:r>
      <w:r>
        <w:rPr>
          <w:rFonts w:hint="eastAsia" w:ascii="仿宋" w:hAnsi="仿宋" w:eastAsia="仿宋" w:cs="仿宋"/>
          <w:b/>
          <w:color w:val="auto"/>
          <w:sz w:val="28"/>
          <w:szCs w:val="28"/>
        </w:rPr>
        <w:t>）</w:t>
      </w:r>
    </w:p>
    <w:p w14:paraId="2398E1E7">
      <w:pPr>
        <w:pStyle w:val="24"/>
        <w:keepNext w:val="0"/>
        <w:keepLines w:val="0"/>
        <w:pageBreakBefore w:val="0"/>
        <w:kinsoku/>
        <w:wordWrap/>
        <w:overflowPunct/>
        <w:topLinePunct w:val="0"/>
        <w:autoSpaceDE/>
        <w:autoSpaceDN/>
        <w:bidi w:val="0"/>
        <w:adjustRightInd/>
        <w:snapToGrid/>
        <w:spacing w:line="500" w:lineRule="exact"/>
        <w:ind w:firstLine="24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本公司（联合体）郑重声明，根据《政府采购促进中小企业发展管理办法》（财库﹝2020﹞46号）的规定，本公司（联合体）参加（单位名称）的（项目名称）采购活动，</w:t>
      </w:r>
      <w:r>
        <w:rPr>
          <w:rFonts w:hint="eastAsia" w:ascii="仿宋" w:hAnsi="仿宋" w:eastAsia="仿宋" w:cs="仿宋"/>
          <w:color w:val="auto"/>
          <w:highlight w:val="green"/>
          <w:lang w:val="en-US" w:eastAsia="zh-CN"/>
        </w:rPr>
        <w:t>提供的货物全部由符合政策要求的中小企业制造</w:t>
      </w:r>
      <w:r>
        <w:rPr>
          <w:rFonts w:hint="eastAsia" w:ascii="仿宋" w:hAnsi="仿宋" w:eastAsia="仿宋" w:cs="仿宋"/>
          <w:color w:val="auto"/>
          <w:highlight w:val="none"/>
          <w:lang w:val="en-US" w:eastAsia="zh-CN"/>
        </w:rPr>
        <w:t xml:space="preserve">。相关企业（含联合体中的中小企业、签订分包意向协议的中小企业） 的具体情况如下： </w:t>
      </w:r>
    </w:p>
    <w:p w14:paraId="472FAF10">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1. </w:t>
      </w:r>
      <w:r>
        <w:rPr>
          <w:rFonts w:hint="eastAsia" w:ascii="仿宋" w:hAnsi="仿宋" w:eastAsia="仿宋" w:cs="仿宋"/>
          <w:bCs/>
          <w:color w:val="auto"/>
          <w:sz w:val="24"/>
          <w:szCs w:val="24"/>
          <w:u w:val="single"/>
          <w:lang w:val="en-US" w:eastAsia="zh-CN"/>
        </w:rPr>
        <w:t xml:space="preserve">（标的名称） </w:t>
      </w:r>
      <w:r>
        <w:rPr>
          <w:rFonts w:hint="eastAsia" w:ascii="仿宋" w:hAnsi="仿宋" w:eastAsia="仿宋" w:cs="仿宋"/>
          <w:bCs/>
          <w:color w:val="auto"/>
          <w:sz w:val="24"/>
          <w:szCs w:val="24"/>
          <w:lang w:val="en-US" w:eastAsia="zh-CN"/>
        </w:rPr>
        <w:t>，属于</w:t>
      </w:r>
      <w:r>
        <w:rPr>
          <w:rFonts w:hint="eastAsia" w:ascii="仿宋" w:hAnsi="仿宋" w:eastAsia="仿宋" w:cs="仿宋"/>
          <w:bCs/>
          <w:color w:val="auto"/>
          <w:sz w:val="24"/>
          <w:szCs w:val="24"/>
          <w:u w:val="single"/>
          <w:lang w:val="en-US" w:eastAsia="zh-CN"/>
        </w:rPr>
        <w:t>（采购文件中明确的所属行业）</w:t>
      </w:r>
      <w:r>
        <w:rPr>
          <w:rFonts w:hint="eastAsia" w:ascii="仿宋" w:hAnsi="仿宋" w:eastAsia="仿宋" w:cs="仿宋"/>
          <w:bCs/>
          <w:color w:val="auto"/>
          <w:sz w:val="24"/>
          <w:szCs w:val="24"/>
          <w:lang w:val="en-US" w:eastAsia="zh-CN"/>
        </w:rPr>
        <w:t>；承建（承接）企业为</w:t>
      </w:r>
      <w:r>
        <w:rPr>
          <w:rFonts w:hint="eastAsia" w:ascii="仿宋" w:hAnsi="仿宋" w:eastAsia="仿宋" w:cs="仿宋"/>
          <w:bCs/>
          <w:color w:val="auto"/>
          <w:sz w:val="24"/>
          <w:szCs w:val="24"/>
          <w:u w:val="single"/>
          <w:lang w:val="en-US" w:eastAsia="zh-CN"/>
        </w:rPr>
        <w:t>（企业名称）</w:t>
      </w:r>
      <w:r>
        <w:rPr>
          <w:rFonts w:hint="eastAsia" w:ascii="仿宋" w:hAnsi="仿宋" w:eastAsia="仿宋" w:cs="仿宋"/>
          <w:bCs/>
          <w:color w:val="auto"/>
          <w:sz w:val="24"/>
          <w:szCs w:val="24"/>
          <w:lang w:val="en-US" w:eastAsia="zh-CN"/>
        </w:rPr>
        <w:t>，从业人员</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lang w:val="en-US" w:eastAsia="zh-CN"/>
        </w:rPr>
        <w:t>人，营业收入为</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lang w:val="en-US" w:eastAsia="zh-CN"/>
        </w:rPr>
        <w:t>万元，资产总额为</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lang w:val="en-US" w:eastAsia="zh-CN"/>
        </w:rPr>
        <w:t>万元，属于</w:t>
      </w:r>
      <w:r>
        <w:rPr>
          <w:rFonts w:hint="eastAsia" w:ascii="仿宋" w:hAnsi="仿宋" w:eastAsia="仿宋" w:cs="仿宋"/>
          <w:bCs/>
          <w:color w:val="auto"/>
          <w:sz w:val="24"/>
          <w:szCs w:val="24"/>
          <w:u w:val="single"/>
          <w:lang w:val="en-US" w:eastAsia="zh-CN"/>
        </w:rPr>
        <w:t>（中型企业、小型企业、微型企业）；</w:t>
      </w:r>
      <w:r>
        <w:rPr>
          <w:rFonts w:hint="eastAsia" w:ascii="仿宋" w:hAnsi="仿宋" w:eastAsia="仿宋" w:cs="仿宋"/>
          <w:bCs/>
          <w:color w:val="auto"/>
          <w:sz w:val="24"/>
          <w:szCs w:val="24"/>
          <w:lang w:val="en-US" w:eastAsia="zh-CN"/>
        </w:rPr>
        <w:t xml:space="preserve"> </w:t>
      </w:r>
    </w:p>
    <w:p w14:paraId="039B6898">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bCs/>
          <w:color w:val="auto"/>
          <w:sz w:val="24"/>
          <w:szCs w:val="24"/>
          <w:u w:val="single"/>
        </w:rPr>
      </w:pP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u w:val="single"/>
          <w:lang w:val="en-US" w:eastAsia="zh-CN"/>
        </w:rPr>
        <w:t xml:space="preserve"> （标的名称） </w:t>
      </w:r>
      <w:r>
        <w:rPr>
          <w:rFonts w:hint="eastAsia" w:ascii="仿宋" w:hAnsi="仿宋" w:eastAsia="仿宋" w:cs="仿宋"/>
          <w:bCs/>
          <w:color w:val="auto"/>
          <w:sz w:val="24"/>
          <w:szCs w:val="24"/>
          <w:lang w:val="en-US" w:eastAsia="zh-CN"/>
        </w:rPr>
        <w:t>，属于</w:t>
      </w:r>
      <w:r>
        <w:rPr>
          <w:rFonts w:hint="eastAsia" w:ascii="仿宋" w:hAnsi="仿宋" w:eastAsia="仿宋" w:cs="仿宋"/>
          <w:bCs/>
          <w:color w:val="auto"/>
          <w:sz w:val="24"/>
          <w:szCs w:val="24"/>
          <w:u w:val="single"/>
          <w:lang w:val="en-US" w:eastAsia="zh-CN"/>
        </w:rPr>
        <w:t>（采购文件中明确的所属行业）</w:t>
      </w:r>
      <w:r>
        <w:rPr>
          <w:rFonts w:hint="eastAsia" w:ascii="仿宋" w:hAnsi="仿宋" w:eastAsia="仿宋" w:cs="仿宋"/>
          <w:bCs/>
          <w:color w:val="auto"/>
          <w:sz w:val="24"/>
          <w:szCs w:val="24"/>
          <w:lang w:val="en-US" w:eastAsia="zh-CN"/>
        </w:rPr>
        <w:t>；承建（承接）企业为</w:t>
      </w:r>
      <w:r>
        <w:rPr>
          <w:rFonts w:hint="eastAsia" w:ascii="仿宋" w:hAnsi="仿宋" w:eastAsia="仿宋" w:cs="仿宋"/>
          <w:bCs/>
          <w:color w:val="auto"/>
          <w:sz w:val="24"/>
          <w:szCs w:val="24"/>
          <w:u w:val="single"/>
          <w:lang w:val="en-US" w:eastAsia="zh-CN"/>
        </w:rPr>
        <w:t>（企业名称）</w:t>
      </w:r>
      <w:r>
        <w:rPr>
          <w:rFonts w:hint="eastAsia" w:ascii="仿宋" w:hAnsi="仿宋" w:eastAsia="仿宋" w:cs="仿宋"/>
          <w:bCs/>
          <w:color w:val="auto"/>
          <w:sz w:val="24"/>
          <w:szCs w:val="24"/>
          <w:lang w:val="en-US" w:eastAsia="zh-CN"/>
        </w:rPr>
        <w:t>，从业人员</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lang w:val="en-US" w:eastAsia="zh-CN"/>
        </w:rPr>
        <w:t>人，营业收入为</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lang w:val="en-US" w:eastAsia="zh-CN"/>
        </w:rPr>
        <w:t>万元，资产总额为_______万元，属于</w:t>
      </w:r>
      <w:r>
        <w:rPr>
          <w:rFonts w:hint="eastAsia" w:ascii="仿宋" w:hAnsi="仿宋" w:eastAsia="仿宋" w:cs="仿宋"/>
          <w:bCs/>
          <w:color w:val="auto"/>
          <w:sz w:val="24"/>
          <w:szCs w:val="24"/>
          <w:u w:val="single"/>
          <w:lang w:val="en-US" w:eastAsia="zh-CN"/>
        </w:rPr>
        <w:t xml:space="preserve">（中型企业、小型企业、微型企业）； </w:t>
      </w:r>
    </w:p>
    <w:p w14:paraId="0E1688A7">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w:t>
      </w:r>
    </w:p>
    <w:p w14:paraId="6B51D9EF">
      <w:pPr>
        <w:pStyle w:val="24"/>
        <w:keepNext w:val="0"/>
        <w:keepLines w:val="0"/>
        <w:pageBreakBefore w:val="0"/>
        <w:kinsoku/>
        <w:wordWrap/>
        <w:overflowPunct/>
        <w:topLinePunct w:val="0"/>
        <w:autoSpaceDE/>
        <w:autoSpaceDN/>
        <w:bidi w:val="0"/>
        <w:adjustRightInd/>
        <w:snapToGrid/>
        <w:spacing w:line="500" w:lineRule="exact"/>
        <w:ind w:firstLine="24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以上企业，不属于大企业的分支机构，不存在控股股东为大企业的情形，也不存在与大企业的负责人为同一人的情形。 </w:t>
      </w:r>
    </w:p>
    <w:p w14:paraId="3501AEAD">
      <w:pPr>
        <w:pStyle w:val="24"/>
        <w:keepNext w:val="0"/>
        <w:keepLines w:val="0"/>
        <w:pageBreakBefore w:val="0"/>
        <w:kinsoku/>
        <w:wordWrap/>
        <w:overflowPunct/>
        <w:topLinePunct w:val="0"/>
        <w:autoSpaceDE/>
        <w:autoSpaceDN/>
        <w:bidi w:val="0"/>
        <w:adjustRightInd/>
        <w:snapToGrid/>
        <w:spacing w:line="500" w:lineRule="exact"/>
        <w:ind w:firstLine="24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本企业对上述声明内容的真实性负责。如有虚假，将依法承担相应责任。 </w:t>
      </w:r>
    </w:p>
    <w:p w14:paraId="5E5BD2BA">
      <w:pPr>
        <w:pStyle w:val="24"/>
        <w:keepNext w:val="0"/>
        <w:keepLines w:val="0"/>
        <w:pageBreakBefore w:val="0"/>
        <w:kinsoku/>
        <w:wordWrap/>
        <w:overflowPunct/>
        <w:topLinePunct w:val="0"/>
        <w:autoSpaceDE/>
        <w:autoSpaceDN/>
        <w:bidi w:val="0"/>
        <w:adjustRightInd/>
        <w:snapToGrid/>
        <w:spacing w:line="500" w:lineRule="exact"/>
        <w:ind w:firstLine="240"/>
        <w:jc w:val="righ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企业名称（盖章）：________________</w:t>
      </w:r>
    </w:p>
    <w:p w14:paraId="39CF1DEB">
      <w:pPr>
        <w:pStyle w:val="24"/>
        <w:keepNext w:val="0"/>
        <w:keepLines w:val="0"/>
        <w:pageBreakBefore w:val="0"/>
        <w:kinsoku/>
        <w:wordWrap/>
        <w:overflowPunct/>
        <w:topLinePunct w:val="0"/>
        <w:autoSpaceDE/>
        <w:autoSpaceDN/>
        <w:bidi w:val="0"/>
        <w:adjustRightInd/>
        <w:snapToGrid/>
        <w:spacing w:line="500" w:lineRule="exact"/>
        <w:ind w:firstLine="240"/>
        <w:jc w:val="right"/>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日期：________________ </w:t>
      </w:r>
    </w:p>
    <w:p w14:paraId="5059B357">
      <w:pPr>
        <w:pStyle w:val="24"/>
        <w:keepNext w:val="0"/>
        <w:keepLines w:val="0"/>
        <w:pageBreakBefore w:val="0"/>
        <w:kinsoku/>
        <w:wordWrap/>
        <w:overflowPunct/>
        <w:topLinePunct w:val="0"/>
        <w:autoSpaceDE/>
        <w:autoSpaceDN/>
        <w:bidi w:val="0"/>
        <w:adjustRightInd/>
        <w:snapToGrid/>
        <w:spacing w:line="500" w:lineRule="exact"/>
        <w:ind w:firstLine="240"/>
        <w:jc w:val="both"/>
        <w:textAlignment w:val="auto"/>
        <w:rPr>
          <w:rFonts w:hint="eastAsia" w:ascii="仿宋" w:hAnsi="仿宋" w:eastAsia="仿宋" w:cs="仿宋"/>
          <w:color w:val="auto"/>
          <w:highlight w:val="none"/>
          <w:lang w:val="en-US" w:eastAsia="zh-CN"/>
        </w:rPr>
      </w:pPr>
    </w:p>
    <w:p w14:paraId="57EEB693">
      <w:pPr>
        <w:pStyle w:val="24"/>
        <w:keepNext w:val="0"/>
        <w:keepLines w:val="0"/>
        <w:pageBreakBefore w:val="0"/>
        <w:kinsoku/>
        <w:wordWrap/>
        <w:overflowPunct/>
        <w:topLinePunct w:val="0"/>
        <w:autoSpaceDE/>
        <w:autoSpaceDN/>
        <w:bidi w:val="0"/>
        <w:adjustRightInd/>
        <w:snapToGrid/>
        <w:spacing w:line="500" w:lineRule="exact"/>
        <w:ind w:firstLine="240"/>
        <w:jc w:val="both"/>
        <w:textAlignment w:val="auto"/>
        <w:rPr>
          <w:rFonts w:hint="eastAsia" w:ascii="仿宋" w:hAnsi="仿宋" w:eastAsia="仿宋" w:cs="仿宋"/>
          <w:color w:val="auto"/>
          <w:highlight w:val="none"/>
          <w:lang w:val="en-US" w:eastAsia="zh-CN"/>
        </w:rPr>
      </w:pPr>
    </w:p>
    <w:p w14:paraId="544F34B7">
      <w:pPr>
        <w:pStyle w:val="24"/>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p>
    <w:p w14:paraId="01FD8223">
      <w:pPr>
        <w:pStyle w:val="24"/>
        <w:keepNext w:val="0"/>
        <w:keepLines w:val="0"/>
        <w:pageBreakBefore w:val="0"/>
        <w:kinsoku/>
        <w:wordWrap/>
        <w:overflowPunct/>
        <w:topLinePunct w:val="0"/>
        <w:autoSpaceDE/>
        <w:autoSpaceDN/>
        <w:bidi w:val="0"/>
        <w:adjustRightInd/>
        <w:snapToGrid/>
        <w:spacing w:line="500" w:lineRule="exact"/>
        <w:ind w:firstLine="24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注：潜在投标企业属于中小微企业的，请在投标文件中提供“中小企业声明函”，如果未提供或提供虚假的“中小企业声明函”，投标企业将承担由此造成的一切不利后果。</w:t>
      </w:r>
    </w:p>
    <w:p w14:paraId="31F5996B">
      <w:pPr>
        <w:pStyle w:val="24"/>
        <w:ind w:firstLine="240"/>
        <w:jc w:val="both"/>
        <w:rPr>
          <w:rFonts w:hint="eastAsia" w:ascii="仿宋" w:hAnsi="仿宋" w:eastAsia="仿宋" w:cs="仿宋"/>
          <w:color w:val="auto"/>
          <w:highlight w:val="none"/>
        </w:rPr>
      </w:pPr>
    </w:p>
    <w:p w14:paraId="031CF1DF">
      <w:pPr>
        <w:rPr>
          <w:rFonts w:hint="eastAsia" w:ascii="仿宋" w:hAnsi="仿宋" w:eastAsia="仿宋" w:cs="仿宋"/>
          <w:color w:val="auto"/>
          <w:highlight w:val="none"/>
        </w:rPr>
      </w:pPr>
    </w:p>
    <w:p w14:paraId="70A9DA6C">
      <w:pPr>
        <w:pStyle w:val="24"/>
        <w:ind w:left="0" w:leftChars="0" w:firstLine="0" w:firstLineChars="0"/>
        <w:rPr>
          <w:rFonts w:hint="eastAsia" w:ascii="仿宋" w:hAnsi="仿宋" w:eastAsia="仿宋" w:cs="仿宋"/>
          <w:color w:val="auto"/>
          <w:highlight w:val="none"/>
        </w:rPr>
      </w:pPr>
    </w:p>
    <w:p w14:paraId="784D581F">
      <w:pPr>
        <w:pStyle w:val="7"/>
        <w:spacing w:before="0" w:line="240" w:lineRule="atLeast"/>
        <w:jc w:val="center"/>
        <w:rPr>
          <w:rFonts w:hint="eastAsia" w:ascii="仿宋" w:hAnsi="仿宋" w:eastAsia="仿宋" w:cs="仿宋"/>
          <w:color w:val="auto"/>
          <w:sz w:val="28"/>
          <w:szCs w:val="28"/>
          <w:highlight w:val="none"/>
        </w:rPr>
      </w:pPr>
      <w:bookmarkStart w:id="1033" w:name="_Toc2136"/>
      <w:bookmarkStart w:id="1034" w:name="_Toc19284"/>
      <w:bookmarkStart w:id="1035" w:name="_Toc18157"/>
      <w:bookmarkStart w:id="1036" w:name="_Toc26576"/>
      <w:bookmarkStart w:id="1037" w:name="_Toc8110"/>
      <w:bookmarkStart w:id="1038" w:name="_Toc515647825"/>
      <w:bookmarkStart w:id="1039" w:name="_Toc26169"/>
      <w:bookmarkStart w:id="1040" w:name="_Toc14018"/>
      <w:bookmarkStart w:id="1041" w:name="_Toc2966"/>
      <w:bookmarkStart w:id="1042" w:name="OLE_LINK14"/>
      <w:bookmarkStart w:id="1043" w:name="OLE_LINK13"/>
      <w:r>
        <w:rPr>
          <w:rFonts w:hint="eastAsia" w:ascii="仿宋" w:hAnsi="仿宋" w:eastAsia="仿宋" w:cs="仿宋"/>
          <w:color w:val="auto"/>
          <w:sz w:val="28"/>
          <w:szCs w:val="28"/>
          <w:highlight w:val="none"/>
        </w:rPr>
        <w:t>7-3   残疾人福利性单位声明函（投标文件格式十三）</w:t>
      </w:r>
      <w:bookmarkEnd w:id="1033"/>
      <w:bookmarkEnd w:id="1034"/>
      <w:bookmarkEnd w:id="1035"/>
      <w:bookmarkEnd w:id="1036"/>
      <w:bookmarkEnd w:id="1037"/>
      <w:bookmarkEnd w:id="1038"/>
      <w:bookmarkEnd w:id="1039"/>
      <w:bookmarkEnd w:id="1040"/>
      <w:bookmarkEnd w:id="1041"/>
    </w:p>
    <w:bookmarkEnd w:id="1042"/>
    <w:bookmarkEnd w:id="1043"/>
    <w:p w14:paraId="0B06AA43">
      <w:pPr>
        <w:spacing w:line="240" w:lineRule="atLeast"/>
        <w:ind w:left="1080" w:leftChars="257" w:hanging="540"/>
        <w:jc w:val="center"/>
        <w:rPr>
          <w:rFonts w:hint="eastAsia" w:ascii="仿宋" w:hAnsi="仿宋" w:eastAsia="仿宋" w:cs="仿宋"/>
          <w:color w:val="auto"/>
          <w:kern w:val="0"/>
          <w:sz w:val="24"/>
          <w:szCs w:val="20"/>
          <w:highlight w:val="none"/>
        </w:rPr>
      </w:pPr>
    </w:p>
    <w:p w14:paraId="7CD16D94">
      <w:pPr>
        <w:spacing w:line="240" w:lineRule="atLeast"/>
        <w:ind w:firstLine="567"/>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052D4A36">
      <w:pPr>
        <w:spacing w:line="240" w:lineRule="atLeast"/>
        <w:ind w:left="1080" w:leftChars="257" w:hanging="540"/>
        <w:rPr>
          <w:rFonts w:hint="eastAsia"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14:paraId="5D8731D5">
      <w:pPr>
        <w:spacing w:line="240" w:lineRule="atLeast"/>
        <w:ind w:left="1080" w:leftChars="257" w:hanging="540"/>
        <w:jc w:val="center"/>
        <w:rPr>
          <w:rFonts w:hint="eastAsia" w:ascii="仿宋" w:hAnsi="仿宋" w:eastAsia="仿宋" w:cs="仿宋"/>
          <w:color w:val="auto"/>
          <w:kern w:val="0"/>
          <w:sz w:val="24"/>
          <w:szCs w:val="20"/>
          <w:highlight w:val="none"/>
        </w:rPr>
      </w:pPr>
    </w:p>
    <w:p w14:paraId="05D30FA4">
      <w:pPr>
        <w:spacing w:line="240" w:lineRule="atLeast"/>
        <w:ind w:left="1080" w:leftChars="257" w:hanging="540"/>
        <w:jc w:val="center"/>
        <w:rPr>
          <w:rFonts w:hint="eastAsia" w:ascii="仿宋" w:hAnsi="仿宋" w:eastAsia="仿宋" w:cs="仿宋"/>
          <w:color w:val="auto"/>
          <w:kern w:val="0"/>
          <w:sz w:val="24"/>
          <w:szCs w:val="20"/>
          <w:highlight w:val="none"/>
        </w:rPr>
      </w:pPr>
    </w:p>
    <w:p w14:paraId="6995CC09">
      <w:pPr>
        <w:spacing w:line="240" w:lineRule="atLeast"/>
        <w:ind w:left="1080" w:leftChars="257" w:hanging="540"/>
        <w:jc w:val="center"/>
        <w:rPr>
          <w:rFonts w:hint="eastAsia" w:ascii="仿宋" w:hAnsi="仿宋" w:eastAsia="仿宋" w:cs="仿宋"/>
          <w:color w:val="auto"/>
          <w:kern w:val="0"/>
          <w:sz w:val="24"/>
          <w:szCs w:val="20"/>
          <w:highlight w:val="none"/>
          <w:u w:val="single" w:color="FFFFFF"/>
        </w:rPr>
      </w:pPr>
      <w:r>
        <w:rPr>
          <w:rFonts w:hint="eastAsia" w:ascii="仿宋" w:hAnsi="仿宋" w:eastAsia="仿宋" w:cs="仿宋"/>
          <w:color w:val="auto"/>
          <w:kern w:val="0"/>
          <w:sz w:val="24"/>
          <w:szCs w:val="20"/>
          <w:highlight w:val="none"/>
        </w:rPr>
        <w:t xml:space="preserve">              残疾人福利性单位名称（盖单位章）：</w:t>
      </w:r>
      <w:r>
        <w:rPr>
          <w:rFonts w:hint="eastAsia" w:ascii="仿宋" w:hAnsi="仿宋" w:eastAsia="仿宋" w:cs="仿宋"/>
          <w:color w:val="auto"/>
          <w:kern w:val="0"/>
          <w:sz w:val="24"/>
          <w:szCs w:val="20"/>
          <w:highlight w:val="none"/>
          <w:u w:val="single"/>
        </w:rPr>
        <w:t xml:space="preserve">        </w:t>
      </w:r>
      <w:r>
        <w:rPr>
          <w:rFonts w:hint="eastAsia" w:ascii="仿宋" w:hAnsi="仿宋" w:eastAsia="仿宋" w:cs="仿宋"/>
          <w:color w:val="auto"/>
          <w:kern w:val="0"/>
          <w:sz w:val="24"/>
          <w:szCs w:val="20"/>
          <w:highlight w:val="none"/>
          <w:u w:val="single" w:color="FFFFFF"/>
        </w:rPr>
        <w:t xml:space="preserve">   </w:t>
      </w:r>
    </w:p>
    <w:p w14:paraId="18708C9B">
      <w:pPr>
        <w:spacing w:line="240" w:lineRule="atLeast"/>
        <w:ind w:left="1080" w:leftChars="257" w:hanging="540"/>
        <w:jc w:val="center"/>
        <w:rPr>
          <w:rFonts w:hint="eastAsia" w:ascii="仿宋" w:hAnsi="仿宋" w:eastAsia="仿宋" w:cs="仿宋"/>
          <w:b/>
          <w:color w:val="auto"/>
          <w:kern w:val="0"/>
          <w:sz w:val="24"/>
          <w:szCs w:val="20"/>
          <w:highlight w:val="none"/>
          <w:u w:val="single"/>
        </w:rPr>
      </w:pPr>
      <w:r>
        <w:rPr>
          <w:rFonts w:hint="eastAsia" w:ascii="仿宋" w:hAnsi="仿宋" w:eastAsia="仿宋" w:cs="仿宋"/>
          <w:color w:val="auto"/>
          <w:kern w:val="0"/>
          <w:sz w:val="24"/>
          <w:szCs w:val="20"/>
          <w:highlight w:val="none"/>
          <w:u w:val="single" w:color="FFFFFF"/>
        </w:rPr>
        <w:t xml:space="preserve">              </w:t>
      </w:r>
      <w:r>
        <w:rPr>
          <w:rFonts w:hint="eastAsia" w:ascii="仿宋" w:hAnsi="仿宋" w:eastAsia="仿宋" w:cs="仿宋"/>
          <w:color w:val="auto"/>
          <w:kern w:val="0"/>
          <w:sz w:val="24"/>
          <w:szCs w:val="20"/>
          <w:highlight w:val="none"/>
        </w:rPr>
        <w:t>日  期：</w:t>
      </w:r>
      <w:r>
        <w:rPr>
          <w:rFonts w:hint="eastAsia" w:ascii="仿宋" w:hAnsi="仿宋" w:eastAsia="仿宋" w:cs="仿宋"/>
          <w:b/>
          <w:color w:val="auto"/>
          <w:kern w:val="0"/>
          <w:sz w:val="24"/>
          <w:szCs w:val="20"/>
          <w:highlight w:val="none"/>
          <w:u w:val="single"/>
        </w:rPr>
        <w:t xml:space="preserve">             </w:t>
      </w:r>
    </w:p>
    <w:p w14:paraId="3D03E1DD">
      <w:pPr>
        <w:spacing w:line="240" w:lineRule="atLeast"/>
        <w:ind w:left="1080" w:leftChars="257" w:hanging="540"/>
        <w:jc w:val="center"/>
        <w:rPr>
          <w:rFonts w:hint="eastAsia" w:ascii="仿宋" w:hAnsi="仿宋" w:eastAsia="仿宋" w:cs="仿宋"/>
          <w:b/>
          <w:color w:val="auto"/>
          <w:kern w:val="0"/>
          <w:sz w:val="24"/>
          <w:szCs w:val="20"/>
          <w:highlight w:val="none"/>
        </w:rPr>
      </w:pPr>
    </w:p>
    <w:p w14:paraId="0ED82B37">
      <w:pPr>
        <w:spacing w:line="240" w:lineRule="atLeast"/>
        <w:ind w:left="1080" w:leftChars="257" w:hanging="540"/>
        <w:jc w:val="center"/>
        <w:rPr>
          <w:rFonts w:hint="eastAsia" w:ascii="仿宋" w:hAnsi="仿宋" w:eastAsia="仿宋" w:cs="仿宋"/>
          <w:b/>
          <w:color w:val="auto"/>
          <w:kern w:val="0"/>
          <w:sz w:val="24"/>
          <w:szCs w:val="20"/>
          <w:highlight w:val="none"/>
        </w:rPr>
      </w:pPr>
    </w:p>
    <w:p w14:paraId="46EF5BEA">
      <w:pPr>
        <w:pStyle w:val="4"/>
        <w:rPr>
          <w:rFonts w:hint="eastAsia" w:ascii="仿宋" w:hAnsi="仿宋" w:eastAsia="仿宋" w:cs="仿宋"/>
          <w:b/>
          <w:color w:val="auto"/>
          <w:highlight w:val="none"/>
        </w:rPr>
      </w:pPr>
    </w:p>
    <w:p w14:paraId="0D6EEFF3">
      <w:pPr>
        <w:rPr>
          <w:rFonts w:hint="eastAsia" w:ascii="仿宋" w:hAnsi="仿宋" w:eastAsia="仿宋" w:cs="仿宋"/>
          <w:b/>
          <w:color w:val="auto"/>
          <w:kern w:val="0"/>
          <w:sz w:val="24"/>
          <w:szCs w:val="20"/>
          <w:highlight w:val="none"/>
        </w:rPr>
      </w:pPr>
    </w:p>
    <w:p w14:paraId="11683380">
      <w:pPr>
        <w:pStyle w:val="4"/>
        <w:rPr>
          <w:rFonts w:hint="eastAsia" w:ascii="仿宋" w:hAnsi="仿宋" w:eastAsia="仿宋" w:cs="仿宋"/>
          <w:b/>
          <w:color w:val="auto"/>
          <w:highlight w:val="none"/>
        </w:rPr>
      </w:pPr>
    </w:p>
    <w:p w14:paraId="45918702">
      <w:pPr>
        <w:rPr>
          <w:rFonts w:hint="eastAsia" w:ascii="仿宋" w:hAnsi="仿宋" w:eastAsia="仿宋" w:cs="仿宋"/>
          <w:b/>
          <w:color w:val="auto"/>
          <w:kern w:val="0"/>
          <w:sz w:val="24"/>
          <w:szCs w:val="20"/>
          <w:highlight w:val="none"/>
        </w:rPr>
      </w:pPr>
    </w:p>
    <w:p w14:paraId="1C4A5FB6">
      <w:pPr>
        <w:pStyle w:val="4"/>
        <w:rPr>
          <w:rFonts w:hint="eastAsia" w:ascii="仿宋" w:hAnsi="仿宋" w:eastAsia="仿宋" w:cs="仿宋"/>
          <w:b/>
          <w:color w:val="auto"/>
          <w:highlight w:val="none"/>
        </w:rPr>
      </w:pPr>
    </w:p>
    <w:p w14:paraId="0721A2D9">
      <w:pPr>
        <w:rPr>
          <w:rFonts w:hint="eastAsia" w:ascii="仿宋" w:hAnsi="仿宋" w:eastAsia="仿宋" w:cs="仿宋"/>
          <w:b/>
          <w:color w:val="auto"/>
          <w:kern w:val="0"/>
          <w:sz w:val="24"/>
          <w:szCs w:val="20"/>
          <w:highlight w:val="none"/>
        </w:rPr>
      </w:pPr>
    </w:p>
    <w:p w14:paraId="767CABC6">
      <w:pPr>
        <w:pStyle w:val="4"/>
        <w:rPr>
          <w:rFonts w:hint="eastAsia" w:ascii="仿宋" w:hAnsi="仿宋" w:eastAsia="仿宋" w:cs="仿宋"/>
          <w:b/>
          <w:color w:val="auto"/>
          <w:highlight w:val="none"/>
        </w:rPr>
      </w:pPr>
    </w:p>
    <w:p w14:paraId="63BE35EE">
      <w:pPr>
        <w:rPr>
          <w:rFonts w:hint="eastAsia" w:ascii="仿宋" w:hAnsi="仿宋" w:eastAsia="仿宋" w:cs="仿宋"/>
          <w:color w:val="auto"/>
          <w:highlight w:val="none"/>
        </w:rPr>
      </w:pPr>
    </w:p>
    <w:p w14:paraId="64CE54B1">
      <w:pPr>
        <w:pStyle w:val="4"/>
        <w:rPr>
          <w:rFonts w:hint="eastAsia" w:ascii="仿宋" w:hAnsi="仿宋" w:eastAsia="仿宋" w:cs="仿宋"/>
          <w:b/>
          <w:color w:val="auto"/>
          <w:highlight w:val="none"/>
        </w:rPr>
      </w:pPr>
    </w:p>
    <w:p w14:paraId="56688C37">
      <w:pPr>
        <w:rPr>
          <w:rFonts w:hint="eastAsia" w:ascii="仿宋" w:hAnsi="仿宋" w:eastAsia="仿宋" w:cs="仿宋"/>
          <w:b/>
          <w:color w:val="auto"/>
          <w:kern w:val="0"/>
          <w:sz w:val="24"/>
          <w:szCs w:val="20"/>
          <w:highlight w:val="none"/>
        </w:rPr>
      </w:pPr>
    </w:p>
    <w:p w14:paraId="379BE99D">
      <w:pPr>
        <w:pStyle w:val="4"/>
        <w:rPr>
          <w:rFonts w:hint="eastAsia" w:ascii="仿宋" w:hAnsi="仿宋" w:eastAsia="仿宋" w:cs="仿宋"/>
          <w:b/>
          <w:color w:val="auto"/>
          <w:highlight w:val="none"/>
        </w:rPr>
      </w:pPr>
    </w:p>
    <w:p w14:paraId="3287B5A8">
      <w:pPr>
        <w:rPr>
          <w:rFonts w:hint="eastAsia" w:ascii="仿宋" w:hAnsi="仿宋" w:eastAsia="仿宋" w:cs="仿宋"/>
          <w:b/>
          <w:color w:val="auto"/>
          <w:kern w:val="0"/>
          <w:sz w:val="24"/>
          <w:szCs w:val="20"/>
          <w:highlight w:val="none"/>
        </w:rPr>
      </w:pPr>
    </w:p>
    <w:p w14:paraId="319F8670">
      <w:pPr>
        <w:pStyle w:val="4"/>
        <w:rPr>
          <w:rFonts w:hint="eastAsia" w:ascii="仿宋" w:hAnsi="仿宋" w:eastAsia="仿宋" w:cs="仿宋"/>
          <w:b/>
          <w:color w:val="auto"/>
          <w:highlight w:val="none"/>
        </w:rPr>
      </w:pPr>
    </w:p>
    <w:p w14:paraId="07BC8998">
      <w:pPr>
        <w:rPr>
          <w:rFonts w:hint="eastAsia" w:ascii="仿宋" w:hAnsi="仿宋" w:eastAsia="仿宋" w:cs="仿宋"/>
          <w:color w:val="auto"/>
          <w:highlight w:val="none"/>
        </w:rPr>
      </w:pPr>
    </w:p>
    <w:p w14:paraId="4DA12C94">
      <w:pPr>
        <w:spacing w:line="240" w:lineRule="atLeast"/>
        <w:ind w:left="1080" w:leftChars="257" w:hanging="540"/>
        <w:jc w:val="center"/>
        <w:rPr>
          <w:rFonts w:hint="eastAsia" w:ascii="仿宋" w:hAnsi="仿宋" w:eastAsia="仿宋" w:cs="仿宋"/>
          <w:b/>
          <w:color w:val="auto"/>
          <w:kern w:val="0"/>
          <w:sz w:val="24"/>
          <w:szCs w:val="20"/>
          <w:highlight w:val="none"/>
        </w:rPr>
      </w:pPr>
    </w:p>
    <w:p w14:paraId="5F46888F">
      <w:pPr>
        <w:pStyle w:val="4"/>
        <w:rPr>
          <w:rFonts w:hint="eastAsia" w:ascii="仿宋" w:hAnsi="仿宋" w:eastAsia="仿宋" w:cs="仿宋"/>
          <w:b/>
          <w:color w:val="auto"/>
          <w:highlight w:val="none"/>
        </w:rPr>
      </w:pPr>
    </w:p>
    <w:p w14:paraId="4B745BC0">
      <w:pPr>
        <w:rPr>
          <w:rFonts w:hint="eastAsia" w:ascii="仿宋" w:hAnsi="仿宋" w:eastAsia="仿宋" w:cs="仿宋"/>
          <w:b/>
          <w:color w:val="auto"/>
          <w:kern w:val="0"/>
          <w:sz w:val="24"/>
          <w:szCs w:val="20"/>
          <w:highlight w:val="none"/>
        </w:rPr>
      </w:pPr>
    </w:p>
    <w:p w14:paraId="4BF5E56B">
      <w:pPr>
        <w:pStyle w:val="4"/>
        <w:rPr>
          <w:rFonts w:hint="eastAsia" w:ascii="仿宋" w:hAnsi="仿宋" w:eastAsia="仿宋" w:cs="仿宋"/>
          <w:color w:val="auto"/>
          <w:highlight w:val="none"/>
        </w:rPr>
      </w:pPr>
    </w:p>
    <w:p w14:paraId="173E16F3">
      <w:pPr>
        <w:rPr>
          <w:rFonts w:hint="eastAsia" w:ascii="仿宋" w:hAnsi="仿宋" w:eastAsia="仿宋" w:cs="仿宋"/>
          <w:color w:val="auto"/>
          <w:highlight w:val="none"/>
        </w:rPr>
      </w:pPr>
    </w:p>
    <w:p w14:paraId="3067F7E1">
      <w:pPr>
        <w:rPr>
          <w:rFonts w:hint="eastAsia" w:ascii="仿宋" w:hAnsi="仿宋" w:eastAsia="仿宋" w:cs="仿宋"/>
          <w:color w:val="auto"/>
          <w:highlight w:val="none"/>
        </w:rPr>
      </w:pPr>
    </w:p>
    <w:p w14:paraId="49BC4B1E">
      <w:pPr>
        <w:rPr>
          <w:rFonts w:hint="eastAsia" w:ascii="仿宋" w:hAnsi="仿宋" w:eastAsia="仿宋" w:cs="仿宋"/>
          <w:color w:val="auto"/>
          <w:highlight w:val="none"/>
        </w:rPr>
      </w:pPr>
    </w:p>
    <w:p w14:paraId="784A353A">
      <w:pPr>
        <w:rPr>
          <w:rFonts w:hint="eastAsia" w:ascii="仿宋" w:hAnsi="仿宋" w:eastAsia="仿宋" w:cs="仿宋"/>
          <w:color w:val="auto"/>
          <w:highlight w:val="none"/>
        </w:rPr>
      </w:pPr>
    </w:p>
    <w:p w14:paraId="12CABCFD">
      <w:pPr>
        <w:rPr>
          <w:rFonts w:hint="eastAsia" w:ascii="仿宋" w:hAnsi="仿宋" w:eastAsia="仿宋" w:cs="仿宋"/>
          <w:color w:val="auto"/>
          <w:sz w:val="24"/>
          <w:highlight w:val="none"/>
        </w:rPr>
      </w:pPr>
    </w:p>
    <w:p w14:paraId="4FEE1FD7">
      <w:pPr>
        <w:pStyle w:val="4"/>
        <w:rPr>
          <w:rFonts w:hint="eastAsia" w:ascii="仿宋" w:hAnsi="仿宋" w:eastAsia="仿宋" w:cs="仿宋"/>
          <w:color w:val="auto"/>
          <w:highlight w:val="none"/>
        </w:rPr>
      </w:pPr>
    </w:p>
    <w:p w14:paraId="0549B163">
      <w:pPr>
        <w:rPr>
          <w:rFonts w:hint="eastAsia" w:ascii="仿宋" w:hAnsi="仿宋" w:eastAsia="仿宋" w:cs="仿宋"/>
          <w:color w:val="auto"/>
          <w:sz w:val="24"/>
          <w:highlight w:val="none"/>
        </w:rPr>
      </w:pPr>
    </w:p>
    <w:p w14:paraId="21E536C8">
      <w:pPr>
        <w:pStyle w:val="4"/>
        <w:rPr>
          <w:rFonts w:hint="eastAsia" w:ascii="仿宋" w:hAnsi="仿宋" w:eastAsia="仿宋" w:cs="仿宋"/>
          <w:color w:val="auto"/>
          <w:highlight w:val="none"/>
        </w:rPr>
      </w:pPr>
    </w:p>
    <w:p w14:paraId="6F983379">
      <w:pPr>
        <w:rPr>
          <w:rFonts w:hint="eastAsia" w:ascii="仿宋" w:hAnsi="仿宋" w:eastAsia="仿宋" w:cs="仿宋"/>
          <w:color w:val="auto"/>
          <w:sz w:val="24"/>
          <w:highlight w:val="none"/>
        </w:rPr>
      </w:pPr>
    </w:p>
    <w:p w14:paraId="53E7419C">
      <w:pPr>
        <w:pStyle w:val="4"/>
        <w:rPr>
          <w:rFonts w:hint="eastAsia" w:ascii="仿宋" w:hAnsi="仿宋" w:eastAsia="仿宋" w:cs="仿宋"/>
          <w:color w:val="auto"/>
          <w:highlight w:val="none"/>
        </w:rPr>
      </w:pPr>
    </w:p>
    <w:p w14:paraId="18E48756">
      <w:pPr>
        <w:pStyle w:val="5"/>
        <w:rPr>
          <w:rFonts w:hint="eastAsia" w:ascii="仿宋" w:hAnsi="仿宋" w:eastAsia="仿宋" w:cs="仿宋"/>
          <w:color w:val="auto"/>
          <w:highlight w:val="none"/>
        </w:rPr>
      </w:pPr>
    </w:p>
    <w:p w14:paraId="3F917EAD">
      <w:pPr>
        <w:rPr>
          <w:rFonts w:hint="eastAsia"/>
        </w:rPr>
      </w:pPr>
    </w:p>
    <w:p w14:paraId="2AF13B95">
      <w:pPr>
        <w:pStyle w:val="7"/>
        <w:spacing w:before="0" w:line="240" w:lineRule="atLeast"/>
        <w:jc w:val="center"/>
        <w:rPr>
          <w:rFonts w:hint="eastAsia" w:ascii="仿宋" w:hAnsi="仿宋" w:eastAsia="仿宋" w:cs="仿宋"/>
          <w:color w:val="auto"/>
          <w:sz w:val="28"/>
          <w:szCs w:val="28"/>
          <w:highlight w:val="none"/>
        </w:rPr>
      </w:pPr>
      <w:bookmarkStart w:id="1044" w:name="_Toc19677"/>
      <w:bookmarkStart w:id="1045" w:name="_Toc22115"/>
      <w:bookmarkStart w:id="1046" w:name="_Toc15435"/>
      <w:bookmarkStart w:id="1047" w:name="_Toc30013"/>
      <w:bookmarkStart w:id="1048" w:name="_Toc4841"/>
      <w:bookmarkStart w:id="1049" w:name="_Toc6743"/>
      <w:bookmarkStart w:id="1050" w:name="_Toc4413"/>
      <w:r>
        <w:rPr>
          <w:rFonts w:hint="eastAsia" w:ascii="仿宋" w:hAnsi="仿宋" w:eastAsia="仿宋" w:cs="仿宋"/>
          <w:color w:val="auto"/>
          <w:sz w:val="28"/>
          <w:szCs w:val="28"/>
          <w:highlight w:val="none"/>
        </w:rPr>
        <w:t>8   投标人关联单位的说明</w:t>
      </w:r>
      <w:bookmarkEnd w:id="996"/>
      <w:bookmarkEnd w:id="997"/>
      <w:bookmarkEnd w:id="998"/>
      <w:bookmarkEnd w:id="1044"/>
      <w:bookmarkEnd w:id="1045"/>
      <w:bookmarkEnd w:id="1046"/>
      <w:bookmarkEnd w:id="1047"/>
      <w:bookmarkEnd w:id="1048"/>
      <w:bookmarkEnd w:id="1049"/>
      <w:bookmarkEnd w:id="1050"/>
    </w:p>
    <w:p w14:paraId="6523DC8E">
      <w:pPr>
        <w:pStyle w:val="4"/>
        <w:jc w:val="center"/>
        <w:rPr>
          <w:rFonts w:hint="eastAsia" w:ascii="仿宋" w:hAnsi="仿宋" w:eastAsia="仿宋" w:cs="仿宋"/>
          <w:color w:val="auto"/>
          <w:highlight w:val="none"/>
        </w:rPr>
      </w:pPr>
    </w:p>
    <w:p w14:paraId="0984468E">
      <w:pPr>
        <w:pStyle w:val="4"/>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说明：投标人应当如实披露与本单位存在下列关联关系的单位名称：</w:t>
      </w:r>
    </w:p>
    <w:p w14:paraId="0EA00872">
      <w:pPr>
        <w:pStyle w:val="4"/>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（1）与投标人单位负责人为同一人的其他单位；</w:t>
      </w:r>
    </w:p>
    <w:p w14:paraId="73FA1904">
      <w:pPr>
        <w:pStyle w:val="4"/>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（2）与投标人存在直接控股、管理关系的其他单位。</w:t>
      </w:r>
    </w:p>
    <w:p w14:paraId="39AB2A64">
      <w:pPr>
        <w:pStyle w:val="4"/>
        <w:ind w:firstLine="0"/>
        <w:rPr>
          <w:rFonts w:hint="eastAsia" w:ascii="仿宋" w:hAnsi="仿宋" w:eastAsia="仿宋" w:cs="仿宋"/>
          <w:color w:val="auto"/>
          <w:highlight w:val="none"/>
        </w:rPr>
      </w:pPr>
      <w:bookmarkStart w:id="1051" w:name="_Toc515647828"/>
      <w:bookmarkStart w:id="1052" w:name="_Toc17333"/>
      <w:bookmarkStart w:id="1053" w:name="_Toc7414"/>
    </w:p>
    <w:p w14:paraId="41F89E0F">
      <w:pPr>
        <w:rPr>
          <w:rFonts w:hint="eastAsia" w:ascii="仿宋" w:hAnsi="仿宋" w:eastAsia="仿宋" w:cs="仿宋"/>
          <w:color w:val="auto"/>
          <w:highlight w:val="none"/>
        </w:rPr>
      </w:pPr>
    </w:p>
    <w:p w14:paraId="1B35BF6D">
      <w:pPr>
        <w:pStyle w:val="4"/>
        <w:rPr>
          <w:rFonts w:hint="eastAsia" w:ascii="仿宋" w:hAnsi="仿宋" w:eastAsia="仿宋" w:cs="仿宋"/>
          <w:color w:val="auto"/>
          <w:highlight w:val="none"/>
        </w:rPr>
      </w:pPr>
    </w:p>
    <w:p w14:paraId="70A5399C">
      <w:pPr>
        <w:rPr>
          <w:rFonts w:hint="eastAsia" w:ascii="仿宋" w:hAnsi="仿宋" w:eastAsia="仿宋" w:cs="仿宋"/>
          <w:color w:val="auto"/>
          <w:highlight w:val="none"/>
        </w:rPr>
      </w:pPr>
    </w:p>
    <w:p w14:paraId="16ABC42B">
      <w:pPr>
        <w:pStyle w:val="4"/>
        <w:rPr>
          <w:rFonts w:hint="eastAsia" w:ascii="仿宋" w:hAnsi="仿宋" w:eastAsia="仿宋" w:cs="仿宋"/>
          <w:color w:val="auto"/>
          <w:highlight w:val="none"/>
        </w:rPr>
      </w:pPr>
    </w:p>
    <w:p w14:paraId="3EDB1C3B">
      <w:pPr>
        <w:rPr>
          <w:rFonts w:hint="eastAsia" w:ascii="仿宋" w:hAnsi="仿宋" w:eastAsia="仿宋" w:cs="仿宋"/>
          <w:color w:val="auto"/>
          <w:highlight w:val="none"/>
        </w:rPr>
      </w:pPr>
    </w:p>
    <w:p w14:paraId="3086A8BE">
      <w:pPr>
        <w:pStyle w:val="4"/>
        <w:rPr>
          <w:rFonts w:hint="eastAsia" w:ascii="仿宋" w:hAnsi="仿宋" w:eastAsia="仿宋" w:cs="仿宋"/>
          <w:color w:val="auto"/>
          <w:highlight w:val="none"/>
        </w:rPr>
      </w:pPr>
    </w:p>
    <w:p w14:paraId="43F4144D">
      <w:pPr>
        <w:rPr>
          <w:rFonts w:hint="eastAsia" w:ascii="仿宋" w:hAnsi="仿宋" w:eastAsia="仿宋" w:cs="仿宋"/>
          <w:color w:val="auto"/>
          <w:highlight w:val="none"/>
        </w:rPr>
      </w:pPr>
    </w:p>
    <w:p w14:paraId="6632080D">
      <w:pPr>
        <w:rPr>
          <w:rFonts w:hint="eastAsia" w:ascii="仿宋" w:hAnsi="仿宋" w:eastAsia="仿宋" w:cs="仿宋"/>
          <w:color w:val="auto"/>
          <w:highlight w:val="none"/>
        </w:rPr>
      </w:pPr>
    </w:p>
    <w:p w14:paraId="0DAC9C9D">
      <w:pPr>
        <w:pStyle w:val="4"/>
        <w:rPr>
          <w:rFonts w:hint="eastAsia" w:ascii="仿宋" w:hAnsi="仿宋" w:eastAsia="仿宋" w:cs="仿宋"/>
          <w:color w:val="auto"/>
          <w:highlight w:val="none"/>
        </w:rPr>
      </w:pPr>
    </w:p>
    <w:p w14:paraId="4709A059">
      <w:pPr>
        <w:rPr>
          <w:rFonts w:hint="eastAsia" w:ascii="仿宋" w:hAnsi="仿宋" w:eastAsia="仿宋" w:cs="仿宋"/>
          <w:color w:val="auto"/>
          <w:highlight w:val="none"/>
        </w:rPr>
      </w:pPr>
    </w:p>
    <w:p w14:paraId="2CD310C8">
      <w:pPr>
        <w:pStyle w:val="4"/>
        <w:ind w:firstLine="0"/>
        <w:rPr>
          <w:rFonts w:hint="eastAsia" w:ascii="仿宋" w:hAnsi="仿宋" w:eastAsia="仿宋" w:cs="仿宋"/>
          <w:color w:val="auto"/>
          <w:highlight w:val="none"/>
        </w:rPr>
      </w:pPr>
    </w:p>
    <w:p w14:paraId="7049914E">
      <w:pPr>
        <w:pStyle w:val="7"/>
        <w:spacing w:before="0" w:line="240" w:lineRule="atLeast"/>
        <w:jc w:val="center"/>
        <w:rPr>
          <w:rFonts w:hint="eastAsia" w:ascii="仿宋" w:hAnsi="仿宋" w:eastAsia="仿宋" w:cs="仿宋"/>
          <w:b/>
          <w:bCs/>
          <w:sz w:val="32"/>
          <w:szCs w:val="32"/>
          <w:lang w:val="en-US" w:eastAsia="zh-CN"/>
        </w:rPr>
      </w:pPr>
      <w:bookmarkStart w:id="1054" w:name="_Toc9062"/>
      <w:bookmarkStart w:id="1055" w:name="_Toc17526"/>
      <w:bookmarkStart w:id="1056" w:name="_Toc14234"/>
      <w:bookmarkStart w:id="1057" w:name="_Toc31808"/>
      <w:bookmarkStart w:id="1058" w:name="_Toc17868"/>
      <w:bookmarkStart w:id="1059" w:name="_Toc29083"/>
      <w:bookmarkStart w:id="1060" w:name="_Toc19039"/>
      <w:r>
        <w:rPr>
          <w:rFonts w:hint="eastAsia" w:ascii="仿宋" w:hAnsi="仿宋" w:eastAsia="仿宋" w:cs="仿宋"/>
          <w:color w:val="auto"/>
          <w:sz w:val="28"/>
          <w:szCs w:val="28"/>
          <w:highlight w:val="none"/>
        </w:rPr>
        <w:t>9   投标文件还应包括投标人须知里的所有技术文件</w:t>
      </w:r>
      <w:bookmarkEnd w:id="1051"/>
      <w:bookmarkEnd w:id="1052"/>
      <w:bookmarkEnd w:id="1053"/>
      <w:bookmarkEnd w:id="1054"/>
      <w:bookmarkEnd w:id="1055"/>
      <w:bookmarkEnd w:id="1056"/>
      <w:bookmarkEnd w:id="1057"/>
      <w:bookmarkEnd w:id="1058"/>
      <w:bookmarkEnd w:id="1059"/>
      <w:bookmarkEnd w:id="1060"/>
    </w:p>
    <w:sectPr>
      <w:headerReference r:id="rId8" w:type="default"/>
      <w:footerReference r:id="rId9" w:type="default"/>
      <w:pgSz w:w="11905" w:h="16838"/>
      <w:pgMar w:top="1440" w:right="1083" w:bottom="1440" w:left="1083"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C376">
    <w:pPr>
      <w:pStyle w:val="16"/>
      <w:jc w:val="center"/>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BB508C">
                          <w:pPr>
                            <w:pStyle w:val="16"/>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7BB508C">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849EF">
    <w:pPr>
      <w:pStyle w:val="16"/>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9D852A">
                          <w:pPr>
                            <w:pStyle w:val="16"/>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14:paraId="5C9D852A">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18E3F">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4F7FA">
                          <w:pPr>
                            <w:pStyle w:val="16"/>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0EB4F7FA">
                    <w:pPr>
                      <w:pStyle w:val="16"/>
                    </w:pPr>
                    <w:r>
                      <w:fldChar w:fldCharType="begin"/>
                    </w:r>
                    <w:r>
                      <w:instrText xml:space="preserve"> PAGE  \* MERGEFORMAT </w:instrText>
                    </w:r>
                    <w:r>
                      <w:fldChar w:fldCharType="separate"/>
                    </w:r>
                    <w:r>
                      <w:t>28</w:t>
                    </w:r>
                    <w:r>
                      <w:fldChar w:fldCharType="end"/>
                    </w:r>
                  </w:p>
                </w:txbxContent>
              </v:textbox>
            </v:shape>
          </w:pict>
        </mc:Fallback>
      </mc:AlternateContent>
    </w:r>
  </w:p>
  <w:p w14:paraId="3A7C3D21">
    <w:pPr>
      <w:pStyle w:val="16"/>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6FBC">
    <w:pPr>
      <w:pStyle w:val="16"/>
      <w:jc w:val="center"/>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F75D1D">
                          <w:pPr>
                            <w:pStyle w:val="16"/>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F75D1D">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0D8B">
    <w:pPr>
      <w:pStyle w:val="1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B9B1">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6454">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11CCF"/>
    <w:multiLevelType w:val="singleLevel"/>
    <w:tmpl w:val="97311CCF"/>
    <w:lvl w:ilvl="0" w:tentative="0">
      <w:start w:val="2"/>
      <w:numFmt w:val="decimal"/>
      <w:suff w:val="nothing"/>
      <w:lvlText w:val="%1、"/>
      <w:lvlJc w:val="left"/>
    </w:lvl>
  </w:abstractNum>
  <w:abstractNum w:abstractNumId="1">
    <w:nsid w:val="9AA19017"/>
    <w:multiLevelType w:val="singleLevel"/>
    <w:tmpl w:val="9AA19017"/>
    <w:lvl w:ilvl="0" w:tentative="0">
      <w:start w:val="1"/>
      <w:numFmt w:val="chineseCounting"/>
      <w:suff w:val="space"/>
      <w:lvlText w:val="第%1部分"/>
      <w:lvlJc w:val="left"/>
      <w:rPr>
        <w:rFonts w:hint="eastAsia" w:ascii="仿宋" w:hAnsi="仿宋" w:eastAsia="仿宋" w:cs="仿宋"/>
        <w:sz w:val="28"/>
        <w:szCs w:val="28"/>
      </w:rPr>
    </w:lvl>
  </w:abstractNum>
  <w:abstractNum w:abstractNumId="2">
    <w:nsid w:val="BA667768"/>
    <w:multiLevelType w:val="singleLevel"/>
    <w:tmpl w:val="BA667768"/>
    <w:lvl w:ilvl="0" w:tentative="0">
      <w:start w:val="6"/>
      <w:numFmt w:val="chineseCounting"/>
      <w:suff w:val="nothing"/>
      <w:lvlText w:val="%1、"/>
      <w:lvlJc w:val="left"/>
      <w:rPr>
        <w:rFonts w:hint="eastAsia"/>
        <w:b/>
        <w:bCs/>
      </w:rPr>
    </w:lvl>
  </w:abstractNum>
  <w:abstractNum w:abstractNumId="3">
    <w:nsid w:val="C5B0A20D"/>
    <w:multiLevelType w:val="singleLevel"/>
    <w:tmpl w:val="C5B0A20D"/>
    <w:lvl w:ilvl="0" w:tentative="0">
      <w:start w:val="1"/>
      <w:numFmt w:val="decimal"/>
      <w:suff w:val="nothing"/>
      <w:lvlText w:val="（%1）"/>
      <w:lvlJc w:val="left"/>
      <w:pPr>
        <w:ind w:left="-50"/>
      </w:pPr>
    </w:lvl>
  </w:abstractNum>
  <w:abstractNum w:abstractNumId="4">
    <w:nsid w:val="F0315B56"/>
    <w:multiLevelType w:val="singleLevel"/>
    <w:tmpl w:val="F0315B56"/>
    <w:lvl w:ilvl="0" w:tentative="0">
      <w:start w:val="2"/>
      <w:numFmt w:val="chineseCounting"/>
      <w:suff w:val="nothing"/>
      <w:lvlText w:val="（%1）"/>
      <w:lvlJc w:val="left"/>
      <w:rPr>
        <w:rFonts w:hint="eastAsia"/>
      </w:rPr>
    </w:lvl>
  </w:abstractNum>
  <w:abstractNum w:abstractNumId="5">
    <w:nsid w:val="06EC030F"/>
    <w:multiLevelType w:val="singleLevel"/>
    <w:tmpl w:val="06EC030F"/>
    <w:lvl w:ilvl="0" w:tentative="0">
      <w:start w:val="1"/>
      <w:numFmt w:val="decimal"/>
      <w:pStyle w:val="19"/>
      <w:lvlText w:val="%1."/>
      <w:lvlJc w:val="left"/>
      <w:pPr>
        <w:tabs>
          <w:tab w:val="left" w:pos="2040"/>
        </w:tabs>
        <w:ind w:left="2040" w:hanging="360"/>
      </w:pPr>
    </w:lvl>
  </w:abstractNum>
  <w:abstractNum w:abstractNumId="6">
    <w:nsid w:val="0EF77022"/>
    <w:multiLevelType w:val="singleLevel"/>
    <w:tmpl w:val="0EF77022"/>
    <w:lvl w:ilvl="0" w:tentative="0">
      <w:start w:val="4"/>
      <w:numFmt w:val="chineseCounting"/>
      <w:suff w:val="space"/>
      <w:lvlText w:val="第%1章"/>
      <w:lvlJc w:val="left"/>
      <w:rPr>
        <w:rFonts w:hint="eastAsia"/>
      </w:rPr>
    </w:lvl>
  </w:abstractNum>
  <w:abstractNum w:abstractNumId="7">
    <w:nsid w:val="312F75E9"/>
    <w:multiLevelType w:val="singleLevel"/>
    <w:tmpl w:val="312F75E9"/>
    <w:lvl w:ilvl="0" w:tentative="0">
      <w:start w:val="1"/>
      <w:numFmt w:val="decimal"/>
      <w:suff w:val="nothing"/>
      <w:lvlText w:val="%1、"/>
      <w:lvlJc w:val="left"/>
    </w:lvl>
  </w:abstractNum>
  <w:abstractNum w:abstractNumId="8">
    <w:nsid w:val="3531AF71"/>
    <w:multiLevelType w:val="singleLevel"/>
    <w:tmpl w:val="3531AF71"/>
    <w:lvl w:ilvl="0" w:tentative="0">
      <w:start w:val="1"/>
      <w:numFmt w:val="decimal"/>
      <w:suff w:val="nothing"/>
      <w:lvlText w:val="（%1）"/>
      <w:lvlJc w:val="left"/>
    </w:lvl>
  </w:abstractNum>
  <w:abstractNum w:abstractNumId="9">
    <w:nsid w:val="377D9FDF"/>
    <w:multiLevelType w:val="singleLevel"/>
    <w:tmpl w:val="377D9FDF"/>
    <w:lvl w:ilvl="0" w:tentative="0">
      <w:start w:val="1"/>
      <w:numFmt w:val="decimal"/>
      <w:suff w:val="nothing"/>
      <w:lvlText w:val="（%1）"/>
      <w:lvlJc w:val="left"/>
    </w:lvl>
  </w:abstractNum>
  <w:abstractNum w:abstractNumId="10">
    <w:nsid w:val="40D25452"/>
    <w:multiLevelType w:val="singleLevel"/>
    <w:tmpl w:val="40D25452"/>
    <w:lvl w:ilvl="0" w:tentative="0">
      <w:start w:val="8"/>
      <w:numFmt w:val="decimal"/>
      <w:suff w:val="nothing"/>
      <w:lvlText w:val="%1、"/>
      <w:lvlJc w:val="left"/>
      <w:pPr>
        <w:ind w:left="479" w:leftChars="0" w:firstLine="0" w:firstLineChars="0"/>
      </w:pPr>
    </w:lvl>
  </w:abstractNum>
  <w:abstractNum w:abstractNumId="11">
    <w:nsid w:val="4788AFEC"/>
    <w:multiLevelType w:val="singleLevel"/>
    <w:tmpl w:val="4788AFEC"/>
    <w:lvl w:ilvl="0" w:tentative="0">
      <w:start w:val="9"/>
      <w:numFmt w:val="chineseCounting"/>
      <w:suff w:val="nothing"/>
      <w:lvlText w:val="（%1）"/>
      <w:lvlJc w:val="left"/>
      <w:rPr>
        <w:rFonts w:hint="eastAsia"/>
      </w:rPr>
    </w:lvl>
  </w:abstractNum>
  <w:abstractNum w:abstractNumId="12">
    <w:nsid w:val="59EABB6D"/>
    <w:multiLevelType w:val="singleLevel"/>
    <w:tmpl w:val="59EABB6D"/>
    <w:lvl w:ilvl="0" w:tentative="0">
      <w:start w:val="1"/>
      <w:numFmt w:val="decimal"/>
      <w:pStyle w:val="11"/>
      <w:lvlText w:val="%1."/>
      <w:lvlJc w:val="left"/>
      <w:pPr>
        <w:tabs>
          <w:tab w:val="left" w:pos="360"/>
        </w:tabs>
        <w:ind w:left="360" w:hanging="360"/>
      </w:pPr>
    </w:lvl>
  </w:abstractNum>
  <w:abstractNum w:abstractNumId="13">
    <w:nsid w:val="74FD8C84"/>
    <w:multiLevelType w:val="singleLevel"/>
    <w:tmpl w:val="74FD8C84"/>
    <w:lvl w:ilvl="0" w:tentative="0">
      <w:start w:val="1"/>
      <w:numFmt w:val="decimal"/>
      <w:lvlText w:val="%1."/>
      <w:lvlJc w:val="left"/>
      <w:pPr>
        <w:tabs>
          <w:tab w:val="left" w:pos="312"/>
        </w:tabs>
      </w:pPr>
    </w:lvl>
  </w:abstractNum>
  <w:num w:numId="1">
    <w:abstractNumId w:val="12"/>
  </w:num>
  <w:num w:numId="2">
    <w:abstractNumId w:val="5"/>
  </w:num>
  <w:num w:numId="3">
    <w:abstractNumId w:val="2"/>
  </w:num>
  <w:num w:numId="4">
    <w:abstractNumId w:val="7"/>
  </w:num>
  <w:num w:numId="5">
    <w:abstractNumId w:val="0"/>
  </w:num>
  <w:num w:numId="6">
    <w:abstractNumId w:val="8"/>
  </w:num>
  <w:num w:numId="7">
    <w:abstractNumId w:val="13"/>
  </w:num>
  <w:num w:numId="8">
    <w:abstractNumId w:val="3"/>
  </w:num>
  <w:num w:numId="9">
    <w:abstractNumId w:val="6"/>
  </w:num>
  <w:num w:numId="10">
    <w:abstractNumId w:val="4"/>
  </w:num>
  <w:num w:numId="11">
    <w:abstractNumId w:val="11"/>
  </w:num>
  <w:num w:numId="12">
    <w:abstractNumId w:val="1"/>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NWEyOGU3M2JhMzZlMGY0M2IyYmY3NDRlZWNkM2QifQ=="/>
  </w:docVars>
  <w:rsids>
    <w:rsidRoot w:val="00172A27"/>
    <w:rsid w:val="012C1B37"/>
    <w:rsid w:val="0319633B"/>
    <w:rsid w:val="068538DA"/>
    <w:rsid w:val="0AF564CF"/>
    <w:rsid w:val="0B17375E"/>
    <w:rsid w:val="0B27509D"/>
    <w:rsid w:val="0BBF2770"/>
    <w:rsid w:val="0BBF5B27"/>
    <w:rsid w:val="0DAD3917"/>
    <w:rsid w:val="0DD91A15"/>
    <w:rsid w:val="0E4E1184"/>
    <w:rsid w:val="1D637BFC"/>
    <w:rsid w:val="213C30FB"/>
    <w:rsid w:val="234E51BC"/>
    <w:rsid w:val="23546593"/>
    <w:rsid w:val="293629CF"/>
    <w:rsid w:val="2BA45B46"/>
    <w:rsid w:val="2BB9422A"/>
    <w:rsid w:val="2C181EB9"/>
    <w:rsid w:val="2FF01551"/>
    <w:rsid w:val="30166F7D"/>
    <w:rsid w:val="30C732E8"/>
    <w:rsid w:val="334E66C5"/>
    <w:rsid w:val="33B17655"/>
    <w:rsid w:val="347D26E5"/>
    <w:rsid w:val="36D46585"/>
    <w:rsid w:val="3C3D296A"/>
    <w:rsid w:val="3E543D2C"/>
    <w:rsid w:val="43F54121"/>
    <w:rsid w:val="471F3702"/>
    <w:rsid w:val="4A8F401D"/>
    <w:rsid w:val="4B505E3C"/>
    <w:rsid w:val="4BF8512B"/>
    <w:rsid w:val="4D2B2B34"/>
    <w:rsid w:val="4EBA7D0F"/>
    <w:rsid w:val="4EE45FAA"/>
    <w:rsid w:val="540E5C66"/>
    <w:rsid w:val="5906686D"/>
    <w:rsid w:val="5AC82FEA"/>
    <w:rsid w:val="5B627C21"/>
    <w:rsid w:val="62833E9E"/>
    <w:rsid w:val="63923C8E"/>
    <w:rsid w:val="65E82994"/>
    <w:rsid w:val="66897250"/>
    <w:rsid w:val="6B174A0D"/>
    <w:rsid w:val="6B2E2815"/>
    <w:rsid w:val="6B542349"/>
    <w:rsid w:val="6E782031"/>
    <w:rsid w:val="6EFF6A1E"/>
    <w:rsid w:val="75C35B6D"/>
    <w:rsid w:val="773508D9"/>
    <w:rsid w:val="77836F25"/>
    <w:rsid w:val="79194C62"/>
    <w:rsid w:val="7A204959"/>
    <w:rsid w:val="7C1C1DF3"/>
    <w:rsid w:val="7E2C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55"/>
    <w:qFormat/>
    <w:uiPriority w:val="0"/>
    <w:pPr>
      <w:keepNext/>
      <w:keepLines/>
      <w:pageBreakBefore/>
      <w:ind w:firstLine="0" w:firstLineChars="0"/>
      <w:jc w:val="center"/>
      <w:outlineLvl w:val="0"/>
    </w:pPr>
    <w:rPr>
      <w:b/>
      <w:bCs/>
      <w:kern w:val="44"/>
      <w:sz w:val="32"/>
      <w:szCs w:val="44"/>
    </w:rPr>
  </w:style>
  <w:style w:type="paragraph" w:styleId="7">
    <w:name w:val="heading 2"/>
    <w:basedOn w:val="1"/>
    <w:next w:val="1"/>
    <w:qFormat/>
    <w:uiPriority w:val="0"/>
    <w:pPr>
      <w:keepNext/>
      <w:keepLines/>
      <w:spacing w:before="260" w:after="260" w:line="800" w:lineRule="exact"/>
      <w:jc w:val="center"/>
      <w:outlineLvl w:val="1"/>
    </w:pPr>
    <w:rPr>
      <w:b/>
      <w:bCs/>
      <w:sz w:val="30"/>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keepNext/>
      <w:keepLines/>
      <w:spacing w:after="290"/>
      <w:ind w:firstLine="0" w:firstLineChars="0"/>
      <w:outlineLvl w:val="3"/>
    </w:pPr>
    <w:rPr>
      <w:rFonts w:ascii="Arial" w:hAnsi="Arial"/>
      <w:b/>
      <w:bCs/>
      <w:szCs w:val="28"/>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szCs w:val="24"/>
    </w:rPr>
  </w:style>
  <w:style w:type="paragraph" w:styleId="3">
    <w:name w:val="Body Text Indent"/>
    <w:basedOn w:val="1"/>
    <w:next w:val="1"/>
    <w:qFormat/>
    <w:uiPriority w:val="0"/>
    <w:pPr>
      <w:spacing w:line="360" w:lineRule="auto"/>
      <w:ind w:firstLine="570"/>
    </w:pPr>
    <w:rPr>
      <w:sz w:val="24"/>
    </w:rPr>
  </w:style>
  <w:style w:type="paragraph" w:styleId="4">
    <w:name w:val="Normal Indent"/>
    <w:basedOn w:val="1"/>
    <w:next w:val="5"/>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ind w:firstLine="3584"/>
    </w:pPr>
  </w:style>
  <w:style w:type="paragraph" w:styleId="10">
    <w:name w:val="table of authorities"/>
    <w:basedOn w:val="1"/>
    <w:next w:val="1"/>
    <w:unhideWhenUsed/>
    <w:qFormat/>
    <w:uiPriority w:val="99"/>
    <w:pPr>
      <w:ind w:left="420" w:leftChars="200"/>
    </w:pPr>
  </w:style>
  <w:style w:type="paragraph" w:styleId="11">
    <w:name w:val="List Number"/>
    <w:basedOn w:val="1"/>
    <w:qFormat/>
    <w:uiPriority w:val="0"/>
    <w:pPr>
      <w:numPr>
        <w:ilvl w:val="0"/>
        <w:numId w:val="1"/>
      </w:numPr>
    </w:pPr>
  </w:style>
  <w:style w:type="paragraph" w:styleId="12">
    <w:name w:val="Body Text 3"/>
    <w:basedOn w:val="1"/>
    <w:next w:val="1"/>
    <w:qFormat/>
    <w:uiPriority w:val="0"/>
    <w:pPr>
      <w:spacing w:line="440" w:lineRule="exact"/>
    </w:pPr>
    <w:rPr>
      <w:color w:val="000000"/>
      <w:kern w:val="2"/>
      <w:sz w:val="21"/>
      <w:szCs w:val="20"/>
    </w:rPr>
  </w:style>
  <w:style w:type="paragraph" w:styleId="13">
    <w:name w:val="Body Text"/>
    <w:basedOn w:val="1"/>
    <w:next w:val="14"/>
    <w:qFormat/>
    <w:uiPriority w:val="99"/>
    <w:pPr>
      <w:tabs>
        <w:tab w:val="left" w:pos="567"/>
      </w:tabs>
      <w:spacing w:before="120" w:line="22" w:lineRule="atLeast"/>
    </w:pPr>
    <w:rPr>
      <w:rFonts w:ascii="宋体" w:hAnsi="宋体" w:cs="宋体"/>
      <w:sz w:val="24"/>
      <w:szCs w:val="24"/>
    </w:rPr>
  </w:style>
  <w:style w:type="paragraph" w:styleId="14">
    <w:name w:val="Body Text 2"/>
    <w:basedOn w:val="1"/>
    <w:qFormat/>
    <w:uiPriority w:val="0"/>
    <w:pPr>
      <w:spacing w:after="120" w:line="480" w:lineRule="auto"/>
    </w:pPr>
    <w:rPr>
      <w:rFonts w:ascii="Arial" w:hAnsi="Arial"/>
      <w:sz w:val="24"/>
    </w:rPr>
  </w:style>
  <w:style w:type="paragraph" w:styleId="15">
    <w:name w:val="Plain Text"/>
    <w:basedOn w:val="1"/>
    <w:qFormat/>
    <w:uiPriority w:val="0"/>
    <w:rPr>
      <w:rFonts w:ascii="宋体" w:hAnsi="Courier New" w:cs="Courier New"/>
      <w:szCs w:val="21"/>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style>
  <w:style w:type="paragraph" w:styleId="19">
    <w:name w:val="List Number 5"/>
    <w:basedOn w:val="1"/>
    <w:qFormat/>
    <w:uiPriority w:val="0"/>
    <w:pPr>
      <w:numPr>
        <w:ilvl w:val="0"/>
        <w:numId w:val="2"/>
      </w:numPr>
    </w:pPr>
  </w:style>
  <w:style w:type="paragraph" w:styleId="20">
    <w:name w:val="footnote text"/>
    <w:basedOn w:val="1"/>
    <w:next w:val="13"/>
    <w:qFormat/>
    <w:uiPriority w:val="0"/>
    <w:pPr>
      <w:spacing w:line="360" w:lineRule="auto"/>
    </w:pPr>
    <w:rPr>
      <w:sz w:val="18"/>
      <w:szCs w:val="20"/>
    </w:rPr>
  </w:style>
  <w:style w:type="paragraph" w:styleId="21">
    <w:name w:val="toc 6"/>
    <w:basedOn w:val="1"/>
    <w:next w:val="1"/>
    <w:qFormat/>
    <w:uiPriority w:val="0"/>
    <w:pPr>
      <w:ind w:left="1050"/>
      <w:jc w:val="left"/>
    </w:pPr>
    <w:rPr>
      <w:rFonts w:ascii="Calibri" w:hAnsi="Calibri"/>
      <w:sz w:val="18"/>
      <w:szCs w:val="18"/>
    </w:rPr>
  </w:style>
  <w:style w:type="paragraph" w:styleId="22">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23">
    <w:name w:val="Normal (Web)"/>
    <w:basedOn w:val="1"/>
    <w:next w:val="17"/>
    <w:qFormat/>
    <w:uiPriority w:val="0"/>
    <w:pPr>
      <w:widowControl/>
      <w:spacing w:before="100" w:beforeAutospacing="1" w:after="100" w:afterAutospacing="1"/>
      <w:jc w:val="left"/>
    </w:pPr>
    <w:rPr>
      <w:rFonts w:ascii="宋体" w:hAnsi="宋体" w:cs="宋体"/>
      <w:kern w:val="0"/>
      <w:sz w:val="24"/>
    </w:rPr>
  </w:style>
  <w:style w:type="paragraph" w:styleId="24">
    <w:name w:val="Body Text First Indent"/>
    <w:basedOn w:val="13"/>
    <w:next w:val="1"/>
    <w:qFormat/>
    <w:uiPriority w:val="0"/>
    <w:pPr>
      <w:ind w:firstLine="420" w:firstLineChars="100"/>
    </w:pPr>
  </w:style>
  <w:style w:type="table" w:styleId="26">
    <w:name w:val="Table Grid"/>
    <w:basedOn w:val="2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8">
    <w:name w:val="Strong"/>
    <w:basedOn w:val="27"/>
    <w:qFormat/>
    <w:uiPriority w:val="0"/>
    <w:rPr>
      <w:b/>
    </w:rPr>
  </w:style>
  <w:style w:type="character" w:styleId="29">
    <w:name w:val="Hyperlink"/>
    <w:qFormat/>
    <w:uiPriority w:val="0"/>
    <w:rPr>
      <w:color w:val="0000FF"/>
      <w:u w:val="single"/>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大标题"/>
    <w:basedOn w:val="1"/>
    <w:next w:val="2"/>
    <w:qFormat/>
    <w:uiPriority w:val="0"/>
    <w:pPr>
      <w:jc w:val="center"/>
    </w:pPr>
    <w:rPr>
      <w:rFonts w:ascii="Arial" w:hAnsi="Arial" w:eastAsia="宋体" w:cs="Times New Roman"/>
      <w:b/>
      <w:sz w:val="28"/>
      <w:szCs w:val="24"/>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标书正文"/>
    <w:basedOn w:val="1"/>
    <w:qFormat/>
    <w:uiPriority w:val="0"/>
    <w:pPr>
      <w:ind w:firstLine="0" w:firstLineChars="0"/>
      <w:jc w:val="left"/>
    </w:pPr>
    <w:rPr>
      <w:rFonts w:ascii="仿宋_GB2312"/>
      <w:szCs w:val="20"/>
    </w:rPr>
  </w:style>
  <w:style w:type="paragraph" w:customStyle="1" w:styleId="3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8">
    <w:name w:val="索引 11"/>
    <w:basedOn w:val="1"/>
    <w:next w:val="1"/>
    <w:qFormat/>
    <w:uiPriority w:val="0"/>
    <w:pPr>
      <w:spacing w:line="360" w:lineRule="auto"/>
    </w:pPr>
    <w:rPr>
      <w:rFonts w:ascii="仿宋_GB2312" w:eastAsia="仿宋_GB2312"/>
      <w:sz w:val="24"/>
      <w:szCs w:val="20"/>
    </w:rPr>
  </w:style>
  <w:style w:type="paragraph" w:customStyle="1" w:styleId="39">
    <w:name w:val="纯文本1"/>
    <w:basedOn w:val="1"/>
    <w:qFormat/>
    <w:uiPriority w:val="0"/>
    <w:rPr>
      <w:rFonts w:ascii="宋体" w:hAnsi="Courier New"/>
      <w:kern w:val="0"/>
      <w:sz w:val="20"/>
      <w:szCs w:val="20"/>
    </w:rPr>
  </w:style>
  <w:style w:type="paragraph" w:styleId="40">
    <w:name w:val="List Paragraph"/>
    <w:basedOn w:val="1"/>
    <w:qFormat/>
    <w:uiPriority w:val="34"/>
    <w:pPr>
      <w:widowControl/>
      <w:ind w:firstLine="420" w:firstLineChars="200"/>
      <w:jc w:val="left"/>
    </w:pPr>
    <w:rPr>
      <w:kern w:val="0"/>
      <w:sz w:val="24"/>
    </w:rPr>
  </w:style>
  <w:style w:type="character" w:customStyle="1" w:styleId="41">
    <w:name w:val="bookmark-item"/>
    <w:qFormat/>
    <w:uiPriority w:val="0"/>
  </w:style>
  <w:style w:type="paragraph" w:customStyle="1" w:styleId="42">
    <w:name w:val="正文_1_0"/>
    <w:basedOn w:val="43"/>
    <w:next w:val="47"/>
    <w:qFormat/>
    <w:uiPriority w:val="0"/>
    <w:rPr>
      <w:rFonts w:ascii="Calibri" w:hAnsi="Calibri" w:cs="Calibri"/>
      <w:szCs w:val="21"/>
      <w:lang w:bidi="ug-CN"/>
    </w:rPr>
  </w:style>
  <w:style w:type="paragraph" w:customStyle="1" w:styleId="43">
    <w:name w:val="正文_1_1"/>
    <w:basedOn w:val="44"/>
    <w:qFormat/>
    <w:uiPriority w:val="0"/>
    <w:pPr>
      <w:widowControl w:val="0"/>
      <w:jc w:val="both"/>
    </w:pPr>
    <w:rPr>
      <w:kern w:val="2"/>
      <w:sz w:val="21"/>
      <w:szCs w:val="22"/>
      <w:lang w:val="en-US" w:eastAsia="zh-CN" w:bidi="ar-SA"/>
    </w:rPr>
  </w:style>
  <w:style w:type="paragraph" w:customStyle="1" w:styleId="44">
    <w:name w:val="正文_5"/>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引文目录标题_0"/>
    <w:basedOn w:val="46"/>
    <w:next w:val="44"/>
    <w:qFormat/>
    <w:uiPriority w:val="0"/>
    <w:pPr>
      <w:spacing w:before="120" w:beforeLines="0"/>
    </w:pPr>
    <w:rPr>
      <w:rFonts w:ascii="Arial" w:hAnsi="Arial"/>
      <w:sz w:val="24"/>
    </w:rPr>
  </w:style>
  <w:style w:type="paragraph" w:customStyle="1" w:styleId="46">
    <w:name w:val="正文_2_0"/>
    <w:basedOn w:val="43"/>
    <w:next w:val="45"/>
    <w:qFormat/>
    <w:uiPriority w:val="0"/>
    <w:rPr>
      <w:rFonts w:ascii="Calibri" w:hAnsi="Calibri"/>
      <w:szCs w:val="21"/>
      <w:lang w:bidi="ug-CN"/>
    </w:rPr>
  </w:style>
  <w:style w:type="paragraph" w:customStyle="1" w:styleId="47">
    <w:name w:val="正文首行缩进1"/>
    <w:basedOn w:val="48"/>
    <w:unhideWhenUsed/>
    <w:qFormat/>
    <w:uiPriority w:val="99"/>
    <w:pPr>
      <w:ind w:firstLine="420" w:firstLineChars="100"/>
    </w:pPr>
    <w:rPr>
      <w:szCs w:val="22"/>
    </w:rPr>
  </w:style>
  <w:style w:type="paragraph" w:customStyle="1" w:styleId="48">
    <w:name w:val="正文文本_0_0"/>
    <w:basedOn w:val="49"/>
    <w:qFormat/>
    <w:uiPriority w:val="0"/>
    <w:pPr>
      <w:spacing w:after="120"/>
    </w:pPr>
    <w:rPr>
      <w:rFonts w:ascii="Calibri" w:hAnsi="Calibri"/>
      <w:kern w:val="0"/>
      <w:sz w:val="20"/>
    </w:rPr>
  </w:style>
  <w:style w:type="paragraph" w:customStyle="1" w:styleId="49">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Heading3"/>
    <w:basedOn w:val="1"/>
    <w:next w:val="1"/>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customStyle="1" w:styleId="51">
    <w:name w:val="Table Paragraph"/>
    <w:basedOn w:val="42"/>
    <w:qFormat/>
    <w:uiPriority w:val="0"/>
    <w:rPr>
      <w:rFonts w:ascii="宋体" w:hAnsi="宋体" w:cs="Times New Roman"/>
      <w:lang w:bidi="ar-SA"/>
    </w:rPr>
  </w:style>
  <w:style w:type="paragraph" w:customStyle="1" w:styleId="52">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53">
    <w:name w:val="正文文本 (2)"/>
    <w:basedOn w:val="1"/>
    <w:qFormat/>
    <w:uiPriority w:val="0"/>
    <w:pPr>
      <w:widowControl w:val="0"/>
      <w:shd w:val="clear" w:color="auto" w:fill="FFFFFF"/>
      <w:spacing w:after="760"/>
      <w:ind w:left="5920"/>
    </w:pPr>
    <w:rPr>
      <w:rFonts w:ascii="黑体" w:hAnsi="黑体" w:eastAsia="黑体" w:cs="黑体"/>
      <w:sz w:val="44"/>
      <w:szCs w:val="44"/>
      <w:u w:val="none"/>
      <w:lang w:val="zh-CN" w:eastAsia="zh-CN" w:bidi="zh-CN"/>
    </w:rPr>
  </w:style>
  <w:style w:type="paragraph" w:customStyle="1" w:styleId="5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5">
    <w:name w:val="标题 1 Char"/>
    <w:link w:val="6"/>
    <w:qFormat/>
    <w:uiPriority w:val="0"/>
    <w:rPr>
      <w:b/>
      <w:bCs/>
      <w:kern w:val="44"/>
      <w:sz w:val="32"/>
      <w:szCs w:val="44"/>
    </w:rPr>
  </w:style>
  <w:style w:type="paragraph" w:customStyle="1" w:styleId="56">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44645</Words>
  <Characters>47083</Characters>
  <Lines>1</Lines>
  <Paragraphs>1</Paragraphs>
  <TotalTime>6</TotalTime>
  <ScaleCrop>false</ScaleCrop>
  <LinksUpToDate>false</LinksUpToDate>
  <CharactersWithSpaces>51122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2023-09-01T10:14:00Z</dcterms:created>
  <dc:creator>Administrator</dc:creator>
  <cp:lastModifiedBy>米朵</cp:lastModifiedBy>
  <dcterms:modified xsi:type="dcterms:W3CDTF">2025-02-11T10:52:51Z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C83AD54BACE248419C51AF59C4E4B03F_13</vt:lpwstr>
  </property>
  <property fmtid="{D5CDD505-2E9C-101B-9397-08002B2CF9AE}" pid="4" name="KSOTemplateDocerSaveRecord">
    <vt:lpwstr>eyJoZGlkIjoiMmE2YzViMjU4ZGI5YjZmNTI4OTUwNTMyZGQ5MmIzZjMiLCJ1c2VySWQiOiI1Mjg0NDExMDkifQ==</vt:lpwstr>
  </property>
</Properties>
</file>