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BAE19E">
      <w:pPr>
        <w:spacing w:after="156" w:afterLines="50"/>
        <w:ind w:left="-850" w:leftChars="-405" w:right="-625"/>
        <w:jc w:val="center"/>
        <w:rPr>
          <w:rFonts w:ascii="新宋体" w:hAnsi="新宋体" w:eastAsia="新宋体"/>
          <w:b/>
          <w:sz w:val="40"/>
          <w:szCs w:val="40"/>
          <w:highlight w:val="none"/>
        </w:rPr>
      </w:pPr>
    </w:p>
    <w:p w14:paraId="5BD1D409">
      <w:pPr>
        <w:spacing w:after="156" w:afterLines="50"/>
        <w:ind w:left="-850" w:leftChars="-405" w:right="-625"/>
        <w:jc w:val="center"/>
        <w:rPr>
          <w:rFonts w:hint="eastAsia" w:ascii="宋体" w:hAnsi="宋体" w:eastAsia="宋体" w:cs="宋体"/>
          <w:b/>
          <w:sz w:val="40"/>
          <w:szCs w:val="40"/>
          <w:highlight w:val="none"/>
          <w:lang w:eastAsia="zh-CN"/>
        </w:rPr>
      </w:pPr>
      <w:r>
        <w:rPr>
          <w:rFonts w:hint="eastAsia" w:ascii="宋体" w:hAnsi="宋体" w:cs="宋体"/>
          <w:b/>
          <w:sz w:val="36"/>
          <w:szCs w:val="36"/>
          <w:highlight w:val="none"/>
          <w:lang w:eastAsia="zh-CN"/>
        </w:rPr>
        <w:t>克州财政局惠民惠农“一卡通”补贴资金金融机构代发项目</w:t>
      </w:r>
      <w:r>
        <w:rPr>
          <w:rFonts w:hint="eastAsia" w:ascii="宋体" w:hAnsi="宋体" w:eastAsia="宋体" w:cs="宋体"/>
          <w:b/>
          <w:sz w:val="40"/>
          <w:szCs w:val="40"/>
          <w:highlight w:val="none"/>
          <w:lang w:eastAsia="zh-CN"/>
        </w:rPr>
        <w:t>磋商文件</w:t>
      </w:r>
    </w:p>
    <w:p w14:paraId="6A50B65A">
      <w:pPr>
        <w:pStyle w:val="39"/>
        <w:rPr>
          <w:rFonts w:hint="eastAsia" w:ascii="宋体" w:hAnsi="宋体" w:eastAsia="宋体" w:cs="宋体"/>
        </w:rPr>
      </w:pPr>
    </w:p>
    <w:p w14:paraId="2D7FA31E">
      <w:pPr>
        <w:spacing w:after="156" w:afterLines="50"/>
        <w:ind w:left="-850" w:leftChars="-405" w:right="-625" w:firstLine="3920" w:firstLineChars="1400"/>
        <w:rPr>
          <w:rFonts w:hint="default" w:ascii="宋体" w:hAnsi="宋体" w:eastAsia="宋体" w:cs="宋体"/>
          <w:bCs/>
          <w:sz w:val="28"/>
          <w:szCs w:val="28"/>
          <w:highlight w:val="none"/>
          <w:lang w:val="en-US" w:eastAsia="zh-CN"/>
        </w:rPr>
      </w:pPr>
      <w:r>
        <w:rPr>
          <w:rFonts w:hint="eastAsia" w:ascii="宋体" w:hAnsi="宋体" w:eastAsia="宋体" w:cs="宋体"/>
          <w:bCs/>
          <w:sz w:val="28"/>
          <w:szCs w:val="28"/>
          <w:highlight w:val="none"/>
        </w:rPr>
        <w:t>项目编号：</w:t>
      </w:r>
      <w:r>
        <w:rPr>
          <w:rFonts w:hint="eastAsia" w:ascii="宋体" w:hAnsi="宋体" w:cs="宋体"/>
          <w:b/>
          <w:bCs/>
          <w:sz w:val="32"/>
          <w:szCs w:val="32"/>
          <w:highlight w:val="none"/>
          <w:lang w:val="en-US" w:eastAsia="zh-CN"/>
        </w:rPr>
        <w:t>KZZB</w:t>
      </w:r>
      <w:r>
        <w:rPr>
          <w:rFonts w:hint="eastAsia" w:ascii="宋体" w:hAnsi="宋体" w:eastAsia="宋体" w:cs="宋体"/>
          <w:b/>
          <w:bCs/>
          <w:sz w:val="32"/>
          <w:szCs w:val="32"/>
          <w:highlight w:val="none"/>
          <w:lang w:eastAsia="zh-CN"/>
        </w:rPr>
        <w:t>-</w:t>
      </w:r>
      <w:r>
        <w:rPr>
          <w:rFonts w:hint="eastAsia" w:ascii="宋体" w:hAnsi="宋体" w:cs="宋体"/>
          <w:b/>
          <w:bCs/>
          <w:sz w:val="32"/>
          <w:szCs w:val="32"/>
          <w:highlight w:val="none"/>
          <w:lang w:val="en-US" w:eastAsia="zh-CN"/>
        </w:rPr>
        <w:t>2024241</w:t>
      </w:r>
    </w:p>
    <w:p w14:paraId="2ED5EE93">
      <w:pPr>
        <w:rPr>
          <w:rFonts w:hint="eastAsia" w:ascii="宋体" w:hAnsi="宋体" w:eastAsia="宋体" w:cs="宋体"/>
          <w:bCs/>
          <w:szCs w:val="21"/>
          <w:highlight w:val="none"/>
        </w:rPr>
      </w:pPr>
    </w:p>
    <w:p w14:paraId="537C0E07">
      <w:pPr>
        <w:rPr>
          <w:rFonts w:hint="eastAsia" w:ascii="宋体" w:hAnsi="宋体" w:eastAsia="宋体" w:cs="宋体"/>
          <w:bCs/>
          <w:szCs w:val="21"/>
          <w:highlight w:val="none"/>
        </w:rPr>
      </w:pPr>
    </w:p>
    <w:p w14:paraId="417F33E9">
      <w:pPr>
        <w:jc w:val="center"/>
        <w:rPr>
          <w:rFonts w:hint="eastAsia" w:ascii="宋体" w:hAnsi="宋体" w:eastAsia="宋体" w:cs="宋体"/>
          <w:b/>
          <w:sz w:val="100"/>
          <w:szCs w:val="100"/>
          <w:highlight w:val="none"/>
        </w:rPr>
      </w:pPr>
      <w:r>
        <w:rPr>
          <w:rFonts w:hint="eastAsia" w:ascii="宋体" w:hAnsi="宋体" w:eastAsia="宋体" w:cs="宋体"/>
          <w:b/>
          <w:sz w:val="100"/>
          <w:szCs w:val="100"/>
          <w:highlight w:val="none"/>
        </w:rPr>
        <w:t>磋</w:t>
      </w:r>
    </w:p>
    <w:p w14:paraId="7AADBA99">
      <w:pPr>
        <w:jc w:val="center"/>
        <w:rPr>
          <w:rFonts w:hint="eastAsia" w:ascii="宋体" w:hAnsi="宋体" w:eastAsia="宋体" w:cs="宋体"/>
          <w:b/>
          <w:sz w:val="100"/>
          <w:szCs w:val="100"/>
          <w:highlight w:val="none"/>
        </w:rPr>
      </w:pPr>
      <w:r>
        <w:rPr>
          <w:rFonts w:hint="eastAsia" w:ascii="宋体" w:hAnsi="宋体" w:eastAsia="宋体" w:cs="宋体"/>
          <w:b/>
          <w:sz w:val="100"/>
          <w:szCs w:val="100"/>
          <w:highlight w:val="none"/>
        </w:rPr>
        <w:t>商</w:t>
      </w:r>
    </w:p>
    <w:p w14:paraId="4FB24DDD">
      <w:pPr>
        <w:jc w:val="center"/>
        <w:rPr>
          <w:rFonts w:hint="eastAsia" w:ascii="宋体" w:hAnsi="宋体" w:eastAsia="宋体" w:cs="宋体"/>
          <w:b/>
          <w:sz w:val="100"/>
          <w:szCs w:val="100"/>
          <w:highlight w:val="none"/>
        </w:rPr>
      </w:pPr>
      <w:r>
        <w:rPr>
          <w:rFonts w:hint="eastAsia" w:ascii="宋体" w:hAnsi="宋体" w:eastAsia="宋体" w:cs="宋体"/>
          <w:b/>
          <w:sz w:val="100"/>
          <w:szCs w:val="100"/>
          <w:highlight w:val="none"/>
        </w:rPr>
        <w:t>文</w:t>
      </w:r>
    </w:p>
    <w:p w14:paraId="45539568">
      <w:pPr>
        <w:jc w:val="center"/>
        <w:rPr>
          <w:rFonts w:hint="eastAsia" w:ascii="宋体" w:hAnsi="宋体" w:eastAsia="宋体" w:cs="宋体"/>
          <w:b/>
          <w:sz w:val="100"/>
          <w:szCs w:val="100"/>
          <w:highlight w:val="none"/>
        </w:rPr>
      </w:pPr>
      <w:r>
        <w:rPr>
          <w:rFonts w:hint="eastAsia" w:ascii="宋体" w:hAnsi="宋体" w:eastAsia="宋体" w:cs="宋体"/>
          <w:b/>
          <w:sz w:val="100"/>
          <w:szCs w:val="100"/>
          <w:highlight w:val="none"/>
        </w:rPr>
        <w:t>件</w:t>
      </w:r>
    </w:p>
    <w:p w14:paraId="2F2728E5">
      <w:pPr>
        <w:rPr>
          <w:rFonts w:hint="eastAsia" w:ascii="宋体" w:hAnsi="宋体" w:eastAsia="宋体" w:cs="宋体"/>
          <w:sz w:val="28"/>
          <w:szCs w:val="28"/>
          <w:highlight w:val="none"/>
        </w:rPr>
      </w:pPr>
    </w:p>
    <w:p w14:paraId="6112B7B3">
      <w:pPr>
        <w:ind w:firstLine="600" w:firstLineChars="200"/>
        <w:rPr>
          <w:rFonts w:hint="eastAsia" w:ascii="宋体" w:hAnsi="宋体" w:eastAsia="宋体" w:cs="宋体"/>
          <w:b/>
          <w:sz w:val="30"/>
          <w:szCs w:val="30"/>
          <w:highlight w:val="none"/>
        </w:rPr>
      </w:pPr>
      <w:r>
        <w:rPr>
          <w:rFonts w:hint="eastAsia" w:ascii="宋体" w:hAnsi="宋体" w:eastAsia="宋体" w:cs="宋体"/>
          <w:b/>
          <w:sz w:val="30"/>
          <w:szCs w:val="30"/>
          <w:highlight w:val="none"/>
        </w:rPr>
        <w:t>招 标 人：</w:t>
      </w:r>
      <w:r>
        <w:rPr>
          <w:rFonts w:hint="eastAsia" w:ascii="宋体" w:hAnsi="宋体" w:cs="宋体"/>
          <w:b/>
          <w:sz w:val="30"/>
          <w:szCs w:val="30"/>
          <w:highlight w:val="none"/>
          <w:lang w:eastAsia="zh-CN"/>
        </w:rPr>
        <w:t>克孜勒苏柯尔克孜自治州</w:t>
      </w:r>
      <w:r>
        <w:rPr>
          <w:rFonts w:hint="eastAsia" w:ascii="宋体" w:hAnsi="宋体" w:eastAsia="宋体" w:cs="宋体"/>
          <w:b/>
          <w:sz w:val="30"/>
          <w:szCs w:val="30"/>
          <w:highlight w:val="none"/>
          <w:lang w:eastAsia="zh-CN"/>
        </w:rPr>
        <w:t>财政局</w:t>
      </w:r>
      <w:r>
        <w:rPr>
          <w:rFonts w:hint="eastAsia" w:ascii="宋体" w:hAnsi="宋体" w:eastAsia="宋体" w:cs="宋体"/>
          <w:b/>
          <w:sz w:val="30"/>
          <w:szCs w:val="30"/>
          <w:highlight w:val="none"/>
        </w:rPr>
        <w:t xml:space="preserve">（盖章）  </w:t>
      </w:r>
    </w:p>
    <w:p w14:paraId="78B6BFD8">
      <w:pPr>
        <w:rPr>
          <w:rFonts w:hint="eastAsia" w:ascii="宋体" w:hAnsi="宋体" w:eastAsia="宋体" w:cs="宋体"/>
          <w:b/>
          <w:sz w:val="30"/>
          <w:szCs w:val="30"/>
          <w:highlight w:val="none"/>
        </w:rPr>
      </w:pPr>
    </w:p>
    <w:p w14:paraId="5E08F321">
      <w:pPr>
        <w:ind w:firstLine="600" w:firstLineChars="200"/>
        <w:rPr>
          <w:rFonts w:ascii="宋体"/>
          <w:b/>
          <w:sz w:val="30"/>
          <w:szCs w:val="30"/>
          <w:highlight w:val="none"/>
          <w:u w:val="single"/>
        </w:rPr>
      </w:pPr>
      <w:r>
        <w:rPr>
          <w:rFonts w:hint="eastAsia" w:ascii="宋体" w:hAnsi="宋体" w:eastAsia="宋体" w:cs="宋体"/>
          <w:b/>
          <w:sz w:val="30"/>
          <w:szCs w:val="30"/>
          <w:highlight w:val="none"/>
        </w:rPr>
        <w:t>招标代理机构：</w:t>
      </w:r>
      <w:r>
        <w:rPr>
          <w:rFonts w:hint="eastAsia" w:ascii="宋体" w:hAnsi="宋体" w:eastAsia="宋体" w:cs="宋体"/>
          <w:b/>
          <w:sz w:val="30"/>
          <w:szCs w:val="30"/>
          <w:highlight w:val="none"/>
          <w:lang w:eastAsia="zh-CN"/>
        </w:rPr>
        <w:t>新疆融联通达工程项目管理有限公司</w:t>
      </w:r>
      <w:r>
        <w:rPr>
          <w:rFonts w:hint="eastAsia" w:ascii="宋体" w:hAnsi="宋体" w:eastAsia="宋体" w:cs="宋体"/>
          <w:b/>
          <w:sz w:val="30"/>
          <w:szCs w:val="30"/>
          <w:highlight w:val="none"/>
        </w:rPr>
        <w:t>（盖章）</w:t>
      </w:r>
    </w:p>
    <w:p w14:paraId="5DC7227E">
      <w:pPr>
        <w:jc w:val="center"/>
        <w:rPr>
          <w:rFonts w:ascii="宋体"/>
          <w:b/>
          <w:sz w:val="32"/>
          <w:szCs w:val="32"/>
          <w:highlight w:val="none"/>
        </w:rPr>
      </w:pPr>
    </w:p>
    <w:p w14:paraId="4BA3C405">
      <w:pPr>
        <w:pStyle w:val="2"/>
      </w:pPr>
    </w:p>
    <w:p w14:paraId="2B093020">
      <w:pPr>
        <w:tabs>
          <w:tab w:val="left" w:pos="3397"/>
        </w:tabs>
        <w:jc w:val="left"/>
        <w:rPr>
          <w:rFonts w:hint="eastAsia" w:eastAsia="宋体"/>
          <w:b/>
          <w:sz w:val="36"/>
          <w:highlight w:val="none"/>
          <w:lang w:eastAsia="zh-CN"/>
        </w:rPr>
      </w:pPr>
    </w:p>
    <w:p w14:paraId="7CDB8A7D">
      <w:pPr>
        <w:jc w:val="center"/>
        <w:rPr>
          <w:b/>
          <w:sz w:val="36"/>
          <w:highlight w:val="none"/>
        </w:rPr>
      </w:pPr>
      <w:r>
        <w:rPr>
          <w:rFonts w:hint="eastAsia"/>
          <w:b/>
          <w:sz w:val="36"/>
          <w:highlight w:val="none"/>
        </w:rPr>
        <w:t>目  录</w:t>
      </w:r>
    </w:p>
    <w:p w14:paraId="2922D18A">
      <w:pPr>
        <w:spacing w:line="360" w:lineRule="exact"/>
        <w:jc w:val="center"/>
        <w:rPr>
          <w:b/>
          <w:sz w:val="36"/>
          <w:highlight w:val="none"/>
        </w:rPr>
      </w:pPr>
    </w:p>
    <w:p w14:paraId="57B74A1A">
      <w:pPr>
        <w:pStyle w:val="17"/>
        <w:keepNext w:val="0"/>
        <w:keepLines w:val="0"/>
        <w:pageBreakBefore w:val="0"/>
        <w:widowControl w:val="0"/>
        <w:tabs>
          <w:tab w:val="right" w:leader="dot" w:pos="9968"/>
        </w:tabs>
        <w:kinsoku/>
        <w:wordWrap/>
        <w:overflowPunct/>
        <w:topLinePunct w:val="0"/>
        <w:autoSpaceDE/>
        <w:autoSpaceDN/>
        <w:bidi w:val="0"/>
        <w:adjustRightInd/>
        <w:snapToGrid/>
        <w:spacing w:line="220" w:lineRule="exact"/>
        <w:textAlignment w:val="auto"/>
        <w:rPr>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TOC \o "1-3" \h \z \u </w:instrText>
      </w:r>
      <w:r>
        <w:rPr>
          <w:rFonts w:hint="eastAsia" w:ascii="宋体" w:hAnsi="宋体" w:cs="宋体"/>
          <w:sz w:val="24"/>
          <w:highlight w:val="none"/>
        </w:rPr>
        <w:fldChar w:fldCharType="separate"/>
      </w:r>
      <w:r>
        <w:rPr>
          <w:highlight w:val="none"/>
        </w:rPr>
        <w:fldChar w:fldCharType="begin"/>
      </w:r>
      <w:r>
        <w:rPr>
          <w:highlight w:val="none"/>
        </w:rPr>
        <w:instrText xml:space="preserve"> HYPERLINK \l "_Toc26892" </w:instrText>
      </w:r>
      <w:r>
        <w:rPr>
          <w:highlight w:val="none"/>
        </w:rPr>
        <w:fldChar w:fldCharType="separate"/>
      </w:r>
      <w:r>
        <w:rPr>
          <w:rFonts w:ascii="宋体"/>
          <w:bCs/>
          <w:szCs w:val="32"/>
          <w:highlight w:val="none"/>
        </w:rPr>
        <w:t xml:space="preserve">第一章 </w:t>
      </w:r>
      <w:r>
        <w:rPr>
          <w:rFonts w:hint="eastAsia" w:ascii="宋体"/>
          <w:bCs/>
          <w:szCs w:val="32"/>
          <w:highlight w:val="none"/>
        </w:rPr>
        <w:t>招标公告</w:t>
      </w:r>
      <w:r>
        <w:rPr>
          <w:highlight w:val="none"/>
        </w:rPr>
        <w:tab/>
      </w:r>
      <w:r>
        <w:rPr>
          <w:highlight w:val="none"/>
        </w:rPr>
        <w:fldChar w:fldCharType="end"/>
      </w:r>
    </w:p>
    <w:p w14:paraId="1BFE520D">
      <w:pPr>
        <w:pStyle w:val="17"/>
        <w:keepNext w:val="0"/>
        <w:keepLines w:val="0"/>
        <w:pageBreakBefore w:val="0"/>
        <w:widowControl w:val="0"/>
        <w:tabs>
          <w:tab w:val="right" w:leader="dot" w:pos="9968"/>
        </w:tabs>
        <w:kinsoku/>
        <w:wordWrap/>
        <w:overflowPunct/>
        <w:topLinePunct w:val="0"/>
        <w:autoSpaceDE/>
        <w:autoSpaceDN/>
        <w:bidi w:val="0"/>
        <w:adjustRightInd/>
        <w:snapToGrid/>
        <w:spacing w:line="220" w:lineRule="exact"/>
        <w:textAlignment w:val="auto"/>
        <w:rPr>
          <w:highlight w:val="none"/>
        </w:rPr>
      </w:pPr>
      <w:r>
        <w:rPr>
          <w:highlight w:val="none"/>
        </w:rPr>
        <w:fldChar w:fldCharType="begin"/>
      </w:r>
      <w:r>
        <w:rPr>
          <w:highlight w:val="none"/>
        </w:rPr>
        <w:instrText xml:space="preserve"> HYPERLINK \l "_Toc6289" </w:instrText>
      </w:r>
      <w:r>
        <w:rPr>
          <w:highlight w:val="none"/>
        </w:rPr>
        <w:fldChar w:fldCharType="separate"/>
      </w:r>
      <w:r>
        <w:rPr>
          <w:rFonts w:hint="eastAsia" w:ascii="宋体"/>
          <w:szCs w:val="28"/>
          <w:highlight w:val="none"/>
        </w:rPr>
        <w:t>磋商公告</w:t>
      </w:r>
      <w:r>
        <w:rPr>
          <w:highlight w:val="none"/>
        </w:rPr>
        <w:tab/>
      </w:r>
      <w:r>
        <w:rPr>
          <w:highlight w:val="none"/>
        </w:rPr>
        <w:fldChar w:fldCharType="end"/>
      </w:r>
    </w:p>
    <w:p w14:paraId="01F7EB93">
      <w:pPr>
        <w:pStyle w:val="17"/>
        <w:keepNext w:val="0"/>
        <w:keepLines w:val="0"/>
        <w:pageBreakBefore w:val="0"/>
        <w:widowControl w:val="0"/>
        <w:tabs>
          <w:tab w:val="right" w:leader="dot" w:pos="9968"/>
        </w:tabs>
        <w:kinsoku/>
        <w:wordWrap/>
        <w:overflowPunct/>
        <w:topLinePunct w:val="0"/>
        <w:autoSpaceDE/>
        <w:autoSpaceDN/>
        <w:bidi w:val="0"/>
        <w:adjustRightInd/>
        <w:snapToGrid/>
        <w:spacing w:line="220" w:lineRule="exact"/>
        <w:textAlignment w:val="auto"/>
        <w:rPr>
          <w:highlight w:val="none"/>
        </w:rPr>
      </w:pPr>
      <w:r>
        <w:rPr>
          <w:highlight w:val="none"/>
        </w:rPr>
        <w:fldChar w:fldCharType="begin"/>
      </w:r>
      <w:r>
        <w:rPr>
          <w:highlight w:val="none"/>
        </w:rPr>
        <w:instrText xml:space="preserve"> HYPERLINK \l "_Toc6038" </w:instrText>
      </w:r>
      <w:r>
        <w:rPr>
          <w:highlight w:val="none"/>
        </w:rPr>
        <w:fldChar w:fldCharType="separate"/>
      </w:r>
      <w:r>
        <w:rPr>
          <w:rFonts w:hint="eastAsia" w:ascii="宋体"/>
          <w:szCs w:val="32"/>
          <w:highlight w:val="none"/>
        </w:rPr>
        <w:t>第二章 投标人须知</w:t>
      </w:r>
      <w:r>
        <w:rPr>
          <w:highlight w:val="none"/>
        </w:rPr>
        <w:tab/>
      </w:r>
      <w:r>
        <w:rPr>
          <w:highlight w:val="none"/>
        </w:rPr>
        <w:fldChar w:fldCharType="end"/>
      </w:r>
    </w:p>
    <w:p w14:paraId="7DAF8C15">
      <w:pPr>
        <w:pStyle w:val="19"/>
        <w:keepNext w:val="0"/>
        <w:keepLines w:val="0"/>
        <w:pageBreakBefore w:val="0"/>
        <w:widowControl w:val="0"/>
        <w:tabs>
          <w:tab w:val="right" w:leader="dot" w:pos="9968"/>
        </w:tabs>
        <w:kinsoku/>
        <w:wordWrap/>
        <w:overflowPunct/>
        <w:topLinePunct w:val="0"/>
        <w:autoSpaceDE/>
        <w:autoSpaceDN/>
        <w:bidi w:val="0"/>
        <w:adjustRightInd/>
        <w:snapToGrid/>
        <w:spacing w:line="220" w:lineRule="exact"/>
        <w:ind w:left="420"/>
        <w:textAlignment w:val="auto"/>
        <w:rPr>
          <w:highlight w:val="none"/>
        </w:rPr>
      </w:pPr>
      <w:r>
        <w:rPr>
          <w:highlight w:val="none"/>
        </w:rPr>
        <w:fldChar w:fldCharType="begin"/>
      </w:r>
      <w:r>
        <w:rPr>
          <w:highlight w:val="none"/>
        </w:rPr>
        <w:instrText xml:space="preserve"> HYPERLINK \l "_Toc26232" </w:instrText>
      </w:r>
      <w:r>
        <w:rPr>
          <w:highlight w:val="none"/>
        </w:rPr>
        <w:fldChar w:fldCharType="separate"/>
      </w:r>
      <w:r>
        <w:rPr>
          <w:rFonts w:hint="eastAsia" w:ascii="宋体"/>
          <w:szCs w:val="32"/>
          <w:highlight w:val="none"/>
        </w:rPr>
        <w:t>一、</w:t>
      </w:r>
      <w:r>
        <w:rPr>
          <w:rFonts w:hint="eastAsia" w:ascii="宋体"/>
          <w:szCs w:val="28"/>
          <w:highlight w:val="none"/>
        </w:rPr>
        <w:t>投标人须知前附表</w:t>
      </w:r>
      <w:r>
        <w:rPr>
          <w:highlight w:val="none"/>
        </w:rPr>
        <w:tab/>
      </w:r>
      <w:r>
        <w:rPr>
          <w:highlight w:val="none"/>
        </w:rPr>
        <w:fldChar w:fldCharType="end"/>
      </w:r>
    </w:p>
    <w:p w14:paraId="2EE043C8">
      <w:pPr>
        <w:pStyle w:val="19"/>
        <w:keepNext w:val="0"/>
        <w:keepLines w:val="0"/>
        <w:pageBreakBefore w:val="0"/>
        <w:widowControl w:val="0"/>
        <w:tabs>
          <w:tab w:val="right" w:leader="dot" w:pos="9968"/>
        </w:tabs>
        <w:kinsoku/>
        <w:wordWrap/>
        <w:overflowPunct/>
        <w:topLinePunct w:val="0"/>
        <w:autoSpaceDE/>
        <w:autoSpaceDN/>
        <w:bidi w:val="0"/>
        <w:adjustRightInd/>
        <w:snapToGrid/>
        <w:spacing w:line="220" w:lineRule="exact"/>
        <w:ind w:left="420"/>
        <w:textAlignment w:val="auto"/>
        <w:rPr>
          <w:highlight w:val="none"/>
        </w:rPr>
      </w:pPr>
      <w:r>
        <w:rPr>
          <w:highlight w:val="none"/>
        </w:rPr>
        <w:fldChar w:fldCharType="begin"/>
      </w:r>
      <w:r>
        <w:rPr>
          <w:highlight w:val="none"/>
        </w:rPr>
        <w:instrText xml:space="preserve"> HYPERLINK \l "_Toc30705" </w:instrText>
      </w:r>
      <w:r>
        <w:rPr>
          <w:highlight w:val="none"/>
        </w:rPr>
        <w:fldChar w:fldCharType="separate"/>
      </w:r>
      <w:r>
        <w:rPr>
          <w:rFonts w:hint="eastAsia" w:ascii="宋体"/>
          <w:szCs w:val="28"/>
          <w:highlight w:val="none"/>
        </w:rPr>
        <w:t>二、投标人须知</w:t>
      </w:r>
      <w:r>
        <w:rPr>
          <w:highlight w:val="none"/>
        </w:rPr>
        <w:tab/>
      </w:r>
      <w:r>
        <w:rPr>
          <w:highlight w:val="none"/>
        </w:rPr>
        <w:fldChar w:fldCharType="end"/>
      </w:r>
    </w:p>
    <w:p w14:paraId="189CEA24">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220" w:lineRule="exact"/>
        <w:ind w:left="840"/>
        <w:textAlignment w:val="auto"/>
        <w:rPr>
          <w:highlight w:val="none"/>
        </w:rPr>
      </w:pPr>
      <w:r>
        <w:rPr>
          <w:highlight w:val="none"/>
        </w:rPr>
        <w:fldChar w:fldCharType="begin"/>
      </w:r>
      <w:r>
        <w:rPr>
          <w:highlight w:val="none"/>
        </w:rPr>
        <w:instrText xml:space="preserve"> HYPERLINK \l "_Toc25428" </w:instrText>
      </w:r>
      <w:r>
        <w:rPr>
          <w:highlight w:val="none"/>
        </w:rPr>
        <w:fldChar w:fldCharType="separate"/>
      </w:r>
      <w:r>
        <w:rPr>
          <w:rFonts w:hint="eastAsia"/>
          <w:szCs w:val="28"/>
          <w:highlight w:val="none"/>
        </w:rPr>
        <w:t>（一）</w:t>
      </w:r>
      <w:r>
        <w:rPr>
          <w:rFonts w:hint="eastAsia"/>
          <w:szCs w:val="32"/>
          <w:highlight w:val="none"/>
        </w:rPr>
        <w:t>总  则</w:t>
      </w:r>
      <w:r>
        <w:rPr>
          <w:highlight w:val="none"/>
        </w:rPr>
        <w:tab/>
      </w:r>
      <w:r>
        <w:rPr>
          <w:highlight w:val="none"/>
        </w:rPr>
        <w:fldChar w:fldCharType="end"/>
      </w:r>
    </w:p>
    <w:p w14:paraId="44924D7C">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220" w:lineRule="exact"/>
        <w:ind w:left="840"/>
        <w:textAlignment w:val="auto"/>
        <w:rPr>
          <w:highlight w:val="none"/>
        </w:rPr>
      </w:pPr>
      <w:r>
        <w:rPr>
          <w:highlight w:val="none"/>
        </w:rPr>
        <w:fldChar w:fldCharType="begin"/>
      </w:r>
      <w:r>
        <w:rPr>
          <w:highlight w:val="none"/>
        </w:rPr>
        <w:instrText xml:space="preserve"> HYPERLINK \l "_Toc13107" </w:instrText>
      </w:r>
      <w:r>
        <w:rPr>
          <w:highlight w:val="none"/>
        </w:rPr>
        <w:fldChar w:fldCharType="separate"/>
      </w:r>
      <w:r>
        <w:rPr>
          <w:rFonts w:hint="eastAsia"/>
          <w:szCs w:val="28"/>
          <w:highlight w:val="none"/>
        </w:rPr>
        <w:t>（二）磋商文件</w:t>
      </w:r>
      <w:r>
        <w:rPr>
          <w:highlight w:val="none"/>
        </w:rPr>
        <w:tab/>
      </w:r>
      <w:r>
        <w:rPr>
          <w:highlight w:val="none"/>
        </w:rPr>
        <w:fldChar w:fldCharType="end"/>
      </w:r>
    </w:p>
    <w:p w14:paraId="504949B3">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220" w:lineRule="exact"/>
        <w:ind w:left="840"/>
        <w:textAlignment w:val="auto"/>
        <w:rPr>
          <w:highlight w:val="none"/>
        </w:rPr>
      </w:pPr>
      <w:r>
        <w:rPr>
          <w:highlight w:val="none"/>
        </w:rPr>
        <w:fldChar w:fldCharType="begin"/>
      </w:r>
      <w:r>
        <w:rPr>
          <w:highlight w:val="none"/>
        </w:rPr>
        <w:instrText xml:space="preserve"> HYPERLINK \l "_Toc31024" </w:instrText>
      </w:r>
      <w:r>
        <w:rPr>
          <w:highlight w:val="none"/>
        </w:rPr>
        <w:fldChar w:fldCharType="separate"/>
      </w:r>
      <w:r>
        <w:rPr>
          <w:rFonts w:hint="eastAsia"/>
          <w:szCs w:val="28"/>
          <w:highlight w:val="none"/>
        </w:rPr>
        <w:t>（三）响应文件的编制</w:t>
      </w:r>
      <w:r>
        <w:rPr>
          <w:highlight w:val="none"/>
        </w:rPr>
        <w:tab/>
      </w:r>
      <w:r>
        <w:rPr>
          <w:highlight w:val="none"/>
        </w:rPr>
        <w:fldChar w:fldCharType="end"/>
      </w:r>
    </w:p>
    <w:p w14:paraId="1250943F">
      <w:pPr>
        <w:pStyle w:val="17"/>
        <w:keepNext w:val="0"/>
        <w:keepLines w:val="0"/>
        <w:pageBreakBefore w:val="0"/>
        <w:widowControl w:val="0"/>
        <w:tabs>
          <w:tab w:val="right" w:leader="dot" w:pos="9968"/>
        </w:tabs>
        <w:kinsoku/>
        <w:wordWrap/>
        <w:overflowPunct/>
        <w:topLinePunct w:val="0"/>
        <w:autoSpaceDE/>
        <w:autoSpaceDN/>
        <w:bidi w:val="0"/>
        <w:adjustRightInd/>
        <w:snapToGrid/>
        <w:spacing w:line="220" w:lineRule="exact"/>
        <w:textAlignment w:val="auto"/>
        <w:rPr>
          <w:highlight w:val="none"/>
        </w:rPr>
      </w:pPr>
      <w:r>
        <w:rPr>
          <w:highlight w:val="none"/>
        </w:rPr>
        <w:fldChar w:fldCharType="begin"/>
      </w:r>
      <w:r>
        <w:rPr>
          <w:highlight w:val="none"/>
        </w:rPr>
        <w:instrText xml:space="preserve"> HYPERLINK \l "_Toc859" </w:instrText>
      </w:r>
      <w:r>
        <w:rPr>
          <w:highlight w:val="none"/>
        </w:rPr>
        <w:fldChar w:fldCharType="separate"/>
      </w:r>
      <w:r>
        <w:rPr>
          <w:rFonts w:hint="eastAsia"/>
          <w:szCs w:val="28"/>
          <w:highlight w:val="none"/>
        </w:rPr>
        <w:t>（四）投标文件的制作、上传及递交要求</w:t>
      </w:r>
      <w:r>
        <w:rPr>
          <w:highlight w:val="none"/>
        </w:rPr>
        <w:tab/>
      </w:r>
      <w:r>
        <w:rPr>
          <w:highlight w:val="none"/>
        </w:rPr>
        <w:fldChar w:fldCharType="end"/>
      </w:r>
    </w:p>
    <w:p w14:paraId="18CB9B0A">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220" w:lineRule="exact"/>
        <w:ind w:left="840"/>
        <w:textAlignment w:val="auto"/>
        <w:rPr>
          <w:highlight w:val="none"/>
        </w:rPr>
      </w:pPr>
      <w:r>
        <w:rPr>
          <w:highlight w:val="none"/>
        </w:rPr>
        <w:fldChar w:fldCharType="begin"/>
      </w:r>
      <w:r>
        <w:rPr>
          <w:highlight w:val="none"/>
        </w:rPr>
        <w:instrText xml:space="preserve"> HYPERLINK \l "_Toc6569" </w:instrText>
      </w:r>
      <w:r>
        <w:rPr>
          <w:highlight w:val="none"/>
        </w:rPr>
        <w:fldChar w:fldCharType="separate"/>
      </w:r>
      <w:r>
        <w:rPr>
          <w:rFonts w:hint="eastAsia" w:ascii="黑体" w:eastAsia="黑体"/>
          <w:szCs w:val="28"/>
          <w:highlight w:val="none"/>
        </w:rPr>
        <w:t>（五）开 标、评标和定标</w:t>
      </w:r>
      <w:r>
        <w:rPr>
          <w:highlight w:val="none"/>
        </w:rPr>
        <w:tab/>
      </w:r>
      <w:r>
        <w:rPr>
          <w:highlight w:val="none"/>
        </w:rPr>
        <w:fldChar w:fldCharType="end"/>
      </w:r>
    </w:p>
    <w:p w14:paraId="7F78BC99">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220" w:lineRule="exact"/>
        <w:ind w:left="840"/>
        <w:textAlignment w:val="auto"/>
        <w:rPr>
          <w:highlight w:val="none"/>
        </w:rPr>
      </w:pPr>
      <w:r>
        <w:rPr>
          <w:highlight w:val="none"/>
        </w:rPr>
        <w:fldChar w:fldCharType="begin"/>
      </w:r>
      <w:r>
        <w:rPr>
          <w:highlight w:val="none"/>
        </w:rPr>
        <w:instrText xml:space="preserve"> HYPERLINK \l "_Toc7364" </w:instrText>
      </w:r>
      <w:r>
        <w:rPr>
          <w:highlight w:val="none"/>
        </w:rPr>
        <w:fldChar w:fldCharType="separate"/>
      </w:r>
      <w:r>
        <w:rPr>
          <w:rFonts w:hint="eastAsia" w:hAnsi="宋体" w:cs="宋体"/>
          <w:szCs w:val="21"/>
          <w:highlight w:val="none"/>
        </w:rPr>
        <w:t>29.2</w:t>
      </w:r>
      <w:r>
        <w:rPr>
          <w:rFonts w:hint="eastAsia" w:hAnsi="宋体" w:cs="宋体"/>
          <w:bCs/>
          <w:szCs w:val="21"/>
          <w:highlight w:val="none"/>
        </w:rPr>
        <w:t>开标程序（先资格、商务技术后报价）</w:t>
      </w:r>
      <w:r>
        <w:rPr>
          <w:highlight w:val="none"/>
        </w:rPr>
        <w:tab/>
      </w:r>
      <w:r>
        <w:rPr>
          <w:highlight w:val="none"/>
        </w:rPr>
        <w:fldChar w:fldCharType="end"/>
      </w:r>
    </w:p>
    <w:p w14:paraId="2CAAD2B7">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220" w:lineRule="exact"/>
        <w:ind w:left="840"/>
        <w:textAlignment w:val="auto"/>
        <w:rPr>
          <w:highlight w:val="none"/>
        </w:rPr>
      </w:pPr>
      <w:r>
        <w:rPr>
          <w:highlight w:val="none"/>
        </w:rPr>
        <w:fldChar w:fldCharType="begin"/>
      </w:r>
      <w:r>
        <w:rPr>
          <w:highlight w:val="none"/>
        </w:rPr>
        <w:instrText xml:space="preserve"> HYPERLINK \l "_Toc21524" </w:instrText>
      </w:r>
      <w:r>
        <w:rPr>
          <w:highlight w:val="none"/>
        </w:rPr>
        <w:fldChar w:fldCharType="separate"/>
      </w:r>
      <w:r>
        <w:rPr>
          <w:rFonts w:hint="eastAsia" w:ascii="黑体" w:eastAsia="黑体"/>
          <w:szCs w:val="28"/>
          <w:highlight w:val="none"/>
        </w:rPr>
        <w:t>（六）合同的授予</w:t>
      </w:r>
      <w:r>
        <w:rPr>
          <w:highlight w:val="none"/>
        </w:rPr>
        <w:tab/>
      </w:r>
      <w:r>
        <w:rPr>
          <w:highlight w:val="none"/>
        </w:rPr>
        <w:fldChar w:fldCharType="end"/>
      </w:r>
    </w:p>
    <w:p w14:paraId="5A7CA27B">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220" w:lineRule="exact"/>
        <w:ind w:left="840"/>
        <w:textAlignment w:val="auto"/>
        <w:rPr>
          <w:highlight w:val="none"/>
        </w:rPr>
      </w:pPr>
      <w:r>
        <w:rPr>
          <w:highlight w:val="none"/>
        </w:rPr>
        <w:fldChar w:fldCharType="begin"/>
      </w:r>
      <w:r>
        <w:rPr>
          <w:highlight w:val="none"/>
        </w:rPr>
        <w:instrText xml:space="preserve"> HYPERLINK \l "_Toc29743" </w:instrText>
      </w:r>
      <w:r>
        <w:rPr>
          <w:highlight w:val="none"/>
        </w:rPr>
        <w:fldChar w:fldCharType="separate"/>
      </w:r>
      <w:r>
        <w:rPr>
          <w:rFonts w:hint="eastAsia" w:ascii="黑体" w:eastAsia="黑体"/>
          <w:szCs w:val="28"/>
          <w:highlight w:val="none"/>
        </w:rPr>
        <w:t>（七）纪律和监督</w:t>
      </w:r>
      <w:r>
        <w:rPr>
          <w:highlight w:val="none"/>
        </w:rPr>
        <w:tab/>
      </w:r>
      <w:r>
        <w:rPr>
          <w:highlight w:val="none"/>
        </w:rPr>
        <w:fldChar w:fldCharType="end"/>
      </w:r>
    </w:p>
    <w:p w14:paraId="3C8EA3D4">
      <w:pPr>
        <w:pStyle w:val="17"/>
        <w:keepNext w:val="0"/>
        <w:keepLines w:val="0"/>
        <w:pageBreakBefore w:val="0"/>
        <w:widowControl w:val="0"/>
        <w:tabs>
          <w:tab w:val="right" w:leader="dot" w:pos="9968"/>
        </w:tabs>
        <w:kinsoku/>
        <w:wordWrap/>
        <w:overflowPunct/>
        <w:topLinePunct w:val="0"/>
        <w:autoSpaceDE/>
        <w:autoSpaceDN/>
        <w:bidi w:val="0"/>
        <w:adjustRightInd/>
        <w:snapToGrid/>
        <w:spacing w:line="220" w:lineRule="exact"/>
        <w:textAlignment w:val="auto"/>
        <w:rPr>
          <w:highlight w:val="none"/>
        </w:rPr>
      </w:pPr>
      <w:r>
        <w:rPr>
          <w:highlight w:val="none"/>
        </w:rPr>
        <w:fldChar w:fldCharType="begin"/>
      </w:r>
      <w:r>
        <w:rPr>
          <w:highlight w:val="none"/>
        </w:rPr>
        <w:instrText xml:space="preserve"> HYPERLINK \l "_Toc27114" </w:instrText>
      </w:r>
      <w:r>
        <w:rPr>
          <w:highlight w:val="none"/>
        </w:rPr>
        <w:fldChar w:fldCharType="separate"/>
      </w:r>
      <w:r>
        <w:rPr>
          <w:rFonts w:hint="eastAsia" w:ascii="宋体" w:hAnsi="宋体" w:cs="宋体"/>
          <w:bCs/>
          <w:szCs w:val="32"/>
          <w:highlight w:val="none"/>
        </w:rPr>
        <w:t>投诉相关说明</w:t>
      </w:r>
      <w:r>
        <w:rPr>
          <w:highlight w:val="none"/>
        </w:rPr>
        <w:tab/>
      </w:r>
      <w:r>
        <w:rPr>
          <w:highlight w:val="none"/>
        </w:rPr>
        <w:fldChar w:fldCharType="end"/>
      </w:r>
    </w:p>
    <w:p w14:paraId="0482A7D4">
      <w:pPr>
        <w:pStyle w:val="17"/>
        <w:keepNext w:val="0"/>
        <w:keepLines w:val="0"/>
        <w:pageBreakBefore w:val="0"/>
        <w:widowControl w:val="0"/>
        <w:tabs>
          <w:tab w:val="right" w:leader="dot" w:pos="9968"/>
        </w:tabs>
        <w:kinsoku/>
        <w:wordWrap/>
        <w:overflowPunct/>
        <w:topLinePunct w:val="0"/>
        <w:autoSpaceDE/>
        <w:autoSpaceDN/>
        <w:bidi w:val="0"/>
        <w:adjustRightInd/>
        <w:snapToGrid/>
        <w:spacing w:line="220" w:lineRule="exact"/>
        <w:textAlignment w:val="auto"/>
        <w:rPr>
          <w:highlight w:val="none"/>
        </w:rPr>
      </w:pPr>
      <w:r>
        <w:rPr>
          <w:highlight w:val="none"/>
        </w:rPr>
        <w:fldChar w:fldCharType="begin"/>
      </w:r>
      <w:r>
        <w:rPr>
          <w:highlight w:val="none"/>
        </w:rPr>
        <w:instrText xml:space="preserve"> HYPERLINK \l "_Toc19974" </w:instrText>
      </w:r>
      <w:r>
        <w:rPr>
          <w:highlight w:val="none"/>
        </w:rPr>
        <w:fldChar w:fldCharType="separate"/>
      </w:r>
      <w:r>
        <w:rPr>
          <w:rFonts w:hint="eastAsia" w:ascii="宋体" w:hAnsi="宋体" w:cs="宋体"/>
          <w:bCs/>
          <w:szCs w:val="21"/>
          <w:highlight w:val="none"/>
        </w:rPr>
        <w:t>一、 质疑前置及时间要求</w:t>
      </w:r>
      <w:r>
        <w:rPr>
          <w:highlight w:val="none"/>
        </w:rPr>
        <w:tab/>
      </w:r>
      <w:r>
        <w:rPr>
          <w:highlight w:val="none"/>
        </w:rPr>
        <w:fldChar w:fldCharType="end"/>
      </w:r>
    </w:p>
    <w:p w14:paraId="00458766">
      <w:pPr>
        <w:pStyle w:val="17"/>
        <w:keepNext w:val="0"/>
        <w:keepLines w:val="0"/>
        <w:pageBreakBefore w:val="0"/>
        <w:widowControl w:val="0"/>
        <w:tabs>
          <w:tab w:val="right" w:leader="dot" w:pos="9968"/>
        </w:tabs>
        <w:kinsoku/>
        <w:wordWrap/>
        <w:overflowPunct/>
        <w:topLinePunct w:val="0"/>
        <w:autoSpaceDE/>
        <w:autoSpaceDN/>
        <w:bidi w:val="0"/>
        <w:adjustRightInd/>
        <w:snapToGrid/>
        <w:spacing w:line="220" w:lineRule="exact"/>
        <w:textAlignment w:val="auto"/>
        <w:rPr>
          <w:highlight w:val="none"/>
        </w:rPr>
      </w:pPr>
      <w:r>
        <w:rPr>
          <w:highlight w:val="none"/>
        </w:rPr>
        <w:fldChar w:fldCharType="begin"/>
      </w:r>
      <w:r>
        <w:rPr>
          <w:highlight w:val="none"/>
        </w:rPr>
        <w:instrText xml:space="preserve"> HYPERLINK \l "_Toc15224" </w:instrText>
      </w:r>
      <w:r>
        <w:rPr>
          <w:highlight w:val="none"/>
        </w:rPr>
        <w:fldChar w:fldCharType="separate"/>
      </w:r>
      <w:r>
        <w:rPr>
          <w:rFonts w:hint="eastAsia" w:ascii="宋体" w:hAnsi="宋体" w:cs="宋体"/>
          <w:bCs/>
          <w:szCs w:val="21"/>
          <w:highlight w:val="none"/>
        </w:rPr>
        <w:t>二、书面方式</w:t>
      </w:r>
      <w:r>
        <w:rPr>
          <w:highlight w:val="none"/>
        </w:rPr>
        <w:tab/>
      </w:r>
      <w:r>
        <w:rPr>
          <w:highlight w:val="none"/>
        </w:rPr>
        <w:fldChar w:fldCharType="end"/>
      </w:r>
    </w:p>
    <w:p w14:paraId="2A3D5EC6">
      <w:pPr>
        <w:pStyle w:val="17"/>
        <w:keepNext w:val="0"/>
        <w:keepLines w:val="0"/>
        <w:pageBreakBefore w:val="0"/>
        <w:widowControl w:val="0"/>
        <w:tabs>
          <w:tab w:val="right" w:leader="dot" w:pos="9968"/>
        </w:tabs>
        <w:kinsoku/>
        <w:wordWrap/>
        <w:overflowPunct/>
        <w:topLinePunct w:val="0"/>
        <w:autoSpaceDE/>
        <w:autoSpaceDN/>
        <w:bidi w:val="0"/>
        <w:adjustRightInd/>
        <w:snapToGrid/>
        <w:spacing w:line="220" w:lineRule="exact"/>
        <w:textAlignment w:val="auto"/>
        <w:rPr>
          <w:highlight w:val="none"/>
        </w:rPr>
      </w:pPr>
      <w:r>
        <w:rPr>
          <w:highlight w:val="none"/>
        </w:rPr>
        <w:fldChar w:fldCharType="begin"/>
      </w:r>
      <w:r>
        <w:rPr>
          <w:highlight w:val="none"/>
        </w:rPr>
        <w:instrText xml:space="preserve"> HYPERLINK \l "_Toc10437" </w:instrText>
      </w:r>
      <w:r>
        <w:rPr>
          <w:highlight w:val="none"/>
        </w:rPr>
        <w:fldChar w:fldCharType="separate"/>
      </w:r>
      <w:r>
        <w:rPr>
          <w:rFonts w:hint="eastAsia" w:ascii="宋体" w:hAnsi="宋体" w:cs="宋体"/>
          <w:bCs/>
          <w:szCs w:val="21"/>
          <w:highlight w:val="none"/>
        </w:rPr>
        <w:t>三、虚假、恶意投诉法律责任</w:t>
      </w:r>
      <w:r>
        <w:rPr>
          <w:highlight w:val="none"/>
        </w:rPr>
        <w:tab/>
      </w:r>
      <w:r>
        <w:rPr>
          <w:highlight w:val="none"/>
        </w:rPr>
        <w:fldChar w:fldCharType="end"/>
      </w:r>
    </w:p>
    <w:p w14:paraId="2F18BE23">
      <w:pPr>
        <w:pStyle w:val="17"/>
        <w:keepNext w:val="0"/>
        <w:keepLines w:val="0"/>
        <w:pageBreakBefore w:val="0"/>
        <w:widowControl w:val="0"/>
        <w:tabs>
          <w:tab w:val="right" w:leader="dot" w:pos="9968"/>
        </w:tabs>
        <w:kinsoku/>
        <w:wordWrap/>
        <w:overflowPunct/>
        <w:topLinePunct w:val="0"/>
        <w:autoSpaceDE/>
        <w:autoSpaceDN/>
        <w:bidi w:val="0"/>
        <w:adjustRightInd/>
        <w:snapToGrid/>
        <w:spacing w:line="220" w:lineRule="exact"/>
        <w:textAlignment w:val="auto"/>
        <w:rPr>
          <w:highlight w:val="none"/>
        </w:rPr>
      </w:pPr>
      <w:r>
        <w:rPr>
          <w:highlight w:val="none"/>
        </w:rPr>
        <w:fldChar w:fldCharType="begin"/>
      </w:r>
      <w:r>
        <w:rPr>
          <w:highlight w:val="none"/>
        </w:rPr>
        <w:instrText xml:space="preserve"> HYPERLINK \l "_Toc30496" </w:instrText>
      </w:r>
      <w:r>
        <w:rPr>
          <w:highlight w:val="none"/>
        </w:rPr>
        <w:fldChar w:fldCharType="separate"/>
      </w:r>
      <w:r>
        <w:rPr>
          <w:rFonts w:hint="eastAsia" w:ascii="宋体" w:hAnsi="宋体" w:cs="宋体"/>
          <w:bCs/>
          <w:szCs w:val="32"/>
          <w:highlight w:val="none"/>
        </w:rPr>
        <w:t>质疑函范本</w:t>
      </w:r>
      <w:r>
        <w:rPr>
          <w:highlight w:val="none"/>
        </w:rPr>
        <w:tab/>
      </w:r>
      <w:r>
        <w:rPr>
          <w:highlight w:val="none"/>
        </w:rPr>
        <w:fldChar w:fldCharType="end"/>
      </w:r>
    </w:p>
    <w:p w14:paraId="44956EA6">
      <w:pPr>
        <w:pStyle w:val="17"/>
        <w:keepNext w:val="0"/>
        <w:keepLines w:val="0"/>
        <w:pageBreakBefore w:val="0"/>
        <w:widowControl w:val="0"/>
        <w:tabs>
          <w:tab w:val="right" w:leader="dot" w:pos="9968"/>
        </w:tabs>
        <w:kinsoku/>
        <w:wordWrap/>
        <w:overflowPunct/>
        <w:topLinePunct w:val="0"/>
        <w:autoSpaceDE/>
        <w:autoSpaceDN/>
        <w:bidi w:val="0"/>
        <w:adjustRightInd/>
        <w:snapToGrid/>
        <w:spacing w:line="220" w:lineRule="exact"/>
        <w:textAlignment w:val="auto"/>
        <w:rPr>
          <w:highlight w:val="none"/>
        </w:rPr>
      </w:pPr>
      <w:r>
        <w:rPr>
          <w:highlight w:val="none"/>
        </w:rPr>
        <w:fldChar w:fldCharType="begin"/>
      </w:r>
      <w:r>
        <w:rPr>
          <w:highlight w:val="none"/>
        </w:rPr>
        <w:instrText xml:space="preserve"> HYPERLINK \l "_Toc25524" </w:instrText>
      </w:r>
      <w:r>
        <w:rPr>
          <w:highlight w:val="none"/>
        </w:rPr>
        <w:fldChar w:fldCharType="separate"/>
      </w:r>
      <w:r>
        <w:rPr>
          <w:rFonts w:hint="eastAsia" w:ascii="宋体" w:hAnsi="宋体" w:cs="宋体"/>
          <w:bCs/>
          <w:szCs w:val="21"/>
          <w:highlight w:val="none"/>
        </w:rPr>
        <w:t>一、质疑供应商基本信息</w:t>
      </w:r>
      <w:r>
        <w:rPr>
          <w:highlight w:val="none"/>
        </w:rPr>
        <w:tab/>
      </w:r>
      <w:r>
        <w:rPr>
          <w:highlight w:val="none"/>
        </w:rPr>
        <w:fldChar w:fldCharType="end"/>
      </w:r>
    </w:p>
    <w:p w14:paraId="30B31DE5">
      <w:pPr>
        <w:pStyle w:val="17"/>
        <w:keepNext w:val="0"/>
        <w:keepLines w:val="0"/>
        <w:pageBreakBefore w:val="0"/>
        <w:widowControl w:val="0"/>
        <w:tabs>
          <w:tab w:val="right" w:leader="dot" w:pos="9968"/>
        </w:tabs>
        <w:kinsoku/>
        <w:wordWrap/>
        <w:overflowPunct/>
        <w:topLinePunct w:val="0"/>
        <w:autoSpaceDE/>
        <w:autoSpaceDN/>
        <w:bidi w:val="0"/>
        <w:adjustRightInd/>
        <w:snapToGrid/>
        <w:spacing w:line="220" w:lineRule="exact"/>
        <w:textAlignment w:val="auto"/>
        <w:rPr>
          <w:highlight w:val="none"/>
        </w:rPr>
      </w:pPr>
      <w:r>
        <w:rPr>
          <w:highlight w:val="none"/>
        </w:rPr>
        <w:fldChar w:fldCharType="begin"/>
      </w:r>
      <w:r>
        <w:rPr>
          <w:highlight w:val="none"/>
        </w:rPr>
        <w:instrText xml:space="preserve"> HYPERLINK \l "_Toc19533" </w:instrText>
      </w:r>
      <w:r>
        <w:rPr>
          <w:highlight w:val="none"/>
        </w:rPr>
        <w:fldChar w:fldCharType="separate"/>
      </w:r>
      <w:r>
        <w:rPr>
          <w:rFonts w:hint="eastAsia" w:ascii="宋体" w:hAnsi="宋体" w:cs="宋体"/>
          <w:bCs/>
          <w:szCs w:val="21"/>
          <w:highlight w:val="none"/>
        </w:rPr>
        <w:t>二、质疑项目基本情况</w:t>
      </w:r>
      <w:r>
        <w:rPr>
          <w:highlight w:val="none"/>
        </w:rPr>
        <w:tab/>
      </w:r>
      <w:r>
        <w:rPr>
          <w:highlight w:val="none"/>
        </w:rPr>
        <w:fldChar w:fldCharType="end"/>
      </w:r>
    </w:p>
    <w:p w14:paraId="5DCB1AFA">
      <w:pPr>
        <w:pStyle w:val="17"/>
        <w:keepNext w:val="0"/>
        <w:keepLines w:val="0"/>
        <w:pageBreakBefore w:val="0"/>
        <w:widowControl w:val="0"/>
        <w:tabs>
          <w:tab w:val="right" w:leader="dot" w:pos="9968"/>
        </w:tabs>
        <w:kinsoku/>
        <w:wordWrap/>
        <w:overflowPunct/>
        <w:topLinePunct w:val="0"/>
        <w:autoSpaceDE/>
        <w:autoSpaceDN/>
        <w:bidi w:val="0"/>
        <w:adjustRightInd/>
        <w:snapToGrid/>
        <w:spacing w:line="220" w:lineRule="exact"/>
        <w:textAlignment w:val="auto"/>
        <w:rPr>
          <w:highlight w:val="none"/>
        </w:rPr>
      </w:pPr>
      <w:r>
        <w:rPr>
          <w:highlight w:val="none"/>
        </w:rPr>
        <w:fldChar w:fldCharType="begin"/>
      </w:r>
      <w:r>
        <w:rPr>
          <w:highlight w:val="none"/>
        </w:rPr>
        <w:instrText xml:space="preserve"> HYPERLINK \l "_Toc25298" </w:instrText>
      </w:r>
      <w:r>
        <w:rPr>
          <w:highlight w:val="none"/>
        </w:rPr>
        <w:fldChar w:fldCharType="separate"/>
      </w:r>
      <w:r>
        <w:rPr>
          <w:rFonts w:hint="eastAsia" w:ascii="宋体" w:hAnsi="宋体" w:cs="宋体"/>
          <w:bCs/>
          <w:szCs w:val="21"/>
          <w:highlight w:val="none"/>
        </w:rPr>
        <w:t>三、质疑事项具体内容</w:t>
      </w:r>
      <w:r>
        <w:rPr>
          <w:highlight w:val="none"/>
        </w:rPr>
        <w:tab/>
      </w:r>
      <w:r>
        <w:rPr>
          <w:highlight w:val="none"/>
        </w:rPr>
        <w:fldChar w:fldCharType="end"/>
      </w:r>
    </w:p>
    <w:p w14:paraId="1DD63E7F">
      <w:pPr>
        <w:pStyle w:val="17"/>
        <w:keepNext w:val="0"/>
        <w:keepLines w:val="0"/>
        <w:pageBreakBefore w:val="0"/>
        <w:widowControl w:val="0"/>
        <w:tabs>
          <w:tab w:val="right" w:leader="dot" w:pos="9968"/>
        </w:tabs>
        <w:kinsoku/>
        <w:wordWrap/>
        <w:overflowPunct/>
        <w:topLinePunct w:val="0"/>
        <w:autoSpaceDE/>
        <w:autoSpaceDN/>
        <w:bidi w:val="0"/>
        <w:adjustRightInd/>
        <w:snapToGrid/>
        <w:spacing w:line="220" w:lineRule="exact"/>
        <w:textAlignment w:val="auto"/>
        <w:rPr>
          <w:highlight w:val="none"/>
        </w:rPr>
      </w:pPr>
      <w:r>
        <w:rPr>
          <w:highlight w:val="none"/>
        </w:rPr>
        <w:fldChar w:fldCharType="begin"/>
      </w:r>
      <w:r>
        <w:rPr>
          <w:highlight w:val="none"/>
        </w:rPr>
        <w:instrText xml:space="preserve"> HYPERLINK \l "_Toc20488" </w:instrText>
      </w:r>
      <w:r>
        <w:rPr>
          <w:highlight w:val="none"/>
        </w:rPr>
        <w:fldChar w:fldCharType="separate"/>
      </w:r>
      <w:r>
        <w:rPr>
          <w:rFonts w:hint="eastAsia" w:ascii="宋体" w:hAnsi="宋体" w:cs="宋体"/>
          <w:bCs/>
          <w:szCs w:val="21"/>
          <w:highlight w:val="none"/>
        </w:rPr>
        <w:t>四、与质疑事项相关的质疑请求</w:t>
      </w:r>
      <w:r>
        <w:rPr>
          <w:highlight w:val="none"/>
        </w:rPr>
        <w:tab/>
      </w:r>
      <w:r>
        <w:rPr>
          <w:highlight w:val="none"/>
        </w:rPr>
        <w:fldChar w:fldCharType="end"/>
      </w:r>
    </w:p>
    <w:p w14:paraId="2E5FEE32">
      <w:pPr>
        <w:pStyle w:val="17"/>
        <w:keepNext w:val="0"/>
        <w:keepLines w:val="0"/>
        <w:pageBreakBefore w:val="0"/>
        <w:widowControl w:val="0"/>
        <w:tabs>
          <w:tab w:val="right" w:leader="dot" w:pos="9968"/>
        </w:tabs>
        <w:kinsoku/>
        <w:wordWrap/>
        <w:overflowPunct/>
        <w:topLinePunct w:val="0"/>
        <w:autoSpaceDE/>
        <w:autoSpaceDN/>
        <w:bidi w:val="0"/>
        <w:adjustRightInd/>
        <w:snapToGrid/>
        <w:spacing w:line="220" w:lineRule="exact"/>
        <w:textAlignment w:val="auto"/>
        <w:rPr>
          <w:highlight w:val="none"/>
        </w:rPr>
      </w:pPr>
      <w:r>
        <w:rPr>
          <w:highlight w:val="none"/>
        </w:rPr>
        <w:fldChar w:fldCharType="begin"/>
      </w:r>
      <w:r>
        <w:rPr>
          <w:highlight w:val="none"/>
        </w:rPr>
        <w:instrText xml:space="preserve"> HYPERLINK \l "_Toc7619" </w:instrText>
      </w:r>
      <w:r>
        <w:rPr>
          <w:highlight w:val="none"/>
        </w:rPr>
        <w:fldChar w:fldCharType="separate"/>
      </w:r>
      <w:r>
        <w:rPr>
          <w:rFonts w:hint="eastAsia" w:ascii="黑体" w:eastAsia="黑体"/>
          <w:szCs w:val="30"/>
          <w:highlight w:val="none"/>
        </w:rPr>
        <w:t>第三章  评标办法</w:t>
      </w:r>
      <w:r>
        <w:rPr>
          <w:highlight w:val="none"/>
        </w:rPr>
        <w:tab/>
      </w:r>
      <w:r>
        <w:rPr>
          <w:highlight w:val="none"/>
        </w:rPr>
        <w:fldChar w:fldCharType="end"/>
      </w:r>
    </w:p>
    <w:p w14:paraId="53E60B79">
      <w:pPr>
        <w:pStyle w:val="19"/>
        <w:keepNext w:val="0"/>
        <w:keepLines w:val="0"/>
        <w:pageBreakBefore w:val="0"/>
        <w:widowControl w:val="0"/>
        <w:tabs>
          <w:tab w:val="right" w:leader="dot" w:pos="9968"/>
        </w:tabs>
        <w:kinsoku/>
        <w:wordWrap/>
        <w:overflowPunct/>
        <w:topLinePunct w:val="0"/>
        <w:autoSpaceDE/>
        <w:autoSpaceDN/>
        <w:bidi w:val="0"/>
        <w:adjustRightInd/>
        <w:snapToGrid/>
        <w:spacing w:line="220" w:lineRule="exact"/>
        <w:ind w:left="420"/>
        <w:textAlignment w:val="auto"/>
        <w:rPr>
          <w:highlight w:val="none"/>
        </w:rPr>
      </w:pPr>
      <w:r>
        <w:rPr>
          <w:highlight w:val="none"/>
        </w:rPr>
        <w:fldChar w:fldCharType="begin"/>
      </w:r>
      <w:r>
        <w:rPr>
          <w:highlight w:val="none"/>
        </w:rPr>
        <w:instrText xml:space="preserve"> HYPERLINK \l "_Toc15723" </w:instrText>
      </w:r>
      <w:r>
        <w:rPr>
          <w:highlight w:val="none"/>
        </w:rPr>
        <w:fldChar w:fldCharType="separate"/>
      </w:r>
      <w:r>
        <w:rPr>
          <w:rFonts w:hint="eastAsia" w:ascii="宋体"/>
          <w:szCs w:val="28"/>
          <w:highlight w:val="none"/>
        </w:rPr>
        <w:t>一  总  则</w:t>
      </w:r>
      <w:r>
        <w:rPr>
          <w:highlight w:val="none"/>
        </w:rPr>
        <w:tab/>
      </w:r>
      <w:r>
        <w:rPr>
          <w:highlight w:val="none"/>
        </w:rPr>
        <w:fldChar w:fldCharType="end"/>
      </w:r>
    </w:p>
    <w:p w14:paraId="316F1453">
      <w:pPr>
        <w:pStyle w:val="19"/>
        <w:keepNext w:val="0"/>
        <w:keepLines w:val="0"/>
        <w:pageBreakBefore w:val="0"/>
        <w:widowControl w:val="0"/>
        <w:tabs>
          <w:tab w:val="right" w:leader="dot" w:pos="9968"/>
        </w:tabs>
        <w:kinsoku/>
        <w:wordWrap/>
        <w:overflowPunct/>
        <w:topLinePunct w:val="0"/>
        <w:autoSpaceDE/>
        <w:autoSpaceDN/>
        <w:bidi w:val="0"/>
        <w:adjustRightInd/>
        <w:snapToGrid/>
        <w:spacing w:line="220" w:lineRule="exact"/>
        <w:ind w:left="420"/>
        <w:textAlignment w:val="auto"/>
        <w:rPr>
          <w:highlight w:val="none"/>
        </w:rPr>
      </w:pPr>
      <w:r>
        <w:rPr>
          <w:highlight w:val="none"/>
        </w:rPr>
        <w:fldChar w:fldCharType="begin"/>
      </w:r>
      <w:r>
        <w:rPr>
          <w:highlight w:val="none"/>
        </w:rPr>
        <w:instrText xml:space="preserve"> HYPERLINK \l "_Toc5760" </w:instrText>
      </w:r>
      <w:r>
        <w:rPr>
          <w:highlight w:val="none"/>
        </w:rPr>
        <w:fldChar w:fldCharType="separate"/>
      </w:r>
      <w:r>
        <w:rPr>
          <w:rFonts w:hint="eastAsia" w:ascii="宋体"/>
          <w:szCs w:val="28"/>
          <w:highlight w:val="none"/>
        </w:rPr>
        <w:t>二  投标文件初审</w:t>
      </w:r>
      <w:r>
        <w:rPr>
          <w:highlight w:val="none"/>
        </w:rPr>
        <w:tab/>
      </w:r>
      <w:r>
        <w:rPr>
          <w:highlight w:val="none"/>
        </w:rPr>
        <w:fldChar w:fldCharType="end"/>
      </w:r>
    </w:p>
    <w:p w14:paraId="42FE4761">
      <w:pPr>
        <w:pStyle w:val="19"/>
        <w:keepNext w:val="0"/>
        <w:keepLines w:val="0"/>
        <w:pageBreakBefore w:val="0"/>
        <w:widowControl w:val="0"/>
        <w:tabs>
          <w:tab w:val="right" w:leader="dot" w:pos="9968"/>
        </w:tabs>
        <w:kinsoku/>
        <w:wordWrap/>
        <w:overflowPunct/>
        <w:topLinePunct w:val="0"/>
        <w:autoSpaceDE/>
        <w:autoSpaceDN/>
        <w:bidi w:val="0"/>
        <w:adjustRightInd/>
        <w:snapToGrid/>
        <w:spacing w:line="220" w:lineRule="exact"/>
        <w:ind w:left="420"/>
        <w:textAlignment w:val="auto"/>
        <w:rPr>
          <w:highlight w:val="none"/>
        </w:rPr>
      </w:pPr>
      <w:r>
        <w:rPr>
          <w:highlight w:val="none"/>
        </w:rPr>
        <w:fldChar w:fldCharType="begin"/>
      </w:r>
      <w:r>
        <w:rPr>
          <w:highlight w:val="none"/>
        </w:rPr>
        <w:instrText xml:space="preserve"> HYPERLINK \l "_Toc19366" </w:instrText>
      </w:r>
      <w:r>
        <w:rPr>
          <w:highlight w:val="none"/>
        </w:rPr>
        <w:fldChar w:fldCharType="separate"/>
      </w:r>
      <w:r>
        <w:rPr>
          <w:rFonts w:hint="eastAsia" w:ascii="宋体"/>
          <w:szCs w:val="28"/>
          <w:highlight w:val="none"/>
        </w:rPr>
        <w:t xml:space="preserve">三  </w:t>
      </w:r>
      <w:r>
        <w:rPr>
          <w:rFonts w:hint="eastAsia" w:ascii="宋体"/>
          <w:highlight w:val="none"/>
        </w:rPr>
        <w:t>投标文件的澄清和补正</w:t>
      </w:r>
      <w:r>
        <w:rPr>
          <w:highlight w:val="none"/>
        </w:rPr>
        <w:tab/>
      </w:r>
      <w:r>
        <w:rPr>
          <w:highlight w:val="none"/>
        </w:rPr>
        <w:fldChar w:fldCharType="end"/>
      </w:r>
    </w:p>
    <w:p w14:paraId="1385AD26">
      <w:pPr>
        <w:pStyle w:val="19"/>
        <w:keepNext w:val="0"/>
        <w:keepLines w:val="0"/>
        <w:pageBreakBefore w:val="0"/>
        <w:widowControl w:val="0"/>
        <w:tabs>
          <w:tab w:val="right" w:leader="dot" w:pos="9968"/>
        </w:tabs>
        <w:kinsoku/>
        <w:wordWrap/>
        <w:overflowPunct/>
        <w:topLinePunct w:val="0"/>
        <w:autoSpaceDE/>
        <w:autoSpaceDN/>
        <w:bidi w:val="0"/>
        <w:adjustRightInd/>
        <w:snapToGrid/>
        <w:spacing w:line="220" w:lineRule="exact"/>
        <w:ind w:left="420"/>
        <w:textAlignment w:val="auto"/>
        <w:rPr>
          <w:highlight w:val="none"/>
        </w:rPr>
      </w:pPr>
      <w:r>
        <w:rPr>
          <w:highlight w:val="none"/>
        </w:rPr>
        <w:fldChar w:fldCharType="begin"/>
      </w:r>
      <w:r>
        <w:rPr>
          <w:highlight w:val="none"/>
        </w:rPr>
        <w:instrText xml:space="preserve"> HYPERLINK \l "_Toc18469" </w:instrText>
      </w:r>
      <w:r>
        <w:rPr>
          <w:highlight w:val="none"/>
        </w:rPr>
        <w:fldChar w:fldCharType="separate"/>
      </w:r>
      <w:r>
        <w:rPr>
          <w:rFonts w:hint="eastAsia" w:ascii="宋体"/>
          <w:highlight w:val="none"/>
        </w:rPr>
        <w:t>四 比较与评价</w:t>
      </w:r>
      <w:r>
        <w:rPr>
          <w:highlight w:val="none"/>
        </w:rPr>
        <w:tab/>
      </w:r>
      <w:r>
        <w:rPr>
          <w:highlight w:val="none"/>
        </w:rPr>
        <w:fldChar w:fldCharType="end"/>
      </w:r>
    </w:p>
    <w:p w14:paraId="4C0E5445">
      <w:pPr>
        <w:pStyle w:val="17"/>
        <w:keepNext w:val="0"/>
        <w:keepLines w:val="0"/>
        <w:pageBreakBefore w:val="0"/>
        <w:widowControl w:val="0"/>
        <w:tabs>
          <w:tab w:val="right" w:leader="dot" w:pos="9968"/>
        </w:tabs>
        <w:kinsoku/>
        <w:wordWrap/>
        <w:overflowPunct/>
        <w:topLinePunct w:val="0"/>
        <w:autoSpaceDE/>
        <w:autoSpaceDN/>
        <w:bidi w:val="0"/>
        <w:adjustRightInd/>
        <w:snapToGrid/>
        <w:spacing w:line="220" w:lineRule="exact"/>
        <w:textAlignment w:val="auto"/>
        <w:rPr>
          <w:highlight w:val="none"/>
        </w:rPr>
      </w:pPr>
      <w:r>
        <w:rPr>
          <w:highlight w:val="none"/>
        </w:rPr>
        <w:fldChar w:fldCharType="begin"/>
      </w:r>
      <w:r>
        <w:rPr>
          <w:highlight w:val="none"/>
        </w:rPr>
        <w:instrText xml:space="preserve"> HYPERLINK \l "_Toc767" </w:instrText>
      </w:r>
      <w:r>
        <w:rPr>
          <w:highlight w:val="none"/>
        </w:rPr>
        <w:fldChar w:fldCharType="separate"/>
      </w:r>
      <w:r>
        <w:rPr>
          <w:rFonts w:hint="eastAsia" w:ascii="宋体"/>
          <w:szCs w:val="32"/>
          <w:highlight w:val="none"/>
        </w:rPr>
        <w:t>第四章 技术规格、数量及质量要求</w:t>
      </w:r>
      <w:r>
        <w:rPr>
          <w:highlight w:val="none"/>
        </w:rPr>
        <w:tab/>
      </w:r>
      <w:r>
        <w:rPr>
          <w:highlight w:val="none"/>
        </w:rPr>
        <w:fldChar w:fldCharType="end"/>
      </w:r>
    </w:p>
    <w:p w14:paraId="4A1F740E">
      <w:pPr>
        <w:pStyle w:val="19"/>
        <w:keepNext w:val="0"/>
        <w:keepLines w:val="0"/>
        <w:pageBreakBefore w:val="0"/>
        <w:widowControl w:val="0"/>
        <w:tabs>
          <w:tab w:val="right" w:leader="dot" w:pos="9968"/>
        </w:tabs>
        <w:kinsoku/>
        <w:wordWrap/>
        <w:overflowPunct/>
        <w:topLinePunct w:val="0"/>
        <w:autoSpaceDE/>
        <w:autoSpaceDN/>
        <w:bidi w:val="0"/>
        <w:adjustRightInd/>
        <w:snapToGrid/>
        <w:spacing w:line="220" w:lineRule="exact"/>
        <w:ind w:left="420"/>
        <w:textAlignment w:val="auto"/>
        <w:rPr>
          <w:highlight w:val="none"/>
        </w:rPr>
      </w:pPr>
      <w:r>
        <w:rPr>
          <w:highlight w:val="none"/>
        </w:rPr>
        <w:fldChar w:fldCharType="begin"/>
      </w:r>
      <w:r>
        <w:rPr>
          <w:highlight w:val="none"/>
        </w:rPr>
        <w:instrText xml:space="preserve"> HYPERLINK \l "_Toc29918" </w:instrText>
      </w:r>
      <w:r>
        <w:rPr>
          <w:highlight w:val="none"/>
        </w:rPr>
        <w:fldChar w:fldCharType="separate"/>
      </w:r>
      <w:r>
        <w:rPr>
          <w:rFonts w:hint="eastAsia" w:ascii="宋体"/>
          <w:szCs w:val="30"/>
          <w:highlight w:val="none"/>
        </w:rPr>
        <w:t>第五章 合同条款及格式</w:t>
      </w:r>
      <w:r>
        <w:rPr>
          <w:highlight w:val="none"/>
        </w:rPr>
        <w:tab/>
      </w:r>
      <w:r>
        <w:rPr>
          <w:highlight w:val="none"/>
        </w:rPr>
        <w:fldChar w:fldCharType="end"/>
      </w:r>
    </w:p>
    <w:p w14:paraId="02513D43">
      <w:pPr>
        <w:pStyle w:val="19"/>
        <w:keepNext w:val="0"/>
        <w:keepLines w:val="0"/>
        <w:pageBreakBefore w:val="0"/>
        <w:widowControl w:val="0"/>
        <w:tabs>
          <w:tab w:val="right" w:leader="dot" w:pos="9968"/>
        </w:tabs>
        <w:kinsoku/>
        <w:wordWrap/>
        <w:overflowPunct/>
        <w:topLinePunct w:val="0"/>
        <w:autoSpaceDE/>
        <w:autoSpaceDN/>
        <w:bidi w:val="0"/>
        <w:adjustRightInd/>
        <w:snapToGrid/>
        <w:spacing w:line="220" w:lineRule="exact"/>
        <w:ind w:left="420"/>
        <w:textAlignment w:val="auto"/>
        <w:rPr>
          <w:highlight w:val="none"/>
        </w:rPr>
      </w:pPr>
      <w:r>
        <w:rPr>
          <w:highlight w:val="none"/>
        </w:rPr>
        <w:fldChar w:fldCharType="begin"/>
      </w:r>
      <w:r>
        <w:rPr>
          <w:highlight w:val="none"/>
        </w:rPr>
        <w:instrText xml:space="preserve"> HYPERLINK \l "_Toc23978" </w:instrText>
      </w:r>
      <w:r>
        <w:rPr>
          <w:highlight w:val="none"/>
        </w:rPr>
        <w:fldChar w:fldCharType="separate"/>
      </w:r>
      <w:r>
        <w:rPr>
          <w:rFonts w:hint="eastAsia" w:ascii="宋体" w:hAnsi="宋体" w:cs="宋体"/>
          <w:szCs w:val="21"/>
          <w:highlight w:val="none"/>
        </w:rPr>
        <w:t>（本合同为合同样稿，最终稿由供需双方协商后确定）</w:t>
      </w:r>
      <w:r>
        <w:rPr>
          <w:highlight w:val="none"/>
        </w:rPr>
        <w:tab/>
      </w:r>
      <w:r>
        <w:rPr>
          <w:highlight w:val="none"/>
        </w:rPr>
        <w:fldChar w:fldCharType="end"/>
      </w:r>
    </w:p>
    <w:p w14:paraId="07BA492F">
      <w:pPr>
        <w:pStyle w:val="19"/>
        <w:keepNext w:val="0"/>
        <w:keepLines w:val="0"/>
        <w:pageBreakBefore w:val="0"/>
        <w:widowControl w:val="0"/>
        <w:tabs>
          <w:tab w:val="right" w:leader="dot" w:pos="9968"/>
        </w:tabs>
        <w:kinsoku/>
        <w:wordWrap/>
        <w:overflowPunct/>
        <w:topLinePunct w:val="0"/>
        <w:autoSpaceDE/>
        <w:autoSpaceDN/>
        <w:bidi w:val="0"/>
        <w:adjustRightInd/>
        <w:snapToGrid/>
        <w:spacing w:line="220" w:lineRule="exact"/>
        <w:ind w:left="420"/>
        <w:textAlignment w:val="auto"/>
        <w:rPr>
          <w:highlight w:val="none"/>
        </w:rPr>
      </w:pPr>
      <w:r>
        <w:rPr>
          <w:highlight w:val="none"/>
        </w:rPr>
        <w:fldChar w:fldCharType="begin"/>
      </w:r>
      <w:r>
        <w:rPr>
          <w:highlight w:val="none"/>
        </w:rPr>
        <w:instrText xml:space="preserve"> HYPERLINK \l "_Toc14079" </w:instrText>
      </w:r>
      <w:r>
        <w:rPr>
          <w:highlight w:val="none"/>
        </w:rPr>
        <w:fldChar w:fldCharType="separate"/>
      </w:r>
      <w:r>
        <w:rPr>
          <w:rFonts w:ascii="宋体" w:hAnsi="宋体"/>
          <w:szCs w:val="30"/>
          <w:highlight w:val="none"/>
        </w:rPr>
        <w:t xml:space="preserve">一 </w:t>
      </w:r>
      <w:r>
        <w:rPr>
          <w:rFonts w:hint="eastAsia" w:ascii="宋体"/>
          <w:szCs w:val="30"/>
          <w:highlight w:val="none"/>
        </w:rPr>
        <w:t>合同协议书</w:t>
      </w:r>
      <w:r>
        <w:rPr>
          <w:highlight w:val="none"/>
        </w:rPr>
        <w:tab/>
      </w:r>
      <w:r>
        <w:rPr>
          <w:highlight w:val="none"/>
        </w:rPr>
        <w:fldChar w:fldCharType="end"/>
      </w:r>
    </w:p>
    <w:p w14:paraId="230E12D7">
      <w:pPr>
        <w:pStyle w:val="19"/>
        <w:keepNext w:val="0"/>
        <w:keepLines w:val="0"/>
        <w:pageBreakBefore w:val="0"/>
        <w:widowControl w:val="0"/>
        <w:tabs>
          <w:tab w:val="right" w:leader="dot" w:pos="9968"/>
        </w:tabs>
        <w:kinsoku/>
        <w:wordWrap/>
        <w:overflowPunct/>
        <w:topLinePunct w:val="0"/>
        <w:autoSpaceDE/>
        <w:autoSpaceDN/>
        <w:bidi w:val="0"/>
        <w:adjustRightInd/>
        <w:snapToGrid/>
        <w:spacing w:line="220" w:lineRule="exact"/>
        <w:ind w:left="420"/>
        <w:textAlignment w:val="auto"/>
        <w:rPr>
          <w:highlight w:val="none"/>
        </w:rPr>
      </w:pPr>
      <w:r>
        <w:rPr>
          <w:highlight w:val="none"/>
        </w:rPr>
        <w:fldChar w:fldCharType="begin"/>
      </w:r>
      <w:r>
        <w:rPr>
          <w:highlight w:val="none"/>
        </w:rPr>
        <w:instrText xml:space="preserve"> HYPERLINK \l "_Toc17151" </w:instrText>
      </w:r>
      <w:r>
        <w:rPr>
          <w:highlight w:val="none"/>
        </w:rPr>
        <w:fldChar w:fldCharType="separate"/>
      </w:r>
      <w:r>
        <w:rPr>
          <w:rFonts w:hint="eastAsia" w:ascii="黑体" w:eastAsia="黑体"/>
          <w:szCs w:val="30"/>
          <w:highlight w:val="none"/>
        </w:rPr>
        <w:t>二  合同条款</w:t>
      </w:r>
      <w:r>
        <w:rPr>
          <w:highlight w:val="none"/>
        </w:rPr>
        <w:tab/>
      </w:r>
      <w:r>
        <w:rPr>
          <w:highlight w:val="none"/>
        </w:rPr>
        <w:fldChar w:fldCharType="end"/>
      </w:r>
    </w:p>
    <w:p w14:paraId="3ABCAF7E">
      <w:pPr>
        <w:pStyle w:val="17"/>
        <w:keepNext w:val="0"/>
        <w:keepLines w:val="0"/>
        <w:pageBreakBefore w:val="0"/>
        <w:widowControl w:val="0"/>
        <w:tabs>
          <w:tab w:val="right" w:leader="dot" w:pos="9968"/>
        </w:tabs>
        <w:kinsoku/>
        <w:wordWrap/>
        <w:overflowPunct/>
        <w:topLinePunct w:val="0"/>
        <w:autoSpaceDE/>
        <w:autoSpaceDN/>
        <w:bidi w:val="0"/>
        <w:adjustRightInd/>
        <w:snapToGrid/>
        <w:spacing w:line="220" w:lineRule="exact"/>
        <w:textAlignment w:val="auto"/>
        <w:rPr>
          <w:highlight w:val="none"/>
        </w:rPr>
      </w:pPr>
      <w:r>
        <w:rPr>
          <w:highlight w:val="none"/>
        </w:rPr>
        <w:fldChar w:fldCharType="begin"/>
      </w:r>
      <w:r>
        <w:rPr>
          <w:highlight w:val="none"/>
        </w:rPr>
        <w:instrText xml:space="preserve"> HYPERLINK \l "_Toc7538" </w:instrText>
      </w:r>
      <w:r>
        <w:rPr>
          <w:highlight w:val="none"/>
        </w:rPr>
        <w:fldChar w:fldCharType="separate"/>
      </w:r>
      <w:r>
        <w:rPr>
          <w:rFonts w:hint="eastAsia" w:ascii="宋体"/>
          <w:szCs w:val="30"/>
          <w:highlight w:val="none"/>
        </w:rPr>
        <w:t>第六章  投标文件格式</w:t>
      </w:r>
      <w:r>
        <w:rPr>
          <w:highlight w:val="none"/>
        </w:rPr>
        <w:tab/>
      </w:r>
      <w:r>
        <w:rPr>
          <w:highlight w:val="none"/>
        </w:rPr>
        <w:fldChar w:fldCharType="end"/>
      </w:r>
    </w:p>
    <w:p w14:paraId="791DDCE9">
      <w:pPr>
        <w:pStyle w:val="19"/>
        <w:keepNext w:val="0"/>
        <w:keepLines w:val="0"/>
        <w:pageBreakBefore w:val="0"/>
        <w:widowControl w:val="0"/>
        <w:tabs>
          <w:tab w:val="right" w:leader="dot" w:pos="9968"/>
        </w:tabs>
        <w:kinsoku/>
        <w:wordWrap/>
        <w:overflowPunct/>
        <w:topLinePunct w:val="0"/>
        <w:autoSpaceDE/>
        <w:autoSpaceDN/>
        <w:bidi w:val="0"/>
        <w:adjustRightInd/>
        <w:snapToGrid/>
        <w:spacing w:line="220" w:lineRule="exact"/>
        <w:ind w:left="420"/>
        <w:textAlignment w:val="auto"/>
        <w:rPr>
          <w:highlight w:val="none"/>
        </w:rPr>
      </w:pPr>
      <w:r>
        <w:rPr>
          <w:highlight w:val="none"/>
        </w:rPr>
        <w:fldChar w:fldCharType="begin"/>
      </w:r>
      <w:r>
        <w:rPr>
          <w:highlight w:val="none"/>
        </w:rPr>
        <w:instrText xml:space="preserve"> HYPERLINK \l "_Toc32624" </w:instrText>
      </w:r>
      <w:r>
        <w:rPr>
          <w:highlight w:val="none"/>
        </w:rPr>
        <w:fldChar w:fldCharType="separate"/>
      </w:r>
      <w:r>
        <w:rPr>
          <w:rFonts w:hint="eastAsia" w:ascii="宋体" w:hAnsi="宋体" w:cs="宋体"/>
          <w:bCs/>
          <w:highlight w:val="none"/>
        </w:rPr>
        <w:t>第一部分 开标一览表及资格证明文件</w:t>
      </w:r>
      <w:r>
        <w:rPr>
          <w:highlight w:val="none"/>
        </w:rPr>
        <w:tab/>
      </w:r>
      <w:r>
        <w:rPr>
          <w:highlight w:val="none"/>
        </w:rPr>
        <w:fldChar w:fldCharType="end"/>
      </w:r>
    </w:p>
    <w:p w14:paraId="379EEC6C">
      <w:pPr>
        <w:pStyle w:val="19"/>
        <w:keepNext w:val="0"/>
        <w:keepLines w:val="0"/>
        <w:pageBreakBefore w:val="0"/>
        <w:widowControl w:val="0"/>
        <w:tabs>
          <w:tab w:val="right" w:leader="dot" w:pos="9968"/>
        </w:tabs>
        <w:kinsoku/>
        <w:wordWrap/>
        <w:overflowPunct/>
        <w:topLinePunct w:val="0"/>
        <w:autoSpaceDE/>
        <w:autoSpaceDN/>
        <w:bidi w:val="0"/>
        <w:adjustRightInd/>
        <w:snapToGrid/>
        <w:spacing w:line="220" w:lineRule="exact"/>
        <w:ind w:left="420"/>
        <w:textAlignment w:val="auto"/>
        <w:rPr>
          <w:highlight w:val="none"/>
        </w:rPr>
      </w:pPr>
      <w:r>
        <w:rPr>
          <w:highlight w:val="none"/>
        </w:rPr>
        <w:fldChar w:fldCharType="begin"/>
      </w:r>
      <w:r>
        <w:rPr>
          <w:highlight w:val="none"/>
        </w:rPr>
        <w:instrText xml:space="preserve"> HYPERLINK \l "_Toc32612" </w:instrText>
      </w:r>
      <w:r>
        <w:rPr>
          <w:highlight w:val="none"/>
        </w:rPr>
        <w:fldChar w:fldCharType="separate"/>
      </w:r>
      <w:r>
        <w:rPr>
          <w:rFonts w:hint="eastAsia" w:ascii="宋体" w:hAnsi="宋体" w:cs="宋体"/>
          <w:highlight w:val="none"/>
        </w:rPr>
        <w:t>1、开标一览表（投标文件格式一）</w:t>
      </w:r>
      <w:r>
        <w:rPr>
          <w:highlight w:val="none"/>
        </w:rPr>
        <w:tab/>
      </w:r>
      <w:r>
        <w:rPr>
          <w:highlight w:val="none"/>
        </w:rPr>
        <w:fldChar w:fldCharType="end"/>
      </w:r>
    </w:p>
    <w:p w14:paraId="746BF9BA">
      <w:pPr>
        <w:pStyle w:val="19"/>
        <w:keepNext w:val="0"/>
        <w:keepLines w:val="0"/>
        <w:pageBreakBefore w:val="0"/>
        <w:widowControl w:val="0"/>
        <w:tabs>
          <w:tab w:val="right" w:leader="dot" w:pos="9968"/>
        </w:tabs>
        <w:kinsoku/>
        <w:wordWrap/>
        <w:overflowPunct/>
        <w:topLinePunct w:val="0"/>
        <w:autoSpaceDE/>
        <w:autoSpaceDN/>
        <w:bidi w:val="0"/>
        <w:adjustRightInd/>
        <w:snapToGrid/>
        <w:spacing w:line="220" w:lineRule="exact"/>
        <w:ind w:left="420"/>
        <w:textAlignment w:val="auto"/>
        <w:rPr>
          <w:highlight w:val="none"/>
        </w:rPr>
      </w:pPr>
      <w:r>
        <w:rPr>
          <w:highlight w:val="none"/>
        </w:rPr>
        <w:fldChar w:fldCharType="begin"/>
      </w:r>
      <w:r>
        <w:rPr>
          <w:highlight w:val="none"/>
        </w:rPr>
        <w:instrText xml:space="preserve"> HYPERLINK \l "_Toc24555" </w:instrText>
      </w:r>
      <w:r>
        <w:rPr>
          <w:highlight w:val="none"/>
        </w:rPr>
        <w:fldChar w:fldCharType="separate"/>
      </w:r>
      <w:r>
        <w:rPr>
          <w:rFonts w:hint="eastAsia" w:ascii="宋体" w:hAnsi="宋体" w:cs="宋体"/>
          <w:highlight w:val="none"/>
        </w:rPr>
        <w:t>2、 法人或者非法人组织的营业执照等证明文件或自然人的身份证明</w:t>
      </w:r>
      <w:r>
        <w:rPr>
          <w:highlight w:val="none"/>
        </w:rPr>
        <w:tab/>
      </w:r>
      <w:r>
        <w:rPr>
          <w:highlight w:val="none"/>
        </w:rPr>
        <w:fldChar w:fldCharType="end"/>
      </w:r>
    </w:p>
    <w:p w14:paraId="76483F1C">
      <w:pPr>
        <w:pStyle w:val="19"/>
        <w:keepNext w:val="0"/>
        <w:keepLines w:val="0"/>
        <w:pageBreakBefore w:val="0"/>
        <w:widowControl w:val="0"/>
        <w:tabs>
          <w:tab w:val="right" w:leader="dot" w:pos="9968"/>
        </w:tabs>
        <w:kinsoku/>
        <w:wordWrap/>
        <w:overflowPunct/>
        <w:topLinePunct w:val="0"/>
        <w:autoSpaceDE/>
        <w:autoSpaceDN/>
        <w:bidi w:val="0"/>
        <w:adjustRightInd/>
        <w:snapToGrid/>
        <w:spacing w:line="220" w:lineRule="exact"/>
        <w:ind w:left="420"/>
        <w:textAlignment w:val="auto"/>
        <w:rPr>
          <w:highlight w:val="none"/>
        </w:rPr>
      </w:pPr>
      <w:r>
        <w:rPr>
          <w:highlight w:val="none"/>
        </w:rPr>
        <w:fldChar w:fldCharType="begin"/>
      </w:r>
      <w:r>
        <w:rPr>
          <w:highlight w:val="none"/>
        </w:rPr>
        <w:instrText xml:space="preserve"> HYPERLINK \l "_Toc26267" </w:instrText>
      </w:r>
      <w:r>
        <w:rPr>
          <w:highlight w:val="none"/>
        </w:rPr>
        <w:fldChar w:fldCharType="separate"/>
      </w:r>
      <w:r>
        <w:rPr>
          <w:rFonts w:hint="eastAsia" w:ascii="宋体" w:hAnsi="宋体" w:cs="宋体"/>
          <w:highlight w:val="none"/>
        </w:rPr>
        <w:t>3 、法定代表人资格证明书（见投标文件格式二，自然人投标的无需提供）</w:t>
      </w:r>
      <w:r>
        <w:rPr>
          <w:highlight w:val="none"/>
        </w:rPr>
        <w:tab/>
      </w:r>
      <w:r>
        <w:rPr>
          <w:highlight w:val="none"/>
        </w:rPr>
        <w:fldChar w:fldCharType="end"/>
      </w:r>
    </w:p>
    <w:p w14:paraId="4DE8A631">
      <w:pPr>
        <w:pStyle w:val="19"/>
        <w:keepNext w:val="0"/>
        <w:keepLines w:val="0"/>
        <w:pageBreakBefore w:val="0"/>
        <w:widowControl w:val="0"/>
        <w:tabs>
          <w:tab w:val="right" w:leader="dot" w:pos="9968"/>
        </w:tabs>
        <w:kinsoku/>
        <w:wordWrap/>
        <w:overflowPunct/>
        <w:topLinePunct w:val="0"/>
        <w:autoSpaceDE/>
        <w:autoSpaceDN/>
        <w:bidi w:val="0"/>
        <w:adjustRightInd/>
        <w:snapToGrid/>
        <w:spacing w:line="220" w:lineRule="exact"/>
        <w:ind w:left="420"/>
        <w:textAlignment w:val="auto"/>
        <w:rPr>
          <w:highlight w:val="none"/>
        </w:rPr>
      </w:pPr>
      <w:r>
        <w:rPr>
          <w:highlight w:val="none"/>
        </w:rPr>
        <w:fldChar w:fldCharType="begin"/>
      </w:r>
      <w:r>
        <w:rPr>
          <w:highlight w:val="none"/>
        </w:rPr>
        <w:instrText xml:space="preserve"> HYPERLINK \l "_Toc15724" </w:instrText>
      </w:r>
      <w:r>
        <w:rPr>
          <w:highlight w:val="none"/>
        </w:rPr>
        <w:fldChar w:fldCharType="separate"/>
      </w:r>
      <w:r>
        <w:rPr>
          <w:rFonts w:hint="eastAsia" w:ascii="宋体" w:hAnsi="宋体" w:cs="宋体"/>
          <w:highlight w:val="none"/>
        </w:rPr>
        <w:t>4 、法定代表人授权委托书(投标文件格式三，自然人投标的无需提供)</w:t>
      </w:r>
      <w:r>
        <w:rPr>
          <w:highlight w:val="none"/>
        </w:rPr>
        <w:tab/>
      </w:r>
      <w:r>
        <w:rPr>
          <w:highlight w:val="none"/>
        </w:rPr>
        <w:fldChar w:fldCharType="end"/>
      </w:r>
    </w:p>
    <w:p w14:paraId="3B4F791A">
      <w:pPr>
        <w:pStyle w:val="19"/>
        <w:keepNext w:val="0"/>
        <w:keepLines w:val="0"/>
        <w:pageBreakBefore w:val="0"/>
        <w:widowControl w:val="0"/>
        <w:tabs>
          <w:tab w:val="right" w:leader="dot" w:pos="9968"/>
        </w:tabs>
        <w:kinsoku/>
        <w:wordWrap/>
        <w:overflowPunct/>
        <w:topLinePunct w:val="0"/>
        <w:autoSpaceDE/>
        <w:autoSpaceDN/>
        <w:bidi w:val="0"/>
        <w:adjustRightInd/>
        <w:snapToGrid/>
        <w:spacing w:line="220" w:lineRule="exact"/>
        <w:ind w:left="420"/>
        <w:textAlignment w:val="auto"/>
        <w:rPr>
          <w:highlight w:val="none"/>
        </w:rPr>
      </w:pPr>
      <w:r>
        <w:rPr>
          <w:highlight w:val="none"/>
        </w:rPr>
        <w:fldChar w:fldCharType="begin"/>
      </w:r>
      <w:r>
        <w:rPr>
          <w:highlight w:val="none"/>
        </w:rPr>
        <w:instrText xml:space="preserve"> HYPERLINK \l "_Toc3400" </w:instrText>
      </w:r>
      <w:r>
        <w:rPr>
          <w:highlight w:val="none"/>
        </w:rPr>
        <w:fldChar w:fldCharType="separate"/>
      </w:r>
      <w:r>
        <w:rPr>
          <w:rFonts w:hint="eastAsia" w:ascii="宋体" w:hAnsi="宋体" w:cs="宋体"/>
          <w:highlight w:val="none"/>
        </w:rPr>
        <w:t>5、投标保证金缴纳凭证或投标担保函</w:t>
      </w:r>
      <w:r>
        <w:rPr>
          <w:highlight w:val="none"/>
        </w:rPr>
        <w:tab/>
      </w:r>
      <w:r>
        <w:rPr>
          <w:highlight w:val="none"/>
        </w:rPr>
        <w:fldChar w:fldCharType="end"/>
      </w:r>
    </w:p>
    <w:p w14:paraId="482F6A9C">
      <w:pPr>
        <w:pStyle w:val="19"/>
        <w:keepNext w:val="0"/>
        <w:keepLines w:val="0"/>
        <w:pageBreakBefore w:val="0"/>
        <w:widowControl w:val="0"/>
        <w:tabs>
          <w:tab w:val="right" w:leader="dot" w:pos="9968"/>
        </w:tabs>
        <w:kinsoku/>
        <w:wordWrap/>
        <w:overflowPunct/>
        <w:topLinePunct w:val="0"/>
        <w:autoSpaceDE/>
        <w:autoSpaceDN/>
        <w:bidi w:val="0"/>
        <w:adjustRightInd/>
        <w:snapToGrid/>
        <w:spacing w:line="220" w:lineRule="exact"/>
        <w:ind w:left="420"/>
        <w:textAlignment w:val="auto"/>
        <w:rPr>
          <w:highlight w:val="none"/>
        </w:rPr>
      </w:pPr>
      <w:r>
        <w:rPr>
          <w:highlight w:val="none"/>
        </w:rPr>
        <w:fldChar w:fldCharType="begin"/>
      </w:r>
      <w:r>
        <w:rPr>
          <w:highlight w:val="none"/>
        </w:rPr>
        <w:instrText xml:space="preserve"> HYPERLINK \l "_Toc8696" </w:instrText>
      </w:r>
      <w:r>
        <w:rPr>
          <w:highlight w:val="none"/>
        </w:rPr>
        <w:fldChar w:fldCharType="separate"/>
      </w:r>
      <w:r>
        <w:rPr>
          <w:rFonts w:hint="eastAsia" w:ascii="宋体" w:hAnsi="宋体" w:cs="宋体"/>
          <w:highlight w:val="none"/>
        </w:rPr>
        <w:t>6、社会保障资金的缴纳记录</w:t>
      </w:r>
      <w:r>
        <w:rPr>
          <w:highlight w:val="none"/>
        </w:rPr>
        <w:tab/>
      </w:r>
      <w:r>
        <w:rPr>
          <w:highlight w:val="none"/>
        </w:rPr>
        <w:fldChar w:fldCharType="end"/>
      </w:r>
    </w:p>
    <w:p w14:paraId="5D452A19">
      <w:pPr>
        <w:pStyle w:val="19"/>
        <w:keepNext w:val="0"/>
        <w:keepLines w:val="0"/>
        <w:pageBreakBefore w:val="0"/>
        <w:widowControl w:val="0"/>
        <w:tabs>
          <w:tab w:val="right" w:leader="dot" w:pos="9968"/>
        </w:tabs>
        <w:kinsoku/>
        <w:wordWrap/>
        <w:overflowPunct/>
        <w:topLinePunct w:val="0"/>
        <w:autoSpaceDE/>
        <w:autoSpaceDN/>
        <w:bidi w:val="0"/>
        <w:adjustRightInd/>
        <w:snapToGrid/>
        <w:spacing w:line="220" w:lineRule="exact"/>
        <w:ind w:left="420"/>
        <w:textAlignment w:val="auto"/>
        <w:rPr>
          <w:rFonts w:ascii="宋体" w:hAnsi="宋体" w:cs="宋体"/>
          <w:highlight w:val="none"/>
        </w:rPr>
      </w:pPr>
      <w:r>
        <w:rPr>
          <w:highlight w:val="none"/>
        </w:rPr>
        <w:fldChar w:fldCharType="begin"/>
      </w:r>
      <w:r>
        <w:rPr>
          <w:highlight w:val="none"/>
        </w:rPr>
        <w:instrText xml:space="preserve"> HYPERLINK \l "_Toc5004" </w:instrText>
      </w:r>
      <w:r>
        <w:rPr>
          <w:highlight w:val="none"/>
        </w:rPr>
        <w:fldChar w:fldCharType="separate"/>
      </w:r>
      <w:r>
        <w:rPr>
          <w:rFonts w:hint="eastAsia" w:ascii="宋体" w:hAnsi="宋体" w:cs="宋体"/>
          <w:highlight w:val="none"/>
        </w:rPr>
        <w:t>7、参加政府采购活动前3年内在经营活动中没有重大违法记录的书面声明</w:t>
      </w:r>
      <w:r>
        <w:rPr>
          <w:highlight w:val="none"/>
        </w:rPr>
        <w:tab/>
      </w:r>
      <w:r>
        <w:rPr>
          <w:highlight w:val="none"/>
        </w:rPr>
        <w:fldChar w:fldCharType="end"/>
      </w:r>
    </w:p>
    <w:p w14:paraId="576639B4">
      <w:pPr>
        <w:pStyle w:val="19"/>
        <w:keepNext w:val="0"/>
        <w:keepLines w:val="0"/>
        <w:pageBreakBefore w:val="0"/>
        <w:widowControl w:val="0"/>
        <w:tabs>
          <w:tab w:val="right" w:leader="dot" w:pos="9968"/>
        </w:tabs>
        <w:kinsoku/>
        <w:wordWrap/>
        <w:overflowPunct/>
        <w:topLinePunct w:val="0"/>
        <w:autoSpaceDE/>
        <w:autoSpaceDN/>
        <w:bidi w:val="0"/>
        <w:adjustRightInd/>
        <w:snapToGrid/>
        <w:spacing w:line="220" w:lineRule="exact"/>
        <w:ind w:left="420"/>
        <w:textAlignment w:val="auto"/>
        <w:rPr>
          <w:highlight w:val="none"/>
        </w:rPr>
      </w:pPr>
      <w:r>
        <w:rPr>
          <w:highlight w:val="none"/>
        </w:rPr>
        <w:fldChar w:fldCharType="begin"/>
      </w:r>
      <w:r>
        <w:rPr>
          <w:highlight w:val="none"/>
        </w:rPr>
        <w:instrText xml:space="preserve"> HYPERLINK \l "_Toc15000" </w:instrText>
      </w:r>
      <w:r>
        <w:rPr>
          <w:highlight w:val="none"/>
        </w:rPr>
        <w:fldChar w:fldCharType="separate"/>
      </w:r>
      <w:r>
        <w:rPr>
          <w:rFonts w:hint="eastAsia" w:ascii="宋体" w:hAnsi="宋体" w:cs="宋体"/>
          <w:highlight w:val="none"/>
        </w:rPr>
        <w:t>8、 投标人须知资料表要求的其他资格证明文件</w:t>
      </w:r>
      <w:r>
        <w:rPr>
          <w:highlight w:val="none"/>
        </w:rPr>
        <w:tab/>
      </w:r>
      <w:r>
        <w:rPr>
          <w:highlight w:val="none"/>
        </w:rPr>
        <w:fldChar w:fldCharType="end"/>
      </w:r>
    </w:p>
    <w:p w14:paraId="69D6E071">
      <w:pPr>
        <w:pStyle w:val="17"/>
        <w:keepNext w:val="0"/>
        <w:keepLines w:val="0"/>
        <w:pageBreakBefore w:val="0"/>
        <w:widowControl w:val="0"/>
        <w:tabs>
          <w:tab w:val="right" w:leader="dot" w:pos="9968"/>
        </w:tabs>
        <w:kinsoku/>
        <w:wordWrap/>
        <w:overflowPunct/>
        <w:topLinePunct w:val="0"/>
        <w:autoSpaceDE/>
        <w:autoSpaceDN/>
        <w:bidi w:val="0"/>
        <w:adjustRightInd/>
        <w:snapToGrid/>
        <w:spacing w:line="220" w:lineRule="exact"/>
        <w:textAlignment w:val="auto"/>
        <w:rPr>
          <w:highlight w:val="none"/>
        </w:rPr>
      </w:pPr>
      <w:r>
        <w:rPr>
          <w:highlight w:val="none"/>
        </w:rPr>
        <w:fldChar w:fldCharType="begin"/>
      </w:r>
      <w:r>
        <w:rPr>
          <w:highlight w:val="none"/>
        </w:rPr>
        <w:instrText xml:space="preserve"> HYPERLINK \l "_Toc29196" </w:instrText>
      </w:r>
      <w:r>
        <w:rPr>
          <w:highlight w:val="none"/>
        </w:rPr>
        <w:fldChar w:fldCharType="separate"/>
      </w:r>
      <w:r>
        <w:rPr>
          <w:rFonts w:hint="eastAsia"/>
          <w:szCs w:val="32"/>
          <w:highlight w:val="none"/>
        </w:rPr>
        <w:t>第二部分  商务及技术文件</w:t>
      </w:r>
      <w:r>
        <w:rPr>
          <w:highlight w:val="none"/>
        </w:rPr>
        <w:tab/>
      </w:r>
      <w:r>
        <w:rPr>
          <w:highlight w:val="none"/>
        </w:rPr>
        <w:fldChar w:fldCharType="end"/>
      </w:r>
    </w:p>
    <w:p w14:paraId="78340BBE">
      <w:pPr>
        <w:pStyle w:val="19"/>
        <w:keepNext w:val="0"/>
        <w:keepLines w:val="0"/>
        <w:pageBreakBefore w:val="0"/>
        <w:widowControl w:val="0"/>
        <w:tabs>
          <w:tab w:val="right" w:leader="dot" w:pos="9968"/>
        </w:tabs>
        <w:kinsoku/>
        <w:wordWrap/>
        <w:overflowPunct/>
        <w:topLinePunct w:val="0"/>
        <w:autoSpaceDE/>
        <w:autoSpaceDN/>
        <w:bidi w:val="0"/>
        <w:adjustRightInd/>
        <w:snapToGrid/>
        <w:spacing w:line="220" w:lineRule="exact"/>
        <w:ind w:left="420"/>
        <w:textAlignment w:val="auto"/>
        <w:rPr>
          <w:highlight w:val="none"/>
        </w:rPr>
      </w:pPr>
      <w:r>
        <w:rPr>
          <w:highlight w:val="none"/>
        </w:rPr>
        <w:fldChar w:fldCharType="begin"/>
      </w:r>
      <w:r>
        <w:rPr>
          <w:highlight w:val="none"/>
        </w:rPr>
        <w:instrText xml:space="preserve"> HYPERLINK \l "_Toc9747" </w:instrText>
      </w:r>
      <w:r>
        <w:rPr>
          <w:highlight w:val="none"/>
        </w:rPr>
        <w:fldChar w:fldCharType="separate"/>
      </w:r>
      <w:r>
        <w:rPr>
          <w:rFonts w:hint="eastAsia" w:ascii="宋体" w:hAnsi="宋体" w:cs="宋体"/>
          <w:bCs/>
          <w:highlight w:val="none"/>
        </w:rPr>
        <w:t>1 、投标书（投标文件格式五）</w:t>
      </w:r>
      <w:r>
        <w:rPr>
          <w:highlight w:val="none"/>
        </w:rPr>
        <w:tab/>
      </w:r>
      <w:r>
        <w:rPr>
          <w:highlight w:val="none"/>
        </w:rPr>
        <w:fldChar w:fldCharType="end"/>
      </w:r>
    </w:p>
    <w:p w14:paraId="2EFD6507">
      <w:pPr>
        <w:pStyle w:val="19"/>
        <w:keepNext w:val="0"/>
        <w:keepLines w:val="0"/>
        <w:pageBreakBefore w:val="0"/>
        <w:widowControl w:val="0"/>
        <w:tabs>
          <w:tab w:val="right" w:leader="dot" w:pos="9968"/>
        </w:tabs>
        <w:kinsoku/>
        <w:wordWrap/>
        <w:overflowPunct/>
        <w:topLinePunct w:val="0"/>
        <w:autoSpaceDE/>
        <w:autoSpaceDN/>
        <w:bidi w:val="0"/>
        <w:adjustRightInd/>
        <w:snapToGrid/>
        <w:spacing w:line="220" w:lineRule="exact"/>
        <w:ind w:left="420"/>
        <w:textAlignment w:val="auto"/>
        <w:rPr>
          <w:highlight w:val="none"/>
        </w:rPr>
      </w:pPr>
      <w:r>
        <w:rPr>
          <w:highlight w:val="none"/>
        </w:rPr>
        <w:fldChar w:fldCharType="begin"/>
      </w:r>
      <w:r>
        <w:rPr>
          <w:highlight w:val="none"/>
        </w:rPr>
        <w:instrText xml:space="preserve"> HYPERLINK \l "_Toc6732" </w:instrText>
      </w:r>
      <w:r>
        <w:rPr>
          <w:highlight w:val="none"/>
        </w:rPr>
        <w:fldChar w:fldCharType="separate"/>
      </w:r>
      <w:r>
        <w:rPr>
          <w:rFonts w:hint="eastAsia" w:ascii="宋体" w:hAnsi="宋体" w:cs="宋体"/>
          <w:bCs/>
          <w:highlight w:val="none"/>
        </w:rPr>
        <w:t>2 、投标分项报价表（投标文件格式六）</w:t>
      </w:r>
      <w:r>
        <w:rPr>
          <w:highlight w:val="none"/>
        </w:rPr>
        <w:tab/>
      </w:r>
      <w:r>
        <w:rPr>
          <w:highlight w:val="none"/>
        </w:rPr>
        <w:fldChar w:fldCharType="end"/>
      </w:r>
    </w:p>
    <w:p w14:paraId="2443D675">
      <w:pPr>
        <w:pStyle w:val="19"/>
        <w:keepNext w:val="0"/>
        <w:keepLines w:val="0"/>
        <w:pageBreakBefore w:val="0"/>
        <w:widowControl w:val="0"/>
        <w:tabs>
          <w:tab w:val="right" w:leader="dot" w:pos="9968"/>
        </w:tabs>
        <w:kinsoku/>
        <w:wordWrap/>
        <w:overflowPunct/>
        <w:topLinePunct w:val="0"/>
        <w:autoSpaceDE/>
        <w:autoSpaceDN/>
        <w:bidi w:val="0"/>
        <w:adjustRightInd/>
        <w:snapToGrid/>
        <w:spacing w:line="220" w:lineRule="exact"/>
        <w:ind w:left="420"/>
        <w:textAlignment w:val="auto"/>
        <w:rPr>
          <w:highlight w:val="none"/>
        </w:rPr>
      </w:pPr>
      <w:r>
        <w:rPr>
          <w:highlight w:val="none"/>
        </w:rPr>
        <w:fldChar w:fldCharType="begin"/>
      </w:r>
      <w:r>
        <w:rPr>
          <w:highlight w:val="none"/>
        </w:rPr>
        <w:instrText xml:space="preserve"> HYPERLINK \l "_Toc28266" </w:instrText>
      </w:r>
      <w:r>
        <w:rPr>
          <w:highlight w:val="none"/>
        </w:rPr>
        <w:fldChar w:fldCharType="separate"/>
      </w:r>
      <w:r>
        <w:rPr>
          <w:rFonts w:hint="eastAsia" w:ascii="宋体" w:hAnsi="宋体" w:cs="宋体"/>
          <w:bCs/>
          <w:highlight w:val="none"/>
        </w:rPr>
        <w:t>3、货物说明一览表（投标文件格式七）</w:t>
      </w:r>
      <w:r>
        <w:rPr>
          <w:highlight w:val="none"/>
        </w:rPr>
        <w:tab/>
      </w:r>
      <w:r>
        <w:rPr>
          <w:highlight w:val="none"/>
        </w:rPr>
        <w:fldChar w:fldCharType="end"/>
      </w:r>
    </w:p>
    <w:p w14:paraId="26C64192">
      <w:pPr>
        <w:pStyle w:val="19"/>
        <w:keepNext w:val="0"/>
        <w:keepLines w:val="0"/>
        <w:pageBreakBefore w:val="0"/>
        <w:widowControl w:val="0"/>
        <w:tabs>
          <w:tab w:val="right" w:leader="dot" w:pos="9968"/>
        </w:tabs>
        <w:kinsoku/>
        <w:wordWrap/>
        <w:overflowPunct/>
        <w:topLinePunct w:val="0"/>
        <w:autoSpaceDE/>
        <w:autoSpaceDN/>
        <w:bidi w:val="0"/>
        <w:adjustRightInd/>
        <w:snapToGrid/>
        <w:spacing w:line="220" w:lineRule="exact"/>
        <w:ind w:left="420"/>
        <w:textAlignment w:val="auto"/>
        <w:rPr>
          <w:highlight w:val="none"/>
        </w:rPr>
      </w:pPr>
      <w:r>
        <w:rPr>
          <w:highlight w:val="none"/>
        </w:rPr>
        <w:fldChar w:fldCharType="begin"/>
      </w:r>
      <w:r>
        <w:rPr>
          <w:highlight w:val="none"/>
        </w:rPr>
        <w:instrText xml:space="preserve"> HYPERLINK \l "_Toc31394" </w:instrText>
      </w:r>
      <w:r>
        <w:rPr>
          <w:highlight w:val="none"/>
        </w:rPr>
        <w:fldChar w:fldCharType="separate"/>
      </w:r>
      <w:r>
        <w:rPr>
          <w:rFonts w:hint="eastAsia" w:ascii="宋体" w:hAnsi="宋体" w:cs="宋体"/>
          <w:bCs/>
          <w:highlight w:val="none"/>
        </w:rPr>
        <w:t>4、技术规格偏离表（投标文件格式八）</w:t>
      </w:r>
      <w:r>
        <w:rPr>
          <w:highlight w:val="none"/>
        </w:rPr>
        <w:tab/>
      </w:r>
      <w:r>
        <w:rPr>
          <w:highlight w:val="none"/>
        </w:rPr>
        <w:fldChar w:fldCharType="end"/>
      </w:r>
    </w:p>
    <w:p w14:paraId="2B62F1BC">
      <w:pPr>
        <w:pStyle w:val="19"/>
        <w:keepNext w:val="0"/>
        <w:keepLines w:val="0"/>
        <w:pageBreakBefore w:val="0"/>
        <w:widowControl w:val="0"/>
        <w:tabs>
          <w:tab w:val="right" w:leader="dot" w:pos="9968"/>
        </w:tabs>
        <w:kinsoku/>
        <w:wordWrap/>
        <w:overflowPunct/>
        <w:topLinePunct w:val="0"/>
        <w:autoSpaceDE/>
        <w:autoSpaceDN/>
        <w:bidi w:val="0"/>
        <w:adjustRightInd/>
        <w:snapToGrid/>
        <w:spacing w:line="220" w:lineRule="exact"/>
        <w:ind w:left="420"/>
        <w:textAlignment w:val="auto"/>
        <w:rPr>
          <w:highlight w:val="none"/>
        </w:rPr>
      </w:pPr>
      <w:r>
        <w:rPr>
          <w:highlight w:val="none"/>
        </w:rPr>
        <w:fldChar w:fldCharType="begin"/>
      </w:r>
      <w:r>
        <w:rPr>
          <w:highlight w:val="none"/>
        </w:rPr>
        <w:instrText xml:space="preserve"> HYPERLINK \l "_Toc11124" </w:instrText>
      </w:r>
      <w:r>
        <w:rPr>
          <w:highlight w:val="none"/>
        </w:rPr>
        <w:fldChar w:fldCharType="separate"/>
      </w:r>
      <w:r>
        <w:rPr>
          <w:rFonts w:hint="eastAsia" w:ascii="宋体" w:hAnsi="宋体" w:cs="宋体"/>
          <w:bCs/>
          <w:highlight w:val="none"/>
        </w:rPr>
        <w:t>5、商务条款偏离表（投标文件格式九）</w:t>
      </w:r>
      <w:r>
        <w:rPr>
          <w:highlight w:val="none"/>
        </w:rPr>
        <w:tab/>
      </w:r>
      <w:r>
        <w:rPr>
          <w:highlight w:val="none"/>
        </w:rPr>
        <w:fldChar w:fldCharType="end"/>
      </w:r>
    </w:p>
    <w:p w14:paraId="21DCE73D">
      <w:pPr>
        <w:pStyle w:val="19"/>
        <w:keepNext w:val="0"/>
        <w:keepLines w:val="0"/>
        <w:pageBreakBefore w:val="0"/>
        <w:widowControl w:val="0"/>
        <w:tabs>
          <w:tab w:val="right" w:leader="dot" w:pos="9968"/>
        </w:tabs>
        <w:kinsoku/>
        <w:wordWrap/>
        <w:overflowPunct/>
        <w:topLinePunct w:val="0"/>
        <w:autoSpaceDE/>
        <w:autoSpaceDN/>
        <w:bidi w:val="0"/>
        <w:adjustRightInd/>
        <w:snapToGrid/>
        <w:spacing w:line="220" w:lineRule="exact"/>
        <w:ind w:left="420"/>
        <w:textAlignment w:val="auto"/>
        <w:rPr>
          <w:highlight w:val="none"/>
        </w:rPr>
      </w:pPr>
      <w:r>
        <w:rPr>
          <w:highlight w:val="none"/>
        </w:rPr>
        <w:fldChar w:fldCharType="begin"/>
      </w:r>
      <w:r>
        <w:rPr>
          <w:highlight w:val="none"/>
        </w:rPr>
        <w:instrText xml:space="preserve"> HYPERLINK \l "_Toc2816" </w:instrText>
      </w:r>
      <w:r>
        <w:rPr>
          <w:highlight w:val="none"/>
        </w:rPr>
        <w:fldChar w:fldCharType="separate"/>
      </w:r>
      <w:r>
        <w:rPr>
          <w:rFonts w:hint="eastAsia" w:ascii="宋体" w:hAnsi="宋体" w:cs="宋体"/>
          <w:bCs/>
          <w:highlight w:val="none"/>
        </w:rPr>
        <w:t>6、投标人关联单位的说明</w:t>
      </w:r>
      <w:r>
        <w:rPr>
          <w:highlight w:val="none"/>
        </w:rPr>
        <w:tab/>
      </w:r>
      <w:r>
        <w:rPr>
          <w:highlight w:val="none"/>
        </w:rPr>
        <w:fldChar w:fldCharType="end"/>
      </w:r>
    </w:p>
    <w:p w14:paraId="5DD88084">
      <w:pPr>
        <w:pStyle w:val="19"/>
        <w:keepNext w:val="0"/>
        <w:keepLines w:val="0"/>
        <w:pageBreakBefore w:val="0"/>
        <w:widowControl w:val="0"/>
        <w:tabs>
          <w:tab w:val="right" w:leader="dot" w:pos="9968"/>
        </w:tabs>
        <w:kinsoku/>
        <w:wordWrap/>
        <w:overflowPunct/>
        <w:topLinePunct w:val="0"/>
        <w:autoSpaceDE/>
        <w:autoSpaceDN/>
        <w:bidi w:val="0"/>
        <w:adjustRightInd/>
        <w:snapToGrid/>
        <w:spacing w:line="220" w:lineRule="exact"/>
        <w:ind w:left="420"/>
        <w:textAlignment w:val="auto"/>
        <w:rPr>
          <w:highlight w:val="none"/>
        </w:rPr>
      </w:pPr>
      <w:r>
        <w:rPr>
          <w:highlight w:val="none"/>
        </w:rPr>
        <w:fldChar w:fldCharType="begin"/>
      </w:r>
      <w:r>
        <w:rPr>
          <w:highlight w:val="none"/>
        </w:rPr>
        <w:instrText xml:space="preserve"> HYPERLINK \l "_Toc32515" </w:instrText>
      </w:r>
      <w:r>
        <w:rPr>
          <w:highlight w:val="none"/>
        </w:rPr>
        <w:fldChar w:fldCharType="separate"/>
      </w:r>
      <w:r>
        <w:rPr>
          <w:rFonts w:hint="eastAsia" w:ascii="宋体" w:hAnsi="宋体" w:cs="宋体"/>
          <w:bCs/>
          <w:highlight w:val="none"/>
        </w:rPr>
        <w:t>7、评分标准和细则中技术部分证明材料（格式自拟）</w:t>
      </w:r>
      <w:r>
        <w:rPr>
          <w:highlight w:val="none"/>
        </w:rPr>
        <w:tab/>
      </w:r>
      <w:r>
        <w:rPr>
          <w:highlight w:val="none"/>
        </w:rPr>
        <w:fldChar w:fldCharType="end"/>
      </w:r>
    </w:p>
    <w:p w14:paraId="067CE00B">
      <w:pPr>
        <w:pStyle w:val="19"/>
        <w:keepNext w:val="0"/>
        <w:keepLines w:val="0"/>
        <w:pageBreakBefore w:val="0"/>
        <w:widowControl w:val="0"/>
        <w:tabs>
          <w:tab w:val="right" w:leader="dot" w:pos="9968"/>
        </w:tabs>
        <w:kinsoku/>
        <w:wordWrap/>
        <w:overflowPunct/>
        <w:topLinePunct w:val="0"/>
        <w:autoSpaceDE/>
        <w:autoSpaceDN/>
        <w:bidi w:val="0"/>
        <w:adjustRightInd/>
        <w:snapToGrid/>
        <w:spacing w:line="220" w:lineRule="exact"/>
        <w:ind w:left="420"/>
        <w:textAlignment w:val="auto"/>
        <w:rPr>
          <w:highlight w:val="none"/>
        </w:rPr>
      </w:pPr>
      <w:r>
        <w:rPr>
          <w:highlight w:val="none"/>
        </w:rPr>
        <w:fldChar w:fldCharType="begin"/>
      </w:r>
      <w:r>
        <w:rPr>
          <w:highlight w:val="none"/>
        </w:rPr>
        <w:instrText xml:space="preserve"> HYPERLINK \l "_Toc28913" </w:instrText>
      </w:r>
      <w:r>
        <w:rPr>
          <w:highlight w:val="none"/>
        </w:rPr>
        <w:fldChar w:fldCharType="separate"/>
      </w:r>
      <w:r>
        <w:rPr>
          <w:rFonts w:hint="eastAsia" w:ascii="宋体" w:hAnsi="宋体" w:cs="宋体"/>
          <w:bCs/>
          <w:highlight w:val="none"/>
        </w:rPr>
        <w:t>8、评分标准和细则中商务部分证明材料（格式自拟）</w:t>
      </w:r>
      <w:r>
        <w:rPr>
          <w:highlight w:val="none"/>
        </w:rPr>
        <w:tab/>
      </w:r>
      <w:r>
        <w:rPr>
          <w:highlight w:val="none"/>
        </w:rPr>
        <w:fldChar w:fldCharType="end"/>
      </w:r>
    </w:p>
    <w:p w14:paraId="73724E4A">
      <w:pPr>
        <w:pStyle w:val="19"/>
        <w:keepNext w:val="0"/>
        <w:keepLines w:val="0"/>
        <w:pageBreakBefore w:val="0"/>
        <w:widowControl w:val="0"/>
        <w:tabs>
          <w:tab w:val="right" w:leader="dot" w:pos="9968"/>
        </w:tabs>
        <w:kinsoku/>
        <w:wordWrap/>
        <w:overflowPunct/>
        <w:topLinePunct w:val="0"/>
        <w:autoSpaceDE/>
        <w:autoSpaceDN/>
        <w:bidi w:val="0"/>
        <w:adjustRightInd/>
        <w:snapToGrid/>
        <w:spacing w:line="220" w:lineRule="exact"/>
        <w:ind w:left="420"/>
        <w:textAlignment w:val="auto"/>
        <w:rPr>
          <w:highlight w:val="none"/>
        </w:rPr>
      </w:pPr>
      <w:r>
        <w:rPr>
          <w:highlight w:val="none"/>
        </w:rPr>
        <w:fldChar w:fldCharType="begin"/>
      </w:r>
      <w:r>
        <w:rPr>
          <w:highlight w:val="none"/>
        </w:rPr>
        <w:instrText xml:space="preserve"> HYPERLINK \l "_Toc24437" </w:instrText>
      </w:r>
      <w:r>
        <w:rPr>
          <w:highlight w:val="none"/>
        </w:rPr>
        <w:fldChar w:fldCharType="separate"/>
      </w:r>
      <w:r>
        <w:rPr>
          <w:rFonts w:hint="eastAsia" w:ascii="宋体" w:hAnsi="宋体" w:cs="宋体"/>
          <w:bCs/>
          <w:highlight w:val="none"/>
        </w:rPr>
        <w:t>9、投标人认为有必要提供的其他证明材料（格式自拟）</w:t>
      </w:r>
      <w:r>
        <w:rPr>
          <w:highlight w:val="none"/>
        </w:rPr>
        <w:tab/>
      </w:r>
      <w:r>
        <w:rPr>
          <w:highlight w:val="none"/>
        </w:rPr>
        <w:fldChar w:fldCharType="end"/>
      </w:r>
    </w:p>
    <w:p w14:paraId="6287405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ascii="宋体" w:hAnsi="宋体" w:cs="宋体"/>
          <w:sz w:val="24"/>
          <w:highlight w:val="none"/>
        </w:rPr>
      </w:pPr>
      <w:r>
        <w:rPr>
          <w:rFonts w:hint="eastAsia" w:ascii="宋体" w:hAnsi="宋体" w:cs="宋体"/>
          <w:highlight w:val="none"/>
        </w:rPr>
        <w:fldChar w:fldCharType="end"/>
      </w:r>
      <w:r>
        <w:rPr>
          <w:rFonts w:hint="eastAsia" w:ascii="宋体" w:hAnsi="宋体" w:cs="宋体"/>
          <w:highlight w:val="none"/>
          <w:lang w:val="en-US" w:eastAsia="zh-CN"/>
        </w:rPr>
        <w:t xml:space="preserve">    </w:t>
      </w:r>
      <w:r>
        <w:rPr>
          <w:rFonts w:hint="eastAsia" w:ascii="宋体" w:hAnsi="宋体" w:cs="宋体"/>
          <w:highlight w:val="none"/>
        </w:rPr>
        <w:t>10、关于对本投标文件（响应文件）中资料真实性的承诺.......................................</w:t>
      </w:r>
    </w:p>
    <w:p w14:paraId="012F7013">
      <w:pPr>
        <w:spacing w:line="420" w:lineRule="exact"/>
        <w:jc w:val="center"/>
        <w:outlineLvl w:val="0"/>
        <w:rPr>
          <w:rFonts w:ascii="宋体"/>
          <w:b/>
          <w:bCs/>
          <w:sz w:val="32"/>
          <w:szCs w:val="32"/>
          <w:highlight w:val="none"/>
        </w:rPr>
      </w:pPr>
      <w:r>
        <w:rPr>
          <w:rFonts w:hint="eastAsia" w:ascii="宋体" w:hAnsi="宋体" w:cs="宋体"/>
          <w:sz w:val="24"/>
          <w:highlight w:val="none"/>
        </w:rPr>
        <w:br w:type="page"/>
      </w:r>
      <w:bookmarkStart w:id="0" w:name="_Toc26892"/>
      <w:r>
        <w:rPr>
          <w:rFonts w:hint="eastAsia" w:ascii="宋体"/>
          <w:b/>
          <w:bCs/>
          <w:sz w:val="32"/>
          <w:szCs w:val="32"/>
          <w:highlight w:val="none"/>
        </w:rPr>
        <w:t>第一章招标公告</w:t>
      </w:r>
      <w:bookmarkEnd w:id="0"/>
    </w:p>
    <w:p w14:paraId="27609EAC">
      <w:pPr>
        <w:pStyle w:val="3"/>
        <w:tabs>
          <w:tab w:val="left" w:pos="0"/>
        </w:tabs>
        <w:autoSpaceDE w:val="0"/>
        <w:autoSpaceDN w:val="0"/>
        <w:adjustRightInd w:val="0"/>
        <w:spacing w:before="0" w:after="0" w:line="360" w:lineRule="auto"/>
        <w:jc w:val="center"/>
        <w:rPr>
          <w:rFonts w:hint="eastAsia" w:eastAsia="仿宋"/>
          <w:highlight w:val="none"/>
          <w:lang w:eastAsia="zh-CN"/>
        </w:rPr>
      </w:pPr>
      <w:bookmarkStart w:id="1" w:name="_Toc6038"/>
      <w:r>
        <w:rPr>
          <w:rFonts w:hint="eastAsia" w:ascii="仿宋" w:hAnsi="仿宋" w:eastAsia="仿宋" w:cs="仿宋"/>
          <w:sz w:val="28"/>
          <w:szCs w:val="28"/>
          <w:highlight w:val="none"/>
          <w:shd w:val="clear" w:color="auto" w:fill="FFFFFF"/>
          <w:lang w:eastAsia="zh-CN"/>
        </w:rPr>
        <w:t>克州财政局惠民惠农“一卡通”补贴资金金融机构代发项目</w:t>
      </w:r>
      <w:r>
        <w:rPr>
          <w:rFonts w:hint="eastAsia" w:ascii="仿宋" w:hAnsi="仿宋" w:eastAsia="仿宋" w:cs="仿宋"/>
          <w:sz w:val="28"/>
          <w:szCs w:val="28"/>
          <w:highlight w:val="none"/>
          <w:shd w:val="clear" w:color="auto" w:fill="FFFFFF"/>
        </w:rPr>
        <w:t>竞争性磋商公告</w:t>
      </w:r>
    </w:p>
    <w:p w14:paraId="348A500F">
      <w:pPr>
        <w:pBdr>
          <w:top w:val="single" w:color="auto" w:sz="4" w:space="1"/>
          <w:left w:val="single" w:color="auto" w:sz="4" w:space="4"/>
          <w:bottom w:val="single" w:color="auto" w:sz="4" w:space="1"/>
          <w:right w:val="single" w:color="auto" w:sz="4" w:space="4"/>
        </w:pBdr>
        <w:spacing w:line="320" w:lineRule="exact"/>
        <w:rPr>
          <w:rFonts w:ascii="仿宋" w:hAnsi="仿宋" w:eastAsia="仿宋" w:cs="仿宋"/>
          <w:szCs w:val="21"/>
          <w:highlight w:val="none"/>
        </w:rPr>
      </w:pPr>
      <w:r>
        <w:rPr>
          <w:rFonts w:hint="eastAsia" w:ascii="仿宋" w:hAnsi="仿宋" w:eastAsia="仿宋" w:cs="仿宋"/>
          <w:szCs w:val="21"/>
          <w:highlight w:val="none"/>
        </w:rPr>
        <w:t>项目概况</w:t>
      </w:r>
    </w:p>
    <w:p w14:paraId="62CBD638">
      <w:pPr>
        <w:pBdr>
          <w:top w:val="single" w:color="auto" w:sz="4" w:space="1"/>
          <w:left w:val="single" w:color="auto" w:sz="4" w:space="4"/>
          <w:bottom w:val="single" w:color="auto" w:sz="4" w:space="1"/>
          <w:right w:val="single" w:color="auto" w:sz="4" w:space="4"/>
        </w:pBdr>
        <w:spacing w:line="320" w:lineRule="exact"/>
        <w:ind w:firstLine="420" w:firstLineChars="200"/>
        <w:rPr>
          <w:rFonts w:ascii="仿宋" w:hAnsi="仿宋" w:eastAsia="仿宋" w:cs="仿宋"/>
          <w:kern w:val="0"/>
          <w:szCs w:val="21"/>
          <w:highlight w:val="none"/>
        </w:rPr>
      </w:pPr>
      <w:r>
        <w:rPr>
          <w:rFonts w:hint="eastAsia" w:ascii="仿宋" w:hAnsi="仿宋" w:eastAsia="仿宋" w:cs="仿宋"/>
          <w:szCs w:val="21"/>
          <w:highlight w:val="none"/>
          <w:lang w:eastAsia="zh-CN"/>
        </w:rPr>
        <w:t>克州财政局惠民惠农“一卡通”补贴资金金融机构代发项目</w:t>
      </w:r>
      <w:r>
        <w:rPr>
          <w:rFonts w:hint="eastAsia" w:ascii="仿宋" w:hAnsi="仿宋" w:eastAsia="仿宋" w:cs="仿宋"/>
          <w:szCs w:val="21"/>
          <w:highlight w:val="none"/>
        </w:rPr>
        <w:t>的潜在投标人应在供应商登陆政采云平台http://www.zcygov.cn/，在线申请获取竞争性磋商文件（登录政府采购云平台 → 项目采购 → 获取竞争性磋商文件→申请，审核通过后可下载竞争性磋商文件，如有操作性问题，可与政采云在线客服进行咨询，咨询电话：</w:t>
      </w:r>
      <w:r>
        <w:rPr>
          <w:rFonts w:hint="eastAsia" w:ascii="仿宋" w:hAnsi="仿宋" w:eastAsia="仿宋" w:cs="仿宋"/>
          <w:szCs w:val="21"/>
          <w:highlight w:val="none"/>
          <w:lang w:eastAsia="zh-CN"/>
        </w:rPr>
        <w:t>95763</w:t>
      </w:r>
      <w:r>
        <w:rPr>
          <w:rFonts w:hint="eastAsia" w:ascii="仿宋" w:hAnsi="仿宋" w:eastAsia="仿宋" w:cs="仿宋"/>
          <w:szCs w:val="21"/>
          <w:highlight w:val="none"/>
        </w:rPr>
        <w:t>）。获取竞争性磋商文件，并于</w:t>
      </w:r>
      <w:r>
        <w:rPr>
          <w:rFonts w:hint="eastAsia" w:ascii="仿宋" w:hAnsi="仿宋" w:eastAsia="仿宋" w:cs="仿宋"/>
          <w:color w:val="0000FF"/>
          <w:szCs w:val="21"/>
          <w:highlight w:val="none"/>
        </w:rPr>
        <w:t>202</w:t>
      </w:r>
      <w:r>
        <w:rPr>
          <w:rFonts w:hint="eastAsia" w:ascii="仿宋" w:hAnsi="仿宋" w:eastAsia="仿宋" w:cs="仿宋"/>
          <w:color w:val="0000FF"/>
          <w:szCs w:val="21"/>
          <w:highlight w:val="none"/>
          <w:lang w:val="en-US" w:eastAsia="zh-CN"/>
        </w:rPr>
        <w:t>4</w:t>
      </w:r>
      <w:r>
        <w:rPr>
          <w:rFonts w:hint="eastAsia" w:ascii="仿宋" w:hAnsi="仿宋" w:eastAsia="仿宋" w:cs="仿宋"/>
          <w:color w:val="0000FF"/>
          <w:szCs w:val="21"/>
          <w:highlight w:val="none"/>
        </w:rPr>
        <w:t>年</w:t>
      </w:r>
      <w:r>
        <w:rPr>
          <w:rFonts w:hint="eastAsia" w:ascii="仿宋" w:hAnsi="仿宋" w:eastAsia="仿宋" w:cs="仿宋"/>
          <w:color w:val="0000FF"/>
          <w:szCs w:val="21"/>
          <w:highlight w:val="none"/>
          <w:lang w:val="en-US" w:eastAsia="zh-CN"/>
        </w:rPr>
        <w:t>12</w:t>
      </w:r>
      <w:r>
        <w:rPr>
          <w:rFonts w:hint="eastAsia" w:ascii="仿宋" w:hAnsi="仿宋" w:eastAsia="仿宋" w:cs="仿宋"/>
          <w:color w:val="0000FF"/>
          <w:szCs w:val="21"/>
          <w:highlight w:val="none"/>
        </w:rPr>
        <w:t>月</w:t>
      </w:r>
      <w:r>
        <w:rPr>
          <w:rFonts w:hint="eastAsia" w:ascii="仿宋" w:hAnsi="仿宋" w:eastAsia="仿宋" w:cs="仿宋"/>
          <w:color w:val="0000FF"/>
          <w:szCs w:val="21"/>
          <w:highlight w:val="none"/>
          <w:lang w:val="en-US" w:eastAsia="zh-CN"/>
        </w:rPr>
        <w:t>9</w:t>
      </w:r>
      <w:r>
        <w:rPr>
          <w:rFonts w:hint="eastAsia" w:ascii="仿宋" w:hAnsi="仿宋" w:eastAsia="仿宋" w:cs="仿宋"/>
          <w:color w:val="0000FF"/>
          <w:szCs w:val="21"/>
          <w:highlight w:val="none"/>
        </w:rPr>
        <w:t>日1</w:t>
      </w:r>
      <w:r>
        <w:rPr>
          <w:rFonts w:hint="eastAsia" w:ascii="仿宋" w:hAnsi="仿宋" w:eastAsia="仿宋" w:cs="仿宋"/>
          <w:color w:val="0000FF"/>
          <w:szCs w:val="21"/>
          <w:highlight w:val="none"/>
          <w:lang w:val="en-US" w:eastAsia="zh-CN"/>
        </w:rPr>
        <w:t>0</w:t>
      </w:r>
      <w:r>
        <w:rPr>
          <w:rFonts w:hint="eastAsia" w:ascii="仿宋" w:hAnsi="仿宋" w:eastAsia="仿宋" w:cs="仿宋"/>
          <w:color w:val="0000FF"/>
          <w:szCs w:val="21"/>
          <w:highlight w:val="none"/>
        </w:rPr>
        <w:t>点</w:t>
      </w:r>
      <w:r>
        <w:rPr>
          <w:rFonts w:hint="eastAsia" w:ascii="仿宋" w:hAnsi="仿宋" w:eastAsia="仿宋" w:cs="仿宋"/>
          <w:color w:val="0000FF"/>
          <w:szCs w:val="21"/>
          <w:highlight w:val="none"/>
          <w:lang w:val="en-US" w:eastAsia="zh-CN"/>
        </w:rPr>
        <w:t>3</w:t>
      </w:r>
      <w:r>
        <w:rPr>
          <w:rFonts w:hint="eastAsia" w:ascii="仿宋" w:hAnsi="仿宋" w:eastAsia="仿宋" w:cs="仿宋"/>
          <w:color w:val="0000FF"/>
          <w:szCs w:val="21"/>
          <w:highlight w:val="none"/>
        </w:rPr>
        <w:t>0分</w:t>
      </w:r>
      <w:r>
        <w:rPr>
          <w:rFonts w:hint="eastAsia" w:ascii="仿宋" w:hAnsi="仿宋" w:eastAsia="仿宋" w:cs="仿宋"/>
          <w:szCs w:val="21"/>
          <w:highlight w:val="none"/>
        </w:rPr>
        <w:t>（北京时间）前（上传）电子投标文件。</w:t>
      </w:r>
      <w:bookmarkStart w:id="2" w:name="_Toc35393629"/>
      <w:bookmarkStart w:id="3" w:name="_Toc28359089"/>
      <w:bookmarkStart w:id="4" w:name="_Toc35393798"/>
      <w:bookmarkStart w:id="5" w:name="_Toc28359012"/>
    </w:p>
    <w:bookmarkEnd w:id="2"/>
    <w:bookmarkEnd w:id="3"/>
    <w:bookmarkEnd w:id="4"/>
    <w:bookmarkEnd w:id="5"/>
    <w:p w14:paraId="47198C33">
      <w:pPr>
        <w:spacing w:line="320" w:lineRule="exact"/>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一、项目基本情况</w:t>
      </w:r>
    </w:p>
    <w:p w14:paraId="0D73DB0A">
      <w:pPr>
        <w:spacing w:line="320" w:lineRule="exact"/>
        <w:ind w:firstLine="420" w:firstLineChars="200"/>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rPr>
        <w:t>项目编号：</w:t>
      </w:r>
      <w:r>
        <w:rPr>
          <w:rFonts w:hint="eastAsia" w:ascii="仿宋" w:hAnsi="仿宋" w:eastAsia="仿宋" w:cs="仿宋"/>
          <w:kern w:val="0"/>
          <w:szCs w:val="21"/>
          <w:highlight w:val="none"/>
          <w:lang w:val="en-US" w:eastAsia="zh-CN"/>
        </w:rPr>
        <w:t>KZZB</w:t>
      </w:r>
      <w:r>
        <w:rPr>
          <w:rFonts w:hint="eastAsia" w:ascii="仿宋" w:hAnsi="仿宋" w:eastAsia="仿宋" w:cs="仿宋"/>
          <w:kern w:val="0"/>
          <w:szCs w:val="21"/>
          <w:highlight w:val="none"/>
          <w:lang w:eastAsia="zh-CN"/>
        </w:rPr>
        <w:t>-2024</w:t>
      </w:r>
      <w:r>
        <w:rPr>
          <w:rFonts w:hint="eastAsia" w:ascii="仿宋" w:hAnsi="仿宋" w:eastAsia="仿宋" w:cs="仿宋"/>
          <w:kern w:val="0"/>
          <w:szCs w:val="21"/>
          <w:highlight w:val="none"/>
          <w:lang w:val="en-US" w:eastAsia="zh-CN"/>
        </w:rPr>
        <w:t>241</w:t>
      </w:r>
    </w:p>
    <w:p w14:paraId="3EC34E44">
      <w:pPr>
        <w:spacing w:line="320" w:lineRule="exact"/>
        <w:ind w:firstLine="420" w:firstLineChars="200"/>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 xml:space="preserve">项目名称： </w:t>
      </w:r>
      <w:r>
        <w:rPr>
          <w:rFonts w:hint="eastAsia" w:ascii="仿宋" w:hAnsi="仿宋" w:eastAsia="仿宋" w:cs="仿宋"/>
          <w:kern w:val="0"/>
          <w:szCs w:val="21"/>
          <w:highlight w:val="none"/>
          <w:lang w:eastAsia="zh-CN"/>
        </w:rPr>
        <w:t>克州财政局惠民惠农“一卡通”补贴资金金融机构代发项目</w:t>
      </w:r>
    </w:p>
    <w:p w14:paraId="66BE531F">
      <w:pPr>
        <w:spacing w:line="3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采购方式：竞争性磋商</w:t>
      </w:r>
    </w:p>
    <w:p w14:paraId="30DDB089">
      <w:pPr>
        <w:spacing w:line="3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预算金额：</w:t>
      </w:r>
      <w:r>
        <w:rPr>
          <w:rFonts w:hint="eastAsia" w:ascii="仿宋" w:hAnsi="仿宋" w:eastAsia="仿宋" w:cs="仿宋"/>
          <w:szCs w:val="21"/>
          <w:highlight w:val="none"/>
          <w:lang w:eastAsia="zh-CN"/>
        </w:rPr>
        <w:t>1</w:t>
      </w:r>
      <w:r>
        <w:rPr>
          <w:rFonts w:hint="eastAsia" w:ascii="仿宋" w:hAnsi="仿宋" w:eastAsia="仿宋" w:cs="仿宋"/>
          <w:szCs w:val="21"/>
          <w:highlight w:val="none"/>
        </w:rPr>
        <w:t>元</w:t>
      </w:r>
    </w:p>
    <w:p w14:paraId="4F62A065">
      <w:pPr>
        <w:spacing w:line="3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最高限价：</w:t>
      </w:r>
      <w:r>
        <w:rPr>
          <w:rFonts w:hint="eastAsia" w:ascii="仿宋" w:hAnsi="仿宋" w:eastAsia="仿宋" w:cs="仿宋"/>
          <w:szCs w:val="21"/>
          <w:highlight w:val="none"/>
          <w:lang w:eastAsia="zh-CN"/>
        </w:rPr>
        <w:t>1</w:t>
      </w:r>
      <w:r>
        <w:rPr>
          <w:rFonts w:hint="eastAsia" w:ascii="仿宋" w:hAnsi="仿宋" w:eastAsia="仿宋" w:cs="仿宋"/>
          <w:szCs w:val="21"/>
          <w:highlight w:val="none"/>
        </w:rPr>
        <w:t>元</w:t>
      </w:r>
    </w:p>
    <w:p w14:paraId="57784196">
      <w:pPr>
        <w:spacing w:line="320" w:lineRule="exact"/>
        <w:ind w:left="1470" w:leftChars="200" w:hanging="1050" w:hangingChars="500"/>
        <w:rPr>
          <w:rFonts w:hint="default" w:ascii="仿宋" w:hAnsi="仿宋" w:eastAsia="仿宋" w:cs="仿宋"/>
          <w:szCs w:val="21"/>
          <w:highlight w:val="none"/>
          <w:lang w:val="en-US" w:eastAsia="zh-CN"/>
        </w:rPr>
      </w:pPr>
      <w:r>
        <w:rPr>
          <w:rFonts w:hint="eastAsia" w:ascii="仿宋" w:hAnsi="仿宋" w:eastAsia="仿宋" w:cs="仿宋"/>
          <w:szCs w:val="21"/>
          <w:highlight w:val="none"/>
        </w:rPr>
        <w:t>采购需求：</w:t>
      </w:r>
      <w:r>
        <w:rPr>
          <w:rFonts w:hint="eastAsia" w:ascii="仿宋" w:hAnsi="仿宋" w:eastAsia="仿宋" w:cs="仿宋"/>
          <w:kern w:val="0"/>
          <w:szCs w:val="21"/>
          <w:highlight w:val="none"/>
          <w:lang w:eastAsia="zh-CN"/>
        </w:rPr>
        <w:t>财政局惠民惠农“一卡通”补贴资金金融机构代发</w:t>
      </w:r>
    </w:p>
    <w:p w14:paraId="1FFB1D74">
      <w:pPr>
        <w:spacing w:line="320" w:lineRule="exact"/>
        <w:ind w:firstLine="420" w:firstLineChars="200"/>
        <w:rPr>
          <w:rFonts w:ascii="仿宋" w:hAnsi="仿宋" w:eastAsia="仿宋" w:cs="仿宋"/>
          <w:kern w:val="0"/>
          <w:szCs w:val="21"/>
          <w:highlight w:val="none"/>
        </w:rPr>
      </w:pPr>
      <w:r>
        <w:rPr>
          <w:rFonts w:hint="eastAsia" w:ascii="仿宋" w:hAnsi="仿宋" w:eastAsia="仿宋" w:cs="仿宋"/>
          <w:szCs w:val="21"/>
          <w:highlight w:val="none"/>
        </w:rPr>
        <w:t>合同履</w:t>
      </w:r>
      <w:r>
        <w:rPr>
          <w:rFonts w:hint="eastAsia" w:ascii="仿宋" w:hAnsi="仿宋" w:eastAsia="仿宋" w:cs="仿宋"/>
          <w:kern w:val="0"/>
          <w:szCs w:val="21"/>
          <w:highlight w:val="none"/>
        </w:rPr>
        <w:t>行期限：详见竞争性磋商文件</w:t>
      </w:r>
    </w:p>
    <w:p w14:paraId="025AC449">
      <w:pPr>
        <w:spacing w:line="320" w:lineRule="exact"/>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本项目（否）接受联合体投标。</w:t>
      </w:r>
    </w:p>
    <w:p w14:paraId="43D40EF5">
      <w:pPr>
        <w:spacing w:line="320" w:lineRule="exact"/>
        <w:ind w:firstLine="420" w:firstLineChars="200"/>
        <w:rPr>
          <w:rFonts w:ascii="仿宋" w:hAnsi="仿宋" w:eastAsia="仿宋" w:cs="仿宋"/>
          <w:szCs w:val="21"/>
          <w:highlight w:val="none"/>
        </w:rPr>
      </w:pPr>
      <w:bookmarkStart w:id="6" w:name="_Toc35393630"/>
      <w:bookmarkStart w:id="7" w:name="_Toc28359090"/>
      <w:bookmarkStart w:id="8" w:name="_Toc28359013"/>
      <w:bookmarkStart w:id="9" w:name="_Toc35393799"/>
      <w:r>
        <w:rPr>
          <w:rFonts w:hint="eastAsia" w:ascii="仿宋" w:hAnsi="仿宋" w:eastAsia="仿宋" w:cs="仿宋"/>
          <w:kern w:val="0"/>
          <w:szCs w:val="21"/>
          <w:highlight w:val="none"/>
        </w:rPr>
        <w:t>二、</w:t>
      </w:r>
      <w:r>
        <w:rPr>
          <w:rFonts w:hint="eastAsia" w:ascii="仿宋" w:hAnsi="仿宋" w:eastAsia="仿宋" w:cs="仿宋"/>
          <w:szCs w:val="21"/>
          <w:highlight w:val="none"/>
        </w:rPr>
        <w:t>资格要求：</w:t>
      </w:r>
      <w:bookmarkEnd w:id="6"/>
      <w:bookmarkEnd w:id="7"/>
      <w:bookmarkEnd w:id="8"/>
      <w:bookmarkEnd w:id="9"/>
    </w:p>
    <w:p w14:paraId="03F1A8B4">
      <w:pPr>
        <w:spacing w:line="3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1.满足《中华人民共和国政府采购法》第二十二条规定；</w:t>
      </w:r>
    </w:p>
    <w:p w14:paraId="3AC37F94">
      <w:pPr>
        <w:spacing w:line="320" w:lineRule="exact"/>
        <w:ind w:firstLine="420" w:firstLineChars="200"/>
        <w:rPr>
          <w:rFonts w:hint="eastAsia" w:ascii="仿宋" w:hAnsi="仿宋" w:eastAsia="仿宋" w:cs="仿宋"/>
          <w:szCs w:val="21"/>
          <w:highlight w:val="none"/>
          <w:lang w:eastAsia="zh-CN"/>
        </w:rPr>
      </w:pPr>
      <w:bookmarkStart w:id="10" w:name="_Toc28359014"/>
      <w:bookmarkStart w:id="11" w:name="_Toc28359091"/>
      <w:r>
        <w:rPr>
          <w:rFonts w:hint="eastAsia" w:ascii="仿宋" w:hAnsi="仿宋" w:eastAsia="仿宋" w:cs="仿宋"/>
          <w:szCs w:val="21"/>
          <w:highlight w:val="none"/>
        </w:rPr>
        <w:t>2.落实政府采购政策需满足的资格要求：</w:t>
      </w:r>
      <w:r>
        <w:rPr>
          <w:rFonts w:hint="eastAsia" w:ascii="仿宋" w:hAnsi="仿宋" w:eastAsia="仿宋" w:cs="仿宋"/>
          <w:szCs w:val="21"/>
          <w:highlight w:val="none"/>
          <w:lang w:eastAsia="zh-CN"/>
        </w:rPr>
        <w:t>无</w:t>
      </w:r>
    </w:p>
    <w:p w14:paraId="791A9E44">
      <w:pPr>
        <w:spacing w:line="3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3.本项目的特定资格要求：</w:t>
      </w:r>
    </w:p>
    <w:p w14:paraId="320EFD5A">
      <w:pPr>
        <w:spacing w:line="320" w:lineRule="exact"/>
        <w:ind w:firstLine="420" w:firstLineChars="200"/>
        <w:rPr>
          <w:rFonts w:hint="eastAsia" w:ascii="仿宋" w:hAnsi="仿宋" w:eastAsia="仿宋" w:cs="仿宋"/>
          <w:szCs w:val="21"/>
          <w:highlight w:val="none"/>
        </w:rPr>
      </w:pPr>
      <w:bookmarkStart w:id="12" w:name="_Toc35393631"/>
      <w:bookmarkStart w:id="13" w:name="_Toc35393800"/>
      <w:r>
        <w:rPr>
          <w:rFonts w:hint="eastAsia" w:ascii="仿宋" w:hAnsi="仿宋" w:eastAsia="仿宋" w:cs="仿宋"/>
          <w:szCs w:val="21"/>
          <w:highlight w:val="none"/>
        </w:rPr>
        <w:t>（1)具备三证合一营业执照；</w:t>
      </w:r>
    </w:p>
    <w:p w14:paraId="55F438EB">
      <w:pPr>
        <w:spacing w:line="320" w:lineRule="exact"/>
        <w:ind w:firstLine="420" w:firstLineChars="200"/>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（2)法定代表人投标需提供法定代表人资格证明书，委托代理人投标需提供法定代表人授权委托书；</w:t>
      </w:r>
    </w:p>
    <w:p w14:paraId="7DE65F8E">
      <w:pPr>
        <w:spacing w:line="32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（3)参加采购活动前三年内，在经营活动中没有重大违法记录，供应商须提供 “信用中国”网站（http://www.creditchina.gov.cn/）、“中国政府采购网”网站（http://www.ccgp.gov.cn）无违法违规行为的查询纪录（提供查询结果网页截图并加盖供应商公章）。</w:t>
      </w:r>
    </w:p>
    <w:p w14:paraId="1FC6AC5E">
      <w:pPr>
        <w:spacing w:line="32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（4）供应商必须为在中华人民共和国境内依法设立的国有商业银行、股份制商业银行、邮政储蓄银行、城市商业银行等银行机构且具备中国银行保险监督管理委员会核发的《中华人民共和国金融许可证》。</w:t>
      </w:r>
    </w:p>
    <w:p w14:paraId="61774468">
      <w:pPr>
        <w:spacing w:line="320" w:lineRule="exact"/>
        <w:ind w:firstLine="420" w:firstLineChars="200"/>
        <w:rPr>
          <w:rFonts w:ascii="仿宋" w:hAnsi="仿宋" w:eastAsia="仿宋" w:cs="仿宋"/>
          <w:szCs w:val="21"/>
          <w:highlight w:val="none"/>
        </w:rPr>
      </w:pPr>
      <w:r>
        <w:rPr>
          <w:rFonts w:hint="eastAsia" w:ascii="仿宋" w:hAnsi="仿宋" w:eastAsia="仿宋" w:cs="仿宋"/>
          <w:kern w:val="0"/>
          <w:szCs w:val="21"/>
          <w:highlight w:val="none"/>
        </w:rPr>
        <w:t>三、获取</w:t>
      </w:r>
      <w:bookmarkEnd w:id="10"/>
      <w:bookmarkEnd w:id="11"/>
      <w:bookmarkEnd w:id="12"/>
      <w:bookmarkEnd w:id="13"/>
      <w:r>
        <w:rPr>
          <w:rFonts w:hint="eastAsia" w:ascii="仿宋" w:hAnsi="仿宋" w:eastAsia="仿宋" w:cs="仿宋"/>
          <w:kern w:val="0"/>
          <w:szCs w:val="21"/>
          <w:highlight w:val="none"/>
        </w:rPr>
        <w:t>竞</w:t>
      </w:r>
      <w:r>
        <w:rPr>
          <w:rFonts w:hint="eastAsia" w:ascii="仿宋" w:hAnsi="仿宋" w:eastAsia="仿宋" w:cs="仿宋"/>
          <w:szCs w:val="21"/>
          <w:highlight w:val="none"/>
        </w:rPr>
        <w:t>争性磋商文件</w:t>
      </w:r>
    </w:p>
    <w:p w14:paraId="7D11E1B3">
      <w:pPr>
        <w:spacing w:line="3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1、时间：</w:t>
      </w:r>
      <w:r>
        <w:rPr>
          <w:rFonts w:hint="eastAsia" w:ascii="仿宋" w:hAnsi="仿宋" w:eastAsia="仿宋" w:cs="仿宋"/>
          <w:b/>
          <w:bCs/>
          <w:szCs w:val="21"/>
          <w:highlight w:val="none"/>
        </w:rPr>
        <w:t>202</w:t>
      </w:r>
      <w:r>
        <w:rPr>
          <w:rFonts w:hint="eastAsia" w:ascii="仿宋" w:hAnsi="仿宋" w:eastAsia="仿宋" w:cs="仿宋"/>
          <w:b/>
          <w:bCs/>
          <w:szCs w:val="21"/>
          <w:highlight w:val="none"/>
          <w:lang w:val="en-US" w:eastAsia="zh-CN"/>
        </w:rPr>
        <w:t>4</w:t>
      </w:r>
      <w:r>
        <w:rPr>
          <w:rFonts w:hint="eastAsia" w:ascii="仿宋" w:hAnsi="仿宋" w:eastAsia="仿宋" w:cs="仿宋"/>
          <w:b/>
          <w:bCs/>
          <w:szCs w:val="21"/>
          <w:highlight w:val="none"/>
        </w:rPr>
        <w:t>年</w:t>
      </w:r>
      <w:r>
        <w:rPr>
          <w:rFonts w:hint="eastAsia" w:ascii="仿宋" w:hAnsi="仿宋" w:eastAsia="仿宋" w:cs="仿宋"/>
          <w:b/>
          <w:bCs/>
          <w:szCs w:val="21"/>
          <w:highlight w:val="none"/>
          <w:lang w:val="en-US" w:eastAsia="zh-CN"/>
        </w:rPr>
        <w:t xml:space="preserve"> 11 </w:t>
      </w:r>
      <w:r>
        <w:rPr>
          <w:rFonts w:hint="eastAsia" w:ascii="仿宋" w:hAnsi="仿宋" w:eastAsia="仿宋" w:cs="仿宋"/>
          <w:b/>
          <w:bCs/>
          <w:szCs w:val="21"/>
          <w:highlight w:val="none"/>
        </w:rPr>
        <w:t>月</w:t>
      </w:r>
      <w:r>
        <w:rPr>
          <w:rFonts w:hint="eastAsia" w:ascii="仿宋" w:hAnsi="仿宋" w:eastAsia="仿宋" w:cs="仿宋"/>
          <w:b/>
          <w:bCs/>
          <w:szCs w:val="21"/>
          <w:highlight w:val="none"/>
          <w:lang w:val="en-US" w:eastAsia="zh-CN"/>
        </w:rPr>
        <w:t xml:space="preserve"> 25</w:t>
      </w:r>
      <w:r>
        <w:rPr>
          <w:rFonts w:hint="eastAsia" w:ascii="仿宋" w:hAnsi="仿宋" w:eastAsia="仿宋" w:cs="仿宋"/>
          <w:b/>
          <w:bCs/>
          <w:szCs w:val="21"/>
          <w:highlight w:val="none"/>
        </w:rPr>
        <w:t>日至202</w:t>
      </w:r>
      <w:r>
        <w:rPr>
          <w:rFonts w:hint="eastAsia" w:ascii="仿宋" w:hAnsi="仿宋" w:eastAsia="仿宋" w:cs="仿宋"/>
          <w:b/>
          <w:bCs/>
          <w:szCs w:val="21"/>
          <w:highlight w:val="none"/>
          <w:lang w:val="en-US" w:eastAsia="zh-CN"/>
        </w:rPr>
        <w:t>4</w:t>
      </w:r>
      <w:r>
        <w:rPr>
          <w:rFonts w:hint="eastAsia" w:ascii="仿宋" w:hAnsi="仿宋" w:eastAsia="仿宋" w:cs="仿宋"/>
          <w:b/>
          <w:bCs/>
          <w:szCs w:val="21"/>
          <w:highlight w:val="none"/>
        </w:rPr>
        <w:t>年</w:t>
      </w:r>
      <w:r>
        <w:rPr>
          <w:rFonts w:hint="eastAsia" w:ascii="仿宋" w:hAnsi="仿宋" w:eastAsia="仿宋" w:cs="仿宋"/>
          <w:b/>
          <w:bCs/>
          <w:szCs w:val="21"/>
          <w:highlight w:val="none"/>
          <w:lang w:val="en-US" w:eastAsia="zh-CN"/>
        </w:rPr>
        <w:t xml:space="preserve"> 12</w:t>
      </w:r>
      <w:r>
        <w:rPr>
          <w:rFonts w:hint="eastAsia" w:ascii="仿宋" w:hAnsi="仿宋" w:eastAsia="仿宋" w:cs="仿宋"/>
          <w:b/>
          <w:bCs/>
          <w:szCs w:val="21"/>
          <w:highlight w:val="none"/>
        </w:rPr>
        <w:t>月</w:t>
      </w:r>
      <w:r>
        <w:rPr>
          <w:rFonts w:hint="eastAsia" w:ascii="仿宋" w:hAnsi="仿宋" w:eastAsia="仿宋" w:cs="仿宋"/>
          <w:b/>
          <w:bCs/>
          <w:szCs w:val="21"/>
          <w:highlight w:val="none"/>
          <w:lang w:val="en-US" w:eastAsia="zh-CN"/>
        </w:rPr>
        <w:t xml:space="preserve"> 6 </w:t>
      </w:r>
      <w:r>
        <w:rPr>
          <w:rFonts w:hint="eastAsia" w:ascii="仿宋" w:hAnsi="仿宋" w:eastAsia="仿宋" w:cs="仿宋"/>
          <w:b/>
          <w:bCs/>
          <w:szCs w:val="21"/>
          <w:highlight w:val="none"/>
        </w:rPr>
        <w:t>日，每天上午</w:t>
      </w:r>
      <w:r>
        <w:rPr>
          <w:rFonts w:hint="eastAsia" w:ascii="仿宋" w:hAnsi="仿宋" w:eastAsia="仿宋" w:cs="仿宋"/>
          <w:b/>
          <w:bCs/>
          <w:szCs w:val="21"/>
          <w:highlight w:val="none"/>
          <w:lang w:eastAsia="zh-CN"/>
        </w:rPr>
        <w:t>10:00至1</w:t>
      </w:r>
      <w:r>
        <w:rPr>
          <w:rFonts w:hint="eastAsia" w:ascii="仿宋" w:hAnsi="仿宋" w:eastAsia="仿宋" w:cs="仿宋"/>
          <w:b/>
          <w:bCs/>
          <w:szCs w:val="21"/>
          <w:highlight w:val="none"/>
          <w:lang w:val="en-US" w:eastAsia="zh-CN"/>
        </w:rPr>
        <w:t>4</w:t>
      </w:r>
      <w:r>
        <w:rPr>
          <w:rFonts w:hint="eastAsia" w:ascii="仿宋" w:hAnsi="仿宋" w:eastAsia="仿宋" w:cs="仿宋"/>
          <w:b/>
          <w:bCs/>
          <w:szCs w:val="21"/>
          <w:highlight w:val="none"/>
          <w:lang w:eastAsia="zh-CN"/>
        </w:rPr>
        <w:t>:</w:t>
      </w:r>
      <w:r>
        <w:rPr>
          <w:rFonts w:hint="eastAsia" w:ascii="仿宋" w:hAnsi="仿宋" w:eastAsia="仿宋" w:cs="仿宋"/>
          <w:b/>
          <w:bCs/>
          <w:szCs w:val="21"/>
          <w:highlight w:val="none"/>
          <w:lang w:val="en-US" w:eastAsia="zh-CN"/>
        </w:rPr>
        <w:t>0</w:t>
      </w:r>
      <w:r>
        <w:rPr>
          <w:rFonts w:hint="eastAsia" w:ascii="仿宋" w:hAnsi="仿宋" w:eastAsia="仿宋" w:cs="仿宋"/>
          <w:b/>
          <w:bCs/>
          <w:szCs w:val="21"/>
          <w:highlight w:val="none"/>
          <w:lang w:eastAsia="zh-CN"/>
        </w:rPr>
        <w:t>0</w:t>
      </w:r>
      <w:r>
        <w:rPr>
          <w:rFonts w:hint="eastAsia" w:ascii="仿宋" w:hAnsi="仿宋" w:eastAsia="仿宋" w:cs="仿宋"/>
          <w:b/>
          <w:bCs/>
          <w:szCs w:val="21"/>
          <w:highlight w:val="none"/>
        </w:rPr>
        <w:t>，下午</w:t>
      </w:r>
      <w:r>
        <w:rPr>
          <w:rFonts w:hint="eastAsia" w:ascii="仿宋" w:hAnsi="仿宋" w:eastAsia="仿宋" w:cs="仿宋"/>
          <w:b/>
          <w:bCs/>
          <w:szCs w:val="21"/>
          <w:highlight w:val="none"/>
          <w:lang w:eastAsia="zh-CN"/>
        </w:rPr>
        <w:t>16:</w:t>
      </w:r>
      <w:r>
        <w:rPr>
          <w:rFonts w:hint="eastAsia" w:ascii="仿宋" w:hAnsi="仿宋" w:eastAsia="仿宋" w:cs="仿宋"/>
          <w:b/>
          <w:bCs/>
          <w:szCs w:val="21"/>
          <w:highlight w:val="none"/>
          <w:lang w:val="en-US" w:eastAsia="zh-CN"/>
        </w:rPr>
        <w:t>00</w:t>
      </w:r>
      <w:r>
        <w:rPr>
          <w:rFonts w:hint="eastAsia" w:ascii="仿宋" w:hAnsi="仿宋" w:eastAsia="仿宋" w:cs="仿宋"/>
          <w:b/>
          <w:bCs/>
          <w:szCs w:val="21"/>
          <w:highlight w:val="none"/>
          <w:lang w:eastAsia="zh-CN"/>
        </w:rPr>
        <w:t>至</w:t>
      </w:r>
      <w:r>
        <w:rPr>
          <w:rFonts w:hint="eastAsia" w:ascii="仿宋" w:hAnsi="仿宋" w:eastAsia="仿宋" w:cs="仿宋"/>
          <w:b/>
          <w:bCs/>
          <w:szCs w:val="21"/>
          <w:highlight w:val="none"/>
          <w:lang w:val="en-US" w:eastAsia="zh-CN"/>
        </w:rPr>
        <w:t>19</w:t>
      </w:r>
      <w:r>
        <w:rPr>
          <w:rFonts w:hint="eastAsia" w:ascii="仿宋" w:hAnsi="仿宋" w:eastAsia="仿宋" w:cs="仿宋"/>
          <w:b/>
          <w:bCs/>
          <w:szCs w:val="21"/>
          <w:highlight w:val="none"/>
          <w:lang w:eastAsia="zh-CN"/>
        </w:rPr>
        <w:t>：</w:t>
      </w:r>
      <w:r>
        <w:rPr>
          <w:rFonts w:hint="eastAsia" w:ascii="仿宋" w:hAnsi="仿宋" w:eastAsia="仿宋" w:cs="仿宋"/>
          <w:b/>
          <w:bCs/>
          <w:szCs w:val="21"/>
          <w:highlight w:val="none"/>
          <w:lang w:val="en-US" w:eastAsia="zh-CN"/>
        </w:rPr>
        <w:t>3</w:t>
      </w:r>
      <w:r>
        <w:rPr>
          <w:rFonts w:hint="eastAsia" w:ascii="仿宋" w:hAnsi="仿宋" w:eastAsia="仿宋" w:cs="仿宋"/>
          <w:b/>
          <w:bCs/>
          <w:szCs w:val="21"/>
          <w:highlight w:val="none"/>
          <w:lang w:eastAsia="zh-CN"/>
        </w:rPr>
        <w:t>0</w:t>
      </w:r>
      <w:r>
        <w:rPr>
          <w:rFonts w:hint="eastAsia" w:ascii="仿宋" w:hAnsi="仿宋" w:eastAsia="仿宋" w:cs="仿宋"/>
          <w:szCs w:val="21"/>
          <w:highlight w:val="none"/>
        </w:rPr>
        <w:t>（北京时间，法定节假日除外）</w:t>
      </w:r>
    </w:p>
    <w:p w14:paraId="688CA3B8">
      <w:pPr>
        <w:spacing w:line="3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2、地点：供应商登陆政采云平台http://www.zcygov.cn/，在线申请获取竞争性磋商文件（登录政府采购云平台→ 项目采购 → 获取竞争性磋商文件→申请，审核通过后可下载竞争性磋商文件，如有操作性问题，可与政采云在线客服进行咨询，咨询电话：</w:t>
      </w:r>
      <w:r>
        <w:rPr>
          <w:rFonts w:hint="eastAsia" w:ascii="仿宋" w:hAnsi="仿宋" w:eastAsia="仿宋" w:cs="仿宋"/>
          <w:szCs w:val="21"/>
          <w:highlight w:val="none"/>
          <w:lang w:eastAsia="zh-CN"/>
        </w:rPr>
        <w:t>95763</w:t>
      </w:r>
      <w:r>
        <w:rPr>
          <w:rFonts w:hint="eastAsia" w:ascii="仿宋" w:hAnsi="仿宋" w:eastAsia="仿宋" w:cs="仿宋"/>
          <w:szCs w:val="21"/>
          <w:highlight w:val="none"/>
        </w:rPr>
        <w:t>）。</w:t>
      </w:r>
    </w:p>
    <w:p w14:paraId="7AEA4A50">
      <w:pPr>
        <w:spacing w:line="3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3、方式：（1）线上获取（登录政府采购云平台 → 项目采购 → 获取竞争性磋商文件→ 申请，审核通过后可下载竞争性磋商文件）。本次招标不提供纸质版竞争性磋商文件。（2）供应商获取竞争性磋商文件前应注册成为政府采购云平台正式供应商。</w:t>
      </w:r>
    </w:p>
    <w:p w14:paraId="3996A71F">
      <w:pPr>
        <w:spacing w:line="3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4、售价：0元</w:t>
      </w:r>
    </w:p>
    <w:p w14:paraId="2B2AC898">
      <w:pPr>
        <w:spacing w:line="320" w:lineRule="exact"/>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四、提交投标文件截止时间、开标时间和地点</w:t>
      </w:r>
    </w:p>
    <w:p w14:paraId="375AC259">
      <w:pPr>
        <w:spacing w:line="3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截止时间：202</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年</w:t>
      </w:r>
      <w:r>
        <w:rPr>
          <w:rFonts w:hint="eastAsia" w:ascii="仿宋" w:hAnsi="仿宋" w:eastAsia="仿宋" w:cs="仿宋"/>
          <w:szCs w:val="21"/>
          <w:highlight w:val="none"/>
          <w:lang w:val="en-US" w:eastAsia="zh-CN"/>
        </w:rPr>
        <w:t xml:space="preserve"> 12 </w:t>
      </w:r>
      <w:r>
        <w:rPr>
          <w:rFonts w:hint="eastAsia" w:ascii="仿宋" w:hAnsi="仿宋" w:eastAsia="仿宋" w:cs="仿宋"/>
          <w:szCs w:val="21"/>
          <w:highlight w:val="none"/>
        </w:rPr>
        <w:t>月</w:t>
      </w:r>
      <w:r>
        <w:rPr>
          <w:rFonts w:hint="eastAsia" w:ascii="仿宋" w:hAnsi="仿宋" w:eastAsia="仿宋" w:cs="仿宋"/>
          <w:szCs w:val="21"/>
          <w:highlight w:val="none"/>
          <w:lang w:val="en-US" w:eastAsia="zh-CN"/>
        </w:rPr>
        <w:t>9</w:t>
      </w:r>
      <w:r>
        <w:rPr>
          <w:rFonts w:hint="eastAsia" w:ascii="仿宋" w:hAnsi="仿宋" w:eastAsia="仿宋" w:cs="仿宋"/>
          <w:szCs w:val="21"/>
          <w:highlight w:val="none"/>
        </w:rPr>
        <w:t>日1</w:t>
      </w:r>
      <w:r>
        <w:rPr>
          <w:rFonts w:hint="eastAsia" w:ascii="仿宋" w:hAnsi="仿宋" w:eastAsia="仿宋" w:cs="仿宋"/>
          <w:szCs w:val="21"/>
          <w:highlight w:val="none"/>
          <w:lang w:val="en-US" w:eastAsia="zh-CN"/>
        </w:rPr>
        <w:t>0</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30</w:t>
      </w:r>
      <w:r>
        <w:rPr>
          <w:rFonts w:hint="eastAsia" w:ascii="仿宋" w:hAnsi="仿宋" w:eastAsia="仿宋" w:cs="仿宋"/>
          <w:szCs w:val="21"/>
          <w:highlight w:val="none"/>
        </w:rPr>
        <w:t>（北京时间）</w:t>
      </w:r>
    </w:p>
    <w:p w14:paraId="5C33DA56">
      <w:pPr>
        <w:spacing w:line="3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投标地点：政府采购云平台（www.zcygov.cn）</w:t>
      </w:r>
    </w:p>
    <w:p w14:paraId="19F5276C">
      <w:pPr>
        <w:spacing w:line="3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供应商应于202</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年</w:t>
      </w:r>
      <w:r>
        <w:rPr>
          <w:rFonts w:hint="eastAsia" w:ascii="仿宋" w:hAnsi="仿宋" w:eastAsia="仿宋" w:cs="仿宋"/>
          <w:szCs w:val="21"/>
          <w:highlight w:val="none"/>
          <w:lang w:val="en-US" w:eastAsia="zh-CN"/>
        </w:rPr>
        <w:t xml:space="preserve"> 12 </w:t>
      </w:r>
      <w:r>
        <w:rPr>
          <w:rFonts w:hint="eastAsia" w:ascii="仿宋" w:hAnsi="仿宋" w:eastAsia="仿宋" w:cs="仿宋"/>
          <w:szCs w:val="21"/>
          <w:highlight w:val="none"/>
        </w:rPr>
        <w:t>月</w:t>
      </w:r>
      <w:r>
        <w:rPr>
          <w:rFonts w:hint="eastAsia" w:ascii="仿宋" w:hAnsi="仿宋" w:eastAsia="仿宋" w:cs="仿宋"/>
          <w:szCs w:val="21"/>
          <w:highlight w:val="none"/>
          <w:lang w:val="en-US" w:eastAsia="zh-CN"/>
        </w:rPr>
        <w:t xml:space="preserve"> 9 </w:t>
      </w:r>
      <w:r>
        <w:rPr>
          <w:rFonts w:hint="eastAsia" w:ascii="仿宋" w:hAnsi="仿宋" w:eastAsia="仿宋" w:cs="仿宋"/>
          <w:szCs w:val="21"/>
          <w:highlight w:val="none"/>
        </w:rPr>
        <w:t>日1</w:t>
      </w:r>
      <w:r>
        <w:rPr>
          <w:rFonts w:hint="eastAsia" w:ascii="仿宋" w:hAnsi="仿宋" w:eastAsia="仿宋" w:cs="仿宋"/>
          <w:szCs w:val="21"/>
          <w:highlight w:val="none"/>
          <w:lang w:val="en-US" w:eastAsia="zh-CN"/>
        </w:rPr>
        <w:t>0</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30</w:t>
      </w:r>
      <w:r>
        <w:rPr>
          <w:rFonts w:hint="eastAsia" w:ascii="仿宋" w:hAnsi="仿宋" w:eastAsia="仿宋" w:cs="仿宋"/>
          <w:szCs w:val="21"/>
          <w:highlight w:val="none"/>
        </w:rPr>
        <w:t>之前将电子投标文件上传到“政采云”平台。</w:t>
      </w:r>
    </w:p>
    <w:p w14:paraId="696207CB">
      <w:pPr>
        <w:spacing w:line="3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开标时间：202</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年</w:t>
      </w:r>
      <w:r>
        <w:rPr>
          <w:rFonts w:hint="eastAsia" w:ascii="仿宋" w:hAnsi="仿宋" w:eastAsia="仿宋" w:cs="仿宋"/>
          <w:szCs w:val="21"/>
          <w:highlight w:val="none"/>
          <w:lang w:val="en-US" w:eastAsia="zh-CN"/>
        </w:rPr>
        <w:t xml:space="preserve"> 12 </w:t>
      </w:r>
      <w:r>
        <w:rPr>
          <w:rFonts w:hint="eastAsia" w:ascii="仿宋" w:hAnsi="仿宋" w:eastAsia="仿宋" w:cs="仿宋"/>
          <w:szCs w:val="21"/>
          <w:highlight w:val="none"/>
        </w:rPr>
        <w:t>月</w:t>
      </w:r>
      <w:r>
        <w:rPr>
          <w:rFonts w:hint="eastAsia" w:ascii="仿宋" w:hAnsi="仿宋" w:eastAsia="仿宋" w:cs="仿宋"/>
          <w:szCs w:val="21"/>
          <w:highlight w:val="none"/>
          <w:lang w:val="en-US" w:eastAsia="zh-CN"/>
        </w:rPr>
        <w:t>9</w:t>
      </w:r>
      <w:r>
        <w:rPr>
          <w:rFonts w:hint="eastAsia" w:ascii="仿宋" w:hAnsi="仿宋" w:eastAsia="仿宋" w:cs="仿宋"/>
          <w:szCs w:val="21"/>
          <w:highlight w:val="none"/>
        </w:rPr>
        <w:t>日1</w:t>
      </w:r>
      <w:r>
        <w:rPr>
          <w:rFonts w:hint="eastAsia" w:ascii="仿宋" w:hAnsi="仿宋" w:eastAsia="仿宋" w:cs="仿宋"/>
          <w:szCs w:val="21"/>
          <w:highlight w:val="none"/>
          <w:lang w:val="en-US" w:eastAsia="zh-CN"/>
        </w:rPr>
        <w:t>0</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30</w:t>
      </w:r>
      <w:r>
        <w:rPr>
          <w:rFonts w:hint="eastAsia" w:ascii="仿宋" w:hAnsi="仿宋" w:eastAsia="仿宋" w:cs="仿宋"/>
          <w:szCs w:val="21"/>
          <w:highlight w:val="none"/>
        </w:rPr>
        <w:t>（北京时间）</w:t>
      </w:r>
    </w:p>
    <w:p w14:paraId="7125EEE6">
      <w:pPr>
        <w:spacing w:line="3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开标地点：在政府采购云平台（www.zcygov.cn）上开启投标文件</w:t>
      </w:r>
    </w:p>
    <w:p w14:paraId="38345CA8">
      <w:pPr>
        <w:spacing w:line="320" w:lineRule="exact"/>
        <w:ind w:firstLine="420" w:firstLineChars="200"/>
        <w:rPr>
          <w:rFonts w:ascii="仿宋" w:hAnsi="仿宋" w:eastAsia="仿宋" w:cs="仿宋"/>
          <w:kern w:val="0"/>
          <w:szCs w:val="21"/>
          <w:highlight w:val="none"/>
        </w:rPr>
      </w:pPr>
      <w:r>
        <w:rPr>
          <w:rFonts w:hint="eastAsia" w:ascii="仿宋" w:hAnsi="仿宋" w:eastAsia="仿宋" w:cs="仿宋"/>
          <w:szCs w:val="21"/>
          <w:highlight w:val="none"/>
        </w:rPr>
        <w:t>开标时间后，待采购组织机构发出解密通知后30分钟内，供应商须登录“政采云”平台，</w:t>
      </w:r>
      <w:r>
        <w:rPr>
          <w:rFonts w:hint="eastAsia" w:ascii="仿宋" w:hAnsi="仿宋" w:eastAsia="仿宋" w:cs="仿宋"/>
          <w:kern w:val="0"/>
          <w:szCs w:val="21"/>
          <w:highlight w:val="none"/>
        </w:rPr>
        <w:t>用“项目采购-开标评标”功能解密投标文件。</w:t>
      </w:r>
    </w:p>
    <w:p w14:paraId="62597478">
      <w:pPr>
        <w:spacing w:line="320" w:lineRule="exact"/>
        <w:ind w:firstLine="420" w:firstLineChars="200"/>
        <w:rPr>
          <w:rFonts w:ascii="仿宋" w:hAnsi="仿宋" w:eastAsia="仿宋" w:cs="仿宋"/>
          <w:kern w:val="0"/>
          <w:szCs w:val="21"/>
          <w:highlight w:val="none"/>
        </w:rPr>
      </w:pPr>
      <w:bookmarkStart w:id="14" w:name="_Toc28359017"/>
      <w:bookmarkStart w:id="15" w:name="_Toc28359094"/>
      <w:bookmarkStart w:id="16" w:name="_Toc35393634"/>
      <w:bookmarkStart w:id="17" w:name="_Toc35393803"/>
      <w:r>
        <w:rPr>
          <w:rFonts w:hint="eastAsia" w:ascii="仿宋" w:hAnsi="仿宋" w:eastAsia="仿宋" w:cs="仿宋"/>
          <w:kern w:val="0"/>
          <w:szCs w:val="21"/>
          <w:highlight w:val="none"/>
        </w:rPr>
        <w:t>五、公告期限</w:t>
      </w:r>
      <w:bookmarkEnd w:id="14"/>
      <w:bookmarkEnd w:id="15"/>
      <w:bookmarkEnd w:id="16"/>
      <w:bookmarkEnd w:id="17"/>
    </w:p>
    <w:p w14:paraId="5A62BA54">
      <w:pPr>
        <w:spacing w:line="320" w:lineRule="exact"/>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自本公告发布之日起3个工作日。</w:t>
      </w:r>
    </w:p>
    <w:p w14:paraId="1C461B00">
      <w:pPr>
        <w:spacing w:line="320" w:lineRule="exact"/>
        <w:ind w:firstLine="420" w:firstLineChars="200"/>
        <w:rPr>
          <w:rFonts w:ascii="仿宋" w:hAnsi="仿宋" w:eastAsia="仿宋" w:cs="仿宋"/>
          <w:szCs w:val="21"/>
          <w:highlight w:val="none"/>
        </w:rPr>
      </w:pPr>
      <w:bookmarkStart w:id="18" w:name="_Toc35393635"/>
      <w:bookmarkStart w:id="19" w:name="_Toc35393804"/>
      <w:r>
        <w:rPr>
          <w:rFonts w:hint="eastAsia" w:ascii="仿宋" w:hAnsi="仿宋" w:eastAsia="仿宋" w:cs="仿宋"/>
          <w:szCs w:val="21"/>
          <w:highlight w:val="none"/>
        </w:rPr>
        <w:t>六、其他补充事宜</w:t>
      </w:r>
      <w:bookmarkEnd w:id="18"/>
      <w:bookmarkEnd w:id="19"/>
    </w:p>
    <w:p w14:paraId="2205EE79">
      <w:pPr>
        <w:rPr>
          <w:rFonts w:hint="eastAsia" w:ascii="仿宋" w:hAnsi="仿宋" w:eastAsia="仿宋" w:cs="仿宋"/>
          <w:b w:val="0"/>
          <w:bCs w:val="0"/>
          <w:i w:val="0"/>
          <w:iCs w:val="0"/>
          <w:caps w:val="0"/>
          <w:color w:val="000000"/>
          <w:spacing w:val="0"/>
          <w:w w:val="100"/>
          <w:kern w:val="0"/>
          <w:position w:val="0"/>
          <w:sz w:val="21"/>
          <w:szCs w:val="21"/>
          <w:highlight w:val="none"/>
          <w:shd w:val="clear" w:color="auto" w:fill="auto"/>
          <w:vertAlign w:val="baseline"/>
          <w:lang w:val="en-US" w:eastAsia="zh-CN" w:bidi="en-US"/>
        </w:rPr>
      </w:pPr>
      <w:r>
        <w:rPr>
          <w:rFonts w:hint="eastAsia" w:ascii="仿宋" w:hAnsi="仿宋" w:eastAsia="仿宋" w:cs="仿宋"/>
          <w:b w:val="0"/>
          <w:bCs w:val="0"/>
          <w:i w:val="0"/>
          <w:iCs w:val="0"/>
          <w:caps w:val="0"/>
          <w:color w:val="000000"/>
          <w:spacing w:val="0"/>
          <w:w w:val="100"/>
          <w:kern w:val="0"/>
          <w:position w:val="0"/>
          <w:sz w:val="21"/>
          <w:szCs w:val="21"/>
          <w:highlight w:val="none"/>
          <w:shd w:val="clear" w:color="auto" w:fill="auto"/>
          <w:vertAlign w:val="baseline"/>
          <w:lang w:val="en-US" w:eastAsia="zh-CN" w:bidi="en-US"/>
        </w:rPr>
        <w:t xml:space="preserve"> 1.本项目采用全流程不见面电子开评标，投标供应商需要使用CA加密设备，供应商可通过新疆数字证书认证中心官网（https://www.xjca.com.cn/）或下载“新疆政务通”APP自行进行申领。</w:t>
      </w:r>
    </w:p>
    <w:p w14:paraId="515BF402">
      <w:pPr>
        <w:rPr>
          <w:rFonts w:hint="eastAsia" w:ascii="仿宋" w:hAnsi="仿宋" w:eastAsia="仿宋" w:cs="仿宋"/>
          <w:b w:val="0"/>
          <w:bCs w:val="0"/>
          <w:i w:val="0"/>
          <w:iCs w:val="0"/>
          <w:caps w:val="0"/>
          <w:color w:val="000000"/>
          <w:spacing w:val="0"/>
          <w:w w:val="100"/>
          <w:kern w:val="0"/>
          <w:position w:val="0"/>
          <w:sz w:val="21"/>
          <w:szCs w:val="21"/>
          <w:highlight w:val="none"/>
          <w:shd w:val="clear" w:color="auto" w:fill="auto"/>
          <w:vertAlign w:val="baseline"/>
          <w:lang w:val="en-US" w:eastAsia="zh-CN" w:bidi="en-US"/>
        </w:rPr>
      </w:pPr>
      <w:r>
        <w:rPr>
          <w:rFonts w:hint="eastAsia" w:ascii="仿宋" w:hAnsi="仿宋" w:eastAsia="仿宋" w:cs="仿宋"/>
          <w:b w:val="0"/>
          <w:bCs w:val="0"/>
          <w:i w:val="0"/>
          <w:iCs w:val="0"/>
          <w:caps w:val="0"/>
          <w:color w:val="000000"/>
          <w:spacing w:val="0"/>
          <w:w w:val="100"/>
          <w:kern w:val="0"/>
          <w:position w:val="0"/>
          <w:sz w:val="21"/>
          <w:szCs w:val="21"/>
          <w:highlight w:val="none"/>
          <w:shd w:val="clear" w:color="auto" w:fill="auto"/>
          <w:vertAlign w:val="baseline"/>
          <w:lang w:val="en-US" w:eastAsia="zh-CN" w:bidi="en-US"/>
        </w:rPr>
        <w:t>2.本项目实行网上投标，采用加密电子投标文件(供应商须使用CA加密设备通过政采云电子投标客户端制作投标文件)。若供应商参与投标，自行承担投标一切费用。</w:t>
      </w:r>
    </w:p>
    <w:p w14:paraId="788A32A1">
      <w:pPr>
        <w:rPr>
          <w:rFonts w:hint="eastAsia" w:ascii="仿宋" w:hAnsi="仿宋" w:eastAsia="仿宋" w:cs="仿宋"/>
          <w:b w:val="0"/>
          <w:bCs w:val="0"/>
          <w:i w:val="0"/>
          <w:iCs w:val="0"/>
          <w:caps w:val="0"/>
          <w:color w:val="000000"/>
          <w:spacing w:val="0"/>
          <w:w w:val="100"/>
          <w:kern w:val="0"/>
          <w:position w:val="0"/>
          <w:sz w:val="21"/>
          <w:szCs w:val="21"/>
          <w:highlight w:val="none"/>
          <w:shd w:val="clear" w:color="auto" w:fill="auto"/>
          <w:vertAlign w:val="baseline"/>
          <w:lang w:val="en-US" w:eastAsia="zh-CN" w:bidi="en-US"/>
        </w:rPr>
      </w:pPr>
      <w:r>
        <w:rPr>
          <w:rFonts w:hint="eastAsia" w:ascii="仿宋" w:hAnsi="仿宋" w:eastAsia="仿宋" w:cs="仿宋"/>
          <w:b w:val="0"/>
          <w:bCs w:val="0"/>
          <w:i w:val="0"/>
          <w:iCs w:val="0"/>
          <w:caps w:val="0"/>
          <w:color w:val="000000"/>
          <w:spacing w:val="0"/>
          <w:w w:val="100"/>
          <w:kern w:val="0"/>
          <w:position w:val="0"/>
          <w:sz w:val="21"/>
          <w:szCs w:val="21"/>
          <w:highlight w:val="none"/>
          <w:shd w:val="clear" w:color="auto" w:fill="auto"/>
          <w:vertAlign w:val="baseline"/>
          <w:lang w:val="en-US" w:eastAsia="zh-CN" w:bidi="en-US"/>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14:paraId="11CADB98">
      <w:pPr>
        <w:rPr>
          <w:rFonts w:hint="eastAsia" w:ascii="仿宋" w:hAnsi="仿宋" w:eastAsia="仿宋" w:cs="仿宋"/>
          <w:b w:val="0"/>
          <w:bCs w:val="0"/>
          <w:i w:val="0"/>
          <w:iCs w:val="0"/>
          <w:caps w:val="0"/>
          <w:color w:val="000000"/>
          <w:spacing w:val="0"/>
          <w:w w:val="100"/>
          <w:kern w:val="0"/>
          <w:position w:val="0"/>
          <w:sz w:val="21"/>
          <w:szCs w:val="21"/>
          <w:highlight w:val="none"/>
          <w:shd w:val="clear" w:color="auto" w:fill="auto"/>
          <w:vertAlign w:val="baseline"/>
          <w:lang w:val="en-US" w:eastAsia="zh-CN" w:bidi="en-US"/>
        </w:rPr>
      </w:pPr>
      <w:r>
        <w:rPr>
          <w:rFonts w:hint="eastAsia" w:ascii="仿宋" w:hAnsi="仿宋" w:eastAsia="仿宋" w:cs="仿宋"/>
          <w:b w:val="0"/>
          <w:bCs w:val="0"/>
          <w:i w:val="0"/>
          <w:iCs w:val="0"/>
          <w:caps w:val="0"/>
          <w:color w:val="000000"/>
          <w:spacing w:val="0"/>
          <w:w w:val="100"/>
          <w:kern w:val="0"/>
          <w:position w:val="0"/>
          <w:sz w:val="21"/>
          <w:szCs w:val="21"/>
          <w:highlight w:val="none"/>
          <w:shd w:val="clear" w:color="auto" w:fill="auto"/>
          <w:vertAlign w:val="baseline"/>
          <w:lang w:val="en-US" w:eastAsia="zh-CN" w:bidi="en-US"/>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14:paraId="2A527857">
      <w:pPr>
        <w:rPr>
          <w:rFonts w:hint="eastAsia" w:ascii="仿宋" w:hAnsi="仿宋" w:eastAsia="仿宋" w:cs="仿宋"/>
          <w:b w:val="0"/>
          <w:bCs w:val="0"/>
          <w:i w:val="0"/>
          <w:iCs w:val="0"/>
          <w:caps w:val="0"/>
          <w:color w:val="000000"/>
          <w:spacing w:val="0"/>
          <w:w w:val="100"/>
          <w:kern w:val="0"/>
          <w:position w:val="0"/>
          <w:sz w:val="21"/>
          <w:szCs w:val="21"/>
          <w:highlight w:val="none"/>
          <w:shd w:val="clear" w:color="auto" w:fill="auto"/>
          <w:vertAlign w:val="baseline"/>
          <w:lang w:val="en-US" w:eastAsia="zh-CN" w:bidi="en-US"/>
        </w:rPr>
      </w:pPr>
      <w:r>
        <w:rPr>
          <w:rFonts w:hint="eastAsia" w:ascii="仿宋" w:hAnsi="仿宋" w:eastAsia="仿宋" w:cs="仿宋"/>
          <w:b w:val="0"/>
          <w:bCs w:val="0"/>
          <w:i w:val="0"/>
          <w:iCs w:val="0"/>
          <w:caps w:val="0"/>
          <w:color w:val="000000"/>
          <w:spacing w:val="0"/>
          <w:w w:val="100"/>
          <w:kern w:val="0"/>
          <w:position w:val="0"/>
          <w:sz w:val="21"/>
          <w:szCs w:val="21"/>
          <w:highlight w:val="none"/>
          <w:shd w:val="clear" w:color="auto" w:fill="auto"/>
          <w:vertAlign w:val="baseline"/>
          <w:lang w:val="en-US" w:eastAsia="zh-CN" w:bidi="en-US"/>
        </w:rPr>
        <w:t>5.供应商在开标时须使用制作加密电子投标文件所使用的CA锁及电脑，电脑须提前配置好浏览器（建议使用谷歌浏览器），以便开标时解锁。</w:t>
      </w:r>
    </w:p>
    <w:p w14:paraId="79EE0CB0">
      <w:pPr>
        <w:rPr>
          <w:rFonts w:hint="eastAsia" w:ascii="仿宋" w:hAnsi="仿宋" w:eastAsia="仿宋" w:cs="仿宋"/>
          <w:b w:val="0"/>
          <w:bCs w:val="0"/>
          <w:i w:val="0"/>
          <w:iCs w:val="0"/>
          <w:caps w:val="0"/>
          <w:color w:val="000000"/>
          <w:spacing w:val="0"/>
          <w:w w:val="100"/>
          <w:kern w:val="0"/>
          <w:position w:val="0"/>
          <w:sz w:val="21"/>
          <w:szCs w:val="21"/>
          <w:highlight w:val="none"/>
          <w:shd w:val="clear" w:color="auto" w:fill="auto"/>
          <w:vertAlign w:val="baseline"/>
          <w:lang w:val="en-US" w:eastAsia="zh-CN" w:bidi="en-US"/>
        </w:rPr>
      </w:pPr>
      <w:r>
        <w:rPr>
          <w:rFonts w:hint="eastAsia" w:ascii="仿宋" w:hAnsi="仿宋" w:eastAsia="仿宋" w:cs="仿宋"/>
          <w:b w:val="0"/>
          <w:bCs w:val="0"/>
          <w:i w:val="0"/>
          <w:iCs w:val="0"/>
          <w:caps w:val="0"/>
          <w:color w:val="000000"/>
          <w:spacing w:val="0"/>
          <w:w w:val="100"/>
          <w:kern w:val="0"/>
          <w:position w:val="0"/>
          <w:sz w:val="21"/>
          <w:szCs w:val="21"/>
          <w:highlight w:val="none"/>
          <w:shd w:val="clear" w:color="auto" w:fill="auto"/>
          <w:vertAlign w:val="baseline"/>
          <w:lang w:val="en-US" w:eastAsia="zh-CN" w:bidi="en-US"/>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14:paraId="3865E520">
      <w:pPr>
        <w:spacing w:line="320" w:lineRule="exact"/>
        <w:ind w:firstLine="420" w:firstLineChars="200"/>
        <w:rPr>
          <w:rFonts w:ascii="仿宋" w:hAnsi="仿宋" w:eastAsia="仿宋" w:cs="仿宋"/>
          <w:szCs w:val="21"/>
          <w:highlight w:val="none"/>
        </w:rPr>
      </w:pPr>
      <w:r>
        <w:rPr>
          <w:rFonts w:hint="eastAsia" w:ascii="仿宋" w:hAnsi="仿宋" w:eastAsia="仿宋" w:cs="仿宋"/>
          <w:b w:val="0"/>
          <w:bCs w:val="0"/>
          <w:i w:val="0"/>
          <w:iCs w:val="0"/>
          <w:caps w:val="0"/>
          <w:color w:val="000000"/>
          <w:spacing w:val="0"/>
          <w:w w:val="100"/>
          <w:kern w:val="0"/>
          <w:position w:val="0"/>
          <w:sz w:val="21"/>
          <w:szCs w:val="21"/>
          <w:highlight w:val="none"/>
          <w:shd w:val="clear" w:color="auto" w:fill="auto"/>
          <w:vertAlign w:val="baseline"/>
          <w:lang w:val="en-US" w:eastAsia="zh-CN" w:bidi="en-US"/>
        </w:rPr>
        <w:t>7.为了保证开评标顺利进行，政采云线上开标功能完全实现，供应商开标所使用的电脑设备须具有视频及语音功能。</w:t>
      </w:r>
    </w:p>
    <w:p w14:paraId="020370B5">
      <w:pPr>
        <w:ind w:left="420" w:leftChars="200"/>
        <w:rPr>
          <w:rFonts w:ascii="仿宋" w:hAnsi="仿宋" w:eastAsia="仿宋" w:cs="仿宋"/>
          <w:b/>
          <w:bCs/>
          <w:szCs w:val="21"/>
          <w:highlight w:val="none"/>
        </w:rPr>
      </w:pPr>
      <w:r>
        <w:rPr>
          <w:rFonts w:ascii="仿宋" w:hAnsi="仿宋" w:eastAsia="仿宋" w:cs="仿宋"/>
          <w:b/>
          <w:bCs/>
          <w:szCs w:val="21"/>
          <w:highlight w:val="none"/>
        </w:rPr>
        <w:t>特别提示：</w:t>
      </w:r>
    </w:p>
    <w:p w14:paraId="00BDE2B1">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kern w:val="0"/>
          <w:szCs w:val="21"/>
          <w:highlight w:val="none"/>
        </w:rPr>
      </w:pPr>
      <w:bookmarkStart w:id="20" w:name="_Toc28359018"/>
      <w:bookmarkStart w:id="21" w:name="_Toc35393805"/>
      <w:bookmarkStart w:id="22" w:name="_Toc28359095"/>
      <w:bookmarkStart w:id="23" w:name="_Toc35393636"/>
      <w:r>
        <w:rPr>
          <w:rFonts w:hint="eastAsia" w:ascii="仿宋" w:hAnsi="仿宋" w:eastAsia="仿宋" w:cs="仿宋"/>
          <w:kern w:val="0"/>
          <w:szCs w:val="21"/>
          <w:highlight w:val="none"/>
        </w:rPr>
        <w:t>1、采购限额标准以上，200万元以下的货物和服务采购项目、400万元以下的工程采购项目，适宜由中小企业提供的，采购人应当专门面向中小企业采购。</w:t>
      </w:r>
    </w:p>
    <w:p w14:paraId="180A6305">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kern w:val="0"/>
          <w:szCs w:val="21"/>
          <w:highlight w:val="none"/>
        </w:rPr>
      </w:pPr>
      <w:r>
        <w:rPr>
          <w:rFonts w:hint="eastAsia" w:ascii="仿宋" w:hAnsi="仿宋" w:eastAsia="仿宋" w:cs="仿宋"/>
          <w:kern w:val="0"/>
          <w:szCs w:val="21"/>
          <w:highlight w:val="none"/>
        </w:rPr>
        <w:t>2、超过200万元的货物和服务采购项目，预留该部分采购项目预算总额的30%以上专门面向中小企业采购，其中预留给小微企业的比例不低于60%。</w:t>
      </w:r>
    </w:p>
    <w:p w14:paraId="7B32DA1F">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kern w:val="0"/>
          <w:szCs w:val="21"/>
          <w:highlight w:val="none"/>
        </w:rPr>
      </w:pPr>
      <w:r>
        <w:rPr>
          <w:rFonts w:hint="eastAsia" w:ascii="仿宋" w:hAnsi="仿宋" w:eastAsia="仿宋" w:cs="仿宋"/>
          <w:kern w:val="0"/>
          <w:szCs w:val="21"/>
          <w:highlight w:val="none"/>
        </w:rPr>
        <w:t>3、超过400万元的工程采购项目中适宜由中小企业提供的，预留该部分采购项目预算总额的40%以上专门面向中小企业采购，其中预留给小微企业的比例不低于60%。</w:t>
      </w:r>
    </w:p>
    <w:p w14:paraId="0A6BA2AF">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kern w:val="0"/>
          <w:szCs w:val="21"/>
          <w:highlight w:val="none"/>
        </w:rPr>
      </w:pPr>
      <w:r>
        <w:rPr>
          <w:rFonts w:hint="eastAsia" w:ascii="仿宋" w:hAnsi="仿宋" w:eastAsia="仿宋" w:cs="仿宋"/>
          <w:kern w:val="0"/>
          <w:szCs w:val="21"/>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AE032DC">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kern w:val="0"/>
          <w:szCs w:val="21"/>
          <w:highlight w:val="none"/>
        </w:rPr>
      </w:pPr>
      <w:r>
        <w:rPr>
          <w:rFonts w:hint="eastAsia" w:ascii="仿宋" w:hAnsi="仿宋" w:eastAsia="仿宋" w:cs="仿宋"/>
          <w:kern w:val="0"/>
          <w:szCs w:val="21"/>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AE8581B">
      <w:pPr>
        <w:ind w:firstLine="420" w:firstLineChars="200"/>
        <w:rPr>
          <w:rFonts w:ascii="仿宋" w:hAnsi="仿宋" w:eastAsia="仿宋"/>
          <w:szCs w:val="21"/>
          <w:highlight w:val="none"/>
        </w:rPr>
      </w:pPr>
      <w:r>
        <w:rPr>
          <w:rFonts w:hint="eastAsia" w:ascii="仿宋" w:hAnsi="仿宋" w:eastAsia="仿宋" w:cs="仿宋"/>
          <w:kern w:val="0"/>
          <w:szCs w:val="21"/>
          <w:highlight w:val="none"/>
        </w:rPr>
        <w:t>七、凡对</w:t>
      </w:r>
      <w:r>
        <w:rPr>
          <w:rFonts w:hint="eastAsia" w:ascii="仿宋" w:hAnsi="仿宋" w:eastAsia="仿宋" w:cs="仿宋"/>
          <w:szCs w:val="21"/>
          <w:highlight w:val="none"/>
        </w:rPr>
        <w:t>本次采购提出询问，请按以下方式联系。</w:t>
      </w:r>
      <w:bookmarkEnd w:id="20"/>
      <w:bookmarkEnd w:id="21"/>
      <w:bookmarkEnd w:id="22"/>
      <w:bookmarkEnd w:id="23"/>
    </w:p>
    <w:p w14:paraId="0977536A">
      <w:pPr>
        <w:ind w:firstLine="420" w:firstLineChars="200"/>
        <w:rPr>
          <w:rFonts w:ascii="仿宋" w:hAnsi="仿宋" w:eastAsia="仿宋" w:cs="仿宋"/>
          <w:szCs w:val="21"/>
          <w:highlight w:val="none"/>
        </w:rPr>
      </w:pPr>
      <w:r>
        <w:rPr>
          <w:rFonts w:hint="eastAsia" w:ascii="仿宋" w:hAnsi="仿宋" w:eastAsia="仿宋" w:cs="仿宋"/>
          <w:szCs w:val="21"/>
          <w:highlight w:val="none"/>
        </w:rPr>
        <w:t>1.采购人信息</w:t>
      </w:r>
    </w:p>
    <w:p w14:paraId="7D1D3E78">
      <w:pPr>
        <w:ind w:firstLine="420" w:firstLineChars="200"/>
        <w:rPr>
          <w:rFonts w:hint="eastAsia" w:ascii="仿宋" w:hAnsi="仿宋" w:eastAsia="仿宋" w:cs="仿宋"/>
          <w:szCs w:val="21"/>
          <w:highlight w:val="none"/>
          <w:lang w:eastAsia="zh-CN"/>
        </w:rPr>
      </w:pPr>
      <w:r>
        <w:rPr>
          <w:rFonts w:hint="eastAsia" w:ascii="仿宋" w:hAnsi="仿宋" w:eastAsia="仿宋" w:cs="仿宋"/>
          <w:szCs w:val="21"/>
          <w:highlight w:val="none"/>
        </w:rPr>
        <w:t>名 称：</w:t>
      </w:r>
      <w:r>
        <w:rPr>
          <w:rFonts w:hint="eastAsia" w:ascii="仿宋" w:hAnsi="仿宋" w:eastAsia="仿宋" w:cs="仿宋"/>
          <w:szCs w:val="21"/>
          <w:highlight w:val="none"/>
          <w:lang w:eastAsia="zh-CN"/>
        </w:rPr>
        <w:t>克孜勒苏柯尔克孜自治州财政局</w:t>
      </w:r>
    </w:p>
    <w:p w14:paraId="25A5FD3B">
      <w:pPr>
        <w:ind w:firstLine="420" w:firstLineChars="200"/>
        <w:rPr>
          <w:rFonts w:hint="default" w:ascii="仿宋" w:hAnsi="仿宋" w:eastAsia="仿宋" w:cs="仿宋"/>
          <w:szCs w:val="21"/>
          <w:highlight w:val="none"/>
          <w:lang w:val="en-US" w:eastAsia="zh-CN"/>
        </w:rPr>
      </w:pPr>
      <w:r>
        <w:rPr>
          <w:rFonts w:hint="eastAsia" w:ascii="仿宋" w:hAnsi="仿宋" w:eastAsia="仿宋" w:cs="仿宋"/>
          <w:szCs w:val="21"/>
          <w:highlight w:val="none"/>
        </w:rPr>
        <w:t>地 址：</w:t>
      </w:r>
      <w:r>
        <w:rPr>
          <w:rFonts w:hint="eastAsia" w:ascii="仿宋" w:hAnsi="仿宋" w:eastAsia="仿宋" w:cs="仿宋"/>
          <w:szCs w:val="21"/>
          <w:highlight w:val="none"/>
          <w:lang w:val="en-US" w:eastAsia="zh-CN"/>
        </w:rPr>
        <w:t xml:space="preserve"> 新疆克州阿图什市               </w:t>
      </w:r>
    </w:p>
    <w:p w14:paraId="2DA359A7">
      <w:pPr>
        <w:ind w:firstLine="420" w:firstLineChars="200"/>
        <w:rPr>
          <w:rFonts w:hint="default" w:ascii="仿宋" w:hAnsi="仿宋" w:eastAsia="仿宋" w:cs="仿宋"/>
          <w:szCs w:val="21"/>
          <w:highlight w:val="none"/>
          <w:lang w:val="en-US" w:eastAsia="zh-CN"/>
        </w:rPr>
      </w:pPr>
      <w:r>
        <w:rPr>
          <w:rFonts w:hint="eastAsia" w:ascii="仿宋" w:hAnsi="仿宋" w:eastAsia="仿宋" w:cs="仿宋"/>
          <w:szCs w:val="21"/>
          <w:highlight w:val="none"/>
        </w:rPr>
        <w:t>联系方式：</w:t>
      </w:r>
      <w:r>
        <w:rPr>
          <w:rFonts w:hint="eastAsia" w:ascii="仿宋" w:hAnsi="仿宋" w:eastAsia="仿宋" w:cs="仿宋"/>
          <w:szCs w:val="21"/>
          <w:highlight w:val="none"/>
          <w:lang w:val="en-US" w:eastAsia="zh-CN"/>
        </w:rPr>
        <w:t xml:space="preserve">13899480098             </w:t>
      </w:r>
    </w:p>
    <w:p w14:paraId="74DCDCEE">
      <w:pPr>
        <w:ind w:firstLine="420" w:firstLineChars="200"/>
        <w:rPr>
          <w:rFonts w:ascii="仿宋" w:hAnsi="仿宋" w:eastAsia="仿宋" w:cs="仿宋"/>
          <w:szCs w:val="21"/>
          <w:highlight w:val="none"/>
        </w:rPr>
      </w:pPr>
      <w:r>
        <w:rPr>
          <w:rFonts w:hint="eastAsia" w:ascii="仿宋" w:hAnsi="仿宋" w:eastAsia="仿宋" w:cs="仿宋"/>
          <w:szCs w:val="21"/>
          <w:highlight w:val="none"/>
        </w:rPr>
        <w:t>2.采购代理机构信息</w:t>
      </w:r>
    </w:p>
    <w:p w14:paraId="0880EA5C">
      <w:pPr>
        <w:ind w:firstLine="420" w:firstLineChars="200"/>
        <w:rPr>
          <w:rFonts w:hint="eastAsia" w:ascii="仿宋" w:hAnsi="仿宋" w:eastAsia="仿宋" w:cs="仿宋"/>
          <w:szCs w:val="21"/>
          <w:highlight w:val="none"/>
          <w:lang w:eastAsia="zh-CN"/>
        </w:rPr>
      </w:pPr>
      <w:r>
        <w:rPr>
          <w:rFonts w:hint="eastAsia" w:ascii="仿宋" w:hAnsi="仿宋" w:eastAsia="仿宋" w:cs="仿宋"/>
          <w:szCs w:val="21"/>
          <w:highlight w:val="none"/>
        </w:rPr>
        <w:t>名 称：</w:t>
      </w:r>
      <w:r>
        <w:rPr>
          <w:rFonts w:hint="eastAsia" w:ascii="仿宋" w:hAnsi="仿宋" w:eastAsia="仿宋" w:cs="仿宋"/>
          <w:szCs w:val="21"/>
          <w:highlight w:val="none"/>
          <w:lang w:eastAsia="zh-CN"/>
        </w:rPr>
        <w:t>新疆融联通达工程项目管理有限公司</w:t>
      </w:r>
    </w:p>
    <w:p w14:paraId="0043625D">
      <w:pPr>
        <w:ind w:firstLine="420" w:firstLineChars="200"/>
        <w:rPr>
          <w:rFonts w:ascii="仿宋" w:hAnsi="仿宋" w:eastAsia="仿宋" w:cs="仿宋"/>
          <w:szCs w:val="21"/>
          <w:highlight w:val="none"/>
        </w:rPr>
      </w:pPr>
      <w:r>
        <w:rPr>
          <w:rFonts w:hint="eastAsia" w:ascii="仿宋" w:hAnsi="仿宋" w:eastAsia="仿宋" w:cs="仿宋"/>
          <w:szCs w:val="21"/>
          <w:highlight w:val="none"/>
        </w:rPr>
        <w:t>地 址：</w:t>
      </w:r>
      <w:r>
        <w:rPr>
          <w:rFonts w:hint="eastAsia" w:ascii="仿宋" w:hAnsi="仿宋" w:eastAsia="仿宋" w:cs="仿宋"/>
          <w:szCs w:val="21"/>
          <w:highlight w:val="none"/>
          <w:lang w:eastAsia="zh-CN"/>
        </w:rPr>
        <w:t>新疆克州阿图什市友谊北路23号</w:t>
      </w:r>
      <w:r>
        <w:rPr>
          <w:rFonts w:hint="eastAsia" w:ascii="仿宋" w:hAnsi="仿宋" w:eastAsia="仿宋" w:cs="仿宋"/>
          <w:szCs w:val="21"/>
          <w:highlight w:val="none"/>
        </w:rPr>
        <w:t xml:space="preserve">    </w:t>
      </w:r>
    </w:p>
    <w:p w14:paraId="76C2378A">
      <w:pPr>
        <w:ind w:firstLine="420" w:firstLineChars="200"/>
        <w:rPr>
          <w:rFonts w:hint="default" w:ascii="仿宋" w:hAnsi="仿宋" w:eastAsia="仿宋" w:cs="仿宋"/>
          <w:szCs w:val="21"/>
          <w:highlight w:val="none"/>
          <w:lang w:val="en-US" w:eastAsia="zh-CN"/>
        </w:rPr>
      </w:pPr>
      <w:r>
        <w:rPr>
          <w:rFonts w:hint="eastAsia" w:ascii="仿宋" w:hAnsi="仿宋" w:eastAsia="仿宋" w:cs="仿宋"/>
          <w:szCs w:val="21"/>
          <w:highlight w:val="none"/>
        </w:rPr>
        <w:t xml:space="preserve"> 联系方式：</w:t>
      </w:r>
      <w:r>
        <w:rPr>
          <w:rFonts w:hint="eastAsia" w:ascii="仿宋" w:hAnsi="仿宋" w:eastAsia="仿宋" w:cs="仿宋"/>
          <w:szCs w:val="21"/>
          <w:highlight w:val="none"/>
          <w:lang w:eastAsia="zh-CN"/>
        </w:rPr>
        <w:t>黄女士</w:t>
      </w:r>
      <w:r>
        <w:rPr>
          <w:rFonts w:hint="eastAsia" w:ascii="仿宋" w:hAnsi="仿宋" w:eastAsia="仿宋" w:cs="仿宋"/>
          <w:szCs w:val="21"/>
          <w:highlight w:val="none"/>
        </w:rPr>
        <w:t xml:space="preserve"> </w:t>
      </w:r>
      <w:r>
        <w:rPr>
          <w:rFonts w:hint="eastAsia" w:ascii="仿宋" w:hAnsi="仿宋" w:eastAsia="仿宋" w:cs="仿宋"/>
          <w:szCs w:val="21"/>
          <w:highlight w:val="none"/>
          <w:lang w:eastAsia="zh-CN"/>
        </w:rPr>
        <w:t>17609081174</w:t>
      </w:r>
    </w:p>
    <w:p w14:paraId="183A2750">
      <w:pPr>
        <w:spacing w:line="500" w:lineRule="exact"/>
        <w:jc w:val="center"/>
        <w:outlineLvl w:val="0"/>
        <w:rPr>
          <w:rFonts w:ascii="宋体"/>
          <w:b/>
          <w:sz w:val="32"/>
          <w:szCs w:val="32"/>
          <w:highlight w:val="none"/>
        </w:rPr>
      </w:pPr>
    </w:p>
    <w:p w14:paraId="6CB85046">
      <w:pPr>
        <w:spacing w:line="500" w:lineRule="exact"/>
        <w:jc w:val="center"/>
        <w:outlineLvl w:val="0"/>
        <w:rPr>
          <w:rFonts w:ascii="宋体"/>
          <w:b/>
          <w:sz w:val="32"/>
          <w:szCs w:val="32"/>
          <w:highlight w:val="none"/>
        </w:rPr>
      </w:pPr>
    </w:p>
    <w:p w14:paraId="27080EB1">
      <w:pPr>
        <w:spacing w:line="500" w:lineRule="exact"/>
        <w:jc w:val="center"/>
        <w:outlineLvl w:val="0"/>
        <w:rPr>
          <w:rFonts w:ascii="宋体"/>
          <w:b/>
          <w:sz w:val="32"/>
          <w:szCs w:val="32"/>
          <w:highlight w:val="none"/>
        </w:rPr>
      </w:pPr>
    </w:p>
    <w:p w14:paraId="1BABD751">
      <w:pPr>
        <w:spacing w:line="500" w:lineRule="exact"/>
        <w:jc w:val="center"/>
        <w:outlineLvl w:val="0"/>
        <w:rPr>
          <w:rFonts w:ascii="宋体"/>
          <w:b/>
          <w:sz w:val="32"/>
          <w:szCs w:val="32"/>
          <w:highlight w:val="none"/>
        </w:rPr>
      </w:pPr>
    </w:p>
    <w:p w14:paraId="2A893C84">
      <w:pPr>
        <w:spacing w:line="500" w:lineRule="exact"/>
        <w:jc w:val="center"/>
        <w:outlineLvl w:val="0"/>
        <w:rPr>
          <w:rFonts w:ascii="宋体"/>
          <w:b/>
          <w:sz w:val="32"/>
          <w:szCs w:val="32"/>
          <w:highlight w:val="none"/>
        </w:rPr>
      </w:pPr>
    </w:p>
    <w:p w14:paraId="15F3BF4D">
      <w:pPr>
        <w:spacing w:line="500" w:lineRule="exact"/>
        <w:jc w:val="center"/>
        <w:outlineLvl w:val="0"/>
        <w:rPr>
          <w:rFonts w:ascii="宋体"/>
          <w:b/>
          <w:sz w:val="32"/>
          <w:szCs w:val="32"/>
          <w:highlight w:val="none"/>
        </w:rPr>
      </w:pPr>
    </w:p>
    <w:p w14:paraId="04046125">
      <w:pPr>
        <w:spacing w:line="500" w:lineRule="exact"/>
        <w:jc w:val="center"/>
        <w:outlineLvl w:val="0"/>
        <w:rPr>
          <w:rFonts w:ascii="宋体"/>
          <w:b/>
          <w:sz w:val="32"/>
          <w:szCs w:val="32"/>
          <w:highlight w:val="none"/>
        </w:rPr>
      </w:pPr>
    </w:p>
    <w:p w14:paraId="66DB35E5">
      <w:pPr>
        <w:spacing w:line="500" w:lineRule="exact"/>
        <w:jc w:val="center"/>
        <w:outlineLvl w:val="0"/>
        <w:rPr>
          <w:rFonts w:ascii="宋体"/>
          <w:b/>
          <w:sz w:val="32"/>
          <w:szCs w:val="32"/>
          <w:highlight w:val="none"/>
        </w:rPr>
      </w:pPr>
    </w:p>
    <w:p w14:paraId="2E5D87A4">
      <w:pPr>
        <w:spacing w:line="500" w:lineRule="exact"/>
        <w:jc w:val="center"/>
        <w:outlineLvl w:val="0"/>
        <w:rPr>
          <w:rFonts w:ascii="宋体"/>
          <w:b/>
          <w:sz w:val="32"/>
          <w:szCs w:val="32"/>
          <w:highlight w:val="none"/>
        </w:rPr>
      </w:pPr>
    </w:p>
    <w:p w14:paraId="170C9BBD">
      <w:pPr>
        <w:spacing w:line="500" w:lineRule="exact"/>
        <w:jc w:val="center"/>
        <w:outlineLvl w:val="0"/>
        <w:rPr>
          <w:rFonts w:ascii="宋体"/>
          <w:b/>
          <w:sz w:val="32"/>
          <w:szCs w:val="32"/>
          <w:highlight w:val="none"/>
        </w:rPr>
      </w:pPr>
    </w:p>
    <w:p w14:paraId="15ED10D1">
      <w:pPr>
        <w:spacing w:line="500" w:lineRule="exact"/>
        <w:jc w:val="center"/>
        <w:outlineLvl w:val="0"/>
        <w:rPr>
          <w:rFonts w:ascii="宋体"/>
          <w:b/>
          <w:sz w:val="32"/>
          <w:szCs w:val="32"/>
          <w:highlight w:val="none"/>
        </w:rPr>
      </w:pPr>
    </w:p>
    <w:p w14:paraId="6705052B">
      <w:pPr>
        <w:spacing w:line="500" w:lineRule="exact"/>
        <w:jc w:val="center"/>
        <w:outlineLvl w:val="0"/>
        <w:rPr>
          <w:rFonts w:ascii="宋体"/>
          <w:b/>
          <w:sz w:val="32"/>
          <w:szCs w:val="32"/>
          <w:highlight w:val="none"/>
        </w:rPr>
      </w:pPr>
    </w:p>
    <w:p w14:paraId="12FF2BCB">
      <w:pPr>
        <w:spacing w:line="500" w:lineRule="exact"/>
        <w:jc w:val="center"/>
        <w:outlineLvl w:val="0"/>
        <w:rPr>
          <w:rFonts w:ascii="宋体"/>
          <w:b/>
          <w:sz w:val="32"/>
          <w:szCs w:val="32"/>
          <w:highlight w:val="none"/>
        </w:rPr>
      </w:pPr>
    </w:p>
    <w:p w14:paraId="01A35A86">
      <w:pPr>
        <w:spacing w:line="500" w:lineRule="exact"/>
        <w:jc w:val="center"/>
        <w:outlineLvl w:val="0"/>
        <w:rPr>
          <w:rFonts w:ascii="宋体"/>
          <w:b/>
          <w:sz w:val="32"/>
          <w:szCs w:val="32"/>
          <w:highlight w:val="none"/>
        </w:rPr>
      </w:pPr>
    </w:p>
    <w:p w14:paraId="77DE3B11">
      <w:pPr>
        <w:spacing w:line="500" w:lineRule="exact"/>
        <w:jc w:val="center"/>
        <w:outlineLvl w:val="0"/>
        <w:rPr>
          <w:rFonts w:ascii="宋体"/>
          <w:b/>
          <w:sz w:val="32"/>
          <w:szCs w:val="32"/>
          <w:highlight w:val="none"/>
        </w:rPr>
      </w:pPr>
    </w:p>
    <w:p w14:paraId="19F21FD5">
      <w:pPr>
        <w:spacing w:line="500" w:lineRule="exact"/>
        <w:jc w:val="center"/>
        <w:outlineLvl w:val="0"/>
        <w:rPr>
          <w:rFonts w:ascii="宋体"/>
          <w:b/>
          <w:sz w:val="32"/>
          <w:szCs w:val="32"/>
          <w:highlight w:val="none"/>
        </w:rPr>
      </w:pPr>
    </w:p>
    <w:p w14:paraId="783212B9">
      <w:pPr>
        <w:pStyle w:val="42"/>
        <w:rPr>
          <w:b/>
          <w:color w:val="auto"/>
          <w:sz w:val="32"/>
          <w:szCs w:val="32"/>
          <w:highlight w:val="none"/>
        </w:rPr>
      </w:pPr>
    </w:p>
    <w:p w14:paraId="5931321D">
      <w:pPr>
        <w:rPr>
          <w:rFonts w:hint="eastAsia" w:ascii="宋体"/>
          <w:b/>
          <w:sz w:val="32"/>
          <w:szCs w:val="32"/>
          <w:highlight w:val="none"/>
        </w:rPr>
      </w:pPr>
      <w:r>
        <w:rPr>
          <w:rFonts w:hint="eastAsia" w:ascii="宋体"/>
          <w:b/>
          <w:sz w:val="32"/>
          <w:szCs w:val="32"/>
          <w:highlight w:val="none"/>
        </w:rPr>
        <w:br w:type="page"/>
      </w:r>
    </w:p>
    <w:p w14:paraId="130C4E86">
      <w:pPr>
        <w:spacing w:line="500" w:lineRule="exact"/>
        <w:jc w:val="center"/>
        <w:outlineLvl w:val="0"/>
        <w:rPr>
          <w:rFonts w:ascii="宋体"/>
          <w:b/>
          <w:sz w:val="32"/>
          <w:szCs w:val="32"/>
          <w:highlight w:val="none"/>
        </w:rPr>
      </w:pPr>
      <w:r>
        <w:rPr>
          <w:rFonts w:hint="eastAsia" w:ascii="宋体"/>
          <w:b/>
          <w:sz w:val="32"/>
          <w:szCs w:val="32"/>
          <w:highlight w:val="none"/>
        </w:rPr>
        <w:t>第二章 投标人须知</w:t>
      </w:r>
      <w:bookmarkEnd w:id="1"/>
    </w:p>
    <w:p w14:paraId="0CF5C8AB">
      <w:pPr>
        <w:snapToGrid w:val="0"/>
        <w:spacing w:line="500" w:lineRule="exact"/>
        <w:jc w:val="center"/>
        <w:outlineLvl w:val="1"/>
        <w:rPr>
          <w:rFonts w:ascii="宋体"/>
          <w:b/>
          <w:sz w:val="28"/>
          <w:szCs w:val="28"/>
          <w:highlight w:val="none"/>
        </w:rPr>
      </w:pPr>
      <w:bookmarkStart w:id="24" w:name="_Toc26232"/>
      <w:r>
        <w:rPr>
          <w:rFonts w:hint="eastAsia" w:ascii="宋体"/>
          <w:b/>
          <w:sz w:val="32"/>
          <w:szCs w:val="32"/>
          <w:highlight w:val="none"/>
        </w:rPr>
        <w:t>一、</w:t>
      </w:r>
      <w:r>
        <w:rPr>
          <w:rFonts w:hint="eastAsia" w:ascii="宋体"/>
          <w:b/>
          <w:sz w:val="28"/>
          <w:szCs w:val="28"/>
          <w:highlight w:val="none"/>
        </w:rPr>
        <w:t>投标人须知前附表</w:t>
      </w:r>
      <w:bookmarkEnd w:id="24"/>
    </w:p>
    <w:tbl>
      <w:tblPr>
        <w:tblStyle w:val="24"/>
        <w:tblW w:w="4671"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497"/>
        <w:gridCol w:w="1549"/>
        <w:gridCol w:w="7468"/>
      </w:tblGrid>
      <w:tr w14:paraId="36B5153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9" w:hRule="atLeast"/>
          <w:jc w:val="center"/>
        </w:trPr>
        <w:tc>
          <w:tcPr>
            <w:tcW w:w="261" w:type="pct"/>
            <w:vAlign w:val="center"/>
          </w:tcPr>
          <w:p w14:paraId="4BF0F804">
            <w:pPr>
              <w:pStyle w:val="12"/>
              <w:snapToGrid w:val="0"/>
              <w:spacing w:line="290" w:lineRule="exact"/>
              <w:ind w:left="-94" w:leftChars="-45" w:right="-81" w:rightChars="-39"/>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条款号</w:t>
            </w:r>
          </w:p>
        </w:tc>
        <w:tc>
          <w:tcPr>
            <w:tcW w:w="814" w:type="pct"/>
            <w:vAlign w:val="center"/>
          </w:tcPr>
          <w:p w14:paraId="193FA51D">
            <w:pPr>
              <w:pStyle w:val="12"/>
              <w:snapToGrid w:val="0"/>
              <w:spacing w:line="290" w:lineRule="exact"/>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内容</w:t>
            </w:r>
          </w:p>
        </w:tc>
        <w:tc>
          <w:tcPr>
            <w:tcW w:w="3924" w:type="pct"/>
            <w:vAlign w:val="center"/>
          </w:tcPr>
          <w:p w14:paraId="56452CD3">
            <w:pPr>
              <w:pStyle w:val="12"/>
              <w:snapToGrid w:val="0"/>
              <w:spacing w:line="290" w:lineRule="exact"/>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说明与要求</w:t>
            </w:r>
          </w:p>
        </w:tc>
      </w:tr>
      <w:tr w14:paraId="74F79E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3" w:hRule="atLeast"/>
          <w:jc w:val="center"/>
        </w:trPr>
        <w:tc>
          <w:tcPr>
            <w:tcW w:w="261" w:type="pct"/>
            <w:vAlign w:val="center"/>
          </w:tcPr>
          <w:p w14:paraId="0D479496">
            <w:pPr>
              <w:pStyle w:val="12"/>
              <w:snapToGrid w:val="0"/>
              <w:spacing w:line="29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p>
        </w:tc>
        <w:tc>
          <w:tcPr>
            <w:tcW w:w="814" w:type="pct"/>
            <w:vAlign w:val="center"/>
          </w:tcPr>
          <w:p w14:paraId="638DB31B">
            <w:pPr>
              <w:widowControl/>
              <w:spacing w:line="29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p>
          <w:p w14:paraId="0573E166">
            <w:pPr>
              <w:widowControl/>
              <w:spacing w:line="29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项目编号</w:t>
            </w:r>
          </w:p>
          <w:p w14:paraId="4BF7278A">
            <w:pPr>
              <w:widowControl/>
              <w:spacing w:line="29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采购内容</w:t>
            </w:r>
          </w:p>
          <w:p w14:paraId="0FAB483C">
            <w:pPr>
              <w:widowControl/>
              <w:spacing w:line="290" w:lineRule="exact"/>
              <w:jc w:val="left"/>
              <w:rPr>
                <w:color w:val="000000" w:themeColor="text1"/>
                <w:highlight w:val="none"/>
                <w14:textFill>
                  <w14:solidFill>
                    <w14:schemeClr w14:val="tx1"/>
                  </w14:solidFill>
                </w14:textFill>
              </w:rPr>
            </w:pPr>
          </w:p>
        </w:tc>
        <w:tc>
          <w:tcPr>
            <w:tcW w:w="3924" w:type="pct"/>
            <w:vAlign w:val="center"/>
          </w:tcPr>
          <w:p w14:paraId="234E7CE7">
            <w:pPr>
              <w:widowControl/>
              <w:spacing w:line="290" w:lineRule="exact"/>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项目名称：</w:t>
            </w:r>
            <w:r>
              <w:rPr>
                <w:rFonts w:hint="eastAsia"/>
                <w:color w:val="000000" w:themeColor="text1"/>
                <w:highlight w:val="none"/>
                <w:lang w:eastAsia="zh-CN"/>
                <w14:textFill>
                  <w14:solidFill>
                    <w14:schemeClr w14:val="tx1"/>
                  </w14:solidFill>
                </w14:textFill>
              </w:rPr>
              <w:t>克州财政局惠民惠农“一卡通”补贴资金金融机构代发项目</w:t>
            </w:r>
          </w:p>
          <w:p w14:paraId="239C1DF5">
            <w:pPr>
              <w:widowControl/>
              <w:spacing w:line="290" w:lineRule="exact"/>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项目编号：</w:t>
            </w:r>
            <w:r>
              <w:rPr>
                <w:rFonts w:hint="eastAsia"/>
                <w:color w:val="000000" w:themeColor="text1"/>
                <w:highlight w:val="none"/>
                <w:lang w:val="en-US" w:eastAsia="zh-CN"/>
                <w14:textFill>
                  <w14:solidFill>
                    <w14:schemeClr w14:val="tx1"/>
                  </w14:solidFill>
                </w14:textFill>
              </w:rPr>
              <w:t>KZZB</w:t>
            </w:r>
            <w:r>
              <w:rPr>
                <w:rFonts w:hint="eastAsia"/>
                <w:color w:val="000000" w:themeColor="text1"/>
                <w:highlight w:val="none"/>
                <w:lang w:eastAsia="zh-CN"/>
                <w14:textFill>
                  <w14:solidFill>
                    <w14:schemeClr w14:val="tx1"/>
                  </w14:solidFill>
                </w14:textFill>
              </w:rPr>
              <w:t>-2024</w:t>
            </w:r>
            <w:r>
              <w:rPr>
                <w:rFonts w:hint="eastAsia"/>
                <w:color w:val="000000" w:themeColor="text1"/>
                <w:highlight w:val="none"/>
                <w:lang w:val="en-US" w:eastAsia="zh-CN"/>
                <w14:textFill>
                  <w14:solidFill>
                    <w14:schemeClr w14:val="tx1"/>
                  </w14:solidFill>
                </w14:textFill>
              </w:rPr>
              <w:t xml:space="preserve">241 </w:t>
            </w:r>
          </w:p>
          <w:p w14:paraId="04A49FCD">
            <w:pPr>
              <w:widowControl/>
              <w:spacing w:line="290" w:lineRule="exact"/>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采购内容：</w:t>
            </w:r>
            <w:r>
              <w:rPr>
                <w:rFonts w:hint="eastAsia"/>
                <w:color w:val="000000" w:themeColor="text1"/>
                <w:highlight w:val="none"/>
                <w:lang w:eastAsia="zh-CN"/>
                <w14:textFill>
                  <w14:solidFill>
                    <w14:schemeClr w14:val="tx1"/>
                  </w14:solidFill>
                </w14:textFill>
              </w:rPr>
              <w:t>惠民惠农“一卡通”补贴资金金融机构代发</w:t>
            </w:r>
          </w:p>
        </w:tc>
      </w:tr>
      <w:tr w14:paraId="1767E37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9" w:hRule="atLeast"/>
          <w:jc w:val="center"/>
        </w:trPr>
        <w:tc>
          <w:tcPr>
            <w:tcW w:w="261" w:type="pct"/>
            <w:vAlign w:val="center"/>
          </w:tcPr>
          <w:p w14:paraId="4B3EC1E2">
            <w:pPr>
              <w:pStyle w:val="12"/>
              <w:snapToGrid w:val="0"/>
              <w:spacing w:line="29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p>
        </w:tc>
        <w:tc>
          <w:tcPr>
            <w:tcW w:w="814" w:type="pct"/>
            <w:vAlign w:val="center"/>
          </w:tcPr>
          <w:p w14:paraId="7AB49B0D">
            <w:pPr>
              <w:widowControl/>
              <w:spacing w:line="290" w:lineRule="exact"/>
              <w:jc w:val="left"/>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采购人息</w:t>
            </w:r>
          </w:p>
        </w:tc>
        <w:tc>
          <w:tcPr>
            <w:tcW w:w="3924" w:type="pct"/>
            <w:vAlign w:val="center"/>
          </w:tcPr>
          <w:p w14:paraId="2AF2FFDB">
            <w:pPr>
              <w:widowControl/>
              <w:spacing w:line="29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采购单位：</w:t>
            </w:r>
            <w:r>
              <w:rPr>
                <w:rFonts w:hint="eastAsia" w:ascii="宋体" w:hAnsi="宋体" w:cs="宋体"/>
                <w:color w:val="000000" w:themeColor="text1"/>
                <w:kern w:val="0"/>
                <w:szCs w:val="21"/>
                <w:highlight w:val="none"/>
                <w:lang w:eastAsia="zh-CN"/>
                <w14:textFill>
                  <w14:solidFill>
                    <w14:schemeClr w14:val="tx1"/>
                  </w14:solidFill>
                </w14:textFill>
              </w:rPr>
              <w:t>克孜勒苏柯尔克孜自治州财政局</w:t>
            </w:r>
            <w:r>
              <w:rPr>
                <w:rFonts w:hint="eastAsia" w:ascii="宋体" w:hAnsi="宋体" w:cs="宋体"/>
                <w:color w:val="000000" w:themeColor="text1"/>
                <w:kern w:val="0"/>
                <w:szCs w:val="21"/>
                <w:highlight w:val="none"/>
                <w14:textFill>
                  <w14:solidFill>
                    <w14:schemeClr w14:val="tx1"/>
                  </w14:solidFill>
                </w14:textFill>
              </w:rPr>
              <w:t xml:space="preserve">  </w:t>
            </w:r>
          </w:p>
          <w:p w14:paraId="795B8418">
            <w:pPr>
              <w:widowControl/>
              <w:spacing w:line="290" w:lineRule="exact"/>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联 系 人：</w:t>
            </w:r>
            <w:r>
              <w:rPr>
                <w:rFonts w:hint="eastAsia" w:ascii="宋体" w:hAnsi="宋体" w:cs="宋体"/>
                <w:color w:val="000000" w:themeColor="text1"/>
                <w:szCs w:val="21"/>
                <w:highlight w:val="none"/>
                <w:shd w:val="clear" w:color="auto" w:fill="FFFFFF"/>
                <w:lang w:eastAsia="zh-CN"/>
                <w14:textFill>
                  <w14:solidFill>
                    <w14:schemeClr w14:val="tx1"/>
                  </w14:solidFill>
                </w14:textFill>
              </w:rPr>
              <w:t>古女士</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 xml:space="preserve"> </w:t>
            </w:r>
            <w:r>
              <w:rPr>
                <w:rFonts w:hint="eastAsia" w:ascii="宋体" w:hAnsi="宋体" w:cs="宋体"/>
                <w:color w:val="000000" w:themeColor="text1"/>
                <w:szCs w:val="21"/>
                <w:highlight w:val="none"/>
                <w:shd w:val="clear" w:color="auto" w:fill="FFFFFF"/>
                <w14:textFill>
                  <w14:solidFill>
                    <w14:schemeClr w14:val="tx1"/>
                  </w14:solidFill>
                </w14:textFill>
              </w:rPr>
              <w:t xml:space="preserve">     联系电话：</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 xml:space="preserve">13899480098            </w:t>
            </w:r>
            <w:r>
              <w:rPr>
                <w:rFonts w:hint="eastAsia" w:ascii="宋体" w:hAnsi="宋体" w:cs="宋体"/>
                <w:color w:val="000000" w:themeColor="text1"/>
                <w:szCs w:val="21"/>
                <w:highlight w:val="none"/>
                <w:shd w:val="clear" w:color="auto" w:fill="FFFFFF"/>
                <w14:textFill>
                  <w14:solidFill>
                    <w14:schemeClr w14:val="tx1"/>
                  </w14:solidFill>
                </w14:textFill>
              </w:rPr>
              <w:t xml:space="preserve"> </w:t>
            </w:r>
          </w:p>
        </w:tc>
      </w:tr>
      <w:tr w14:paraId="7393559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61" w:type="pct"/>
            <w:vAlign w:val="center"/>
          </w:tcPr>
          <w:p w14:paraId="180B1848">
            <w:pPr>
              <w:pStyle w:val="12"/>
              <w:snapToGrid w:val="0"/>
              <w:spacing w:line="29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p>
        </w:tc>
        <w:tc>
          <w:tcPr>
            <w:tcW w:w="814" w:type="pct"/>
            <w:vAlign w:val="center"/>
          </w:tcPr>
          <w:p w14:paraId="0F1267B1">
            <w:pPr>
              <w:widowControl/>
              <w:spacing w:line="290" w:lineRule="exact"/>
              <w:jc w:val="left"/>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采购代理机构</w:t>
            </w:r>
          </w:p>
        </w:tc>
        <w:tc>
          <w:tcPr>
            <w:tcW w:w="3924" w:type="pct"/>
            <w:vAlign w:val="center"/>
          </w:tcPr>
          <w:p w14:paraId="7AB9C9D5">
            <w:pPr>
              <w:widowControl/>
              <w:spacing w:line="290" w:lineRule="exac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名  称：</w:t>
            </w:r>
            <w:r>
              <w:rPr>
                <w:rFonts w:hint="eastAsia" w:ascii="宋体" w:hAnsi="宋体" w:cs="宋体"/>
                <w:color w:val="000000" w:themeColor="text1"/>
                <w:kern w:val="0"/>
                <w:szCs w:val="21"/>
                <w:highlight w:val="none"/>
                <w:lang w:eastAsia="zh-CN"/>
                <w14:textFill>
                  <w14:solidFill>
                    <w14:schemeClr w14:val="tx1"/>
                  </w14:solidFill>
                </w14:textFill>
              </w:rPr>
              <w:t>新疆融联通达工程项目管理有限公司</w:t>
            </w:r>
          </w:p>
          <w:p w14:paraId="7E903D99">
            <w:pPr>
              <w:widowControl/>
              <w:spacing w:line="290" w:lineRule="exac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地  址：</w:t>
            </w:r>
            <w:r>
              <w:rPr>
                <w:rFonts w:hint="eastAsia" w:ascii="宋体" w:hAnsi="宋体" w:cs="宋体"/>
                <w:color w:val="000000" w:themeColor="text1"/>
                <w:kern w:val="0"/>
                <w:szCs w:val="21"/>
                <w:highlight w:val="none"/>
                <w:lang w:eastAsia="zh-CN"/>
                <w14:textFill>
                  <w14:solidFill>
                    <w14:schemeClr w14:val="tx1"/>
                  </w14:solidFill>
                </w14:textFill>
              </w:rPr>
              <w:t>新疆克州阿图什市友谊北路23号</w:t>
            </w:r>
          </w:p>
          <w:p w14:paraId="3EE282F5">
            <w:pPr>
              <w:widowControl/>
              <w:spacing w:line="290" w:lineRule="exact"/>
              <w:rPr>
                <w:rFonts w:hint="default" w:eastAsia="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联系人：</w:t>
            </w:r>
            <w:r>
              <w:rPr>
                <w:rFonts w:hint="eastAsia" w:ascii="宋体" w:hAnsi="宋体" w:cs="宋体"/>
                <w:color w:val="000000" w:themeColor="text1"/>
                <w:kern w:val="0"/>
                <w:szCs w:val="21"/>
                <w:highlight w:val="none"/>
                <w:lang w:eastAsia="zh-CN"/>
                <w14:textFill>
                  <w14:solidFill>
                    <w14:schemeClr w14:val="tx1"/>
                  </w14:solidFill>
                </w14:textFill>
              </w:rPr>
              <w:t>黄女士</w:t>
            </w: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szCs w:val="21"/>
                <w:highlight w:val="none"/>
                <w:shd w:val="clear" w:color="auto" w:fill="FFFFFF"/>
                <w14:textFill>
                  <w14:solidFill>
                    <w14:schemeClr w14:val="tx1"/>
                  </w14:solidFill>
                </w14:textFill>
              </w:rPr>
              <w:t>联系</w:t>
            </w:r>
            <w:r>
              <w:rPr>
                <w:rFonts w:hint="eastAsia" w:ascii="宋体" w:hAnsi="宋体" w:cs="宋体"/>
                <w:color w:val="000000" w:themeColor="text1"/>
                <w:kern w:val="0"/>
                <w:szCs w:val="21"/>
                <w:highlight w:val="none"/>
                <w14:textFill>
                  <w14:solidFill>
                    <w14:schemeClr w14:val="tx1"/>
                  </w14:solidFill>
                </w14:textFill>
              </w:rPr>
              <w:t>电话：</w:t>
            </w:r>
            <w:r>
              <w:rPr>
                <w:rFonts w:hint="eastAsia" w:ascii="宋体" w:hAnsi="宋体" w:cs="宋体"/>
                <w:color w:val="000000" w:themeColor="text1"/>
                <w:szCs w:val="21"/>
                <w:highlight w:val="none"/>
                <w:lang w:val="en-US" w:eastAsia="zh-CN" w:bidi="ar"/>
                <w14:textFill>
                  <w14:solidFill>
                    <w14:schemeClr w14:val="tx1"/>
                  </w14:solidFill>
                </w14:textFill>
              </w:rPr>
              <w:t>17609081174</w:t>
            </w:r>
          </w:p>
        </w:tc>
      </w:tr>
      <w:tr w14:paraId="6AB2F9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9" w:hRule="atLeast"/>
          <w:jc w:val="center"/>
        </w:trPr>
        <w:tc>
          <w:tcPr>
            <w:tcW w:w="261" w:type="pct"/>
            <w:vAlign w:val="center"/>
          </w:tcPr>
          <w:p w14:paraId="23EB2E77">
            <w:pPr>
              <w:pStyle w:val="12"/>
              <w:snapToGrid w:val="0"/>
              <w:spacing w:line="29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w:t>
            </w:r>
          </w:p>
        </w:tc>
        <w:tc>
          <w:tcPr>
            <w:tcW w:w="814" w:type="pct"/>
            <w:vAlign w:val="center"/>
          </w:tcPr>
          <w:p w14:paraId="7D86BB27">
            <w:pPr>
              <w:widowControl/>
              <w:spacing w:line="290" w:lineRule="exact"/>
              <w:jc w:val="left"/>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最终服务地点</w:t>
            </w:r>
          </w:p>
        </w:tc>
        <w:tc>
          <w:tcPr>
            <w:tcW w:w="3924" w:type="pct"/>
            <w:vAlign w:val="center"/>
          </w:tcPr>
          <w:p w14:paraId="4C0BD5FD">
            <w:pPr>
              <w:widowControl/>
              <w:spacing w:line="29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阿图什市</w:t>
            </w:r>
          </w:p>
        </w:tc>
      </w:tr>
      <w:tr w14:paraId="46F7ED1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61" w:type="pct"/>
            <w:vAlign w:val="center"/>
          </w:tcPr>
          <w:p w14:paraId="2257F036">
            <w:pPr>
              <w:pStyle w:val="12"/>
              <w:snapToGrid w:val="0"/>
              <w:spacing w:line="29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w:t>
            </w:r>
          </w:p>
        </w:tc>
        <w:tc>
          <w:tcPr>
            <w:tcW w:w="814" w:type="pct"/>
            <w:vAlign w:val="center"/>
          </w:tcPr>
          <w:p w14:paraId="0A94E0DC">
            <w:pPr>
              <w:widowControl/>
              <w:spacing w:line="290" w:lineRule="exact"/>
              <w:jc w:val="left"/>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付款方式</w:t>
            </w:r>
          </w:p>
        </w:tc>
        <w:tc>
          <w:tcPr>
            <w:tcW w:w="3924" w:type="pct"/>
            <w:vAlign w:val="center"/>
          </w:tcPr>
          <w:p w14:paraId="1720E92D">
            <w:pPr>
              <w:widowControl/>
              <w:spacing w:line="290" w:lineRule="exact"/>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w:t>
            </w:r>
          </w:p>
        </w:tc>
      </w:tr>
      <w:tr w14:paraId="3740BB8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2" w:hRule="atLeast"/>
          <w:jc w:val="center"/>
        </w:trPr>
        <w:tc>
          <w:tcPr>
            <w:tcW w:w="261" w:type="pct"/>
            <w:vAlign w:val="center"/>
          </w:tcPr>
          <w:p w14:paraId="3A1114E6">
            <w:pPr>
              <w:pStyle w:val="12"/>
              <w:snapToGrid w:val="0"/>
              <w:spacing w:line="29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w:t>
            </w:r>
          </w:p>
        </w:tc>
        <w:tc>
          <w:tcPr>
            <w:tcW w:w="814" w:type="pct"/>
            <w:vAlign w:val="center"/>
          </w:tcPr>
          <w:p w14:paraId="24CF26D1">
            <w:pPr>
              <w:widowControl/>
              <w:spacing w:line="290" w:lineRule="exact"/>
              <w:jc w:val="left"/>
              <w:rPr>
                <w:color w:val="000000" w:themeColor="text1"/>
                <w:szCs w:val="2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服务</w:t>
            </w:r>
            <w:r>
              <w:rPr>
                <w:rFonts w:hint="eastAsia"/>
                <w:color w:val="000000" w:themeColor="text1"/>
                <w:highlight w:val="none"/>
                <w14:textFill>
                  <w14:solidFill>
                    <w14:schemeClr w14:val="tx1"/>
                  </w14:solidFill>
                </w14:textFill>
              </w:rPr>
              <w:t>期</w:t>
            </w:r>
          </w:p>
        </w:tc>
        <w:tc>
          <w:tcPr>
            <w:tcW w:w="3924" w:type="pct"/>
            <w:vAlign w:val="center"/>
          </w:tcPr>
          <w:p w14:paraId="5C343441">
            <w:pPr>
              <w:spacing w:line="290" w:lineRule="exact"/>
              <w:jc w:val="left"/>
              <w:rPr>
                <w:rFonts w:hint="eastAsia" w:eastAsia="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三年</w:t>
            </w:r>
          </w:p>
        </w:tc>
      </w:tr>
      <w:tr w14:paraId="4F4A09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61" w:type="pct"/>
            <w:vAlign w:val="center"/>
          </w:tcPr>
          <w:p w14:paraId="686E4808">
            <w:pPr>
              <w:pStyle w:val="12"/>
              <w:snapToGrid w:val="0"/>
              <w:spacing w:line="29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w:t>
            </w:r>
          </w:p>
        </w:tc>
        <w:tc>
          <w:tcPr>
            <w:tcW w:w="814" w:type="pct"/>
            <w:vAlign w:val="center"/>
          </w:tcPr>
          <w:p w14:paraId="03E844FD">
            <w:pPr>
              <w:pStyle w:val="12"/>
              <w:snapToGrid w:val="0"/>
              <w:spacing w:line="29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资金来源                                                                                                                                                                 </w:t>
            </w:r>
          </w:p>
        </w:tc>
        <w:tc>
          <w:tcPr>
            <w:tcW w:w="3924" w:type="pct"/>
            <w:vAlign w:val="center"/>
          </w:tcPr>
          <w:p w14:paraId="517919FF">
            <w:pPr>
              <w:pStyle w:val="12"/>
              <w:snapToGrid w:val="0"/>
              <w:spacing w:line="290" w:lineRule="exact"/>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财政资金</w:t>
            </w:r>
          </w:p>
        </w:tc>
      </w:tr>
      <w:tr w14:paraId="6479F67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261" w:type="pct"/>
            <w:vAlign w:val="center"/>
          </w:tcPr>
          <w:p w14:paraId="1DD7430D">
            <w:pPr>
              <w:pStyle w:val="12"/>
              <w:snapToGrid w:val="0"/>
              <w:spacing w:line="29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8</w:t>
            </w:r>
          </w:p>
        </w:tc>
        <w:tc>
          <w:tcPr>
            <w:tcW w:w="814" w:type="pct"/>
            <w:vAlign w:val="center"/>
          </w:tcPr>
          <w:p w14:paraId="1BF74DA5">
            <w:pPr>
              <w:pStyle w:val="12"/>
              <w:snapToGrid w:val="0"/>
              <w:spacing w:line="29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招标方式</w:t>
            </w:r>
          </w:p>
        </w:tc>
        <w:tc>
          <w:tcPr>
            <w:tcW w:w="3924" w:type="pct"/>
            <w:vAlign w:val="center"/>
          </w:tcPr>
          <w:p w14:paraId="32224D5B">
            <w:pPr>
              <w:pStyle w:val="12"/>
              <w:snapToGrid w:val="0"/>
              <w:spacing w:line="29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竞争性磋商招标</w:t>
            </w:r>
            <w:r>
              <w:rPr>
                <w:rFonts w:hint="eastAsia" w:hAnsi="宋体" w:cs="宋体-18030"/>
                <w:b/>
                <w:color w:val="000000" w:themeColor="text1"/>
                <w:szCs w:val="21"/>
                <w:highlight w:val="none"/>
                <w14:textFill>
                  <w14:solidFill>
                    <w14:schemeClr w14:val="tx1"/>
                  </w14:solidFill>
                </w14:textFill>
              </w:rPr>
              <w:t>(本项目采用网上电子招投标)</w:t>
            </w:r>
            <w:r>
              <w:rPr>
                <w:rFonts w:hint="eastAsia"/>
                <w:color w:val="000000" w:themeColor="text1"/>
                <w:szCs w:val="21"/>
                <w:highlight w:val="none"/>
                <w14:textFill>
                  <w14:solidFill>
                    <w14:schemeClr w14:val="tx1"/>
                  </w14:solidFill>
                </w14:textFill>
              </w:rPr>
              <w:t xml:space="preserve">             </w:t>
            </w:r>
          </w:p>
        </w:tc>
      </w:tr>
      <w:tr w14:paraId="7604AC5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261" w:type="pct"/>
            <w:vAlign w:val="center"/>
          </w:tcPr>
          <w:p w14:paraId="35EDEDCA">
            <w:pPr>
              <w:pStyle w:val="12"/>
              <w:snapToGrid w:val="0"/>
              <w:spacing w:line="29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9</w:t>
            </w:r>
          </w:p>
        </w:tc>
        <w:tc>
          <w:tcPr>
            <w:tcW w:w="814" w:type="pct"/>
            <w:vAlign w:val="center"/>
          </w:tcPr>
          <w:p w14:paraId="54C5E36A">
            <w:pPr>
              <w:pStyle w:val="12"/>
              <w:snapToGrid w:val="0"/>
              <w:spacing w:line="29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投标人资格条件及其他要求</w:t>
            </w:r>
          </w:p>
        </w:tc>
        <w:tc>
          <w:tcPr>
            <w:tcW w:w="3924" w:type="pct"/>
            <w:vAlign w:val="center"/>
          </w:tcPr>
          <w:p w14:paraId="6D6E8E06">
            <w:pPr>
              <w:snapToGrid w:val="0"/>
              <w:spacing w:line="290" w:lineRule="exact"/>
              <w:rPr>
                <w:rFonts w:ascii="宋体"/>
                <w:color w:val="000000" w:themeColor="text1"/>
                <w:szCs w:val="21"/>
                <w:highlight w:val="none"/>
                <w:u w:color="000000"/>
                <w14:textFill>
                  <w14:solidFill>
                    <w14:schemeClr w14:val="tx1"/>
                  </w14:solidFill>
                </w14:textFill>
              </w:rPr>
            </w:pPr>
            <w:r>
              <w:rPr>
                <w:rFonts w:hint="eastAsia" w:ascii="宋体"/>
                <w:color w:val="000000" w:themeColor="text1"/>
                <w:szCs w:val="21"/>
                <w:highlight w:val="none"/>
                <w:u w:color="000000"/>
                <w14:textFill>
                  <w14:solidFill>
                    <w14:schemeClr w14:val="tx1"/>
                  </w14:solidFill>
                </w14:textFill>
              </w:rPr>
              <w:t>1、符合《中华人民共和国政府采购法》第二十二条规定；</w:t>
            </w:r>
          </w:p>
          <w:p w14:paraId="220CC043">
            <w:pPr>
              <w:snapToGrid w:val="0"/>
              <w:spacing w:line="290" w:lineRule="exact"/>
              <w:jc w:val="both"/>
              <w:rPr>
                <w:rFonts w:hint="eastAsia" w:ascii="宋体"/>
                <w:color w:val="000000" w:themeColor="text1"/>
                <w:szCs w:val="21"/>
                <w:highlight w:val="none"/>
                <w:u w:color="000000"/>
                <w14:textFill>
                  <w14:solidFill>
                    <w14:schemeClr w14:val="tx1"/>
                  </w14:solidFill>
                </w14:textFill>
              </w:rPr>
            </w:pPr>
            <w:r>
              <w:rPr>
                <w:rFonts w:hint="eastAsia" w:ascii="宋体"/>
                <w:color w:val="000000" w:themeColor="text1"/>
                <w:szCs w:val="21"/>
                <w:highlight w:val="none"/>
                <w:u w:color="000000"/>
                <w14:textFill>
                  <w14:solidFill>
                    <w14:schemeClr w14:val="tx1"/>
                  </w14:solidFill>
                </w14:textFill>
              </w:rPr>
              <w:t>（1)具备三证合一营业执照；</w:t>
            </w:r>
          </w:p>
          <w:p w14:paraId="7A405BEA">
            <w:pPr>
              <w:snapToGrid w:val="0"/>
              <w:spacing w:line="290" w:lineRule="exact"/>
              <w:jc w:val="both"/>
              <w:rPr>
                <w:rFonts w:hint="eastAsia" w:ascii="宋体"/>
                <w:color w:val="000000" w:themeColor="text1"/>
                <w:szCs w:val="21"/>
                <w:highlight w:val="none"/>
                <w:u w:color="000000"/>
                <w14:textFill>
                  <w14:solidFill>
                    <w14:schemeClr w14:val="tx1"/>
                  </w14:solidFill>
                </w14:textFill>
              </w:rPr>
            </w:pPr>
            <w:r>
              <w:rPr>
                <w:rFonts w:hint="eastAsia" w:ascii="宋体"/>
                <w:color w:val="000000" w:themeColor="text1"/>
                <w:szCs w:val="21"/>
                <w:highlight w:val="none"/>
                <w:u w:color="000000"/>
                <w14:textFill>
                  <w14:solidFill>
                    <w14:schemeClr w14:val="tx1"/>
                  </w14:solidFill>
                </w14:textFill>
              </w:rPr>
              <w:t>（2)法定代表人投标需提供法定代表人资格证明书，委托代理人投标需提供法定代表人授权委托书；</w:t>
            </w:r>
          </w:p>
          <w:p w14:paraId="0E55B80D">
            <w:pPr>
              <w:snapToGrid w:val="0"/>
              <w:spacing w:line="290" w:lineRule="exact"/>
              <w:jc w:val="both"/>
              <w:rPr>
                <w:rFonts w:hint="eastAsia" w:ascii="宋体"/>
                <w:color w:val="000000" w:themeColor="text1"/>
                <w:szCs w:val="21"/>
                <w:highlight w:val="none"/>
                <w:u w:color="000000"/>
                <w14:textFill>
                  <w14:solidFill>
                    <w14:schemeClr w14:val="tx1"/>
                  </w14:solidFill>
                </w14:textFill>
              </w:rPr>
            </w:pPr>
            <w:r>
              <w:rPr>
                <w:rFonts w:hint="eastAsia" w:ascii="宋体"/>
                <w:color w:val="000000" w:themeColor="text1"/>
                <w:szCs w:val="21"/>
                <w:highlight w:val="none"/>
                <w:u w:color="000000"/>
                <w14:textFill>
                  <w14:solidFill>
                    <w14:schemeClr w14:val="tx1"/>
                  </w14:solidFill>
                </w14:textFill>
              </w:rPr>
              <w:t>(3)参加采购活动前三年内，在经营活动中没有重大违法记录，供应商须提供 “信用中国”网站（http://www.creditchina.gov.cn/）、“中国政府采购网”网站（http://www.ccgp.gov.cn）无违法违规行为的查询纪录（提供查询结果网页截图并加盖供应商公章）。</w:t>
            </w:r>
          </w:p>
          <w:p w14:paraId="41A2DBD4">
            <w:pPr>
              <w:snapToGrid w:val="0"/>
              <w:spacing w:line="290" w:lineRule="exact"/>
              <w:jc w:val="both"/>
              <w:rPr>
                <w:rFonts w:hint="eastAsia" w:ascii="宋体"/>
                <w:color w:val="000000" w:themeColor="text1"/>
                <w:szCs w:val="21"/>
                <w:highlight w:val="none"/>
                <w:u w:color="000000"/>
                <w:lang w:eastAsia="zh-CN"/>
                <w14:textFill>
                  <w14:solidFill>
                    <w14:schemeClr w14:val="tx1"/>
                  </w14:solidFill>
                </w14:textFill>
              </w:rPr>
            </w:pPr>
            <w:r>
              <w:rPr>
                <w:rFonts w:hint="eastAsia" w:ascii="宋体"/>
                <w:color w:val="000000" w:themeColor="text1"/>
                <w:szCs w:val="21"/>
                <w:highlight w:val="none"/>
                <w:u w:color="000000"/>
                <w14:textFill>
                  <w14:solidFill>
                    <w14:schemeClr w14:val="tx1"/>
                  </w14:solidFill>
                </w14:textFill>
              </w:rPr>
              <w:t>（4）</w:t>
            </w:r>
            <w:r>
              <w:rPr>
                <w:rFonts w:hint="eastAsia" w:ascii="宋体"/>
                <w:color w:val="000000" w:themeColor="text1"/>
                <w:szCs w:val="21"/>
                <w:highlight w:val="none"/>
                <w:u w:color="000000"/>
                <w:lang w:eastAsia="zh-CN"/>
                <w14:textFill>
                  <w14:solidFill>
                    <w14:schemeClr w14:val="tx1"/>
                  </w14:solidFill>
                </w14:textFill>
              </w:rPr>
              <w:t>供应商必须为在中华人民共和国境内依法设立的国有商业银行、股份制商业银行、邮政储蓄银行、城市商业银行等银行机构且具备中国银行保险监督管理委员会核发的《中华人民共和国金融许可证》。</w:t>
            </w:r>
          </w:p>
          <w:p w14:paraId="1484C894">
            <w:pPr>
              <w:snapToGrid w:val="0"/>
              <w:spacing w:line="290" w:lineRule="exact"/>
              <w:jc w:val="both"/>
              <w:rPr>
                <w:rFonts w:hint="eastAsia" w:ascii="宋体"/>
                <w:color w:val="000000" w:themeColor="text1"/>
                <w:szCs w:val="21"/>
                <w:highlight w:val="none"/>
                <w:u w:color="000000"/>
                <w14:textFill>
                  <w14:solidFill>
                    <w14:schemeClr w14:val="tx1"/>
                  </w14:solidFill>
                </w14:textFill>
              </w:rPr>
            </w:pPr>
            <w:r>
              <w:rPr>
                <w:rFonts w:hint="eastAsia" w:ascii="宋体"/>
                <w:color w:val="000000" w:themeColor="text1"/>
                <w:szCs w:val="21"/>
                <w:highlight w:val="none"/>
                <w:u w:color="000000"/>
                <w:lang w:val="en-US" w:eastAsia="zh-CN"/>
                <w14:textFill>
                  <w14:solidFill>
                    <w14:schemeClr w14:val="tx1"/>
                  </w14:solidFill>
                </w14:textFill>
              </w:rPr>
              <w:t>(6)</w:t>
            </w:r>
            <w:r>
              <w:rPr>
                <w:rFonts w:hint="eastAsia" w:ascii="宋体"/>
                <w:color w:val="000000" w:themeColor="text1"/>
                <w:szCs w:val="21"/>
                <w:highlight w:val="none"/>
                <w:u w:color="000000"/>
                <w14:textFill>
                  <w14:solidFill>
                    <w14:schemeClr w14:val="tx1"/>
                  </w14:solidFill>
                </w14:textFill>
              </w:rPr>
              <w:t>本项目不接受联合体投标。</w:t>
            </w:r>
          </w:p>
          <w:p w14:paraId="2047E5F6">
            <w:pPr>
              <w:pStyle w:val="43"/>
              <w:rPr>
                <w:color w:val="000000" w:themeColor="text1"/>
                <w:highlight w:val="none"/>
                <w14:textFill>
                  <w14:solidFill>
                    <w14:schemeClr w14:val="tx1"/>
                  </w14:solidFill>
                </w14:textFill>
              </w:rPr>
            </w:pPr>
            <w:r>
              <w:rPr>
                <w:rFonts w:hint="eastAsia" w:hAnsi="Times New Roman"/>
                <w:color w:val="000000" w:themeColor="text1"/>
                <w:kern w:val="2"/>
                <w:sz w:val="21"/>
                <w:szCs w:val="21"/>
                <w:highlight w:val="none"/>
                <w:u w:color="000000"/>
                <w:lang w:val="en-US"/>
                <w14:textFill>
                  <w14:solidFill>
                    <w14:schemeClr w14:val="tx1"/>
                  </w14:solidFill>
                </w14:textFill>
              </w:rPr>
              <w:t>其他说明：（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tc>
      </w:tr>
      <w:tr w14:paraId="2E4F267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261" w:type="pct"/>
            <w:vAlign w:val="center"/>
          </w:tcPr>
          <w:p w14:paraId="5A35BE48">
            <w:pPr>
              <w:pStyle w:val="12"/>
              <w:snapToGrid w:val="0"/>
              <w:spacing w:line="29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w:t>
            </w:r>
          </w:p>
        </w:tc>
        <w:tc>
          <w:tcPr>
            <w:tcW w:w="814" w:type="pct"/>
            <w:vAlign w:val="center"/>
          </w:tcPr>
          <w:p w14:paraId="0C764FBF">
            <w:pPr>
              <w:pStyle w:val="12"/>
              <w:snapToGrid w:val="0"/>
              <w:spacing w:line="29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供应商信用查询</w:t>
            </w:r>
          </w:p>
        </w:tc>
        <w:tc>
          <w:tcPr>
            <w:tcW w:w="3924" w:type="pct"/>
            <w:vAlign w:val="center"/>
          </w:tcPr>
          <w:p w14:paraId="43A73666">
            <w:pPr>
              <w:pStyle w:val="12"/>
              <w:snapToGrid w:val="0"/>
              <w:spacing w:line="29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1、查询渠道：信用中国（网址：http://www.creditchina.gov.cn）、中国政府采购网(网址：http://www.ccgp.gov.cn）。</w:t>
            </w:r>
          </w:p>
          <w:p w14:paraId="6B9BC267">
            <w:pPr>
              <w:pStyle w:val="12"/>
              <w:snapToGrid w:val="0"/>
              <w:spacing w:line="29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2、截止时点：开标后评标前。</w:t>
            </w:r>
          </w:p>
          <w:p w14:paraId="6537AF37">
            <w:pPr>
              <w:pStyle w:val="12"/>
              <w:snapToGrid w:val="0"/>
              <w:spacing w:line="29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3、信用信息查询记录和证据留存的具体方式：由采购组织机构在规定查询时间内打印信用信息查询记录并归入项目档案。</w:t>
            </w:r>
          </w:p>
          <w:p w14:paraId="75095637">
            <w:pPr>
              <w:pStyle w:val="12"/>
              <w:snapToGrid w:val="0"/>
              <w:spacing w:line="29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14:paraId="305DE74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61" w:type="pct"/>
            <w:vAlign w:val="center"/>
          </w:tcPr>
          <w:p w14:paraId="1ED9CF5C">
            <w:pPr>
              <w:pStyle w:val="12"/>
              <w:snapToGrid w:val="0"/>
              <w:spacing w:line="29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11</w:t>
            </w:r>
          </w:p>
        </w:tc>
        <w:tc>
          <w:tcPr>
            <w:tcW w:w="814" w:type="pct"/>
            <w:vAlign w:val="center"/>
          </w:tcPr>
          <w:p w14:paraId="7D98B51C">
            <w:pPr>
              <w:pStyle w:val="12"/>
              <w:snapToGrid w:val="0"/>
              <w:spacing w:line="29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踏勘现场</w:t>
            </w:r>
          </w:p>
        </w:tc>
        <w:tc>
          <w:tcPr>
            <w:tcW w:w="3924" w:type="pct"/>
            <w:vAlign w:val="center"/>
          </w:tcPr>
          <w:p w14:paraId="383826A8">
            <w:pPr>
              <w:pStyle w:val="12"/>
              <w:snapToGrid w:val="0"/>
              <w:spacing w:line="29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不组织,投标人自行组织踏勘现场。</w:t>
            </w:r>
          </w:p>
        </w:tc>
      </w:tr>
      <w:tr w14:paraId="7EFF73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61" w:type="pct"/>
            <w:vAlign w:val="center"/>
          </w:tcPr>
          <w:p w14:paraId="4D815BDD">
            <w:pPr>
              <w:pStyle w:val="12"/>
              <w:snapToGrid w:val="0"/>
              <w:spacing w:line="29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12</w:t>
            </w:r>
          </w:p>
        </w:tc>
        <w:tc>
          <w:tcPr>
            <w:tcW w:w="814" w:type="pct"/>
            <w:vAlign w:val="center"/>
          </w:tcPr>
          <w:p w14:paraId="62852EA2">
            <w:pPr>
              <w:pStyle w:val="12"/>
              <w:snapToGrid w:val="0"/>
              <w:spacing w:line="29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投标预备会</w:t>
            </w:r>
          </w:p>
        </w:tc>
        <w:tc>
          <w:tcPr>
            <w:tcW w:w="3924" w:type="pct"/>
            <w:vAlign w:val="center"/>
          </w:tcPr>
          <w:p w14:paraId="55D05BE9">
            <w:pPr>
              <w:pStyle w:val="12"/>
              <w:snapToGrid w:val="0"/>
              <w:spacing w:line="29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不召开</w:t>
            </w:r>
          </w:p>
        </w:tc>
      </w:tr>
      <w:tr w14:paraId="5CD98C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61" w:type="pct"/>
            <w:vAlign w:val="center"/>
          </w:tcPr>
          <w:p w14:paraId="76AAABEB">
            <w:pPr>
              <w:snapToGrid w:val="0"/>
              <w:spacing w:line="290" w:lineRule="exact"/>
              <w:jc w:val="center"/>
              <w:rPr>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13</w:t>
            </w:r>
          </w:p>
        </w:tc>
        <w:tc>
          <w:tcPr>
            <w:tcW w:w="814" w:type="pct"/>
            <w:vAlign w:val="center"/>
          </w:tcPr>
          <w:p w14:paraId="638D237F">
            <w:pPr>
              <w:pStyle w:val="12"/>
              <w:snapToGrid w:val="0"/>
              <w:spacing w:line="29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联合体投标</w:t>
            </w:r>
          </w:p>
        </w:tc>
        <w:tc>
          <w:tcPr>
            <w:tcW w:w="3924" w:type="pct"/>
            <w:vAlign w:val="center"/>
          </w:tcPr>
          <w:p w14:paraId="61B8318C">
            <w:pPr>
              <w:spacing w:line="290" w:lineRule="exact"/>
              <w:rPr>
                <w:rFonts w:ascii="宋体"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不接受</w:t>
            </w:r>
          </w:p>
          <w:p w14:paraId="64B209F3">
            <w:pPr>
              <w:pStyle w:val="12"/>
              <w:snapToGrid w:val="0"/>
              <w:spacing w:line="290" w:lineRule="exac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□接受</w:t>
            </w:r>
          </w:p>
        </w:tc>
      </w:tr>
      <w:tr w14:paraId="6FC104E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7" w:hRule="atLeast"/>
          <w:jc w:val="center"/>
        </w:trPr>
        <w:tc>
          <w:tcPr>
            <w:tcW w:w="261" w:type="pct"/>
            <w:vAlign w:val="center"/>
          </w:tcPr>
          <w:p w14:paraId="7A392D7D">
            <w:pPr>
              <w:snapToGrid w:val="0"/>
              <w:spacing w:line="290" w:lineRule="exact"/>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14</w:t>
            </w:r>
          </w:p>
        </w:tc>
        <w:tc>
          <w:tcPr>
            <w:tcW w:w="814" w:type="pct"/>
            <w:vAlign w:val="center"/>
          </w:tcPr>
          <w:p w14:paraId="302B7EFA">
            <w:pPr>
              <w:snapToGrid w:val="0"/>
              <w:spacing w:line="290" w:lineRule="exact"/>
              <w:jc w:val="left"/>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招标代理费</w:t>
            </w:r>
          </w:p>
        </w:tc>
        <w:tc>
          <w:tcPr>
            <w:tcW w:w="3924" w:type="pct"/>
            <w:vAlign w:val="center"/>
          </w:tcPr>
          <w:p w14:paraId="30197F73">
            <w:pPr>
              <w:snapToGrid w:val="0"/>
              <w:spacing w:line="290" w:lineRule="exact"/>
              <w:rPr>
                <w:rFonts w:hint="eastAsia" w:ascii="宋体" w:hAnsi="宋体" w:cs="宋体"/>
                <w:snapToGrid w:val="0"/>
                <w:color w:val="000000" w:themeColor="text1"/>
                <w:szCs w:val="21"/>
                <w:highlight w:val="none"/>
                <w14:textFill>
                  <w14:solidFill>
                    <w14:schemeClr w14:val="tx1"/>
                  </w14:solidFill>
                </w14:textFill>
              </w:rPr>
            </w:pPr>
            <w:r>
              <w:rPr>
                <w:rFonts w:hint="eastAsia" w:ascii="宋体" w:hAnsi="宋体" w:cs="宋体"/>
                <w:b/>
                <w:bCs/>
                <w:snapToGrid w:val="0"/>
                <w:color w:val="000000" w:themeColor="text1"/>
                <w:szCs w:val="21"/>
                <w:highlight w:val="none"/>
                <w14:textFill>
                  <w14:solidFill>
                    <w14:schemeClr w14:val="tx1"/>
                  </w14:solidFill>
                </w14:textFill>
              </w:rPr>
              <w:t>中标单位在领取本项目成交通知书时，规定由中标单位向招标代理机构支付本项目代理费。</w:t>
            </w:r>
          </w:p>
          <w:p w14:paraId="64C0FF18">
            <w:pPr>
              <w:snapToGrid w:val="0"/>
              <w:spacing w:line="290" w:lineRule="exact"/>
              <w:rPr>
                <w:rFonts w:hint="default" w:eastAsia="宋体"/>
                <w:color w:val="000000" w:themeColor="text1"/>
                <w:lang w:val="en-US" w:eastAsia="zh-CN"/>
                <w14:textFill>
                  <w14:solidFill>
                    <w14:schemeClr w14:val="tx1"/>
                  </w14:solidFill>
                </w14:textFill>
              </w:rPr>
            </w:pPr>
            <w:r>
              <w:rPr>
                <w:rFonts w:hint="eastAsia" w:ascii="宋体" w:hAnsi="宋体" w:eastAsia="宋体" w:cs="宋体"/>
                <w:b/>
                <w:bCs/>
                <w:snapToGrid w:val="0"/>
                <w:color w:val="000000" w:themeColor="text1"/>
                <w:kern w:val="2"/>
                <w:sz w:val="21"/>
                <w:szCs w:val="21"/>
                <w:highlight w:val="none"/>
                <w:lang w:val="en-US" w:eastAsia="zh-CN" w:bidi="ar-SA"/>
                <w14:textFill>
                  <w14:solidFill>
                    <w14:schemeClr w14:val="tx1"/>
                  </w14:solidFill>
                </w14:textFill>
              </w:rPr>
              <w:t>备注：本项目代理费：</w:t>
            </w:r>
            <w:r>
              <w:rPr>
                <w:rFonts w:hint="eastAsia" w:ascii="宋体" w:hAnsi="宋体" w:cs="宋体"/>
                <w:b/>
                <w:bCs/>
                <w:snapToGrid w:val="0"/>
                <w:color w:val="000000" w:themeColor="text1"/>
                <w:kern w:val="2"/>
                <w:sz w:val="21"/>
                <w:szCs w:val="21"/>
                <w:highlight w:val="none"/>
                <w:lang w:val="en-US" w:eastAsia="zh-CN" w:bidi="ar-SA"/>
                <w14:textFill>
                  <w14:solidFill>
                    <w14:schemeClr w14:val="tx1"/>
                  </w14:solidFill>
                </w14:textFill>
              </w:rPr>
              <w:t>15000</w:t>
            </w:r>
            <w:r>
              <w:rPr>
                <w:rFonts w:hint="eastAsia" w:ascii="宋体" w:hAnsi="宋体" w:eastAsia="宋体" w:cs="宋体"/>
                <w:b/>
                <w:bCs/>
                <w:snapToGrid w:val="0"/>
                <w:color w:val="000000" w:themeColor="text1"/>
                <w:kern w:val="2"/>
                <w:sz w:val="21"/>
                <w:szCs w:val="21"/>
                <w:highlight w:val="none"/>
                <w:lang w:val="en-US" w:eastAsia="zh-CN" w:bidi="ar-SA"/>
                <w14:textFill>
                  <w14:solidFill>
                    <w14:schemeClr w14:val="tx1"/>
                  </w14:solidFill>
                </w14:textFill>
              </w:rPr>
              <w:t>.00（大写：</w:t>
            </w:r>
            <w:r>
              <w:rPr>
                <w:rFonts w:hint="eastAsia" w:ascii="宋体" w:hAnsi="宋体" w:cs="宋体"/>
                <w:b/>
                <w:bCs/>
                <w:snapToGrid w:val="0"/>
                <w:color w:val="000000" w:themeColor="text1"/>
                <w:kern w:val="2"/>
                <w:sz w:val="21"/>
                <w:szCs w:val="21"/>
                <w:highlight w:val="none"/>
                <w:lang w:val="en-US" w:eastAsia="zh-CN" w:bidi="ar-SA"/>
                <w14:textFill>
                  <w14:solidFill>
                    <w14:schemeClr w14:val="tx1"/>
                  </w14:solidFill>
                </w14:textFill>
              </w:rPr>
              <w:t>壹万伍仟元整</w:t>
            </w:r>
            <w:r>
              <w:rPr>
                <w:rFonts w:hint="eastAsia" w:ascii="宋体" w:hAnsi="宋体" w:eastAsia="宋体" w:cs="宋体"/>
                <w:b/>
                <w:bCs/>
                <w:snapToGrid w:val="0"/>
                <w:color w:val="000000" w:themeColor="text1"/>
                <w:kern w:val="2"/>
                <w:sz w:val="21"/>
                <w:szCs w:val="21"/>
                <w:highlight w:val="none"/>
                <w:lang w:val="en-US" w:eastAsia="zh-CN" w:bidi="ar-SA"/>
                <w14:textFill>
                  <w14:solidFill>
                    <w14:schemeClr w14:val="tx1"/>
                  </w14:solidFill>
                </w14:textFill>
              </w:rPr>
              <w:t>）</w:t>
            </w:r>
          </w:p>
        </w:tc>
      </w:tr>
      <w:tr w14:paraId="330A98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61" w:type="pct"/>
            <w:vAlign w:val="center"/>
          </w:tcPr>
          <w:p w14:paraId="38748CE8">
            <w:pPr>
              <w:pStyle w:val="12"/>
              <w:snapToGrid w:val="0"/>
              <w:spacing w:line="290" w:lineRule="exact"/>
              <w:jc w:val="center"/>
              <w:rPr>
                <w:rFonts w:cs="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15</w:t>
            </w:r>
          </w:p>
        </w:tc>
        <w:tc>
          <w:tcPr>
            <w:tcW w:w="814" w:type="pct"/>
            <w:vAlign w:val="center"/>
          </w:tcPr>
          <w:p w14:paraId="311B9DCD">
            <w:pPr>
              <w:snapToGrid w:val="0"/>
              <w:spacing w:line="290" w:lineRule="exact"/>
              <w:jc w:val="left"/>
              <w:rPr>
                <w:rFonts w:hint="eastAsia" w:ascii="宋体" w:eastAsia="宋体"/>
                <w:color w:val="000000" w:themeColor="text1"/>
                <w:szCs w:val="21"/>
                <w:highlight w:val="none"/>
                <w:lang w:eastAsia="zh-CN"/>
                <w14:textFill>
                  <w14:solidFill>
                    <w14:schemeClr w14:val="tx1"/>
                  </w14:solidFill>
                </w14:textFill>
              </w:rPr>
            </w:pPr>
            <w:r>
              <w:rPr>
                <w:rFonts w:hint="eastAsia" w:ascii="宋体"/>
                <w:color w:val="000000" w:themeColor="text1"/>
                <w:szCs w:val="21"/>
                <w:highlight w:val="none"/>
                <w:lang w:eastAsia="zh-CN"/>
                <w14:textFill>
                  <w14:solidFill>
                    <w14:schemeClr w14:val="tx1"/>
                  </w14:solidFill>
                </w14:textFill>
              </w:rPr>
              <w:t>预算价</w:t>
            </w:r>
          </w:p>
        </w:tc>
        <w:tc>
          <w:tcPr>
            <w:tcW w:w="3924" w:type="pct"/>
            <w:vAlign w:val="center"/>
          </w:tcPr>
          <w:p w14:paraId="1A3B3A30">
            <w:pPr>
              <w:snapToGrid w:val="0"/>
              <w:spacing w:line="290" w:lineRule="exact"/>
              <w:rPr>
                <w:rFonts w:ascii="宋体" w:hAnsi="宋体"/>
                <w:color w:val="000000" w:themeColor="text1"/>
                <w:szCs w:val="21"/>
                <w:highlight w:val="none"/>
                <w14:textFill>
                  <w14:solidFill>
                    <w14:schemeClr w14:val="tx1"/>
                  </w14:solidFill>
                </w14:textFill>
              </w:rPr>
            </w:pPr>
            <w:r>
              <w:rPr>
                <w:rFonts w:hint="eastAsia" w:ascii="宋体" w:hAnsi="Times New Roman" w:eastAsia="宋体" w:cs="Times New Roman"/>
                <w:color w:val="000000" w:themeColor="text1"/>
                <w:kern w:val="2"/>
                <w:sz w:val="21"/>
                <w:szCs w:val="21"/>
                <w:highlight w:val="none"/>
                <w:u w:color="000000"/>
                <w:lang w:val="en-US" w:eastAsia="zh-CN" w:bidi="ar-SA"/>
                <w14:textFill>
                  <w14:solidFill>
                    <w14:schemeClr w14:val="tx1"/>
                  </w14:solidFill>
                </w14:textFill>
              </w:rPr>
              <w:t>本次招标预算价：1.00 元</w:t>
            </w:r>
          </w:p>
        </w:tc>
      </w:tr>
      <w:tr w14:paraId="0C97573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61" w:type="pct"/>
            <w:vAlign w:val="center"/>
          </w:tcPr>
          <w:p w14:paraId="1C4C32B0">
            <w:pPr>
              <w:snapToGrid w:val="0"/>
              <w:spacing w:line="290" w:lineRule="exact"/>
              <w:jc w:val="center"/>
              <w:rPr>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16</w:t>
            </w:r>
          </w:p>
        </w:tc>
        <w:tc>
          <w:tcPr>
            <w:tcW w:w="814" w:type="pct"/>
            <w:vAlign w:val="center"/>
          </w:tcPr>
          <w:p w14:paraId="2038C193">
            <w:pPr>
              <w:pStyle w:val="12"/>
              <w:snapToGrid w:val="0"/>
              <w:spacing w:line="29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投标有效期</w:t>
            </w:r>
          </w:p>
        </w:tc>
        <w:tc>
          <w:tcPr>
            <w:tcW w:w="3924" w:type="pct"/>
            <w:vAlign w:val="center"/>
          </w:tcPr>
          <w:p w14:paraId="2F93FE7F">
            <w:pPr>
              <w:pStyle w:val="12"/>
              <w:snapToGrid w:val="0"/>
              <w:spacing w:line="29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投标有效期为</w:t>
            </w:r>
            <w:r>
              <w:rPr>
                <w:rFonts w:hint="eastAsia"/>
                <w:color w:val="000000" w:themeColor="text1"/>
                <w:szCs w:val="21"/>
                <w:highlight w:val="none"/>
                <w:u w:val="single"/>
                <w14:textFill>
                  <w14:solidFill>
                    <w14:schemeClr w14:val="tx1"/>
                  </w14:solidFill>
                </w14:textFill>
              </w:rPr>
              <w:t xml:space="preserve"> 60 </w:t>
            </w:r>
            <w:r>
              <w:rPr>
                <w:rFonts w:hint="eastAsia"/>
                <w:color w:val="000000" w:themeColor="text1"/>
                <w:szCs w:val="21"/>
                <w:highlight w:val="none"/>
                <w14:textFill>
                  <w14:solidFill>
                    <w14:schemeClr w14:val="tx1"/>
                  </w14:solidFill>
                </w14:textFill>
              </w:rPr>
              <w:t>日历天（从投标截止之日算起）。在此期限内，凡符合本采购文件要求的投标文件均保持有效。</w:t>
            </w:r>
          </w:p>
        </w:tc>
      </w:tr>
      <w:tr w14:paraId="03DA30F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75" w:hRule="atLeast"/>
          <w:jc w:val="center"/>
        </w:trPr>
        <w:tc>
          <w:tcPr>
            <w:tcW w:w="261" w:type="pct"/>
            <w:vMerge w:val="restart"/>
            <w:vAlign w:val="center"/>
          </w:tcPr>
          <w:p w14:paraId="44C18C0D">
            <w:pPr>
              <w:pStyle w:val="12"/>
              <w:snapToGrid w:val="0"/>
              <w:spacing w:line="290" w:lineRule="exact"/>
              <w:jc w:val="center"/>
              <w:rPr>
                <w:rFonts w:cs="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17</w:t>
            </w:r>
          </w:p>
        </w:tc>
        <w:tc>
          <w:tcPr>
            <w:tcW w:w="814" w:type="pct"/>
            <w:tcBorders>
              <w:bottom w:val="single" w:color="auto" w:sz="4" w:space="0"/>
            </w:tcBorders>
            <w:vAlign w:val="center"/>
          </w:tcPr>
          <w:p w14:paraId="45078FAA">
            <w:pPr>
              <w:snapToGrid w:val="0"/>
              <w:spacing w:line="290" w:lineRule="exact"/>
              <w:jc w:val="left"/>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投标保证金</w:t>
            </w:r>
          </w:p>
        </w:tc>
        <w:tc>
          <w:tcPr>
            <w:tcW w:w="3924" w:type="pct"/>
            <w:tcBorders>
              <w:bottom w:val="single" w:color="auto" w:sz="4" w:space="0"/>
            </w:tcBorders>
          </w:tcPr>
          <w:p w14:paraId="53C108E3">
            <w:pPr>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投标保证金交纳方式：</w:t>
            </w:r>
            <w:r>
              <w:rPr>
                <w:rFonts w:hint="eastAsia"/>
                <w:color w:val="000000" w:themeColor="text1"/>
                <w14:textFill>
                  <w14:solidFill>
                    <w14:schemeClr w14:val="tx1"/>
                  </w14:solidFill>
                </w14:textFill>
              </w:rPr>
              <w:t>投标保证金应当以支票、汇票、本票、网上银行支付等方式，优先推荐金融机构、担保机构出具的保函等非现金形式缴纳。</w:t>
            </w:r>
          </w:p>
          <w:p w14:paraId="04425E7F">
            <w:pPr>
              <w:snapToGrid w:val="0"/>
              <w:spacing w:line="290" w:lineRule="exact"/>
              <w:rPr>
                <w:rFonts w:ascii="宋体" w:hAnsi="宋体" w:cs="宋体-18030"/>
                <w:color w:val="000000" w:themeColor="text1"/>
                <w:szCs w:val="21"/>
                <w:highlight w:val="none"/>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投标保证金的金额：</w:t>
            </w:r>
            <w:r>
              <w:rPr>
                <w:rFonts w:hint="eastAsia" w:ascii="宋体" w:hAnsi="宋体" w:cs="宋体"/>
                <w:b/>
                <w:bCs/>
                <w:color w:val="000000" w:themeColor="text1"/>
                <w:szCs w:val="21"/>
                <w:lang w:val="en-US" w:eastAsia="zh-CN"/>
                <w14:textFill>
                  <w14:solidFill>
                    <w14:schemeClr w14:val="tx1"/>
                  </w14:solidFill>
                </w14:textFill>
              </w:rPr>
              <w:t>20000</w:t>
            </w:r>
            <w:r>
              <w:rPr>
                <w:rFonts w:hint="eastAsia" w:ascii="宋体" w:hAnsi="宋体" w:cs="宋体"/>
                <w:b/>
                <w:bCs/>
                <w:color w:val="000000" w:themeColor="text1"/>
                <w:szCs w:val="21"/>
                <w14:textFill>
                  <w14:solidFill>
                    <w14:schemeClr w14:val="tx1"/>
                  </w14:solidFill>
                </w14:textFill>
              </w:rPr>
              <w:t>.00元（</w:t>
            </w:r>
            <w:r>
              <w:rPr>
                <w:rFonts w:hint="eastAsia" w:ascii="宋体" w:hAnsi="宋体" w:cs="宋体"/>
                <w:b/>
                <w:bCs/>
                <w:color w:val="000000" w:themeColor="text1"/>
                <w:szCs w:val="21"/>
                <w:lang w:val="en-US" w:eastAsia="zh-CN"/>
                <w14:textFill>
                  <w14:solidFill>
                    <w14:schemeClr w14:val="tx1"/>
                  </w14:solidFill>
                </w14:textFill>
              </w:rPr>
              <w:t>贰万元整</w:t>
            </w:r>
            <w:r>
              <w:rPr>
                <w:rFonts w:hint="eastAsia" w:ascii="宋体" w:hAnsi="宋体" w:cs="宋体"/>
                <w:b/>
                <w:bCs/>
                <w:color w:val="000000" w:themeColor="text1"/>
                <w:szCs w:val="21"/>
                <w14:textFill>
                  <w14:solidFill>
                    <w14:schemeClr w14:val="tx1"/>
                  </w14:solidFill>
                </w14:textFill>
              </w:rPr>
              <w:t>）</w:t>
            </w:r>
          </w:p>
        </w:tc>
      </w:tr>
      <w:tr w14:paraId="00F31C1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61" w:type="pct"/>
            <w:vMerge w:val="continue"/>
            <w:vAlign w:val="center"/>
          </w:tcPr>
          <w:p w14:paraId="3B8BCACA">
            <w:pPr>
              <w:snapToGrid w:val="0"/>
              <w:spacing w:line="290" w:lineRule="exact"/>
              <w:jc w:val="center"/>
              <w:rPr>
                <w:rFonts w:ascii="宋体" w:cs="宋体"/>
                <w:color w:val="000000" w:themeColor="text1"/>
                <w:szCs w:val="21"/>
                <w:highlight w:val="none"/>
                <w14:textFill>
                  <w14:solidFill>
                    <w14:schemeClr w14:val="tx1"/>
                  </w14:solidFill>
                </w14:textFill>
              </w:rPr>
            </w:pPr>
          </w:p>
        </w:tc>
        <w:tc>
          <w:tcPr>
            <w:tcW w:w="4738" w:type="pct"/>
            <w:gridSpan w:val="2"/>
            <w:tcBorders>
              <w:top w:val="single" w:color="auto" w:sz="4" w:space="0"/>
            </w:tcBorders>
            <w:vAlign w:val="center"/>
          </w:tcPr>
          <w:p w14:paraId="6DE01D21">
            <w:pPr>
              <w:snapToGrid w:val="0"/>
              <w:spacing w:line="290" w:lineRule="exact"/>
              <w:ind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一、投标保证金交纳要求：   </w:t>
            </w:r>
          </w:p>
          <w:p w14:paraId="2FF26666">
            <w:pPr>
              <w:snapToGrid w:val="0"/>
              <w:spacing w:line="290" w:lineRule="exact"/>
              <w:ind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1、投标保证金以电汇、网银形式提交的，应在投标截止前以公司法人的基本账户一次性汇入指定账户（以到账时间为准），不接受现金及任何个人汇款。汇款凭证或保函作为该项目投标保证金的缴纳依据。</w:t>
            </w:r>
          </w:p>
          <w:p w14:paraId="4493721F">
            <w:pPr>
              <w:snapToGrid w:val="0"/>
              <w:spacing w:line="290" w:lineRule="exact"/>
              <w:ind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2、其他特殊情况处理：有效投标保证金成功交纳后，截止开标时间，供应商无正当理由不参加该项目投标且不递交弃标函，投标保证金不予退还。</w:t>
            </w:r>
          </w:p>
          <w:p w14:paraId="640C0E4D">
            <w:pPr>
              <w:snapToGrid w:val="0"/>
              <w:spacing w:line="290" w:lineRule="exact"/>
              <w:ind w:firstLine="210" w:firstLineChars="1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户名：克孜勒苏柯尔克孜自治州政务服务和公共资源交易中心</w:t>
            </w:r>
          </w:p>
          <w:p w14:paraId="2B998CCE">
            <w:pPr>
              <w:snapToGrid w:val="0"/>
              <w:spacing w:line="290" w:lineRule="exact"/>
              <w:ind w:firstLine="210" w:firstLineChars="1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账号：30456301040005069</w:t>
            </w:r>
          </w:p>
          <w:p w14:paraId="49F967E9">
            <w:pPr>
              <w:snapToGrid w:val="0"/>
              <w:spacing w:line="290" w:lineRule="exact"/>
              <w:ind w:firstLine="210" w:firstLineChars="1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开户行：中国农业银行股份有限公司阿图什天山支行</w:t>
            </w:r>
          </w:p>
          <w:p w14:paraId="1E8CC986">
            <w:pPr>
              <w:snapToGrid w:val="0"/>
              <w:spacing w:line="290" w:lineRule="exact"/>
              <w:ind w:firstLine="210" w:firstLineChars="1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行号：103893045636</w:t>
            </w:r>
          </w:p>
          <w:p w14:paraId="4B2E6CC0">
            <w:pPr>
              <w:snapToGrid w:val="0"/>
              <w:spacing w:line="290" w:lineRule="exact"/>
              <w:ind w:firstLine="210" w:firstLineChars="1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联系人：帕女士</w:t>
            </w:r>
          </w:p>
          <w:p w14:paraId="6E5D30D6">
            <w:pPr>
              <w:snapToGrid w:val="0"/>
              <w:spacing w:line="290" w:lineRule="exact"/>
              <w:ind w:firstLine="210" w:firstLineChars="1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电话：0908-4220265    15809081090</w:t>
            </w:r>
          </w:p>
          <w:p w14:paraId="5A6CD621">
            <w:pPr>
              <w:snapToGrid w:val="0"/>
              <w:spacing w:line="290" w:lineRule="exact"/>
              <w:ind w:firstLine="210" w:firstLineChars="1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（备注：必须写明xx公司xx项目保证金）</w:t>
            </w:r>
          </w:p>
          <w:p w14:paraId="0E42EE85">
            <w:pPr>
              <w:snapToGrid w:val="0"/>
              <w:spacing w:line="290" w:lineRule="exact"/>
              <w:ind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二、申请退还投标保证金资料（招投标结束中标结果公示后）：</w:t>
            </w:r>
          </w:p>
          <w:p w14:paraId="3B7DC22F">
            <w:pPr>
              <w:snapToGrid w:val="0"/>
              <w:spacing w:line="290" w:lineRule="exact"/>
              <w:ind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1、投标企业：待开标完成后，未中标企业3-5个工作日内政资中心将收取的项目投标保证金按投标企业基本户退回。</w:t>
            </w:r>
          </w:p>
          <w:p w14:paraId="3FE8E95B">
            <w:pPr>
              <w:snapToGrid w:val="0"/>
              <w:spacing w:line="290" w:lineRule="exact"/>
              <w:ind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2、中标企业：需提供已签订合同复印件一份，复印件每页需加盖企业公章（并携带合同原件，由中心工作人员核对后退还）。</w:t>
            </w:r>
          </w:p>
          <w:p w14:paraId="612201D2">
            <w:pPr>
              <w:snapToGrid w:val="0"/>
              <w:spacing w:line="290" w:lineRule="exact"/>
              <w:ind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三、其他特殊情况处理：</w:t>
            </w:r>
          </w:p>
          <w:p w14:paraId="61F5F52F">
            <w:pPr>
              <w:snapToGrid w:val="0"/>
              <w:spacing w:line="290" w:lineRule="exact"/>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1、按照招标文件要求规定：投标企业无正当理由不参加该项目投标且在规定开标时间前不递交弃标函，投标保证金不予退还。 </w:t>
            </w:r>
            <w:r>
              <w:rPr>
                <w:rFonts w:hint="eastAsia" w:ascii="宋体" w:hAnsi="宋体" w:cs="宋体"/>
                <w:color w:val="000000" w:themeColor="text1"/>
                <w:highlight w:val="none"/>
                <w14:textFill>
                  <w14:solidFill>
                    <w14:schemeClr w14:val="tx1"/>
                  </w14:solidFill>
                </w14:textFill>
              </w:rPr>
              <w:t xml:space="preserve"> </w:t>
            </w:r>
          </w:p>
        </w:tc>
      </w:tr>
      <w:tr w14:paraId="114568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4" w:hRule="atLeast"/>
          <w:jc w:val="center"/>
        </w:trPr>
        <w:tc>
          <w:tcPr>
            <w:tcW w:w="261" w:type="pct"/>
            <w:vAlign w:val="center"/>
          </w:tcPr>
          <w:p w14:paraId="702864BD">
            <w:pPr>
              <w:snapToGrid w:val="0"/>
              <w:spacing w:line="290" w:lineRule="exact"/>
              <w:jc w:val="center"/>
              <w:rPr>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18</w:t>
            </w:r>
          </w:p>
        </w:tc>
        <w:tc>
          <w:tcPr>
            <w:tcW w:w="814" w:type="pct"/>
            <w:vAlign w:val="center"/>
          </w:tcPr>
          <w:p w14:paraId="62BE13A9">
            <w:pPr>
              <w:pStyle w:val="12"/>
              <w:snapToGrid w:val="0"/>
              <w:spacing w:line="29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投标文件形式</w:t>
            </w:r>
          </w:p>
        </w:tc>
        <w:tc>
          <w:tcPr>
            <w:tcW w:w="3924" w:type="pct"/>
            <w:vAlign w:val="center"/>
          </w:tcPr>
          <w:p w14:paraId="18483AC7">
            <w:pPr>
              <w:pStyle w:val="12"/>
              <w:snapToGrid w:val="0"/>
              <w:spacing w:line="29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电子投标文件包括“电子加密投标文件”和“备份投标文件”，在投标文件编制完成后同时生成。</w:t>
            </w:r>
          </w:p>
          <w:p w14:paraId="1D742645">
            <w:pPr>
              <w:pStyle w:val="12"/>
              <w:snapToGrid w:val="0"/>
              <w:spacing w:line="29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1、“电子加密投标文件” 是指通过“政采云电子交易客户端”完成投标文件编制后生成并加密的数据电文形式的投标文件。</w:t>
            </w:r>
          </w:p>
          <w:p w14:paraId="72748A7B">
            <w:pPr>
              <w:pStyle w:val="12"/>
              <w:snapToGrid w:val="0"/>
              <w:spacing w:line="29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2、“备份投标文件”是指与“电子加密投标文件”同时生成的数据电文形式的电子文件（备份标书，用于供应商标书解密异常时应急使用），其他方式编制的备份投标文件视为无效备份投标文件。</w:t>
            </w:r>
          </w:p>
        </w:tc>
      </w:tr>
      <w:tr w14:paraId="5BC7A88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61" w:type="pct"/>
            <w:vAlign w:val="center"/>
          </w:tcPr>
          <w:p w14:paraId="7C0E65CC">
            <w:pPr>
              <w:snapToGrid w:val="0"/>
              <w:spacing w:line="290" w:lineRule="exact"/>
              <w:ind w:left="-77" w:leftChars="-37" w:right="-94" w:rightChars="-45"/>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19</w:t>
            </w:r>
          </w:p>
        </w:tc>
        <w:tc>
          <w:tcPr>
            <w:tcW w:w="814" w:type="pct"/>
            <w:vAlign w:val="center"/>
          </w:tcPr>
          <w:p w14:paraId="694A7085">
            <w:pPr>
              <w:pStyle w:val="12"/>
              <w:snapToGrid w:val="0"/>
              <w:spacing w:line="290" w:lineRule="exact"/>
              <w:rPr>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投标文件份数及要求</w:t>
            </w:r>
          </w:p>
        </w:tc>
        <w:tc>
          <w:tcPr>
            <w:tcW w:w="3924" w:type="pct"/>
            <w:vAlign w:val="center"/>
          </w:tcPr>
          <w:p w14:paraId="74436D90">
            <w:pPr>
              <w:pStyle w:val="12"/>
              <w:snapToGrid w:val="0"/>
              <w:spacing w:line="290" w:lineRule="exac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1、一份电子加密标书（“.jmbs”格式），一份备份标书文件（“.bfbs”格式）。</w:t>
            </w:r>
          </w:p>
          <w:p w14:paraId="0893469A">
            <w:pPr>
              <w:pStyle w:val="12"/>
              <w:snapToGrid w:val="0"/>
              <w:spacing w:line="290" w:lineRule="exact"/>
              <w:rPr>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2、每份电子投标文件应包括</w:t>
            </w:r>
            <w:r>
              <w:rPr>
                <w:rFonts w:hint="eastAsia" w:hAnsi="宋体"/>
                <w:b/>
                <w:bCs/>
                <w:color w:val="000000" w:themeColor="text1"/>
                <w:szCs w:val="21"/>
                <w:highlight w:val="none"/>
                <w14:textFill>
                  <w14:solidFill>
                    <w14:schemeClr w14:val="tx1"/>
                  </w14:solidFill>
                </w14:textFill>
              </w:rPr>
              <w:t>资格证明文件和商务及技术文件两部分。</w:t>
            </w:r>
          </w:p>
        </w:tc>
      </w:tr>
      <w:tr w14:paraId="2F54B9E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 w:hRule="atLeast"/>
          <w:jc w:val="center"/>
        </w:trPr>
        <w:tc>
          <w:tcPr>
            <w:tcW w:w="261" w:type="pct"/>
            <w:vMerge w:val="restart"/>
            <w:vAlign w:val="center"/>
          </w:tcPr>
          <w:p w14:paraId="33A7D475">
            <w:pPr>
              <w:snapToGrid w:val="0"/>
              <w:spacing w:line="290" w:lineRule="exact"/>
              <w:ind w:left="-77" w:leftChars="-37" w:right="-94" w:rightChars="-45"/>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20</w:t>
            </w:r>
          </w:p>
        </w:tc>
        <w:tc>
          <w:tcPr>
            <w:tcW w:w="814" w:type="pct"/>
            <w:vMerge w:val="restart"/>
            <w:vAlign w:val="center"/>
          </w:tcPr>
          <w:p w14:paraId="455DADDE">
            <w:pPr>
              <w:pStyle w:val="12"/>
              <w:snapToGrid w:val="0"/>
              <w:spacing w:line="290" w:lineRule="exact"/>
              <w:rPr>
                <w:rFonts w:hAnsi="宋体" w:cs="宋体"/>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lang w:bidi="zh-CN"/>
                <w14:textFill>
                  <w14:solidFill>
                    <w14:schemeClr w14:val="tx1"/>
                  </w14:solidFill>
                </w14:textFill>
              </w:rPr>
              <w:t>投标文件的上传和递交</w:t>
            </w:r>
          </w:p>
        </w:tc>
        <w:tc>
          <w:tcPr>
            <w:tcW w:w="3924" w:type="pct"/>
            <w:vAlign w:val="center"/>
          </w:tcPr>
          <w:p w14:paraId="7CB24E8D">
            <w:pPr>
              <w:pStyle w:val="12"/>
              <w:snapToGrid w:val="0"/>
              <w:spacing w:line="290" w:lineRule="exact"/>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1.电子加密投标文件：投标文件制作完成并生成加密标书，在投标截止时间前，供应商需将加密的投标文件上传至政采云平台，</w:t>
            </w:r>
            <w:r>
              <w:rPr>
                <w:rFonts w:hint="eastAsia"/>
                <w:b/>
                <w:bCs/>
                <w:color w:val="000000" w:themeColor="text1"/>
                <w:szCs w:val="21"/>
                <w:highlight w:val="none"/>
                <w:u w:val="single"/>
                <w14:textFill>
                  <w14:solidFill>
                    <w14:schemeClr w14:val="tx1"/>
                  </w14:solidFill>
                </w14:textFill>
              </w:rPr>
              <w:t>在开标时间开始后，待采购组织机构发出解密通知后30分钟内解密投标文件。</w:t>
            </w:r>
          </w:p>
          <w:p w14:paraId="22CB46A6">
            <w:pPr>
              <w:pStyle w:val="12"/>
              <w:snapToGrid w:val="0"/>
              <w:spacing w:line="29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a.供应商未能在投标截止时间前成功上传电子加密投标文件的投标无效。</w:t>
            </w:r>
          </w:p>
          <w:p w14:paraId="6E61D8F2">
            <w:pPr>
              <w:pStyle w:val="12"/>
              <w:snapToGrid w:val="0"/>
              <w:spacing w:line="29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b.供应商成功上传电子加密投标文件后，可自行打印投标文件接收回执。</w:t>
            </w:r>
          </w:p>
        </w:tc>
      </w:tr>
      <w:tr w14:paraId="494A8ED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 w:hRule="atLeast"/>
          <w:jc w:val="center"/>
        </w:trPr>
        <w:tc>
          <w:tcPr>
            <w:tcW w:w="261" w:type="pct"/>
            <w:vMerge w:val="continue"/>
            <w:vAlign w:val="center"/>
          </w:tcPr>
          <w:p w14:paraId="6DD06204">
            <w:pPr>
              <w:widowControl/>
              <w:snapToGrid w:val="0"/>
              <w:spacing w:line="290" w:lineRule="exact"/>
              <w:ind w:firstLine="88" w:firstLineChars="42"/>
              <w:jc w:val="left"/>
              <w:rPr>
                <w:color w:val="000000" w:themeColor="text1"/>
                <w:szCs w:val="21"/>
                <w:highlight w:val="none"/>
                <w14:textFill>
                  <w14:solidFill>
                    <w14:schemeClr w14:val="tx1"/>
                  </w14:solidFill>
                </w14:textFill>
              </w:rPr>
            </w:pPr>
          </w:p>
        </w:tc>
        <w:tc>
          <w:tcPr>
            <w:tcW w:w="814" w:type="pct"/>
            <w:vMerge w:val="continue"/>
            <w:vAlign w:val="center"/>
          </w:tcPr>
          <w:p w14:paraId="3663E1B3">
            <w:pPr>
              <w:pStyle w:val="12"/>
              <w:snapToGrid w:val="0"/>
              <w:spacing w:line="290" w:lineRule="exact"/>
              <w:rPr>
                <w:rFonts w:hAnsi="宋体" w:cs="宋体"/>
                <w:color w:val="000000" w:themeColor="text1"/>
                <w:szCs w:val="21"/>
                <w:highlight w:val="none"/>
                <w14:textFill>
                  <w14:solidFill>
                    <w14:schemeClr w14:val="tx1"/>
                  </w14:solidFill>
                </w14:textFill>
              </w:rPr>
            </w:pPr>
          </w:p>
        </w:tc>
        <w:tc>
          <w:tcPr>
            <w:tcW w:w="3924" w:type="pct"/>
            <w:vAlign w:val="center"/>
          </w:tcPr>
          <w:p w14:paraId="27C60644">
            <w:pPr>
              <w:pStyle w:val="12"/>
              <w:snapToGrid w:val="0"/>
              <w:spacing w:line="360" w:lineRule="exact"/>
              <w:rPr>
                <w:rFonts w:hint="eastAsia" w:hAnsi="宋体" w:cs="宋体"/>
                <w:color w:val="000000" w:themeColor="text1"/>
                <w:szCs w:val="21"/>
                <w:lang w:val="en-US" w:eastAsia="zh-CN"/>
                <w14:textFill>
                  <w14:solidFill>
                    <w14:schemeClr w14:val="tx1"/>
                  </w14:solidFill>
                </w14:textFill>
              </w:rPr>
            </w:pPr>
            <w:r>
              <w:rPr>
                <w:rFonts w:hint="eastAsia" w:hAnsi="宋体" w:cs="宋体"/>
                <w:color w:val="000000" w:themeColor="text1"/>
                <w:szCs w:val="21"/>
                <w:lang w:val="en-US" w:eastAsia="zh-CN"/>
                <w14:textFill>
                  <w14:solidFill>
                    <w14:schemeClr w14:val="tx1"/>
                  </w14:solidFill>
                </w14:textFill>
              </w:rPr>
              <w:t>2.备份投标文件：供应商在投标截止时间前将加密的投标文件上传至政府采购云平台，还可以在投标截止时间前以电子邮件方式提供备份投标文件1份（接收人邮箱：19246091@qq.com，接收人：黄女士 联系电话：17609081174“备份投标文件”由供应商自愿提供，采购文件不作强制性要求；如不提供或未按要求提供的，当电子投标文件无法解密时，将导致无备份投标文件而失去投标资格。</w:t>
            </w:r>
          </w:p>
          <w:p w14:paraId="049E8544">
            <w:pPr>
              <w:pStyle w:val="12"/>
              <w:snapToGrid w:val="0"/>
              <w:spacing w:line="360" w:lineRule="exact"/>
              <w:rPr>
                <w:rFonts w:hint="eastAsia" w:hAnsi="宋体" w:cs="宋体"/>
                <w:color w:val="000000" w:themeColor="text1"/>
                <w:szCs w:val="21"/>
                <w:lang w:val="en-US" w:eastAsia="zh-CN"/>
                <w14:textFill>
                  <w14:solidFill>
                    <w14:schemeClr w14:val="tx1"/>
                  </w14:solidFill>
                </w14:textFill>
              </w:rPr>
            </w:pPr>
            <w:r>
              <w:rPr>
                <w:rFonts w:hint="eastAsia" w:hAnsi="宋体" w:cs="宋体"/>
                <w:color w:val="000000" w:themeColor="text1"/>
                <w:szCs w:val="21"/>
                <w:lang w:val="en-US" w:eastAsia="zh-CN"/>
                <w14:textFill>
                  <w14:solidFill>
                    <w14:schemeClr w14:val="tx1"/>
                  </w14:solidFill>
                </w14:textFill>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14:paraId="0C5AA320">
            <w:pPr>
              <w:pStyle w:val="12"/>
              <w:snapToGrid w:val="0"/>
              <w:spacing w:line="290" w:lineRule="exact"/>
              <w:rPr>
                <w:color w:val="000000" w:themeColor="text1"/>
                <w:szCs w:val="21"/>
                <w:highlight w:val="none"/>
                <w14:textFill>
                  <w14:solidFill>
                    <w14:schemeClr w14:val="tx1"/>
                  </w14:solidFill>
                </w14:textFill>
              </w:rPr>
            </w:pPr>
            <w:r>
              <w:rPr>
                <w:rFonts w:hint="eastAsia" w:hAnsi="宋体" w:cs="宋体"/>
                <w:color w:val="000000" w:themeColor="text1"/>
                <w:szCs w:val="21"/>
                <w:lang w:val="en-US" w:eastAsia="zh-CN"/>
                <w14:textFill>
                  <w14:solidFill>
                    <w14:schemeClr w14:val="tx1"/>
                  </w14:solidFill>
                </w14:textFill>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14:paraId="41B7DAE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7" w:hRule="atLeast"/>
          <w:jc w:val="center"/>
        </w:trPr>
        <w:tc>
          <w:tcPr>
            <w:tcW w:w="261" w:type="pct"/>
            <w:vAlign w:val="center"/>
          </w:tcPr>
          <w:p w14:paraId="0007C575">
            <w:pPr>
              <w:snapToGrid w:val="0"/>
              <w:spacing w:line="290" w:lineRule="exact"/>
              <w:ind w:left="-77" w:leftChars="-37" w:right="-94" w:rightChars="-45"/>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21</w:t>
            </w:r>
          </w:p>
        </w:tc>
        <w:tc>
          <w:tcPr>
            <w:tcW w:w="814" w:type="pct"/>
            <w:vAlign w:val="center"/>
          </w:tcPr>
          <w:p w14:paraId="17F7C239">
            <w:pPr>
              <w:snapToGrid w:val="0"/>
              <w:spacing w:line="290" w:lineRule="exact"/>
              <w:jc w:val="left"/>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投标截止时间及地点</w:t>
            </w:r>
          </w:p>
        </w:tc>
        <w:tc>
          <w:tcPr>
            <w:tcW w:w="3924" w:type="pct"/>
            <w:vAlign w:val="center"/>
          </w:tcPr>
          <w:p w14:paraId="59FFBA64">
            <w:pPr>
              <w:snapToGrid w:val="0"/>
              <w:spacing w:line="290" w:lineRule="exact"/>
              <w:ind w:firstLine="18" w:firstLineChars="9"/>
              <w:rPr>
                <w:b/>
                <w:bCs/>
                <w:color w:val="000000" w:themeColor="text1"/>
                <w:szCs w:val="21"/>
                <w:highlight w:val="none"/>
                <w14:textFill>
                  <w14:solidFill>
                    <w14:schemeClr w14:val="tx1"/>
                  </w14:solidFill>
                </w14:textFill>
              </w:rPr>
            </w:pPr>
            <w:r>
              <w:rPr>
                <w:rFonts w:hint="eastAsia" w:ascii="宋体"/>
                <w:b/>
                <w:bCs/>
                <w:color w:val="000000" w:themeColor="text1"/>
                <w:szCs w:val="21"/>
                <w:highlight w:val="none"/>
                <w14:textFill>
                  <w14:solidFill>
                    <w14:schemeClr w14:val="tx1"/>
                  </w14:solidFill>
                </w14:textFill>
              </w:rPr>
              <w:t>投标截止时间</w:t>
            </w:r>
            <w:r>
              <w:rPr>
                <w:rFonts w:hint="eastAsia"/>
                <w:b/>
                <w:bCs/>
                <w:color w:val="000000" w:themeColor="text1"/>
                <w:szCs w:val="21"/>
                <w:highlight w:val="none"/>
                <w14:textFill>
                  <w14:solidFill>
                    <w14:schemeClr w14:val="tx1"/>
                  </w14:solidFill>
                </w14:textFill>
              </w:rPr>
              <w:t>：202</w:t>
            </w: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szCs w:val="21"/>
                <w:highlight w:val="none"/>
                <w14:textFill>
                  <w14:solidFill>
                    <w14:schemeClr w14:val="tx1"/>
                  </w14:solidFill>
                </w14:textFill>
              </w:rPr>
              <w:t>年</w:t>
            </w:r>
            <w:r>
              <w:rPr>
                <w:rFonts w:hint="eastAsia"/>
                <w:b/>
                <w:bCs/>
                <w:color w:val="000000" w:themeColor="text1"/>
                <w:szCs w:val="21"/>
                <w:highlight w:val="none"/>
                <w:lang w:val="en-US" w:eastAsia="zh-CN"/>
                <w14:textFill>
                  <w14:solidFill>
                    <w14:schemeClr w14:val="tx1"/>
                  </w14:solidFill>
                </w14:textFill>
              </w:rPr>
              <w:t xml:space="preserve"> 12</w:t>
            </w:r>
            <w:r>
              <w:rPr>
                <w:rFonts w:hint="eastAsia"/>
                <w:b/>
                <w:bCs/>
                <w:color w:val="000000" w:themeColor="text1"/>
                <w:szCs w:val="21"/>
                <w:highlight w:val="none"/>
                <w14:textFill>
                  <w14:solidFill>
                    <w14:schemeClr w14:val="tx1"/>
                  </w14:solidFill>
                </w14:textFill>
              </w:rPr>
              <w:t>月</w:t>
            </w:r>
            <w:r>
              <w:rPr>
                <w:rFonts w:hint="eastAsia"/>
                <w:b/>
                <w:bCs/>
                <w:color w:val="000000" w:themeColor="text1"/>
                <w:szCs w:val="21"/>
                <w:highlight w:val="none"/>
                <w:lang w:val="en-US" w:eastAsia="zh-CN"/>
                <w14:textFill>
                  <w14:solidFill>
                    <w14:schemeClr w14:val="tx1"/>
                  </w14:solidFill>
                </w14:textFill>
              </w:rPr>
              <w:t xml:space="preserve"> 9</w:t>
            </w:r>
            <w:r>
              <w:rPr>
                <w:rFonts w:hint="eastAsia"/>
                <w:b/>
                <w:bCs/>
                <w:color w:val="000000" w:themeColor="text1"/>
                <w:szCs w:val="21"/>
                <w:highlight w:val="none"/>
                <w14:textFill>
                  <w14:solidFill>
                    <w14:schemeClr w14:val="tx1"/>
                  </w14:solidFill>
                </w14:textFill>
              </w:rPr>
              <w:t>日1</w:t>
            </w:r>
            <w:r>
              <w:rPr>
                <w:rFonts w:hint="eastAsia"/>
                <w:b/>
                <w:bCs/>
                <w:color w:val="000000" w:themeColor="text1"/>
                <w:szCs w:val="21"/>
                <w:highlight w:val="none"/>
                <w:lang w:val="en-US" w:eastAsia="zh-CN"/>
                <w14:textFill>
                  <w14:solidFill>
                    <w14:schemeClr w14:val="tx1"/>
                  </w14:solidFill>
                </w14:textFill>
              </w:rPr>
              <w:t>0</w:t>
            </w:r>
            <w:r>
              <w:rPr>
                <w:rFonts w:hint="eastAsia"/>
                <w:b/>
                <w:bCs/>
                <w:color w:val="000000" w:themeColor="text1"/>
                <w:szCs w:val="21"/>
                <w:highlight w:val="none"/>
                <w14:textFill>
                  <w14:solidFill>
                    <w14:schemeClr w14:val="tx1"/>
                  </w14:solidFill>
                </w14:textFill>
              </w:rPr>
              <w:t>时</w:t>
            </w:r>
            <w:r>
              <w:rPr>
                <w:rFonts w:hint="eastAsia"/>
                <w:b/>
                <w:bCs/>
                <w:color w:val="000000" w:themeColor="text1"/>
                <w:szCs w:val="21"/>
                <w:highlight w:val="none"/>
                <w:lang w:val="en-US" w:eastAsia="zh-CN"/>
                <w14:textFill>
                  <w14:solidFill>
                    <w14:schemeClr w14:val="tx1"/>
                  </w14:solidFill>
                </w14:textFill>
              </w:rPr>
              <w:t>3</w:t>
            </w:r>
            <w:r>
              <w:rPr>
                <w:rFonts w:hint="eastAsia"/>
                <w:b/>
                <w:bCs/>
                <w:color w:val="000000" w:themeColor="text1"/>
                <w:szCs w:val="21"/>
                <w:highlight w:val="none"/>
                <w14:textFill>
                  <w14:solidFill>
                    <w14:schemeClr w14:val="tx1"/>
                  </w14:solidFill>
                </w14:textFill>
              </w:rPr>
              <w:t>0分（北京时间）</w:t>
            </w:r>
          </w:p>
          <w:p w14:paraId="6030A588">
            <w:pPr>
              <w:snapToGrid w:val="0"/>
              <w:spacing w:line="290" w:lineRule="exact"/>
              <w:ind w:firstLine="18" w:firstLineChars="9"/>
              <w:rPr>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投标地点：新疆政府采购云平台（www.zcygov.cn）</w:t>
            </w:r>
          </w:p>
        </w:tc>
      </w:tr>
      <w:tr w14:paraId="6CB44F3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61" w:type="pct"/>
            <w:vAlign w:val="center"/>
          </w:tcPr>
          <w:p w14:paraId="460001ED">
            <w:pPr>
              <w:pStyle w:val="12"/>
              <w:snapToGrid w:val="0"/>
              <w:spacing w:line="290" w:lineRule="exact"/>
              <w:ind w:left="-77" w:leftChars="-37" w:right="-94" w:rightChars="-45"/>
              <w:jc w:val="center"/>
              <w:rPr>
                <w:rFonts w:cs="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22</w:t>
            </w:r>
          </w:p>
        </w:tc>
        <w:tc>
          <w:tcPr>
            <w:tcW w:w="814" w:type="pct"/>
            <w:vAlign w:val="center"/>
          </w:tcPr>
          <w:p w14:paraId="0A841876">
            <w:pPr>
              <w:snapToGrid w:val="0"/>
              <w:spacing w:line="290" w:lineRule="exact"/>
              <w:jc w:val="left"/>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开标时间及地点</w:t>
            </w:r>
          </w:p>
        </w:tc>
        <w:tc>
          <w:tcPr>
            <w:tcW w:w="3924" w:type="pct"/>
            <w:vAlign w:val="center"/>
          </w:tcPr>
          <w:p w14:paraId="16209B09">
            <w:pPr>
              <w:snapToGrid w:val="0"/>
              <w:spacing w:line="290" w:lineRule="exact"/>
              <w:ind w:firstLine="18" w:firstLineChars="9"/>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开标时间：同投标截止时间</w:t>
            </w:r>
          </w:p>
          <w:p w14:paraId="7B94BA64">
            <w:pPr>
              <w:snapToGrid w:val="0"/>
              <w:spacing w:line="290" w:lineRule="exact"/>
              <w:ind w:firstLine="18" w:firstLineChars="9"/>
              <w:rPr>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开标地点：在新疆政府采购云平台（www.zcygov.cn）上开启投标文件</w:t>
            </w:r>
          </w:p>
        </w:tc>
      </w:tr>
      <w:tr w14:paraId="094065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261" w:type="pct"/>
            <w:vAlign w:val="center"/>
          </w:tcPr>
          <w:p w14:paraId="715EE25B">
            <w:pPr>
              <w:pStyle w:val="12"/>
              <w:snapToGrid w:val="0"/>
              <w:spacing w:line="290" w:lineRule="exact"/>
              <w:ind w:left="-77" w:leftChars="-37" w:right="-94" w:rightChars="-45"/>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23</w:t>
            </w:r>
          </w:p>
        </w:tc>
        <w:tc>
          <w:tcPr>
            <w:tcW w:w="814" w:type="pct"/>
            <w:vAlign w:val="center"/>
          </w:tcPr>
          <w:p w14:paraId="05BED1BF">
            <w:pPr>
              <w:pStyle w:val="12"/>
              <w:snapToGrid w:val="0"/>
              <w:spacing w:line="29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评标委员会的组建</w:t>
            </w:r>
          </w:p>
        </w:tc>
        <w:tc>
          <w:tcPr>
            <w:tcW w:w="3924" w:type="pct"/>
          </w:tcPr>
          <w:p w14:paraId="725933FB">
            <w:pPr>
              <w:pStyle w:val="12"/>
              <w:snapToGrid w:val="0"/>
              <w:spacing w:line="29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评标委员会由招标人依法组建；</w:t>
            </w:r>
          </w:p>
          <w:p w14:paraId="6C65CE13">
            <w:pPr>
              <w:pStyle w:val="12"/>
              <w:snapToGrid w:val="0"/>
              <w:spacing w:line="29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评标专家确定方式：从政采云专家库中随机抽取。</w:t>
            </w:r>
          </w:p>
        </w:tc>
      </w:tr>
      <w:tr w14:paraId="68A895A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261" w:type="pct"/>
            <w:vAlign w:val="center"/>
          </w:tcPr>
          <w:p w14:paraId="7A4F285E">
            <w:pPr>
              <w:pStyle w:val="12"/>
              <w:snapToGrid w:val="0"/>
              <w:spacing w:line="290" w:lineRule="exact"/>
              <w:ind w:left="-77" w:leftChars="-37" w:right="-94" w:rightChars="-45"/>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24</w:t>
            </w:r>
          </w:p>
        </w:tc>
        <w:tc>
          <w:tcPr>
            <w:tcW w:w="814" w:type="pct"/>
            <w:vAlign w:val="center"/>
          </w:tcPr>
          <w:p w14:paraId="2E095B45">
            <w:pPr>
              <w:pStyle w:val="12"/>
              <w:snapToGrid w:val="0"/>
              <w:spacing w:line="29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是否授权评标委员会确定中标候选人</w:t>
            </w:r>
          </w:p>
        </w:tc>
        <w:tc>
          <w:tcPr>
            <w:tcW w:w="3924" w:type="pct"/>
            <w:vAlign w:val="center"/>
          </w:tcPr>
          <w:p w14:paraId="7C1E5AA0">
            <w:pPr>
              <w:pStyle w:val="12"/>
              <w:snapToGrid w:val="0"/>
              <w:spacing w:line="290" w:lineRule="exact"/>
              <w:rPr>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是，评标委员会推荐</w:t>
            </w:r>
            <w:r>
              <w:rPr>
                <w:rFonts w:hint="eastAsia" w:hAnsi="宋体"/>
                <w:color w:val="000000" w:themeColor="text1"/>
                <w:szCs w:val="21"/>
                <w:highlight w:val="none"/>
                <w:lang w:val="en-US" w:eastAsia="zh-CN"/>
                <w14:textFill>
                  <w14:solidFill>
                    <w14:schemeClr w14:val="tx1"/>
                  </w14:solidFill>
                </w14:textFill>
              </w:rPr>
              <w:t>1</w:t>
            </w:r>
            <w:r>
              <w:rPr>
                <w:rFonts w:hint="eastAsia" w:hAnsi="宋体"/>
                <w:color w:val="000000" w:themeColor="text1"/>
                <w:szCs w:val="21"/>
                <w:highlight w:val="none"/>
                <w14:textFill>
                  <w14:solidFill>
                    <w14:schemeClr w14:val="tx1"/>
                  </w14:solidFill>
                </w14:textFill>
              </w:rPr>
              <w:t>名成交候选人。</w:t>
            </w:r>
          </w:p>
        </w:tc>
      </w:tr>
      <w:tr w14:paraId="38DAB3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261" w:type="pct"/>
            <w:vAlign w:val="center"/>
          </w:tcPr>
          <w:p w14:paraId="6857417B">
            <w:pPr>
              <w:snapToGrid w:val="0"/>
              <w:spacing w:line="290" w:lineRule="exact"/>
              <w:ind w:left="-77" w:leftChars="-37" w:right="-94" w:rightChars="-45"/>
              <w:jc w:val="center"/>
              <w:rPr>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25</w:t>
            </w:r>
          </w:p>
        </w:tc>
        <w:tc>
          <w:tcPr>
            <w:tcW w:w="814" w:type="pct"/>
            <w:vAlign w:val="center"/>
          </w:tcPr>
          <w:p w14:paraId="47848954">
            <w:pPr>
              <w:pStyle w:val="12"/>
              <w:snapToGrid w:val="0"/>
              <w:spacing w:line="29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中标候选人公示媒介</w:t>
            </w:r>
          </w:p>
        </w:tc>
        <w:tc>
          <w:tcPr>
            <w:tcW w:w="3924" w:type="pct"/>
            <w:vAlign w:val="center"/>
          </w:tcPr>
          <w:p w14:paraId="345E923F">
            <w:pPr>
              <w:pStyle w:val="12"/>
              <w:snapToGrid w:val="0"/>
              <w:spacing w:line="290" w:lineRule="exact"/>
              <w:rPr>
                <w:color w:val="000000" w:themeColor="text1"/>
                <w:szCs w:val="21"/>
                <w:highlight w:val="none"/>
                <w14:textFill>
                  <w14:solidFill>
                    <w14:schemeClr w14:val="tx1"/>
                  </w14:solidFill>
                </w14:textFill>
              </w:rPr>
            </w:pPr>
            <w:r>
              <w:rPr>
                <w:rFonts w:hint="eastAsia" w:ascii="Times New Roman"/>
                <w:color w:val="000000" w:themeColor="text1"/>
                <w:szCs w:val="21"/>
                <w:highlight w:val="none"/>
                <w14:textFill>
                  <w14:solidFill>
                    <w14:schemeClr w14:val="tx1"/>
                  </w14:solidFill>
                </w14:textFill>
              </w:rPr>
              <w:t>克州公共资源交易中心网、新疆政府采购网，公示期为一个工作日。</w:t>
            </w:r>
          </w:p>
        </w:tc>
      </w:tr>
      <w:tr w14:paraId="1D50049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261" w:type="pct"/>
            <w:vAlign w:val="center"/>
          </w:tcPr>
          <w:p w14:paraId="55C1A8E3">
            <w:pPr>
              <w:snapToGrid w:val="0"/>
              <w:spacing w:line="290" w:lineRule="exact"/>
              <w:jc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w:t>
            </w:r>
          </w:p>
        </w:tc>
        <w:tc>
          <w:tcPr>
            <w:tcW w:w="814" w:type="pct"/>
            <w:vAlign w:val="center"/>
          </w:tcPr>
          <w:p w14:paraId="08D6BE62">
            <w:pPr>
              <w:snapToGrid w:val="0"/>
              <w:spacing w:line="290" w:lineRule="exact"/>
              <w:jc w:val="left"/>
              <w:rPr>
                <w:rFonts w:hint="eastAsia" w:ascii="宋体" w:eastAsia="宋体"/>
                <w:color w:val="000000" w:themeColor="text1"/>
                <w:szCs w:val="21"/>
                <w:highlight w:val="none"/>
                <w:lang w:eastAsia="zh-CN"/>
                <w14:textFill>
                  <w14:solidFill>
                    <w14:schemeClr w14:val="tx1"/>
                  </w14:solidFill>
                </w14:textFill>
              </w:rPr>
            </w:pPr>
            <w:r>
              <w:rPr>
                <w:rFonts w:hint="eastAsia" w:ascii="宋体"/>
                <w:color w:val="000000" w:themeColor="text1"/>
                <w:szCs w:val="21"/>
                <w:highlight w:val="none"/>
                <w14:textFill>
                  <w14:solidFill>
                    <w14:schemeClr w14:val="tx1"/>
                  </w14:solidFill>
                </w14:textFill>
              </w:rPr>
              <w:t>履约</w:t>
            </w:r>
            <w:r>
              <w:rPr>
                <w:rFonts w:hint="eastAsia" w:ascii="宋体"/>
                <w:color w:val="000000" w:themeColor="text1"/>
                <w:szCs w:val="21"/>
                <w:highlight w:val="none"/>
                <w:lang w:eastAsia="zh-CN"/>
                <w14:textFill>
                  <w14:solidFill>
                    <w14:schemeClr w14:val="tx1"/>
                  </w14:solidFill>
                </w14:textFill>
              </w:rPr>
              <w:t>保证金</w:t>
            </w:r>
          </w:p>
        </w:tc>
        <w:tc>
          <w:tcPr>
            <w:tcW w:w="3924" w:type="pct"/>
          </w:tcPr>
          <w:p w14:paraId="13F8B702">
            <w:pPr>
              <w:snapToGrid w:val="0"/>
              <w:spacing w:line="290" w:lineRule="exact"/>
              <w:rPr>
                <w:rFonts w:hint="eastAsia" w:ascii="宋体" w:eastAsia="宋体"/>
                <w:color w:val="000000" w:themeColor="text1"/>
                <w:szCs w:val="21"/>
                <w:highlight w:val="none"/>
                <w:lang w:eastAsia="zh-CN"/>
                <w14:textFill>
                  <w14:solidFill>
                    <w14:schemeClr w14:val="tx1"/>
                  </w14:solidFill>
                </w14:textFill>
              </w:rPr>
            </w:pPr>
            <w:r>
              <w:rPr>
                <w:rFonts w:hint="eastAsia" w:ascii="宋体"/>
                <w:color w:val="000000" w:themeColor="text1"/>
                <w:szCs w:val="21"/>
                <w:highlight w:val="none"/>
                <w:lang w:eastAsia="zh-CN"/>
                <w14:textFill>
                  <w14:solidFill>
                    <w14:schemeClr w14:val="tx1"/>
                  </w14:solidFill>
                </w14:textFill>
              </w:rPr>
              <w:t>无</w:t>
            </w:r>
          </w:p>
        </w:tc>
      </w:tr>
      <w:tr w14:paraId="3AE607C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83" w:hRule="atLeast"/>
          <w:jc w:val="center"/>
        </w:trPr>
        <w:tc>
          <w:tcPr>
            <w:tcW w:w="261" w:type="pct"/>
            <w:vAlign w:val="center"/>
          </w:tcPr>
          <w:p w14:paraId="3FDAD2BE">
            <w:pPr>
              <w:snapToGrid w:val="0"/>
              <w:spacing w:line="29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w:t>
            </w:r>
          </w:p>
        </w:tc>
        <w:tc>
          <w:tcPr>
            <w:tcW w:w="814" w:type="pct"/>
            <w:vAlign w:val="center"/>
          </w:tcPr>
          <w:p w14:paraId="29077C1C">
            <w:pPr>
              <w:snapToGrid w:val="0"/>
              <w:spacing w:line="29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磋商文件领取</w:t>
            </w:r>
          </w:p>
        </w:tc>
        <w:tc>
          <w:tcPr>
            <w:tcW w:w="3924" w:type="pct"/>
          </w:tcPr>
          <w:p w14:paraId="0E43A74B">
            <w:pPr>
              <w:snapToGrid w:val="0"/>
              <w:spacing w:line="290" w:lineRule="exac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时间：202</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 xml:space="preserve">11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 xml:space="preserve"> 25 </w:t>
            </w:r>
            <w:r>
              <w:rPr>
                <w:rFonts w:hint="eastAsia" w:ascii="宋体" w:hAnsi="宋体" w:cs="宋体"/>
                <w:color w:val="000000" w:themeColor="text1"/>
                <w:szCs w:val="21"/>
                <w:highlight w:val="none"/>
                <w14:textFill>
                  <w14:solidFill>
                    <w14:schemeClr w14:val="tx1"/>
                  </w14:solidFill>
                </w14:textFill>
              </w:rPr>
              <w:t>日至202</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 xml:space="preserve">12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 xml:space="preserve"> 6 </w:t>
            </w:r>
            <w:r>
              <w:rPr>
                <w:rFonts w:hint="eastAsia" w:ascii="宋体" w:hAnsi="宋体" w:cs="宋体"/>
                <w:color w:val="000000" w:themeColor="text1"/>
                <w:szCs w:val="21"/>
                <w:highlight w:val="none"/>
                <w14:textFill>
                  <w14:solidFill>
                    <w14:schemeClr w14:val="tx1"/>
                  </w14:solidFill>
                </w14:textFill>
              </w:rPr>
              <w:t>日，每天上午</w:t>
            </w:r>
            <w:r>
              <w:rPr>
                <w:rFonts w:hint="eastAsia" w:ascii="宋体" w:hAnsi="宋体" w:cs="宋体"/>
                <w:color w:val="000000" w:themeColor="text1"/>
                <w:szCs w:val="21"/>
                <w:highlight w:val="none"/>
                <w:lang w:eastAsia="zh-CN"/>
                <w14:textFill>
                  <w14:solidFill>
                    <w14:schemeClr w14:val="tx1"/>
                  </w14:solidFill>
                </w14:textFill>
              </w:rPr>
              <w:t>10:00至1</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0</w:t>
            </w:r>
            <w:r>
              <w:rPr>
                <w:rFonts w:hint="eastAsia" w:ascii="宋体" w:hAnsi="宋体" w:cs="宋体"/>
                <w:color w:val="000000" w:themeColor="text1"/>
                <w:szCs w:val="21"/>
                <w:highlight w:val="none"/>
                <w:lang w:eastAsia="zh-CN"/>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，下午</w:t>
            </w:r>
            <w:r>
              <w:rPr>
                <w:rFonts w:hint="eastAsia" w:ascii="宋体" w:hAnsi="宋体" w:cs="宋体"/>
                <w:color w:val="000000" w:themeColor="text1"/>
                <w:szCs w:val="21"/>
                <w:highlight w:val="none"/>
                <w:lang w:eastAsia="zh-CN"/>
                <w14:textFill>
                  <w14:solidFill>
                    <w14:schemeClr w14:val="tx1"/>
                  </w14:solidFill>
                </w14:textFill>
              </w:rPr>
              <w:t>16:</w:t>
            </w:r>
            <w:r>
              <w:rPr>
                <w:rFonts w:hint="eastAsia" w:ascii="宋体" w:hAnsi="宋体" w:cs="宋体"/>
                <w:color w:val="000000" w:themeColor="text1"/>
                <w:szCs w:val="21"/>
                <w:highlight w:val="none"/>
                <w:lang w:val="en-US" w:eastAsia="zh-CN"/>
                <w14:textFill>
                  <w14:solidFill>
                    <w14:schemeClr w14:val="tx1"/>
                  </w14:solidFill>
                </w14:textFill>
              </w:rPr>
              <w:t>0</w:t>
            </w:r>
            <w:r>
              <w:rPr>
                <w:rFonts w:hint="eastAsia" w:ascii="宋体" w:hAnsi="宋体" w:cs="宋体"/>
                <w:color w:val="000000" w:themeColor="text1"/>
                <w:szCs w:val="21"/>
                <w:highlight w:val="none"/>
                <w:lang w:eastAsia="zh-CN"/>
                <w14:textFill>
                  <w14:solidFill>
                    <w14:schemeClr w14:val="tx1"/>
                  </w14:solidFill>
                </w14:textFill>
              </w:rPr>
              <w:t>0至</w:t>
            </w:r>
            <w:r>
              <w:rPr>
                <w:rFonts w:hint="eastAsia" w:ascii="宋体" w:hAnsi="宋体" w:cs="宋体"/>
                <w:color w:val="000000" w:themeColor="text1"/>
                <w:szCs w:val="21"/>
                <w:highlight w:val="none"/>
                <w:lang w:val="en-US" w:eastAsia="zh-CN"/>
                <w14:textFill>
                  <w14:solidFill>
                    <w14:schemeClr w14:val="tx1"/>
                  </w14:solidFill>
                </w14:textFill>
              </w:rPr>
              <w:t>19</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lang w:eastAsia="zh-CN"/>
                <w14:textFill>
                  <w14:solidFill>
                    <w14:schemeClr w14:val="tx1"/>
                  </w14:solidFill>
                </w14:textFill>
              </w:rPr>
              <w:t>0（北京时间）</w:t>
            </w:r>
            <w:bookmarkStart w:id="153" w:name="_GoBack"/>
            <w:bookmarkEnd w:id="153"/>
          </w:p>
          <w:p w14:paraId="74DF882C">
            <w:pPr>
              <w:snapToGrid w:val="0"/>
              <w:spacing w:line="29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地点：供应商登陆政采云平台http://www.zcygov.cn/，在线申请获取磋商文件（登录政府采购云平台 → 项目采购 → 获取磋商文件→申请，审核通过后可下载磋商文件，如有操作性问题，可与政采云在线客服进行咨询，咨询电话：</w:t>
            </w:r>
            <w:r>
              <w:rPr>
                <w:rFonts w:hint="eastAsia" w:ascii="宋体" w:hAnsi="宋体" w:cs="宋体"/>
                <w:color w:val="000000" w:themeColor="text1"/>
                <w:szCs w:val="21"/>
                <w:highlight w:val="none"/>
                <w:lang w:eastAsia="zh-CN"/>
                <w14:textFill>
                  <w14:solidFill>
                    <w14:schemeClr w14:val="tx1"/>
                  </w14:solidFill>
                </w14:textFill>
              </w:rPr>
              <w:t>95763</w:t>
            </w:r>
            <w:r>
              <w:rPr>
                <w:rFonts w:hint="eastAsia" w:ascii="宋体" w:hAnsi="宋体" w:cs="宋体"/>
                <w:color w:val="000000" w:themeColor="text1"/>
                <w:szCs w:val="21"/>
                <w:highlight w:val="none"/>
                <w14:textFill>
                  <w14:solidFill>
                    <w14:schemeClr w14:val="tx1"/>
                  </w14:solidFill>
                </w14:textFill>
              </w:rPr>
              <w:t>）。</w:t>
            </w:r>
          </w:p>
          <w:p w14:paraId="6E745752">
            <w:pPr>
              <w:snapToGrid w:val="0"/>
              <w:spacing w:line="29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方式：（1）线上获取（登录政府采购云平台 → 项目采购 → 获取磋商文件→ 申请，审核通过后可下载磋商文件）。本次招标不提供纸质版磋商文件。</w:t>
            </w:r>
          </w:p>
          <w:p w14:paraId="5403F5B9">
            <w:pPr>
              <w:snapToGrid w:val="0"/>
              <w:spacing w:line="29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（2）供应商获取磋商文件前应注册成为政府采购云平台正式供应商。</w:t>
            </w:r>
          </w:p>
        </w:tc>
      </w:tr>
      <w:tr w14:paraId="0F9797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61" w:type="pct"/>
            <w:vMerge w:val="restart"/>
            <w:vAlign w:val="center"/>
          </w:tcPr>
          <w:p w14:paraId="6584141F">
            <w:pPr>
              <w:snapToGrid w:val="0"/>
              <w:spacing w:line="29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w:t>
            </w:r>
          </w:p>
        </w:tc>
        <w:tc>
          <w:tcPr>
            <w:tcW w:w="814" w:type="pct"/>
            <w:vMerge w:val="restart"/>
            <w:vAlign w:val="center"/>
          </w:tcPr>
          <w:p w14:paraId="2C10C217">
            <w:pPr>
              <w:snapToGrid w:val="0"/>
              <w:spacing w:line="29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重要说明</w:t>
            </w:r>
          </w:p>
        </w:tc>
        <w:tc>
          <w:tcPr>
            <w:tcW w:w="3924" w:type="pct"/>
          </w:tcPr>
          <w:p w14:paraId="504E31C2">
            <w:pPr>
              <w:snapToGrid w:val="0"/>
              <w:spacing w:line="29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1.本项目采用全流程不见面电子开评标，投标供应商需要使用CA加密设备，供应商可通过新疆数字证书认证中心官网（https://www.xjca.com.cn/）或下载“新疆政务通”APP自行进行申领。</w:t>
            </w:r>
          </w:p>
          <w:p w14:paraId="09029960">
            <w:pPr>
              <w:snapToGrid w:val="0"/>
              <w:spacing w:line="29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2.本项目实行网上投标，采用加密电子投标文件(供应商须使用CA加密设备通过政采云电子投标客户端制作投标文件)。若供应商参与投标，自行承担投标一切费用。</w:t>
            </w:r>
          </w:p>
          <w:p w14:paraId="0E983F6C">
            <w:pPr>
              <w:snapToGrid w:val="0"/>
              <w:spacing w:line="29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3.各供应商在开标前应确保成为新疆维吾尔自治区政府采购网正式注册入库供应商，并完成CA数字证书申领。因未注册入库、未办理CA数字证书等原因造成无法投标或投标失败等后果由供应商自行承担。</w:t>
            </w:r>
          </w:p>
          <w:p w14:paraId="20DE5B62">
            <w:pPr>
              <w:snapToGrid w:val="0"/>
              <w:spacing w:line="29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w:t>
            </w:r>
            <w:r>
              <w:rPr>
                <w:rFonts w:hint="eastAsia" w:ascii="宋体" w:hAnsi="宋体" w:cs="宋体"/>
                <w:color w:val="000000" w:themeColor="text1"/>
                <w:szCs w:val="21"/>
                <w:highlight w:val="none"/>
                <w:lang w:eastAsia="zh-CN"/>
                <w14:textFill>
                  <w14:solidFill>
                    <w14:schemeClr w14:val="tx1"/>
                  </w14:solidFill>
                </w14:textFill>
              </w:rPr>
              <w:t>95763</w:t>
            </w:r>
            <w:r>
              <w:rPr>
                <w:rFonts w:hint="eastAsia" w:ascii="宋体" w:hAnsi="宋体" w:cs="宋体"/>
                <w:color w:val="000000" w:themeColor="text1"/>
                <w:szCs w:val="21"/>
                <w:highlight w:val="none"/>
                <w14:textFill>
                  <w14:solidFill>
                    <w14:schemeClr w14:val="tx1"/>
                  </w14:solidFill>
                </w14:textFill>
              </w:rPr>
              <w:t>进行咨询。</w:t>
            </w:r>
          </w:p>
          <w:p w14:paraId="22EAA543">
            <w:pPr>
              <w:snapToGrid w:val="0"/>
              <w:spacing w:line="29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5.供应商在开标时须使用制作加密电子投标文件所使用的CA锁及电脑，电脑须提前配置好浏览器（建议使用谷歌浏览器），以便开标时解锁。</w:t>
            </w:r>
          </w:p>
          <w:p w14:paraId="5420A072">
            <w:pPr>
              <w:snapToGrid w:val="0"/>
              <w:spacing w:line="29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14:paraId="7A25812E">
            <w:pPr>
              <w:snapToGrid w:val="0"/>
              <w:spacing w:line="29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7.为了保证开评标顺利进行，政采云线上开标功能完全实现，供应商开标所使用的电脑设备须具有视频及语音功能。</w:t>
            </w:r>
          </w:p>
        </w:tc>
      </w:tr>
      <w:tr w14:paraId="6CCF0F5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40" w:hRule="atLeast"/>
          <w:jc w:val="center"/>
        </w:trPr>
        <w:tc>
          <w:tcPr>
            <w:tcW w:w="261" w:type="pct"/>
            <w:vMerge w:val="continue"/>
            <w:vAlign w:val="center"/>
          </w:tcPr>
          <w:p w14:paraId="1B62EDE2">
            <w:pPr>
              <w:snapToGrid w:val="0"/>
              <w:spacing w:line="290" w:lineRule="exact"/>
              <w:rPr>
                <w:rFonts w:ascii="宋体" w:hAnsi="宋体"/>
                <w:b/>
                <w:color w:val="000000" w:themeColor="text1"/>
                <w:szCs w:val="21"/>
                <w:highlight w:val="none"/>
                <w14:textFill>
                  <w14:solidFill>
                    <w14:schemeClr w14:val="tx1"/>
                  </w14:solidFill>
                </w14:textFill>
              </w:rPr>
            </w:pPr>
          </w:p>
        </w:tc>
        <w:tc>
          <w:tcPr>
            <w:tcW w:w="814" w:type="pct"/>
            <w:vMerge w:val="continue"/>
            <w:vAlign w:val="center"/>
          </w:tcPr>
          <w:p w14:paraId="5E5B2DA9">
            <w:pPr>
              <w:snapToGrid w:val="0"/>
              <w:spacing w:line="290" w:lineRule="exact"/>
              <w:rPr>
                <w:rFonts w:ascii="宋体" w:hAnsi="宋体"/>
                <w:b/>
                <w:color w:val="000000" w:themeColor="text1"/>
                <w:szCs w:val="21"/>
                <w:highlight w:val="none"/>
                <w14:textFill>
                  <w14:solidFill>
                    <w14:schemeClr w14:val="tx1"/>
                  </w14:solidFill>
                </w14:textFill>
              </w:rPr>
            </w:pPr>
          </w:p>
        </w:tc>
        <w:tc>
          <w:tcPr>
            <w:tcW w:w="3924" w:type="pct"/>
          </w:tcPr>
          <w:p w14:paraId="0BBF1E30">
            <w:pPr>
              <w:snapToGrid w:val="0"/>
              <w:spacing w:line="290" w:lineRule="exact"/>
              <w:ind w:firstLine="420"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1、电子招投标情况说明：</w:t>
            </w:r>
          </w:p>
          <w:p w14:paraId="5BB7FF67">
            <w:pPr>
              <w:snapToGrid w:val="0"/>
              <w:spacing w:line="29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b/>
                <w:color w:val="000000" w:themeColor="text1"/>
                <w:szCs w:val="21"/>
                <w:highlight w:val="none"/>
                <w14:textFill>
                  <w14:solidFill>
                    <w14:schemeClr w14:val="tx1"/>
                  </w14:solidFill>
                </w14:textFill>
              </w:rPr>
              <w:t>电子招投标</w:t>
            </w:r>
            <w:r>
              <w:rPr>
                <w:rFonts w:hint="eastAsia" w:ascii="宋体" w:hAnsi="宋体" w:cs="宋体"/>
                <w:color w:val="000000" w:themeColor="text1"/>
                <w:szCs w:val="21"/>
                <w:highlight w:val="none"/>
                <w14:textFill>
                  <w14:solidFill>
                    <w14:schemeClr w14:val="tx1"/>
                  </w14:solidFill>
                </w14:textFill>
              </w:rPr>
              <w:t>：本项目以数据电文形式，依托“政府采购云平台（www.zcygov.cn）”进行招投标活动</w:t>
            </w:r>
            <w:r>
              <w:rPr>
                <w:rFonts w:hint="eastAsia" w:ascii="宋体" w:hAnsi="宋体" w:cs="宋体"/>
                <w:b/>
                <w:bCs/>
                <w:color w:val="000000" w:themeColor="text1"/>
                <w:szCs w:val="21"/>
                <w:highlight w:val="none"/>
                <w14:textFill>
                  <w14:solidFill>
                    <w14:schemeClr w14:val="tx1"/>
                  </w14:solidFill>
                </w14:textFill>
              </w:rPr>
              <w:t>。</w:t>
            </w:r>
          </w:p>
          <w:p w14:paraId="4875AEB5">
            <w:pPr>
              <w:snapToGrid w:val="0"/>
              <w:spacing w:line="29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b/>
                <w:color w:val="000000" w:themeColor="text1"/>
                <w:szCs w:val="21"/>
                <w:highlight w:val="none"/>
                <w14:textFill>
                  <w14:solidFill>
                    <w14:schemeClr w14:val="tx1"/>
                  </w14:solidFill>
                </w14:textFill>
              </w:rPr>
              <w:t>投标准备</w:t>
            </w:r>
            <w:r>
              <w:rPr>
                <w:rFonts w:hint="eastAsia" w:ascii="宋体" w:hAnsi="宋体" w:cs="宋体"/>
                <w:color w:val="000000" w:themeColor="text1"/>
                <w:szCs w:val="21"/>
                <w:highlight w:val="none"/>
                <w14:textFill>
                  <w14:solidFill>
                    <w14:schemeClr w14:val="tx1"/>
                  </w14:solidFill>
                </w14:textFill>
              </w:rPr>
              <w:t>：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14:paraId="1A7662A1">
            <w:pPr>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b/>
                <w:color w:val="000000" w:themeColor="text1"/>
                <w:szCs w:val="21"/>
                <w:highlight w:val="none"/>
                <w14:textFill>
                  <w14:solidFill>
                    <w14:schemeClr w14:val="tx1"/>
                  </w14:solidFill>
                </w14:textFill>
              </w:rPr>
              <w:t>采购文件的获取</w:t>
            </w:r>
            <w:r>
              <w:rPr>
                <w:rFonts w:hint="eastAsia" w:ascii="宋体" w:hAnsi="宋体" w:cs="宋体"/>
                <w:color w:val="000000" w:themeColor="text1"/>
                <w:szCs w:val="21"/>
                <w:highlight w:val="none"/>
                <w14:textFill>
                  <w14:solidFill>
                    <w14:schemeClr w14:val="tx1"/>
                  </w14:solidFill>
                </w14:textFill>
              </w:rPr>
              <w:t>：使用账号登录或者</w:t>
            </w:r>
            <w:r>
              <w:rPr>
                <w:rFonts w:hint="eastAsia" w:ascii="宋体" w:hAnsi="宋体" w:cs="宋体"/>
                <w:color w:val="000000" w:themeColor="text1"/>
                <w:szCs w:val="21"/>
                <w:highlight w:val="none"/>
                <w:lang w:bidi="zh-CN"/>
                <w14:textFill>
                  <w14:solidFill>
                    <w14:schemeClr w14:val="tx1"/>
                  </w14:solidFill>
                </w14:textFill>
              </w:rPr>
              <w:t>短信验证码</w:t>
            </w:r>
            <w:r>
              <w:rPr>
                <w:rFonts w:hint="eastAsia" w:ascii="宋体" w:hAnsi="宋体" w:cs="宋体"/>
                <w:color w:val="000000" w:themeColor="text1"/>
                <w:szCs w:val="21"/>
                <w:highlight w:val="none"/>
                <w14:textFill>
                  <w14:solidFill>
                    <w14:schemeClr w14:val="tx1"/>
                  </w14:solidFill>
                </w14:textFill>
              </w:rPr>
              <w:t>或者使用CA登录政采云平台；进入“项目采购”应用，在获取采购文件菜单中选择项目，获取采购文件。</w:t>
            </w:r>
          </w:p>
          <w:p w14:paraId="09496EDD">
            <w:pPr>
              <w:snapToGrid w:val="0"/>
              <w:spacing w:line="29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b/>
                <w:color w:val="000000" w:themeColor="text1"/>
                <w:szCs w:val="21"/>
                <w:highlight w:val="none"/>
                <w14:textFill>
                  <w14:solidFill>
                    <w14:schemeClr w14:val="tx1"/>
                  </w14:solidFill>
                </w14:textFill>
              </w:rPr>
              <w:t>投标文件的制作</w:t>
            </w:r>
            <w:r>
              <w:rPr>
                <w:rFonts w:hint="eastAsia" w:ascii="宋体" w:hAnsi="宋体" w:cs="宋体"/>
                <w:color w:val="000000" w:themeColor="text1"/>
                <w:szCs w:val="21"/>
                <w:highlight w:val="none"/>
                <w14:textFill>
                  <w14:solidFill>
                    <w14:schemeClr w14:val="tx1"/>
                  </w14:solidFill>
                </w14:textFill>
              </w:rPr>
              <w:t>：在“政采云电子交易客户端”中完成“填写基本信息”、“导入投标文件”、“标书关联”、“标书检查”、“电子签名”、“生成电子标书”等操作。</w:t>
            </w:r>
          </w:p>
          <w:p w14:paraId="20B67C6D">
            <w:pPr>
              <w:snapToGrid w:val="0"/>
              <w:spacing w:line="29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hint="eastAsia" w:ascii="宋体" w:hAnsi="宋体" w:cs="宋体"/>
                <w:b/>
                <w:color w:val="000000" w:themeColor="text1"/>
                <w:szCs w:val="21"/>
                <w:highlight w:val="none"/>
                <w14:textFill>
                  <w14:solidFill>
                    <w14:schemeClr w14:val="tx1"/>
                  </w14:solidFill>
                </w14:textFill>
              </w:rPr>
              <w:t>投标文件的传输递交</w:t>
            </w:r>
            <w:r>
              <w:rPr>
                <w:rFonts w:hint="eastAsia" w:ascii="宋体" w:hAnsi="宋体" w:cs="宋体"/>
                <w:color w:val="000000" w:themeColor="text1"/>
                <w:szCs w:val="21"/>
                <w:highlight w:val="none"/>
                <w14:textFill>
                  <w14:solidFill>
                    <w14:schemeClr w14:val="tx1"/>
                  </w14:solidFill>
                </w14:textFill>
              </w:rPr>
              <w:t>：供应商在投标截止时间前将加密的投标文件上传至政府采购云平台，还可以在投标截止时间前以电子邮件方式提供备份投标文件1份（接收人邮箱：</w:t>
            </w:r>
            <w:r>
              <w:rPr>
                <w:rFonts w:hint="eastAsia" w:ascii="宋体" w:hAnsi="宋体" w:cs="宋体"/>
                <w:color w:val="000000" w:themeColor="text1"/>
                <w:szCs w:val="21"/>
                <w:highlight w:val="none"/>
                <w:lang w:eastAsia="zh-CN"/>
                <w14:textFill>
                  <w14:solidFill>
                    <w14:schemeClr w14:val="tx1"/>
                  </w14:solidFill>
                </w14:textFill>
              </w:rPr>
              <w:t>19246091</w:t>
            </w:r>
            <w:r>
              <w:rPr>
                <w:rFonts w:hint="eastAsia" w:ascii="宋体" w:hAnsi="宋体" w:cs="宋体"/>
                <w:color w:val="000000" w:themeColor="text1"/>
                <w:szCs w:val="21"/>
                <w:highlight w:val="none"/>
                <w14:textFill>
                  <w14:solidFill>
                    <w14:schemeClr w14:val="tx1"/>
                  </w14:solidFill>
                </w14:textFill>
              </w:rPr>
              <w:t>@qq.</w:t>
            </w:r>
            <w:r>
              <w:rPr>
                <w:rFonts w:hint="eastAsia" w:ascii="宋体" w:hAnsi="宋体" w:cs="宋体"/>
                <w:color w:val="000000" w:themeColor="text1"/>
                <w:szCs w:val="21"/>
                <w:highlight w:val="none"/>
                <w:lang w:eastAsia="zh-CN"/>
                <w14:textFill>
                  <w14:solidFill>
                    <w14:schemeClr w14:val="tx1"/>
                  </w14:solidFill>
                </w14:textFill>
              </w:rPr>
              <w:t>com</w:t>
            </w:r>
            <w:r>
              <w:rPr>
                <w:rFonts w:hint="eastAsia" w:ascii="宋体" w:hAnsi="宋体" w:cs="宋体"/>
                <w:color w:val="000000" w:themeColor="text1"/>
                <w:szCs w:val="21"/>
                <w:highlight w:val="none"/>
                <w14:textFill>
                  <w14:solidFill>
                    <w14:schemeClr w14:val="tx1"/>
                  </w14:solidFill>
                </w14:textFill>
              </w:rPr>
              <w:t>，接收人：</w:t>
            </w:r>
            <w:r>
              <w:rPr>
                <w:rFonts w:hint="eastAsia" w:ascii="宋体" w:hAnsi="宋体" w:cs="宋体"/>
                <w:color w:val="000000" w:themeColor="text1"/>
                <w:szCs w:val="21"/>
                <w:highlight w:val="none"/>
                <w:lang w:eastAsia="zh-CN"/>
                <w14:textFill>
                  <w14:solidFill>
                    <w14:schemeClr w14:val="tx1"/>
                  </w14:solidFill>
                </w14:textFill>
              </w:rPr>
              <w:t>黄女士</w:t>
            </w:r>
            <w:r>
              <w:rPr>
                <w:rFonts w:hint="eastAsia" w:ascii="宋体" w:hAnsi="宋体" w:cs="宋体"/>
                <w:color w:val="000000" w:themeColor="text1"/>
                <w:szCs w:val="21"/>
                <w:highlight w:val="none"/>
                <w14:textFill>
                  <w14:solidFill>
                    <w14:schemeClr w14:val="tx1"/>
                  </w14:solidFill>
                </w14:textFill>
              </w:rPr>
              <w:t>，电话：</w:t>
            </w:r>
            <w:r>
              <w:rPr>
                <w:rFonts w:hint="eastAsia" w:ascii="宋体" w:hAnsi="宋体" w:cs="宋体"/>
                <w:color w:val="000000" w:themeColor="text1"/>
                <w:szCs w:val="21"/>
                <w:highlight w:val="none"/>
                <w:lang w:eastAsia="zh-CN"/>
                <w14:textFill>
                  <w14:solidFill>
                    <w14:schemeClr w14:val="tx1"/>
                  </w14:solidFill>
                </w14:textFill>
              </w:rPr>
              <w:t>17609081174</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lang w:bidi="zh-CN"/>
                <w14:textFill>
                  <w14:solidFill>
                    <w14:schemeClr w14:val="tx1"/>
                  </w14:solidFill>
                </w14:textFill>
              </w:rPr>
              <w:t>备份投标文件可以打包压缩并加密，压缩包命名为“XX单位备份投标文件”，加密密码由供应商自行保管（“备份投标文件”由供应商自愿提供，采购文件不作强制性要求；如不提供或未按要求提供的，当电子投标文件无法解密时，将导致无备份投标文件而失去投标资格）</w:t>
            </w:r>
            <w:r>
              <w:rPr>
                <w:rFonts w:hint="eastAsia" w:ascii="宋体" w:hAnsi="宋体" w:cs="宋体"/>
                <w:color w:val="000000" w:themeColor="text1"/>
                <w:szCs w:val="21"/>
                <w:highlight w:val="none"/>
                <w14:textFill>
                  <w14:solidFill>
                    <w14:schemeClr w14:val="tx1"/>
                  </w14:solidFill>
                </w14:textFill>
              </w:rPr>
              <w:t>。</w:t>
            </w:r>
          </w:p>
          <w:p w14:paraId="3BAE64F1">
            <w:pPr>
              <w:snapToGrid w:val="0"/>
              <w:spacing w:line="29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r>
              <w:rPr>
                <w:rFonts w:hint="eastAsia" w:ascii="宋体" w:hAnsi="宋体" w:cs="宋体"/>
                <w:b/>
                <w:color w:val="000000" w:themeColor="text1"/>
                <w:szCs w:val="21"/>
                <w:highlight w:val="none"/>
                <w14:textFill>
                  <w14:solidFill>
                    <w14:schemeClr w14:val="tx1"/>
                  </w14:solidFill>
                </w14:textFill>
              </w:rPr>
              <w:t>投标文件的解密</w:t>
            </w:r>
            <w:r>
              <w:rPr>
                <w:rFonts w:hint="eastAsia" w:ascii="宋体" w:hAnsi="宋体" w:cs="宋体"/>
                <w:color w:val="000000" w:themeColor="text1"/>
                <w:szCs w:val="21"/>
                <w:highlight w:val="none"/>
                <w14:textFill>
                  <w14:solidFill>
                    <w14:schemeClr w14:val="tx1"/>
                  </w14:solidFill>
                </w14:textFill>
              </w:rPr>
              <w:t>：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14:paraId="04A26F5D">
            <w:pPr>
              <w:snapToGrid w:val="0"/>
              <w:spacing w:line="29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hint="eastAsia" w:ascii="宋体" w:hAnsi="宋体" w:cs="宋体"/>
                <w:b/>
                <w:color w:val="000000" w:themeColor="text1"/>
                <w:szCs w:val="21"/>
                <w:highlight w:val="none"/>
                <w14:textFill>
                  <w14:solidFill>
                    <w14:schemeClr w14:val="tx1"/>
                  </w14:solidFill>
                </w14:textFill>
              </w:rPr>
              <w:t>具体操作指南</w:t>
            </w:r>
            <w:r>
              <w:rPr>
                <w:rFonts w:hint="eastAsia" w:ascii="宋体" w:hAnsi="宋体" w:cs="宋体"/>
                <w:color w:val="000000" w:themeColor="text1"/>
                <w:szCs w:val="21"/>
                <w:highlight w:val="none"/>
                <w14:textFill>
                  <w14:solidFill>
                    <w14:schemeClr w14:val="tx1"/>
                  </w14:solidFill>
                </w14:textFill>
              </w:rPr>
              <w:t>：详见政采云平台“服务中心-帮助文档-项目采购-操作流程-电子招投标-政府采购项目电子交易管理操作指南-供应商”。</w:t>
            </w:r>
          </w:p>
          <w:p w14:paraId="0E94603D">
            <w:pPr>
              <w:snapToGrid w:val="0"/>
              <w:spacing w:line="29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（8）供应商在进行上述操作时，如遇技术问题可登录政采云（https://</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"http://www.zcygov.cn/" \h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www.zcygov.cn/</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 xml:space="preserve">），点击右侧咨询小采，获取采小蜜智能服务管家帮助，或拨打政采云服务热线 </w:t>
            </w:r>
            <w:r>
              <w:rPr>
                <w:rFonts w:hint="eastAsia" w:ascii="宋体" w:hAnsi="宋体" w:cs="宋体"/>
                <w:color w:val="000000" w:themeColor="text1"/>
                <w:szCs w:val="21"/>
                <w:highlight w:val="none"/>
                <w:lang w:eastAsia="zh-CN"/>
                <w14:textFill>
                  <w14:solidFill>
                    <w14:schemeClr w14:val="tx1"/>
                  </w14:solidFill>
                </w14:textFill>
              </w:rPr>
              <w:t>95763</w:t>
            </w:r>
            <w:r>
              <w:rPr>
                <w:rFonts w:hint="eastAsia" w:ascii="宋体" w:hAnsi="宋体" w:cs="宋体"/>
                <w:color w:val="000000" w:themeColor="text1"/>
                <w:szCs w:val="21"/>
                <w:highlight w:val="none"/>
                <w14:textFill>
                  <w14:solidFill>
                    <w14:schemeClr w14:val="tx1"/>
                  </w14:solidFill>
                </w14:textFill>
              </w:rPr>
              <w:t xml:space="preserve"> 获取热线服务帮助。</w:t>
            </w:r>
          </w:p>
          <w:p w14:paraId="3509298A">
            <w:pPr>
              <w:pStyle w:val="5"/>
              <w:adjustRightInd/>
              <w:snapToGrid w:val="0"/>
              <w:spacing w:line="290" w:lineRule="exact"/>
              <w:ind w:firstLine="420" w:firstLineChars="200"/>
              <w:textAlignment w:val="auto"/>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温馨提醒：供应商应提前上传，以便在上传时遇到技术问题，有充足的时间请教平台的技术人员。</w:t>
            </w:r>
          </w:p>
          <w:p w14:paraId="27E72AC4">
            <w:pPr>
              <w:snapToGrid w:val="0"/>
              <w:spacing w:line="290" w:lineRule="exact"/>
              <w:ind w:firstLine="403" w:firstLineChars="192"/>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w:t>
            </w:r>
            <w:r>
              <w:rPr>
                <w:rFonts w:hint="eastAsia" w:ascii="宋体" w:hAnsi="宋体" w:cs="宋体"/>
                <w:color w:val="000000" w:themeColor="text1"/>
                <w:szCs w:val="21"/>
                <w:highlight w:val="none"/>
                <w14:textFill>
                  <w14:solidFill>
                    <w14:schemeClr w14:val="tx1"/>
                  </w14:solidFill>
                </w14:textFill>
              </w:rPr>
              <w:t>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中国政府采购网下载专区下载。</w:t>
            </w:r>
            <w:r>
              <w:rPr>
                <w:rFonts w:hint="eastAsia" w:ascii="宋体" w:hAnsi="宋体" w:cs="宋体"/>
                <w:bCs/>
                <w:color w:val="000000" w:themeColor="text1"/>
                <w:szCs w:val="21"/>
                <w:highlight w:val="none"/>
                <w14:textFill>
                  <w14:solidFill>
                    <w14:schemeClr w14:val="tx1"/>
                  </w14:solidFill>
                </w14:textFill>
              </w:rPr>
              <w:t>未按规定获取采购文件或逾期提出的不予受理、答复。</w:t>
            </w:r>
          </w:p>
        </w:tc>
      </w:tr>
      <w:tr w14:paraId="209E58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40" w:hRule="atLeast"/>
          <w:jc w:val="center"/>
        </w:trPr>
        <w:tc>
          <w:tcPr>
            <w:tcW w:w="261" w:type="pct"/>
            <w:vAlign w:val="center"/>
          </w:tcPr>
          <w:p w14:paraId="76A9AD63">
            <w:pPr>
              <w:snapToGrid w:val="0"/>
              <w:spacing w:line="290" w:lineRule="exact"/>
              <w:rPr>
                <w:rFonts w:hint="default" w:ascii="宋体" w:hAnsi="宋体" w:eastAsia="宋体"/>
                <w:b/>
                <w:color w:val="000000" w:themeColor="text1"/>
                <w:szCs w:val="21"/>
                <w:highlight w:val="none"/>
                <w:lang w:val="en-US" w:eastAsia="zh-CN"/>
                <w14:textFill>
                  <w14:solidFill>
                    <w14:schemeClr w14:val="tx1"/>
                  </w14:solidFill>
                </w14:textFill>
              </w:rPr>
            </w:pPr>
            <w:bookmarkStart w:id="25" w:name="_Toc30705"/>
            <w:r>
              <w:rPr>
                <w:rFonts w:hint="eastAsia" w:ascii="宋体" w:hAnsi="宋体"/>
                <w:b/>
                <w:color w:val="000000" w:themeColor="text1"/>
                <w:szCs w:val="21"/>
                <w:highlight w:val="none"/>
                <w:lang w:val="en-US" w:eastAsia="zh-CN"/>
                <w14:textFill>
                  <w14:solidFill>
                    <w14:schemeClr w14:val="tx1"/>
                  </w14:solidFill>
                </w14:textFill>
              </w:rPr>
              <w:t>29</w:t>
            </w:r>
          </w:p>
        </w:tc>
        <w:tc>
          <w:tcPr>
            <w:tcW w:w="814" w:type="pct"/>
            <w:vAlign w:val="center"/>
          </w:tcPr>
          <w:p w14:paraId="797EB143">
            <w:pPr>
              <w:snapToGrid w:val="0"/>
              <w:spacing w:line="290" w:lineRule="exact"/>
              <w:ind w:firstLine="403" w:firstLineChars="192"/>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c>
          <w:tcPr>
            <w:tcW w:w="3924" w:type="pct"/>
          </w:tcPr>
          <w:p w14:paraId="5D3DA9AF">
            <w:pPr>
              <w:snapToGrid w:val="0"/>
              <w:spacing w:line="290" w:lineRule="exact"/>
              <w:ind w:firstLine="403" w:firstLineChars="19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着重提醒各投标人注意，并认真查看</w:t>
            </w:r>
            <w:r>
              <w:rPr>
                <w:rFonts w:hint="eastAsia" w:ascii="宋体" w:hAnsi="宋体" w:eastAsia="宋体" w:cs="宋体"/>
                <w:color w:val="000000" w:themeColor="text1"/>
                <w:szCs w:val="21"/>
                <w:highlight w:val="none"/>
                <w:lang w:eastAsia="zh-CN"/>
                <w14:textFill>
                  <w14:solidFill>
                    <w14:schemeClr w14:val="tx1"/>
                  </w14:solidFill>
                </w14:textFill>
              </w:rPr>
              <w:t>磋商文件</w:t>
            </w:r>
            <w:r>
              <w:rPr>
                <w:rFonts w:hint="eastAsia" w:ascii="宋体" w:hAnsi="宋体" w:eastAsia="宋体" w:cs="宋体"/>
                <w:color w:val="000000" w:themeColor="text1"/>
                <w:szCs w:val="21"/>
                <w:highlight w:val="none"/>
                <w14:textFill>
                  <w14:solidFill>
                    <w14:schemeClr w14:val="tx1"/>
                  </w14:solidFill>
                </w14:textFill>
              </w:rPr>
              <w:t>中的每一个条款及要求，因误读</w:t>
            </w:r>
            <w:r>
              <w:rPr>
                <w:rFonts w:hint="eastAsia" w:ascii="宋体" w:hAnsi="宋体" w:eastAsia="宋体" w:cs="宋体"/>
                <w:color w:val="000000" w:themeColor="text1"/>
                <w:szCs w:val="21"/>
                <w:highlight w:val="none"/>
                <w:lang w:eastAsia="zh-CN"/>
                <w14:textFill>
                  <w14:solidFill>
                    <w14:schemeClr w14:val="tx1"/>
                  </w14:solidFill>
                </w14:textFill>
              </w:rPr>
              <w:t>磋商文件</w:t>
            </w:r>
            <w:r>
              <w:rPr>
                <w:rFonts w:hint="eastAsia" w:ascii="宋体" w:hAnsi="宋体" w:eastAsia="宋体" w:cs="宋体"/>
                <w:color w:val="000000" w:themeColor="text1"/>
                <w:szCs w:val="21"/>
                <w:highlight w:val="none"/>
                <w14:textFill>
                  <w14:solidFill>
                    <w14:schemeClr w14:val="tx1"/>
                  </w14:solidFill>
                </w14:textFill>
              </w:rPr>
              <w:t>而造成的后果，招标人概不负责。</w:t>
            </w:r>
          </w:p>
          <w:p w14:paraId="3E470FFE">
            <w:pPr>
              <w:snapToGrid w:val="0"/>
              <w:spacing w:line="290" w:lineRule="exact"/>
              <w:ind w:firstLine="403" w:firstLineChars="192"/>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2、投标人使用相同IP地址的，一经发现，相关部门将进一步核实，查实后按串通投标处理。</w:t>
            </w:r>
          </w:p>
          <w:p w14:paraId="26B7F301">
            <w:pPr>
              <w:snapToGrid w:val="0"/>
              <w:spacing w:line="290" w:lineRule="exact"/>
              <w:ind w:firstLine="403" w:firstLineChars="19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为保证本项目质量，良好的售后服务，最</w:t>
            </w:r>
            <w:r>
              <w:rPr>
                <w:rFonts w:hint="eastAsia" w:ascii="宋体" w:hAnsi="宋体" w:eastAsia="宋体" w:cs="宋体"/>
                <w:color w:val="000000" w:themeColor="text1"/>
                <w:szCs w:val="21"/>
                <w:highlight w:val="none"/>
                <w:lang w:eastAsia="zh-CN"/>
                <w14:textFill>
                  <w14:solidFill>
                    <w14:schemeClr w14:val="tx1"/>
                  </w14:solidFill>
                </w14:textFill>
              </w:rPr>
              <w:t>高</w:t>
            </w:r>
            <w:r>
              <w:rPr>
                <w:rFonts w:hint="eastAsia" w:ascii="宋体" w:hAnsi="宋体" w:eastAsia="宋体" w:cs="宋体"/>
                <w:color w:val="000000" w:themeColor="text1"/>
                <w:szCs w:val="21"/>
                <w:highlight w:val="none"/>
                <w14:textFill>
                  <w14:solidFill>
                    <w14:schemeClr w14:val="tx1"/>
                  </w14:solidFill>
                </w14:textFill>
              </w:rPr>
              <w:t>报价不作为中标的唯一依据。</w:t>
            </w:r>
          </w:p>
          <w:p w14:paraId="26F40FDA">
            <w:pPr>
              <w:snapToGrid w:val="0"/>
              <w:spacing w:line="290" w:lineRule="exact"/>
              <w:ind w:firstLine="403" w:firstLineChars="19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采购人若发现成交候选供应商在投标过程中提供虚假证明文件，故意隐瞒公司不良信誉和财务状况，以及其他可能对合同圆满履行造成风险的因素等，则按规定取消其成交资格，监管部门依法进行处理。</w:t>
            </w:r>
          </w:p>
          <w:p w14:paraId="0E387B51">
            <w:pPr>
              <w:snapToGrid w:val="0"/>
              <w:spacing w:line="290" w:lineRule="exact"/>
              <w:ind w:firstLine="403" w:firstLineChars="19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其它：</w:t>
            </w:r>
          </w:p>
          <w:p w14:paraId="2136D008">
            <w:pPr>
              <w:snapToGrid w:val="0"/>
              <w:spacing w:line="290" w:lineRule="exact"/>
              <w:ind w:firstLine="403" w:firstLineChars="19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（1）投标企业严格遵守国家的法律法规及招标纪律，无违法违纪及商业贿赂行为。</w:t>
            </w:r>
          </w:p>
          <w:p w14:paraId="3A43F462">
            <w:pPr>
              <w:snapToGrid w:val="0"/>
              <w:spacing w:line="290" w:lineRule="exact"/>
              <w:ind w:firstLine="403" w:firstLineChars="19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（2）不管投标结果如何，供应商均应自行承担投标所需一切费用。</w:t>
            </w:r>
          </w:p>
          <w:p w14:paraId="0F3C9289">
            <w:pPr>
              <w:snapToGrid w:val="0"/>
              <w:spacing w:line="290" w:lineRule="exact"/>
              <w:ind w:firstLine="403" w:firstLineChars="19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（3）供应商应以书面形式保证中标后由本公司组织实施，不得以任何理由将项目转包给其他机构。</w:t>
            </w:r>
          </w:p>
          <w:p w14:paraId="71C74266">
            <w:pPr>
              <w:snapToGrid w:val="0"/>
              <w:spacing w:line="290" w:lineRule="exact"/>
              <w:ind w:firstLine="403" w:firstLineChars="192"/>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）磋商响应文件中的报价为一次报价，各投标单位进行二次报价（磋商），采购人也可以根据磋商情况进行多轮报价，投标报价评审以最终报价为准，二次报价不得</w:t>
            </w:r>
            <w:r>
              <w:rPr>
                <w:rFonts w:hint="eastAsia" w:ascii="宋体" w:hAnsi="宋体" w:eastAsia="宋体" w:cs="宋体"/>
                <w:color w:val="000000" w:themeColor="text1"/>
                <w:szCs w:val="21"/>
                <w:highlight w:val="none"/>
                <w:lang w:eastAsia="zh-CN"/>
                <w14:textFill>
                  <w14:solidFill>
                    <w14:schemeClr w14:val="tx1"/>
                  </w14:solidFill>
                </w14:textFill>
              </w:rPr>
              <w:t>低</w:t>
            </w:r>
            <w:r>
              <w:rPr>
                <w:rFonts w:hint="eastAsia" w:ascii="宋体" w:hAnsi="宋体" w:eastAsia="宋体" w:cs="宋体"/>
                <w:color w:val="000000" w:themeColor="text1"/>
                <w:szCs w:val="21"/>
                <w:highlight w:val="none"/>
                <w14:textFill>
                  <w14:solidFill>
                    <w14:schemeClr w14:val="tx1"/>
                  </w14:solidFill>
                </w14:textFill>
              </w:rPr>
              <w:t>于一次报价</w:t>
            </w:r>
            <w:r>
              <w:rPr>
                <w:rFonts w:hint="eastAsia" w:ascii="宋体" w:hAnsi="宋体" w:eastAsia="宋体" w:cs="宋体"/>
                <w:color w:val="000000" w:themeColor="text1"/>
                <w:szCs w:val="21"/>
                <w:highlight w:val="none"/>
                <w:lang w:eastAsia="zh-CN"/>
                <w14:textFill>
                  <w14:solidFill>
                    <w14:schemeClr w14:val="tx1"/>
                  </w14:solidFill>
                </w14:textFill>
              </w:rPr>
              <w:t>，依次类推。</w:t>
            </w:r>
          </w:p>
          <w:p w14:paraId="1E8762FD">
            <w:pPr>
              <w:snapToGrid w:val="0"/>
              <w:spacing w:line="290" w:lineRule="exact"/>
              <w:ind w:firstLine="403" w:firstLineChars="192"/>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本次招标所属行业为其他未列明行业。</w:t>
            </w:r>
          </w:p>
          <w:p w14:paraId="26437C91">
            <w:pPr>
              <w:snapToGrid w:val="0"/>
              <w:spacing w:line="290" w:lineRule="exact"/>
              <w:ind w:firstLine="403" w:firstLineChars="192"/>
              <w:rPr>
                <w:rFonts w:hint="eastAsia"/>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磋商文件中如出现前后不一致情况，均以前附表内容为准。</w:t>
            </w:r>
          </w:p>
        </w:tc>
      </w:tr>
    </w:tbl>
    <w:p w14:paraId="494E78AE">
      <w:pPr>
        <w:pageBreakBefore/>
        <w:spacing w:before="312" w:beforeLines="100" w:after="312" w:afterLines="100" w:line="440" w:lineRule="exact"/>
        <w:jc w:val="center"/>
        <w:outlineLvl w:val="1"/>
        <w:rPr>
          <w:rFonts w:ascii="宋体"/>
          <w:b/>
          <w:sz w:val="28"/>
          <w:szCs w:val="32"/>
          <w:highlight w:val="none"/>
        </w:rPr>
      </w:pPr>
      <w:r>
        <w:rPr>
          <w:rFonts w:hint="eastAsia" w:ascii="宋体"/>
          <w:b/>
          <w:sz w:val="28"/>
          <w:szCs w:val="28"/>
          <w:highlight w:val="none"/>
        </w:rPr>
        <w:t>二、投标人须知</w:t>
      </w:r>
      <w:bookmarkEnd w:id="25"/>
    </w:p>
    <w:p w14:paraId="5FE64A5F">
      <w:pPr>
        <w:spacing w:line="440" w:lineRule="exact"/>
        <w:jc w:val="center"/>
        <w:outlineLvl w:val="2"/>
        <w:rPr>
          <w:rFonts w:ascii="宋体"/>
          <w:sz w:val="28"/>
          <w:szCs w:val="28"/>
          <w:highlight w:val="none"/>
        </w:rPr>
      </w:pPr>
      <w:bookmarkStart w:id="26" w:name="_Toc25428"/>
      <w:bookmarkStart w:id="27" w:name="_Toc469495724"/>
      <w:r>
        <w:rPr>
          <w:rFonts w:hint="eastAsia" w:ascii="宋体"/>
          <w:b/>
          <w:sz w:val="28"/>
          <w:szCs w:val="28"/>
          <w:highlight w:val="none"/>
        </w:rPr>
        <w:t>（一）</w:t>
      </w:r>
      <w:r>
        <w:rPr>
          <w:rFonts w:hint="eastAsia" w:ascii="宋体"/>
          <w:b/>
          <w:sz w:val="28"/>
          <w:szCs w:val="32"/>
          <w:highlight w:val="none"/>
        </w:rPr>
        <w:t>总  则</w:t>
      </w:r>
      <w:bookmarkEnd w:id="26"/>
      <w:bookmarkEnd w:id="27"/>
    </w:p>
    <w:p w14:paraId="5FC954EF">
      <w:pPr>
        <w:snapToGrid w:val="0"/>
        <w:spacing w:line="440" w:lineRule="exact"/>
        <w:ind w:firstLine="420" w:firstLineChars="200"/>
        <w:rPr>
          <w:rFonts w:ascii="宋体"/>
          <w:b/>
          <w:szCs w:val="21"/>
          <w:highlight w:val="none"/>
        </w:rPr>
      </w:pPr>
      <w:r>
        <w:rPr>
          <w:rFonts w:hint="eastAsia" w:ascii="宋体"/>
          <w:b/>
          <w:szCs w:val="21"/>
          <w:highlight w:val="none"/>
        </w:rPr>
        <w:t>1.项目概况</w:t>
      </w:r>
    </w:p>
    <w:p w14:paraId="383E0D14">
      <w:pPr>
        <w:snapToGrid w:val="0"/>
        <w:spacing w:line="440" w:lineRule="exact"/>
        <w:ind w:firstLine="420" w:firstLineChars="200"/>
        <w:rPr>
          <w:rFonts w:ascii="宋体"/>
          <w:szCs w:val="21"/>
          <w:highlight w:val="none"/>
          <w:u w:val="single"/>
        </w:rPr>
      </w:pPr>
      <w:r>
        <w:rPr>
          <w:rFonts w:hint="eastAsia" w:ascii="宋体"/>
          <w:szCs w:val="21"/>
          <w:highlight w:val="none"/>
        </w:rPr>
        <w:t>1.1本次招标采购项目名称：见投标人须知前附表。</w:t>
      </w:r>
    </w:p>
    <w:p w14:paraId="038F0779">
      <w:pPr>
        <w:snapToGrid w:val="0"/>
        <w:spacing w:line="440" w:lineRule="exact"/>
        <w:ind w:firstLine="420" w:firstLineChars="200"/>
        <w:rPr>
          <w:rFonts w:ascii="宋体"/>
          <w:szCs w:val="21"/>
          <w:highlight w:val="none"/>
          <w:u w:val="single"/>
        </w:rPr>
      </w:pPr>
      <w:r>
        <w:rPr>
          <w:rFonts w:hint="eastAsia" w:ascii="宋体"/>
          <w:szCs w:val="21"/>
          <w:highlight w:val="none"/>
        </w:rPr>
        <w:t xml:space="preserve">               项目编号：见投标人须知前附表。</w:t>
      </w:r>
    </w:p>
    <w:p w14:paraId="64244D83">
      <w:pPr>
        <w:snapToGrid w:val="0"/>
        <w:spacing w:line="440" w:lineRule="exact"/>
        <w:ind w:firstLine="420" w:firstLineChars="200"/>
        <w:rPr>
          <w:rFonts w:ascii="宋体"/>
          <w:szCs w:val="21"/>
          <w:highlight w:val="none"/>
          <w:u w:val="single"/>
        </w:rPr>
      </w:pPr>
      <w:r>
        <w:rPr>
          <w:rFonts w:hint="eastAsia" w:ascii="宋体"/>
          <w:szCs w:val="21"/>
          <w:highlight w:val="none"/>
        </w:rPr>
        <w:t xml:space="preserve">                 招标人：见投标人须知前附表。</w:t>
      </w:r>
    </w:p>
    <w:p w14:paraId="35FF4109">
      <w:pPr>
        <w:snapToGrid w:val="0"/>
        <w:spacing w:line="440" w:lineRule="exact"/>
        <w:ind w:firstLine="420" w:firstLineChars="200"/>
        <w:rPr>
          <w:rFonts w:ascii="宋体"/>
          <w:szCs w:val="21"/>
          <w:highlight w:val="none"/>
          <w:u w:val="single"/>
        </w:rPr>
      </w:pPr>
      <w:r>
        <w:rPr>
          <w:rFonts w:hint="eastAsia" w:ascii="宋体"/>
          <w:szCs w:val="21"/>
          <w:highlight w:val="none"/>
        </w:rPr>
        <w:t xml:space="preserve">      供货期（服务周期）：见投标人须知前附表。</w:t>
      </w:r>
    </w:p>
    <w:p w14:paraId="3DAACE7C">
      <w:pPr>
        <w:snapToGrid w:val="0"/>
        <w:spacing w:line="440" w:lineRule="exact"/>
        <w:ind w:firstLine="420" w:firstLineChars="200"/>
        <w:rPr>
          <w:rFonts w:ascii="宋体"/>
          <w:szCs w:val="21"/>
          <w:highlight w:val="none"/>
          <w:u w:val="single"/>
        </w:rPr>
      </w:pPr>
      <w:r>
        <w:rPr>
          <w:rFonts w:hint="eastAsia" w:ascii="宋体"/>
          <w:szCs w:val="21"/>
          <w:highlight w:val="none"/>
        </w:rPr>
        <w:t xml:space="preserve">               供货地点：见投标人须知前附表。</w:t>
      </w:r>
    </w:p>
    <w:p w14:paraId="74DA1B57">
      <w:pPr>
        <w:snapToGrid w:val="0"/>
        <w:spacing w:line="440" w:lineRule="exact"/>
        <w:ind w:firstLine="420" w:firstLineChars="200"/>
        <w:rPr>
          <w:rFonts w:ascii="宋体"/>
          <w:szCs w:val="21"/>
          <w:highlight w:val="none"/>
          <w:u w:val="single"/>
        </w:rPr>
      </w:pPr>
      <w:r>
        <w:rPr>
          <w:rFonts w:hint="eastAsia" w:ascii="宋体"/>
          <w:szCs w:val="21"/>
          <w:highlight w:val="none"/>
        </w:rPr>
        <w:t>1.2招标人及联系人: 见投标人须知前附表。</w:t>
      </w:r>
    </w:p>
    <w:p w14:paraId="696529D3">
      <w:pPr>
        <w:snapToGrid w:val="0"/>
        <w:spacing w:line="440" w:lineRule="exact"/>
        <w:ind w:firstLine="525" w:firstLineChars="250"/>
        <w:rPr>
          <w:rFonts w:ascii="宋体"/>
          <w:szCs w:val="21"/>
          <w:highlight w:val="none"/>
          <w:u w:val="single"/>
        </w:rPr>
      </w:pPr>
      <w:r>
        <w:rPr>
          <w:rFonts w:hint="eastAsia" w:ascii="宋体"/>
          <w:szCs w:val="21"/>
          <w:highlight w:val="none"/>
        </w:rPr>
        <w:t xml:space="preserve"> 代理机构及联系人: 见投标人须知前附表。</w:t>
      </w:r>
    </w:p>
    <w:p w14:paraId="7E743620">
      <w:pPr>
        <w:snapToGrid w:val="0"/>
        <w:spacing w:line="440" w:lineRule="exact"/>
        <w:ind w:firstLine="420" w:firstLineChars="200"/>
        <w:rPr>
          <w:rFonts w:ascii="宋体"/>
          <w:szCs w:val="21"/>
          <w:highlight w:val="none"/>
        </w:rPr>
      </w:pPr>
      <w:r>
        <w:rPr>
          <w:rFonts w:hint="eastAsia" w:ascii="宋体"/>
          <w:szCs w:val="21"/>
          <w:highlight w:val="none"/>
        </w:rPr>
        <w:t>1.3资金来源：见投标人须知前附表。</w:t>
      </w:r>
    </w:p>
    <w:p w14:paraId="6CBDA09D">
      <w:pPr>
        <w:snapToGrid w:val="0"/>
        <w:spacing w:line="440" w:lineRule="exact"/>
        <w:ind w:firstLine="420" w:firstLineChars="200"/>
        <w:rPr>
          <w:rFonts w:ascii="宋体"/>
          <w:szCs w:val="21"/>
          <w:highlight w:val="none"/>
        </w:rPr>
      </w:pPr>
      <w:r>
        <w:rPr>
          <w:rFonts w:hint="eastAsia" w:ascii="宋体"/>
          <w:szCs w:val="21"/>
          <w:highlight w:val="none"/>
        </w:rPr>
        <w:t>1.4本项目预算：见投标人须知前附表。</w:t>
      </w:r>
    </w:p>
    <w:p w14:paraId="1129BA05">
      <w:pPr>
        <w:snapToGrid w:val="0"/>
        <w:spacing w:line="440" w:lineRule="exact"/>
        <w:ind w:firstLine="420" w:firstLineChars="200"/>
        <w:rPr>
          <w:rFonts w:ascii="宋体"/>
          <w:szCs w:val="21"/>
          <w:highlight w:val="none"/>
        </w:rPr>
      </w:pPr>
      <w:r>
        <w:rPr>
          <w:rFonts w:hint="eastAsia" w:ascii="宋体"/>
          <w:szCs w:val="21"/>
          <w:highlight w:val="none"/>
        </w:rPr>
        <w:t>1.5本项目控制价：见投标人须知前附表。</w:t>
      </w:r>
    </w:p>
    <w:p w14:paraId="027E28D9">
      <w:pPr>
        <w:snapToGrid w:val="0"/>
        <w:spacing w:line="440" w:lineRule="exact"/>
        <w:ind w:firstLine="420" w:firstLineChars="200"/>
        <w:rPr>
          <w:rFonts w:ascii="宋体"/>
          <w:b/>
          <w:szCs w:val="21"/>
          <w:highlight w:val="none"/>
        </w:rPr>
      </w:pPr>
      <w:r>
        <w:rPr>
          <w:rFonts w:hint="eastAsia" w:ascii="宋体"/>
          <w:b/>
          <w:szCs w:val="21"/>
          <w:highlight w:val="none"/>
        </w:rPr>
        <w:t>2.招标范围：</w:t>
      </w:r>
    </w:p>
    <w:p w14:paraId="62507F59">
      <w:pPr>
        <w:snapToGrid w:val="0"/>
        <w:spacing w:line="440" w:lineRule="exact"/>
        <w:ind w:firstLine="420" w:firstLineChars="200"/>
        <w:rPr>
          <w:rFonts w:ascii="宋体"/>
          <w:szCs w:val="21"/>
          <w:highlight w:val="none"/>
          <w:u w:val="single"/>
        </w:rPr>
      </w:pPr>
      <w:r>
        <w:rPr>
          <w:rFonts w:hint="eastAsia" w:ascii="宋体"/>
          <w:szCs w:val="21"/>
          <w:highlight w:val="none"/>
        </w:rPr>
        <w:t>2.1 采购内容：见投标人须知前附表。</w:t>
      </w:r>
    </w:p>
    <w:p w14:paraId="37D103AE">
      <w:pPr>
        <w:snapToGrid w:val="0"/>
        <w:spacing w:line="440" w:lineRule="exact"/>
        <w:ind w:firstLine="420" w:firstLineChars="200"/>
        <w:rPr>
          <w:rFonts w:ascii="宋体"/>
          <w:szCs w:val="21"/>
          <w:highlight w:val="none"/>
        </w:rPr>
      </w:pPr>
      <w:r>
        <w:rPr>
          <w:rFonts w:hint="eastAsia" w:ascii="宋体"/>
          <w:szCs w:val="21"/>
          <w:highlight w:val="none"/>
        </w:rPr>
        <w:t>2.2 技术要求：详见采购文件第四章采购内容及技术要求。</w:t>
      </w:r>
    </w:p>
    <w:p w14:paraId="553229A3">
      <w:pPr>
        <w:snapToGrid w:val="0"/>
        <w:spacing w:line="440" w:lineRule="exact"/>
        <w:ind w:firstLine="420" w:firstLineChars="200"/>
        <w:rPr>
          <w:rFonts w:ascii="宋体"/>
          <w:b/>
          <w:szCs w:val="21"/>
          <w:highlight w:val="none"/>
        </w:rPr>
      </w:pPr>
      <w:r>
        <w:rPr>
          <w:rFonts w:hint="eastAsia" w:ascii="宋体"/>
          <w:b/>
          <w:szCs w:val="21"/>
          <w:highlight w:val="none"/>
        </w:rPr>
        <w:t>3.标包划分：</w:t>
      </w:r>
    </w:p>
    <w:p w14:paraId="0F79DDE6">
      <w:pPr>
        <w:snapToGrid w:val="0"/>
        <w:spacing w:line="440" w:lineRule="exact"/>
        <w:ind w:firstLine="420" w:firstLineChars="200"/>
        <w:jc w:val="left"/>
        <w:rPr>
          <w:rFonts w:ascii="宋体"/>
          <w:szCs w:val="21"/>
          <w:highlight w:val="none"/>
        </w:rPr>
      </w:pPr>
      <w:r>
        <w:rPr>
          <w:rFonts w:hint="eastAsia" w:ascii="宋体"/>
          <w:szCs w:val="21"/>
          <w:highlight w:val="none"/>
        </w:rPr>
        <w:t>3.1本项目划分：</w:t>
      </w:r>
      <w:r>
        <w:rPr>
          <w:rFonts w:hint="eastAsia" w:ascii="宋体"/>
          <w:szCs w:val="21"/>
          <w:highlight w:val="none"/>
          <w:u w:val="single"/>
        </w:rPr>
        <w:t xml:space="preserve"> 1 </w:t>
      </w:r>
      <w:r>
        <w:rPr>
          <w:rFonts w:hint="eastAsia" w:ascii="宋体"/>
          <w:szCs w:val="21"/>
          <w:highlight w:val="none"/>
        </w:rPr>
        <w:t xml:space="preserve"> </w:t>
      </w:r>
      <w:r>
        <w:rPr>
          <w:rFonts w:hint="eastAsia"/>
          <w:szCs w:val="21"/>
          <w:highlight w:val="none"/>
        </w:rPr>
        <w:t>个标包</w:t>
      </w:r>
      <w:r>
        <w:rPr>
          <w:rFonts w:hint="eastAsia" w:ascii="宋体" w:hAnsi="宋体" w:cs="宋体"/>
          <w:kern w:val="0"/>
          <w:szCs w:val="21"/>
          <w:highlight w:val="none"/>
        </w:rPr>
        <w:t>。</w:t>
      </w:r>
    </w:p>
    <w:p w14:paraId="1BAD4300">
      <w:pPr>
        <w:snapToGrid w:val="0"/>
        <w:spacing w:line="440" w:lineRule="exact"/>
        <w:ind w:firstLine="420" w:firstLineChars="200"/>
        <w:rPr>
          <w:rFonts w:ascii="宋体"/>
          <w:b/>
          <w:szCs w:val="21"/>
          <w:highlight w:val="none"/>
        </w:rPr>
      </w:pPr>
      <w:r>
        <w:rPr>
          <w:rFonts w:hint="eastAsia" w:ascii="宋体"/>
          <w:b/>
          <w:szCs w:val="21"/>
          <w:highlight w:val="none"/>
        </w:rPr>
        <w:t>4.招标方式：</w:t>
      </w:r>
    </w:p>
    <w:p w14:paraId="52F8CB4E">
      <w:pPr>
        <w:snapToGrid w:val="0"/>
        <w:spacing w:line="440" w:lineRule="exact"/>
        <w:ind w:firstLine="420" w:firstLineChars="200"/>
        <w:rPr>
          <w:rFonts w:ascii="宋体"/>
          <w:szCs w:val="21"/>
          <w:highlight w:val="none"/>
        </w:rPr>
      </w:pPr>
      <w:r>
        <w:rPr>
          <w:rFonts w:hint="eastAsia" w:ascii="宋体"/>
          <w:szCs w:val="21"/>
          <w:highlight w:val="none"/>
        </w:rPr>
        <w:t>4.1本项目招标方式：见投标人须知前附表。</w:t>
      </w:r>
    </w:p>
    <w:p w14:paraId="2B5EB836">
      <w:pPr>
        <w:snapToGrid w:val="0"/>
        <w:spacing w:line="440" w:lineRule="exact"/>
        <w:ind w:firstLine="420" w:firstLineChars="200"/>
        <w:rPr>
          <w:rFonts w:ascii="宋体"/>
          <w:b/>
          <w:szCs w:val="21"/>
          <w:highlight w:val="none"/>
        </w:rPr>
      </w:pPr>
      <w:r>
        <w:rPr>
          <w:rFonts w:hint="eastAsia" w:ascii="宋体"/>
          <w:b/>
          <w:szCs w:val="21"/>
          <w:highlight w:val="none"/>
        </w:rPr>
        <w:t>5.计价方式：</w:t>
      </w:r>
    </w:p>
    <w:p w14:paraId="1EAB5988">
      <w:pPr>
        <w:snapToGrid w:val="0"/>
        <w:spacing w:line="440" w:lineRule="exact"/>
        <w:ind w:firstLine="420" w:firstLineChars="200"/>
        <w:rPr>
          <w:rFonts w:ascii="宋体"/>
          <w:szCs w:val="21"/>
          <w:highlight w:val="none"/>
        </w:rPr>
      </w:pPr>
      <w:r>
        <w:rPr>
          <w:rFonts w:hint="eastAsia" w:ascii="宋体"/>
          <w:szCs w:val="21"/>
          <w:highlight w:val="none"/>
        </w:rPr>
        <w:t>5.1本次招标项目合同采用</w:t>
      </w:r>
      <w:r>
        <w:rPr>
          <w:rFonts w:hint="eastAsia" w:ascii="宋体"/>
          <w:szCs w:val="21"/>
          <w:highlight w:val="none"/>
          <w:u w:val="single"/>
        </w:rPr>
        <w:t xml:space="preserve">   固定</w:t>
      </w:r>
      <w:r>
        <w:rPr>
          <w:rFonts w:hint="eastAsia" w:ascii="宋体"/>
          <w:szCs w:val="21"/>
          <w:highlight w:val="none"/>
          <w:u w:val="single"/>
          <w:lang w:eastAsia="zh-CN"/>
        </w:rPr>
        <w:t>总价</w:t>
      </w:r>
      <w:r>
        <w:rPr>
          <w:rFonts w:hint="eastAsia" w:ascii="宋体"/>
          <w:szCs w:val="21"/>
          <w:highlight w:val="none"/>
          <w:u w:val="single"/>
        </w:rPr>
        <w:t xml:space="preserve"> 。</w:t>
      </w:r>
    </w:p>
    <w:p w14:paraId="615F6563">
      <w:pPr>
        <w:snapToGrid w:val="0"/>
        <w:spacing w:line="440" w:lineRule="exact"/>
        <w:ind w:firstLine="420" w:firstLineChars="200"/>
        <w:rPr>
          <w:rFonts w:ascii="宋体"/>
          <w:b/>
          <w:szCs w:val="21"/>
          <w:highlight w:val="none"/>
        </w:rPr>
      </w:pPr>
      <w:r>
        <w:rPr>
          <w:rFonts w:hint="eastAsia" w:ascii="宋体"/>
          <w:b/>
          <w:szCs w:val="21"/>
          <w:highlight w:val="none"/>
        </w:rPr>
        <w:t>6.评标办法：</w:t>
      </w:r>
    </w:p>
    <w:p w14:paraId="6FAF0918">
      <w:pPr>
        <w:snapToGrid w:val="0"/>
        <w:spacing w:line="440" w:lineRule="exact"/>
        <w:ind w:firstLine="420" w:firstLineChars="200"/>
        <w:rPr>
          <w:rFonts w:ascii="宋体"/>
          <w:szCs w:val="21"/>
          <w:highlight w:val="none"/>
        </w:rPr>
      </w:pPr>
      <w:r>
        <w:rPr>
          <w:rFonts w:hint="eastAsia" w:ascii="宋体"/>
          <w:szCs w:val="21"/>
          <w:highlight w:val="none"/>
        </w:rPr>
        <w:t>6.1本次招标评标采用</w:t>
      </w:r>
      <w:r>
        <w:rPr>
          <w:rFonts w:hint="eastAsia" w:ascii="宋体"/>
          <w:szCs w:val="21"/>
          <w:highlight w:val="none"/>
          <w:u w:val="single"/>
        </w:rPr>
        <w:t xml:space="preserve">  符合磋商文件的综合评分法 </w:t>
      </w:r>
      <w:r>
        <w:rPr>
          <w:rFonts w:hint="eastAsia" w:ascii="宋体"/>
          <w:szCs w:val="21"/>
          <w:highlight w:val="none"/>
        </w:rPr>
        <w:t>（详见第三章评标办法）</w:t>
      </w:r>
    </w:p>
    <w:p w14:paraId="75BBA571">
      <w:pPr>
        <w:snapToGrid w:val="0"/>
        <w:spacing w:line="440" w:lineRule="exact"/>
        <w:ind w:firstLine="420" w:firstLineChars="200"/>
        <w:rPr>
          <w:rFonts w:ascii="宋体"/>
          <w:b/>
          <w:szCs w:val="21"/>
          <w:highlight w:val="none"/>
        </w:rPr>
      </w:pPr>
      <w:r>
        <w:rPr>
          <w:rFonts w:hint="eastAsia" w:ascii="宋体"/>
          <w:b/>
          <w:szCs w:val="21"/>
          <w:highlight w:val="none"/>
        </w:rPr>
        <w:t>7.投标人资格：</w:t>
      </w:r>
    </w:p>
    <w:p w14:paraId="7B865B98">
      <w:pPr>
        <w:snapToGrid w:val="0"/>
        <w:spacing w:line="440" w:lineRule="exact"/>
        <w:ind w:firstLine="420" w:firstLineChars="200"/>
        <w:rPr>
          <w:rFonts w:ascii="宋体"/>
          <w:szCs w:val="21"/>
          <w:highlight w:val="none"/>
        </w:rPr>
      </w:pPr>
      <w:r>
        <w:rPr>
          <w:rFonts w:hint="eastAsia" w:ascii="宋体"/>
          <w:szCs w:val="21"/>
          <w:highlight w:val="none"/>
        </w:rPr>
        <w:t>7.1参与采购活动的投标人必须是满足《中华人民共和国政府采购法》规定条件的法人、其他组织或者自然人：</w:t>
      </w:r>
    </w:p>
    <w:p w14:paraId="44E8DE1F">
      <w:pPr>
        <w:snapToGrid w:val="0"/>
        <w:spacing w:line="440" w:lineRule="exact"/>
        <w:ind w:firstLine="420" w:firstLineChars="200"/>
        <w:rPr>
          <w:rFonts w:ascii="宋体"/>
          <w:szCs w:val="21"/>
          <w:highlight w:val="none"/>
        </w:rPr>
      </w:pPr>
      <w:r>
        <w:rPr>
          <w:rFonts w:hint="eastAsia" w:ascii="宋体"/>
          <w:szCs w:val="21"/>
          <w:highlight w:val="none"/>
        </w:rPr>
        <w:t>7.2由于政府采购项目的差异性，投标人在参与具体政府采购项目活动时，应仔细阅读该项目的资质要求,具体见投标人须知前附表。</w:t>
      </w:r>
    </w:p>
    <w:p w14:paraId="70558735">
      <w:pPr>
        <w:snapToGrid w:val="0"/>
        <w:spacing w:line="440" w:lineRule="exact"/>
        <w:ind w:firstLine="420" w:firstLineChars="200"/>
        <w:rPr>
          <w:rFonts w:ascii="宋体"/>
          <w:szCs w:val="21"/>
          <w:highlight w:val="none"/>
        </w:rPr>
      </w:pPr>
      <w:r>
        <w:rPr>
          <w:rFonts w:hint="eastAsia" w:ascii="宋体"/>
          <w:szCs w:val="21"/>
          <w:highlight w:val="none"/>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14:paraId="729F7609">
      <w:pPr>
        <w:snapToGrid w:val="0"/>
        <w:spacing w:line="440" w:lineRule="exact"/>
        <w:ind w:firstLine="420" w:firstLineChars="200"/>
        <w:rPr>
          <w:rFonts w:ascii="宋体"/>
          <w:szCs w:val="21"/>
          <w:highlight w:val="none"/>
        </w:rPr>
      </w:pPr>
      <w:r>
        <w:rPr>
          <w:rFonts w:hint="eastAsia" w:ascii="宋体"/>
          <w:szCs w:val="21"/>
          <w:highlight w:val="none"/>
        </w:rPr>
        <w:t>7.4投标人必须确保自己在信息库中注册的信息真实、准确，并保证投标文件中的有关信息与库中的信息相一致。否则，投标人因此蒙受损失，招标人概不负责。</w:t>
      </w:r>
    </w:p>
    <w:p w14:paraId="14F66342">
      <w:pPr>
        <w:spacing w:line="440" w:lineRule="exact"/>
        <w:ind w:firstLine="420" w:firstLineChars="200"/>
        <w:rPr>
          <w:b/>
          <w:szCs w:val="21"/>
          <w:highlight w:val="none"/>
        </w:rPr>
      </w:pPr>
      <w:r>
        <w:rPr>
          <w:rFonts w:hint="eastAsia"/>
          <w:b/>
          <w:szCs w:val="21"/>
          <w:highlight w:val="none"/>
        </w:rPr>
        <w:t>8. 投标费用</w:t>
      </w:r>
    </w:p>
    <w:p w14:paraId="6D32EB3A">
      <w:pPr>
        <w:snapToGrid w:val="0"/>
        <w:spacing w:line="440" w:lineRule="exact"/>
        <w:ind w:firstLine="420" w:firstLineChars="200"/>
        <w:rPr>
          <w:rFonts w:ascii="宋体"/>
          <w:szCs w:val="21"/>
          <w:highlight w:val="none"/>
        </w:rPr>
      </w:pPr>
      <w:r>
        <w:rPr>
          <w:rFonts w:hint="eastAsia" w:ascii="宋体"/>
          <w:szCs w:val="21"/>
          <w:highlight w:val="none"/>
        </w:rPr>
        <w:t>8.1投标人准备和参加投标活动发生的费用自理。</w:t>
      </w:r>
    </w:p>
    <w:p w14:paraId="11D6F854">
      <w:pPr>
        <w:spacing w:line="440" w:lineRule="exact"/>
        <w:ind w:firstLine="420" w:firstLineChars="200"/>
        <w:rPr>
          <w:b/>
          <w:szCs w:val="21"/>
          <w:highlight w:val="none"/>
        </w:rPr>
      </w:pPr>
      <w:r>
        <w:rPr>
          <w:rFonts w:hint="eastAsia"/>
          <w:b/>
          <w:szCs w:val="21"/>
          <w:highlight w:val="none"/>
        </w:rPr>
        <w:t>9.</w:t>
      </w:r>
      <w:bookmarkStart w:id="28" w:name="_Toc247513962"/>
      <w:bookmarkStart w:id="29" w:name="_Toc144974507"/>
      <w:bookmarkStart w:id="30" w:name="_Toc152042315"/>
      <w:bookmarkStart w:id="31" w:name="_Toc296602429"/>
      <w:bookmarkStart w:id="32" w:name="_Toc247592876"/>
      <w:bookmarkStart w:id="33" w:name="_Toc152045539"/>
      <w:bookmarkStart w:id="34" w:name="_Toc247527563"/>
      <w:r>
        <w:rPr>
          <w:rFonts w:hint="eastAsia"/>
          <w:b/>
          <w:szCs w:val="21"/>
          <w:highlight w:val="none"/>
        </w:rPr>
        <w:t xml:space="preserve"> 踏勘现场</w:t>
      </w:r>
      <w:bookmarkEnd w:id="28"/>
      <w:bookmarkEnd w:id="29"/>
      <w:bookmarkEnd w:id="30"/>
      <w:bookmarkEnd w:id="31"/>
      <w:bookmarkEnd w:id="32"/>
      <w:bookmarkEnd w:id="33"/>
      <w:bookmarkEnd w:id="34"/>
    </w:p>
    <w:p w14:paraId="3FC6D61A">
      <w:pPr>
        <w:spacing w:line="440" w:lineRule="exact"/>
        <w:ind w:firstLine="409" w:firstLineChars="195"/>
        <w:rPr>
          <w:rFonts w:hint="eastAsia"/>
          <w:highlight w:val="none"/>
        </w:rPr>
      </w:pPr>
      <w:r>
        <w:rPr>
          <w:rFonts w:hint="eastAsia" w:ascii="宋体"/>
          <w:szCs w:val="21"/>
          <w:highlight w:val="none"/>
        </w:rPr>
        <w:t>9.1 投标人须知前附表规定组织踏勘现场的，招标人按投标人须知前附表规定的时间、地点组织投标人踏勘项目现场。如需踏勘现场，</w:t>
      </w:r>
      <w:r>
        <w:rPr>
          <w:rFonts w:hint="eastAsia"/>
          <w:highlight w:val="none"/>
        </w:rPr>
        <w:t>投标人自行踏勘现场的，可咨询本项目采购人或采购代理机构联系人。</w:t>
      </w:r>
    </w:p>
    <w:p w14:paraId="14148F48">
      <w:pPr>
        <w:spacing w:line="440" w:lineRule="exact"/>
        <w:ind w:firstLine="409" w:firstLineChars="195"/>
        <w:rPr>
          <w:rFonts w:ascii="宋体"/>
          <w:szCs w:val="21"/>
          <w:highlight w:val="none"/>
        </w:rPr>
      </w:pPr>
      <w:r>
        <w:rPr>
          <w:rFonts w:hint="eastAsia" w:ascii="宋体"/>
          <w:szCs w:val="21"/>
          <w:highlight w:val="none"/>
        </w:rPr>
        <w:t>9.2 投标人踏勘现场发生的费用自理。</w:t>
      </w:r>
    </w:p>
    <w:p w14:paraId="14C2E95B">
      <w:pPr>
        <w:spacing w:line="440" w:lineRule="exact"/>
        <w:ind w:firstLine="409" w:firstLineChars="195"/>
        <w:rPr>
          <w:rFonts w:ascii="宋体"/>
          <w:szCs w:val="21"/>
          <w:highlight w:val="none"/>
        </w:rPr>
      </w:pPr>
      <w:r>
        <w:rPr>
          <w:rFonts w:hint="eastAsia" w:ascii="宋体"/>
          <w:szCs w:val="21"/>
          <w:highlight w:val="none"/>
        </w:rPr>
        <w:t>9.3 除招标人的原因外，投标人自行负责在踏勘现场中所发生的人员伤亡和财产损失。</w:t>
      </w:r>
    </w:p>
    <w:p w14:paraId="4CC0B1A3">
      <w:pPr>
        <w:spacing w:line="440" w:lineRule="exact"/>
        <w:ind w:firstLine="409" w:firstLineChars="195"/>
        <w:rPr>
          <w:rFonts w:ascii="宋体"/>
          <w:szCs w:val="21"/>
          <w:highlight w:val="none"/>
        </w:rPr>
      </w:pPr>
      <w:r>
        <w:rPr>
          <w:rFonts w:hint="eastAsia" w:ascii="宋体"/>
          <w:szCs w:val="21"/>
          <w:highlight w:val="none"/>
        </w:rPr>
        <w:t>9.4 招标人在踏勘现场中介绍的场地和相关的周边环境情况，供投标人在编制投标文件时参考，招标人不对投标人据此作出的判断和决策负责。</w:t>
      </w:r>
      <w:bookmarkStart w:id="35" w:name="_Toc247513963"/>
      <w:bookmarkStart w:id="36" w:name="_Toc247527564"/>
      <w:bookmarkStart w:id="37" w:name="_Toc152045540"/>
      <w:bookmarkStart w:id="38" w:name="_Toc144974508"/>
      <w:bookmarkStart w:id="39" w:name="_Toc152042316"/>
      <w:bookmarkStart w:id="40" w:name="_Toc247592877"/>
      <w:bookmarkStart w:id="41" w:name="_Toc296602430"/>
    </w:p>
    <w:p w14:paraId="12E473B9">
      <w:pPr>
        <w:spacing w:line="440" w:lineRule="exact"/>
        <w:ind w:firstLine="420" w:firstLineChars="200"/>
        <w:rPr>
          <w:b/>
          <w:szCs w:val="21"/>
          <w:highlight w:val="none"/>
        </w:rPr>
      </w:pPr>
      <w:r>
        <w:rPr>
          <w:rFonts w:hint="eastAsia"/>
          <w:b/>
          <w:szCs w:val="21"/>
          <w:highlight w:val="none"/>
        </w:rPr>
        <w:t>10. 投标预备会</w:t>
      </w:r>
      <w:bookmarkEnd w:id="35"/>
      <w:bookmarkEnd w:id="36"/>
      <w:bookmarkEnd w:id="37"/>
      <w:bookmarkEnd w:id="38"/>
      <w:bookmarkEnd w:id="39"/>
      <w:bookmarkEnd w:id="40"/>
      <w:bookmarkEnd w:id="41"/>
    </w:p>
    <w:p w14:paraId="6C16F715">
      <w:pPr>
        <w:spacing w:line="440" w:lineRule="exact"/>
        <w:ind w:firstLine="409" w:firstLineChars="195"/>
        <w:rPr>
          <w:rFonts w:ascii="宋体"/>
          <w:szCs w:val="21"/>
          <w:highlight w:val="none"/>
        </w:rPr>
      </w:pPr>
      <w:r>
        <w:rPr>
          <w:rFonts w:hint="eastAsia" w:ascii="宋体"/>
          <w:szCs w:val="21"/>
          <w:highlight w:val="none"/>
        </w:rPr>
        <w:t>10.1投标人须知前附表规定召开投标预备会的，招标人按投标人须知前附表规定的时间和地点召开投标预备会，澄清投标人提出的问题。</w:t>
      </w:r>
    </w:p>
    <w:p w14:paraId="0C8B4217">
      <w:pPr>
        <w:spacing w:line="440" w:lineRule="exact"/>
        <w:ind w:firstLine="409" w:firstLineChars="195"/>
        <w:rPr>
          <w:rFonts w:ascii="宋体"/>
          <w:szCs w:val="21"/>
          <w:highlight w:val="none"/>
        </w:rPr>
      </w:pPr>
      <w:r>
        <w:rPr>
          <w:rFonts w:hint="eastAsia" w:ascii="宋体"/>
          <w:szCs w:val="21"/>
          <w:highlight w:val="none"/>
        </w:rPr>
        <w:t>10.2投标人应在投标人须知前附表规定的时间前，将提出的问题送达招标人，以便招标人澄清。</w:t>
      </w:r>
    </w:p>
    <w:p w14:paraId="2504A590">
      <w:pPr>
        <w:spacing w:line="440" w:lineRule="exact"/>
        <w:ind w:firstLine="409" w:firstLineChars="195"/>
        <w:rPr>
          <w:rFonts w:ascii="宋体"/>
          <w:szCs w:val="21"/>
          <w:highlight w:val="none"/>
        </w:rPr>
      </w:pPr>
      <w:r>
        <w:rPr>
          <w:rFonts w:hint="eastAsia" w:ascii="宋体"/>
          <w:szCs w:val="21"/>
          <w:highlight w:val="none"/>
        </w:rPr>
        <w:t>10.3招标人在投标人须知前附表规定的时间，将对投标人所提的问题进行澄清。该澄清内容为采购文件的组成部分。</w:t>
      </w:r>
    </w:p>
    <w:p w14:paraId="0269D22B">
      <w:pPr>
        <w:spacing w:line="440" w:lineRule="exact"/>
        <w:ind w:firstLine="420" w:firstLineChars="200"/>
        <w:rPr>
          <w:rFonts w:hint="eastAsia" w:eastAsia="宋体"/>
          <w:b/>
          <w:szCs w:val="21"/>
          <w:highlight w:val="none"/>
          <w:lang w:eastAsia="zh-CN"/>
        </w:rPr>
      </w:pPr>
      <w:r>
        <w:rPr>
          <w:rFonts w:hint="eastAsia"/>
          <w:b/>
          <w:szCs w:val="21"/>
          <w:highlight w:val="none"/>
        </w:rPr>
        <w:t>11. 联合投标</w:t>
      </w:r>
      <w:r>
        <w:rPr>
          <w:rFonts w:hint="eastAsia"/>
          <w:b/>
          <w:szCs w:val="21"/>
          <w:highlight w:val="none"/>
          <w:lang w:eastAsia="zh-CN"/>
        </w:rPr>
        <w:t>（本项目不接受</w:t>
      </w:r>
      <w:r>
        <w:rPr>
          <w:rFonts w:hint="eastAsia"/>
          <w:b/>
          <w:szCs w:val="21"/>
          <w:highlight w:val="none"/>
          <w:lang w:val="en-US" w:eastAsia="zh-CN"/>
        </w:rPr>
        <w:t>联合体</w:t>
      </w:r>
      <w:r>
        <w:rPr>
          <w:rFonts w:hint="eastAsia"/>
          <w:b/>
          <w:szCs w:val="21"/>
          <w:highlight w:val="none"/>
          <w:lang w:eastAsia="zh-CN"/>
        </w:rPr>
        <w:t>）</w:t>
      </w:r>
    </w:p>
    <w:p w14:paraId="6D2818C4">
      <w:pPr>
        <w:spacing w:line="440" w:lineRule="exact"/>
        <w:ind w:firstLine="409" w:firstLineChars="195"/>
        <w:rPr>
          <w:rFonts w:ascii="宋体"/>
          <w:szCs w:val="21"/>
          <w:highlight w:val="none"/>
        </w:rPr>
      </w:pPr>
      <w:r>
        <w:rPr>
          <w:rFonts w:hint="eastAsia" w:ascii="宋体"/>
          <w:szCs w:val="21"/>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14:paraId="68791A28">
      <w:pPr>
        <w:spacing w:line="400" w:lineRule="exact"/>
        <w:ind w:firstLine="409" w:firstLineChars="195"/>
        <w:rPr>
          <w:rFonts w:ascii="宋体"/>
          <w:szCs w:val="21"/>
          <w:highlight w:val="none"/>
        </w:rPr>
      </w:pPr>
      <w:r>
        <w:rPr>
          <w:rFonts w:hint="eastAsia" w:ascii="宋体"/>
          <w:szCs w:val="21"/>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14:paraId="704D762B">
      <w:pPr>
        <w:spacing w:line="400" w:lineRule="exact"/>
        <w:ind w:firstLine="411" w:firstLineChars="196"/>
        <w:rPr>
          <w:rFonts w:ascii="宋体"/>
          <w:szCs w:val="21"/>
          <w:highlight w:val="none"/>
        </w:rPr>
      </w:pPr>
      <w:r>
        <w:rPr>
          <w:rFonts w:hint="eastAsia" w:ascii="宋体"/>
          <w:szCs w:val="21"/>
          <w:highlight w:val="none"/>
        </w:rPr>
        <w:t>11</w:t>
      </w:r>
      <w:r>
        <w:rPr>
          <w:rFonts w:ascii="宋体"/>
          <w:szCs w:val="21"/>
          <w:highlight w:val="none"/>
        </w:rPr>
        <w:t>.</w:t>
      </w:r>
      <w:r>
        <w:rPr>
          <w:rFonts w:hint="eastAsia" w:ascii="宋体"/>
          <w:szCs w:val="21"/>
          <w:highlight w:val="none"/>
        </w:rPr>
        <w:t>3 联合体应当确定其中一个单位为投标的全权代表，负责参加投标的一切事务，并承担投标及履约中应承担的全部责任与义务。</w:t>
      </w:r>
    </w:p>
    <w:p w14:paraId="3F7C6BBF">
      <w:pPr>
        <w:pStyle w:val="10"/>
        <w:spacing w:after="0" w:line="400" w:lineRule="exact"/>
        <w:ind w:left="0" w:leftChars="0" w:firstLine="424" w:firstLineChars="202"/>
        <w:rPr>
          <w:rFonts w:ascii="宋体"/>
          <w:szCs w:val="21"/>
          <w:highlight w:val="none"/>
        </w:rPr>
      </w:pPr>
      <w:r>
        <w:rPr>
          <w:rFonts w:hint="eastAsia" w:ascii="宋体"/>
          <w:szCs w:val="21"/>
          <w:highlight w:val="none"/>
        </w:rPr>
        <w:t>11</w:t>
      </w:r>
      <w:r>
        <w:rPr>
          <w:rFonts w:ascii="宋体"/>
          <w:szCs w:val="21"/>
          <w:highlight w:val="none"/>
        </w:rPr>
        <w:t>.</w:t>
      </w:r>
      <w:r>
        <w:rPr>
          <w:rFonts w:hint="eastAsia" w:ascii="宋体"/>
          <w:szCs w:val="21"/>
          <w:highlight w:val="none"/>
        </w:rPr>
        <w:t>4 联合体各方应当共同与招标人签订采购合同，就采购合同约定的事项对招标人承担连带责任。</w:t>
      </w:r>
    </w:p>
    <w:p w14:paraId="58EE7804">
      <w:pPr>
        <w:spacing w:line="440" w:lineRule="exact"/>
        <w:ind w:firstLine="411" w:firstLineChars="196"/>
        <w:jc w:val="left"/>
        <w:rPr>
          <w:rFonts w:ascii="宋体"/>
          <w:b/>
          <w:szCs w:val="21"/>
          <w:highlight w:val="none"/>
        </w:rPr>
      </w:pPr>
      <w:r>
        <w:rPr>
          <w:rFonts w:hint="eastAsia" w:ascii="宋体"/>
          <w:b/>
          <w:szCs w:val="21"/>
          <w:highlight w:val="none"/>
        </w:rPr>
        <w:t>12.招标代理费</w:t>
      </w:r>
    </w:p>
    <w:p w14:paraId="18AA1451">
      <w:pPr>
        <w:spacing w:line="440" w:lineRule="exact"/>
        <w:ind w:left="210" w:leftChars="100" w:firstLine="315" w:firstLineChars="150"/>
        <w:jc w:val="left"/>
        <w:rPr>
          <w:rFonts w:ascii="宋体"/>
          <w:bCs/>
          <w:szCs w:val="21"/>
          <w:highlight w:val="none"/>
        </w:rPr>
      </w:pPr>
      <w:r>
        <w:rPr>
          <w:rFonts w:hint="eastAsia" w:ascii="宋体"/>
          <w:bCs/>
          <w:szCs w:val="21"/>
          <w:highlight w:val="none"/>
        </w:rPr>
        <w:t>12.1</w:t>
      </w:r>
      <w:r>
        <w:rPr>
          <w:rFonts w:hint="eastAsia" w:ascii="宋体"/>
          <w:szCs w:val="21"/>
          <w:highlight w:val="none"/>
        </w:rPr>
        <w:t>中标单位在领取本项目中标通知书时，按照规定由中标单位向招标代理机构支付本项目代理费。</w:t>
      </w:r>
    </w:p>
    <w:p w14:paraId="6F3A5F16">
      <w:pPr>
        <w:spacing w:line="440" w:lineRule="exact"/>
        <w:ind w:firstLine="420" w:firstLineChars="200"/>
        <w:rPr>
          <w:b/>
          <w:szCs w:val="21"/>
          <w:highlight w:val="none"/>
        </w:rPr>
      </w:pPr>
      <w:r>
        <w:rPr>
          <w:rFonts w:hint="eastAsia"/>
          <w:b/>
          <w:szCs w:val="21"/>
          <w:highlight w:val="none"/>
        </w:rPr>
        <w:t>13.投标人应注意的事项</w:t>
      </w:r>
    </w:p>
    <w:p w14:paraId="69670478">
      <w:pPr>
        <w:spacing w:line="440" w:lineRule="exact"/>
        <w:ind w:firstLine="420" w:firstLineChars="200"/>
        <w:rPr>
          <w:rFonts w:ascii="宋体"/>
          <w:bCs/>
          <w:szCs w:val="21"/>
          <w:highlight w:val="none"/>
        </w:rPr>
      </w:pPr>
      <w:r>
        <w:rPr>
          <w:rFonts w:hint="eastAsia" w:ascii="宋体" w:hAnsi="宋体"/>
          <w:szCs w:val="21"/>
          <w:highlight w:val="none"/>
        </w:rPr>
        <w:t>13.1投标人一旦按规定缴纳了投标保证金并参加投标，即被认为接受了本采购文件中的所有条件和规定。投标人必须严格按采购文件的要求编制投标文件，投标文件宜编制页码和目录，以便评委审核。否则，由此产生的一切后果由投标人承担。</w:t>
      </w:r>
    </w:p>
    <w:p w14:paraId="59D4DD25">
      <w:pPr>
        <w:spacing w:line="440" w:lineRule="exact"/>
        <w:ind w:firstLine="420" w:firstLineChars="200"/>
        <w:rPr>
          <w:rFonts w:ascii="宋体"/>
          <w:bCs/>
          <w:szCs w:val="21"/>
          <w:highlight w:val="none"/>
        </w:rPr>
      </w:pPr>
      <w:r>
        <w:rPr>
          <w:rFonts w:hint="eastAsia" w:ascii="宋体"/>
          <w:bCs/>
          <w:szCs w:val="21"/>
          <w:highlight w:val="none"/>
        </w:rPr>
        <w:t>13.2 投标人对采购内容中规定的技术参数、规格等要求必须完全响应或优于采购文件中的要求。</w:t>
      </w:r>
    </w:p>
    <w:p w14:paraId="322A6C5F">
      <w:pPr>
        <w:spacing w:line="440" w:lineRule="exact"/>
        <w:ind w:firstLine="411" w:firstLineChars="196"/>
        <w:rPr>
          <w:rFonts w:ascii="宋体"/>
          <w:bCs/>
          <w:szCs w:val="21"/>
          <w:highlight w:val="none"/>
        </w:rPr>
      </w:pPr>
      <w:r>
        <w:rPr>
          <w:rFonts w:hint="eastAsia" w:ascii="宋体"/>
          <w:bCs/>
          <w:szCs w:val="21"/>
          <w:highlight w:val="none"/>
        </w:rPr>
        <w:t>13.3所有投标人的投标保证金都应在采购文件规定的投标保证金缴纳截止日期前缴纳。</w:t>
      </w:r>
    </w:p>
    <w:p w14:paraId="1975F30A">
      <w:pPr>
        <w:spacing w:line="440" w:lineRule="exact"/>
        <w:ind w:firstLine="411" w:firstLineChars="196"/>
        <w:rPr>
          <w:rFonts w:ascii="宋体"/>
          <w:bCs/>
          <w:szCs w:val="21"/>
          <w:highlight w:val="none"/>
        </w:rPr>
      </w:pPr>
      <w:r>
        <w:rPr>
          <w:rFonts w:hint="eastAsia" w:ascii="宋体"/>
          <w:bCs/>
          <w:szCs w:val="21"/>
          <w:highlight w:val="none"/>
        </w:rPr>
        <w:t>13.4</w:t>
      </w:r>
      <w:r>
        <w:rPr>
          <w:rFonts w:ascii="宋体"/>
          <w:bCs/>
          <w:szCs w:val="21"/>
          <w:highlight w:val="none"/>
        </w:rPr>
        <w:t>单位负责人为同一人或者存在直接控股、管理关系的不同供应商，不得参加同一合同项下的政府采购活动。</w:t>
      </w:r>
      <w:r>
        <w:rPr>
          <w:rFonts w:ascii="宋体" w:hAnsi="宋体" w:cs="宋体"/>
          <w:szCs w:val="21"/>
          <w:highlight w:val="none"/>
        </w:rPr>
        <w:t>为采购项目提供整体设计、规范编制或者项目管理、监理、检测等服务的供应商，不得再参加该采购项目的其他采购活动。</w:t>
      </w:r>
    </w:p>
    <w:p w14:paraId="7D3D05F4">
      <w:pPr>
        <w:snapToGrid w:val="0"/>
        <w:spacing w:line="440" w:lineRule="exact"/>
        <w:ind w:firstLine="420" w:firstLineChars="200"/>
        <w:rPr>
          <w:rFonts w:ascii="宋体"/>
          <w:szCs w:val="21"/>
          <w:highlight w:val="none"/>
        </w:rPr>
      </w:pPr>
      <w:r>
        <w:rPr>
          <w:rFonts w:hint="eastAsia" w:ascii="宋体"/>
          <w:bCs/>
          <w:szCs w:val="21"/>
          <w:highlight w:val="none"/>
        </w:rPr>
        <w:t>13.5本项目只接受</w:t>
      </w:r>
      <w:r>
        <w:rPr>
          <w:rFonts w:hint="eastAsia" w:ascii="宋体"/>
          <w:szCs w:val="21"/>
          <w:highlight w:val="none"/>
        </w:rPr>
        <w:t>成为新疆维吾尔自治区政府采购网正式注册入库并完成CA数字证书申领供应商参与投标。因未注册入库、未办理CA数字证书等原因造成无法投标或投标失败等后果由供应商自行承担。</w:t>
      </w:r>
    </w:p>
    <w:p w14:paraId="52DBABC1">
      <w:pPr>
        <w:wordWrap w:val="0"/>
        <w:spacing w:line="440" w:lineRule="exact"/>
        <w:ind w:firstLine="420" w:firstLineChars="200"/>
        <w:rPr>
          <w:rFonts w:ascii="宋体"/>
          <w:bCs/>
          <w:szCs w:val="21"/>
          <w:highlight w:val="none"/>
        </w:rPr>
      </w:pPr>
      <w:r>
        <w:rPr>
          <w:rFonts w:hint="eastAsia" w:ascii="宋体"/>
          <w:bCs/>
          <w:szCs w:val="21"/>
          <w:highlight w:val="none"/>
        </w:rPr>
        <w:t>13.6  投标人被视为充分熟悉本招标项目所在地的与履行合同有关的各种情况，包括但不限于：</w:t>
      </w:r>
    </w:p>
    <w:p w14:paraId="1B6BB453">
      <w:pPr>
        <w:spacing w:line="400" w:lineRule="exact"/>
        <w:ind w:firstLine="315" w:firstLineChars="150"/>
        <w:rPr>
          <w:rFonts w:ascii="宋体"/>
          <w:bCs/>
          <w:szCs w:val="21"/>
          <w:highlight w:val="none"/>
        </w:rPr>
      </w:pPr>
      <w:r>
        <w:rPr>
          <w:rFonts w:hint="eastAsia" w:ascii="宋体"/>
          <w:bCs/>
          <w:szCs w:val="21"/>
          <w:highlight w:val="none"/>
        </w:rPr>
        <w:t>（1）国家对本次投标货物和服务的生产、安装调试、验收、维修等有关法律、法规及行业管理标准；</w:t>
      </w:r>
    </w:p>
    <w:p w14:paraId="212A9C54">
      <w:pPr>
        <w:spacing w:line="400" w:lineRule="exact"/>
        <w:ind w:firstLine="315" w:firstLineChars="150"/>
        <w:rPr>
          <w:rFonts w:ascii="宋体"/>
          <w:bCs/>
          <w:szCs w:val="21"/>
          <w:highlight w:val="none"/>
        </w:rPr>
      </w:pPr>
      <w:r>
        <w:rPr>
          <w:rFonts w:hint="eastAsia" w:ascii="宋体"/>
          <w:bCs/>
          <w:szCs w:val="21"/>
          <w:highlight w:val="none"/>
        </w:rPr>
        <w:t>（2）本地区有关管理部门的相关规定；</w:t>
      </w:r>
    </w:p>
    <w:p w14:paraId="24164D4A">
      <w:pPr>
        <w:spacing w:line="400" w:lineRule="exact"/>
        <w:ind w:firstLine="315" w:firstLineChars="150"/>
        <w:rPr>
          <w:rFonts w:ascii="宋体"/>
          <w:bCs/>
          <w:szCs w:val="21"/>
          <w:highlight w:val="none"/>
        </w:rPr>
      </w:pPr>
      <w:r>
        <w:rPr>
          <w:rFonts w:hint="eastAsia" w:ascii="宋体"/>
          <w:bCs/>
          <w:szCs w:val="21"/>
          <w:highlight w:val="none"/>
        </w:rPr>
        <w:t>（3）招标人的相关场地情况、基础建设、电力供应情况及相关设计标准。</w:t>
      </w:r>
    </w:p>
    <w:p w14:paraId="616FB8F6">
      <w:pPr>
        <w:spacing w:line="400" w:lineRule="exact"/>
        <w:ind w:firstLine="315" w:firstLineChars="150"/>
        <w:rPr>
          <w:rFonts w:ascii="宋体"/>
          <w:bCs/>
          <w:szCs w:val="21"/>
          <w:highlight w:val="none"/>
        </w:rPr>
      </w:pPr>
      <w:r>
        <w:rPr>
          <w:rFonts w:hint="eastAsia" w:ascii="宋体"/>
          <w:bCs/>
          <w:szCs w:val="21"/>
          <w:highlight w:val="none"/>
        </w:rPr>
        <w:t>本采购文件不再对上述情况进行描述。</w:t>
      </w:r>
    </w:p>
    <w:p w14:paraId="5C38CE33">
      <w:pPr>
        <w:spacing w:before="312" w:beforeLines="100" w:after="312" w:afterLines="100" w:line="440" w:lineRule="exact"/>
        <w:jc w:val="center"/>
        <w:outlineLvl w:val="2"/>
        <w:rPr>
          <w:rFonts w:ascii="宋体"/>
          <w:b/>
          <w:sz w:val="28"/>
          <w:szCs w:val="28"/>
          <w:highlight w:val="none"/>
        </w:rPr>
      </w:pPr>
      <w:bookmarkStart w:id="42" w:name="_Toc469495725"/>
      <w:bookmarkStart w:id="43" w:name="_Toc13107"/>
      <w:r>
        <w:rPr>
          <w:rFonts w:hint="eastAsia" w:ascii="宋体"/>
          <w:b/>
          <w:sz w:val="28"/>
          <w:szCs w:val="28"/>
          <w:highlight w:val="none"/>
          <w:lang w:eastAsia="zh-CN"/>
        </w:rPr>
        <w:t>（</w:t>
      </w:r>
      <w:r>
        <w:rPr>
          <w:rFonts w:hint="eastAsia" w:ascii="宋体"/>
          <w:b/>
          <w:sz w:val="28"/>
          <w:szCs w:val="28"/>
          <w:highlight w:val="none"/>
        </w:rPr>
        <w:t>二）</w:t>
      </w:r>
      <w:bookmarkEnd w:id="42"/>
      <w:r>
        <w:rPr>
          <w:rFonts w:hint="eastAsia" w:ascii="宋体"/>
          <w:b/>
          <w:sz w:val="28"/>
          <w:szCs w:val="28"/>
          <w:highlight w:val="none"/>
        </w:rPr>
        <w:t>磋商文件</w:t>
      </w:r>
      <w:bookmarkEnd w:id="43"/>
    </w:p>
    <w:p w14:paraId="704E0839">
      <w:pPr>
        <w:spacing w:line="440" w:lineRule="exact"/>
        <w:ind w:firstLine="420" w:firstLineChars="200"/>
        <w:rPr>
          <w:b/>
          <w:szCs w:val="21"/>
          <w:highlight w:val="none"/>
        </w:rPr>
      </w:pPr>
      <w:r>
        <w:rPr>
          <w:rFonts w:hint="eastAsia"/>
          <w:b/>
          <w:szCs w:val="21"/>
          <w:highlight w:val="none"/>
        </w:rPr>
        <w:t>15. 采购文件的编制依据</w:t>
      </w:r>
    </w:p>
    <w:p w14:paraId="10A4392D">
      <w:pPr>
        <w:spacing w:line="440" w:lineRule="exact"/>
        <w:ind w:firstLine="420" w:firstLineChars="200"/>
        <w:rPr>
          <w:rFonts w:ascii="宋体"/>
          <w:szCs w:val="21"/>
          <w:highlight w:val="none"/>
        </w:rPr>
      </w:pPr>
      <w:r>
        <w:rPr>
          <w:rFonts w:hint="eastAsia" w:ascii="宋体"/>
          <w:szCs w:val="21"/>
          <w:highlight w:val="none"/>
        </w:rPr>
        <w:t>根据《中华人民共和国政府采购法》、《政府采购货物和服务招标投标管理办法》和《中华人民共和国合同法》</w:t>
      </w:r>
      <w:r>
        <w:rPr>
          <w:rFonts w:hint="eastAsia" w:ascii="宋体"/>
          <w:spacing w:val="-2"/>
          <w:szCs w:val="21"/>
          <w:highlight w:val="none"/>
        </w:rPr>
        <w:t>等相关法律法规和规章及部、省、市级规范性文件的规定，编制本采购文件。</w:t>
      </w:r>
    </w:p>
    <w:p w14:paraId="1B1386C7">
      <w:pPr>
        <w:spacing w:line="440" w:lineRule="exact"/>
        <w:ind w:firstLine="420" w:firstLineChars="200"/>
        <w:rPr>
          <w:b/>
          <w:szCs w:val="21"/>
          <w:highlight w:val="none"/>
        </w:rPr>
      </w:pPr>
      <w:r>
        <w:rPr>
          <w:rFonts w:hint="eastAsia"/>
          <w:b/>
          <w:szCs w:val="21"/>
          <w:highlight w:val="none"/>
        </w:rPr>
        <w:t>16. 磋商文件的组成</w:t>
      </w:r>
    </w:p>
    <w:p w14:paraId="75E18558">
      <w:pPr>
        <w:spacing w:line="440" w:lineRule="exact"/>
        <w:ind w:firstLine="420" w:firstLineChars="200"/>
        <w:rPr>
          <w:rFonts w:ascii="宋体"/>
          <w:szCs w:val="21"/>
          <w:highlight w:val="none"/>
        </w:rPr>
      </w:pPr>
      <w:r>
        <w:rPr>
          <w:rFonts w:hint="eastAsia" w:ascii="宋体"/>
          <w:szCs w:val="21"/>
          <w:highlight w:val="none"/>
        </w:rPr>
        <w:t>16.1 磋商文件包括内容：</w:t>
      </w:r>
    </w:p>
    <w:p w14:paraId="6733D019">
      <w:pPr>
        <w:spacing w:line="440" w:lineRule="exact"/>
        <w:ind w:firstLine="1470" w:firstLineChars="700"/>
        <w:rPr>
          <w:rFonts w:ascii="宋体"/>
          <w:szCs w:val="21"/>
          <w:highlight w:val="none"/>
        </w:rPr>
      </w:pPr>
      <w:r>
        <w:rPr>
          <w:rFonts w:hint="eastAsia" w:ascii="宋体"/>
          <w:szCs w:val="21"/>
          <w:highlight w:val="none"/>
        </w:rPr>
        <w:t xml:space="preserve">第一章  </w:t>
      </w:r>
      <w:r>
        <w:rPr>
          <w:rFonts w:hint="eastAsia"/>
          <w:bCs/>
          <w:szCs w:val="21"/>
          <w:highlight w:val="none"/>
        </w:rPr>
        <w:t>磋商</w:t>
      </w:r>
      <w:r>
        <w:rPr>
          <w:rFonts w:hint="eastAsia" w:ascii="宋体"/>
          <w:szCs w:val="21"/>
          <w:highlight w:val="none"/>
        </w:rPr>
        <w:t>公告</w:t>
      </w:r>
    </w:p>
    <w:p w14:paraId="0492A52D">
      <w:pPr>
        <w:spacing w:line="440" w:lineRule="exact"/>
        <w:ind w:firstLine="1470" w:firstLineChars="700"/>
        <w:rPr>
          <w:rFonts w:ascii="宋体"/>
          <w:szCs w:val="21"/>
          <w:highlight w:val="none"/>
        </w:rPr>
      </w:pPr>
      <w:r>
        <w:rPr>
          <w:rFonts w:hint="eastAsia" w:ascii="宋体"/>
          <w:szCs w:val="21"/>
          <w:highlight w:val="none"/>
        </w:rPr>
        <w:t>第二章  投标须知</w:t>
      </w:r>
    </w:p>
    <w:p w14:paraId="07AD9DFE">
      <w:pPr>
        <w:spacing w:line="440" w:lineRule="exact"/>
        <w:ind w:firstLine="1470" w:firstLineChars="700"/>
        <w:rPr>
          <w:rFonts w:ascii="宋体"/>
          <w:szCs w:val="21"/>
          <w:highlight w:val="none"/>
        </w:rPr>
      </w:pPr>
      <w:r>
        <w:rPr>
          <w:rFonts w:hint="eastAsia" w:ascii="宋体"/>
          <w:szCs w:val="21"/>
          <w:highlight w:val="none"/>
        </w:rPr>
        <w:t>第三章  评标办法</w:t>
      </w:r>
    </w:p>
    <w:p w14:paraId="13BFF33E">
      <w:pPr>
        <w:spacing w:line="440" w:lineRule="exact"/>
        <w:ind w:firstLine="1470" w:firstLineChars="700"/>
        <w:rPr>
          <w:rFonts w:ascii="宋体"/>
          <w:szCs w:val="21"/>
          <w:highlight w:val="none"/>
        </w:rPr>
      </w:pPr>
      <w:r>
        <w:rPr>
          <w:rFonts w:hint="eastAsia" w:ascii="宋体"/>
          <w:szCs w:val="21"/>
          <w:highlight w:val="none"/>
        </w:rPr>
        <w:t>第四章  采购内容及技术要求</w:t>
      </w:r>
    </w:p>
    <w:p w14:paraId="5363F97B">
      <w:pPr>
        <w:spacing w:line="440" w:lineRule="exact"/>
        <w:ind w:firstLine="1470" w:firstLineChars="700"/>
        <w:rPr>
          <w:rFonts w:ascii="宋体"/>
          <w:szCs w:val="21"/>
          <w:highlight w:val="none"/>
        </w:rPr>
      </w:pPr>
      <w:r>
        <w:rPr>
          <w:rFonts w:hint="eastAsia" w:ascii="宋体"/>
          <w:szCs w:val="21"/>
          <w:highlight w:val="none"/>
        </w:rPr>
        <w:t>第五章  合同条款及格式</w:t>
      </w:r>
    </w:p>
    <w:p w14:paraId="2F35CF83">
      <w:pPr>
        <w:spacing w:line="440" w:lineRule="exact"/>
        <w:ind w:firstLine="1470" w:firstLineChars="700"/>
        <w:rPr>
          <w:rFonts w:ascii="宋体"/>
          <w:szCs w:val="21"/>
          <w:highlight w:val="none"/>
        </w:rPr>
      </w:pPr>
      <w:r>
        <w:rPr>
          <w:rFonts w:hint="eastAsia" w:ascii="宋体"/>
          <w:szCs w:val="21"/>
          <w:highlight w:val="none"/>
        </w:rPr>
        <w:t>第六章  投标文件格式文本</w:t>
      </w:r>
    </w:p>
    <w:p w14:paraId="16C04F29">
      <w:pPr>
        <w:spacing w:line="440" w:lineRule="exact"/>
        <w:rPr>
          <w:rFonts w:ascii="宋体"/>
          <w:szCs w:val="21"/>
          <w:highlight w:val="none"/>
        </w:rPr>
      </w:pPr>
      <w:r>
        <w:rPr>
          <w:rFonts w:hint="eastAsia" w:ascii="宋体"/>
          <w:szCs w:val="21"/>
          <w:highlight w:val="none"/>
        </w:rPr>
        <w:t xml:space="preserve">   16.2 除16.1内容外，招标答疑亦为采购文件的组成部分，对招标人和投标人起约束作用。</w:t>
      </w:r>
    </w:p>
    <w:p w14:paraId="5ED04720">
      <w:pPr>
        <w:pStyle w:val="12"/>
        <w:wordWrap w:val="0"/>
        <w:spacing w:line="400" w:lineRule="exact"/>
        <w:rPr>
          <w:color w:val="auto"/>
          <w:szCs w:val="21"/>
          <w:highlight w:val="none"/>
        </w:rPr>
      </w:pPr>
      <w:r>
        <w:rPr>
          <w:rFonts w:hint="eastAsia"/>
          <w:color w:val="auto"/>
          <w:szCs w:val="21"/>
          <w:highlight w:val="none"/>
        </w:rPr>
        <w:t xml:space="preserve">   16.3投标人应仔细阅读和检查采购文件的全部内容。如发现缺页或附件不全，应及时向招标人提出，以便补齐。如有疑问，投标人应在以书面形式一次性向采购人和采购代理机构提出同一环节的质疑。</w:t>
      </w:r>
    </w:p>
    <w:p w14:paraId="7A7A53EB">
      <w:pPr>
        <w:wordWrap w:val="0"/>
        <w:spacing w:line="440" w:lineRule="exact"/>
        <w:rPr>
          <w:rFonts w:ascii="宋体"/>
          <w:szCs w:val="21"/>
          <w:highlight w:val="none"/>
        </w:rPr>
      </w:pPr>
      <w:r>
        <w:rPr>
          <w:rFonts w:hint="eastAsia" w:ascii="宋体"/>
          <w:szCs w:val="21"/>
          <w:highlight w:val="none"/>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采购文件的澄清将在政采云平台“更正公告”栏目予以公告，但不指明澄清问题的来源。如果澄清内容影响投标文件编制的，将相应延长投标截止时间。</w:t>
      </w:r>
    </w:p>
    <w:p w14:paraId="0A55C5DD">
      <w:pPr>
        <w:spacing w:line="440" w:lineRule="exact"/>
        <w:ind w:firstLine="420" w:firstLineChars="200"/>
        <w:rPr>
          <w:rFonts w:ascii="宋体"/>
          <w:b/>
          <w:bCs/>
          <w:szCs w:val="21"/>
          <w:highlight w:val="none"/>
        </w:rPr>
      </w:pPr>
      <w:r>
        <w:rPr>
          <w:rFonts w:hint="eastAsia" w:ascii="宋体"/>
          <w:b/>
          <w:bCs/>
          <w:szCs w:val="21"/>
          <w:highlight w:val="none"/>
        </w:rPr>
        <w:t>17. 磋商文件的修改、补充、解释</w:t>
      </w:r>
    </w:p>
    <w:p w14:paraId="0C1D6A67">
      <w:pPr>
        <w:wordWrap w:val="0"/>
        <w:spacing w:line="400" w:lineRule="exact"/>
        <w:ind w:firstLine="315" w:firstLineChars="150"/>
        <w:rPr>
          <w:rFonts w:ascii="宋体" w:hAnsi="宋体"/>
          <w:szCs w:val="21"/>
          <w:highlight w:val="none"/>
        </w:rPr>
      </w:pPr>
      <w:r>
        <w:rPr>
          <w:rFonts w:hint="eastAsia" w:ascii="宋体" w:hAnsi="宋体"/>
          <w:szCs w:val="21"/>
          <w:highlight w:val="none"/>
        </w:rPr>
        <w:t>17.1磋商文件发出后，招标人在规定的投标截止时间前可对采购文件进行必要的修改和补充，并以更正公告形式在政采云平台 “更正公告”栏目予以公告，请各位投标人注意查看有关澄清内容，如不及时查看造成后果由投标人自负。采购文件的修改、补充等内容作为采购文件的组成部分，具有约束作用。</w:t>
      </w:r>
    </w:p>
    <w:p w14:paraId="2400A808">
      <w:pPr>
        <w:wordWrap w:val="0"/>
        <w:spacing w:line="400" w:lineRule="exact"/>
        <w:ind w:firstLine="315" w:firstLineChars="150"/>
        <w:rPr>
          <w:rFonts w:ascii="宋体" w:hAnsi="宋体"/>
          <w:szCs w:val="21"/>
          <w:highlight w:val="none"/>
        </w:rPr>
      </w:pPr>
      <w:r>
        <w:rPr>
          <w:rFonts w:hint="eastAsia" w:ascii="宋体" w:hAnsi="宋体"/>
          <w:szCs w:val="21"/>
          <w:highlight w:val="none"/>
        </w:rPr>
        <w:t xml:space="preserve">17.2 采购代理机构可视采购具体情况对已发出的采购文件进行必要的澄清、修改或者补充。澄清、修改或者补充的内容可能影响投标文件编制的，应当在投标截止时间至少5日前，在原公告发布媒体上发布澄清公告，澄清或者修改的内容为采购文件的组成部分；不足5日的，应当顺延提交投标文件的截止时间。       </w:t>
      </w:r>
      <w:r>
        <w:rPr>
          <w:rFonts w:hint="eastAsia" w:ascii="宋体" w:hAnsi="宋体"/>
          <w:bCs/>
          <w:szCs w:val="21"/>
          <w:highlight w:val="none"/>
        </w:rPr>
        <w:t xml:space="preserve">17.3 </w:t>
      </w:r>
      <w:r>
        <w:rPr>
          <w:rFonts w:hint="eastAsia" w:ascii="宋体" w:hAnsi="宋体"/>
          <w:szCs w:val="21"/>
          <w:highlight w:val="none"/>
        </w:rPr>
        <w:t>供应商在规定的时间内未对采购文件提出疑问、质疑或要求澄清的，将视其为无异议。</w:t>
      </w:r>
    </w:p>
    <w:p w14:paraId="0B6E5BBD">
      <w:pPr>
        <w:spacing w:line="400" w:lineRule="exact"/>
        <w:ind w:firstLine="420" w:firstLineChars="200"/>
        <w:rPr>
          <w:rFonts w:ascii="宋体" w:hAnsi="宋体"/>
          <w:bCs/>
          <w:szCs w:val="21"/>
          <w:highlight w:val="none"/>
        </w:rPr>
      </w:pPr>
      <w:r>
        <w:rPr>
          <w:rFonts w:hint="eastAsia" w:ascii="宋体" w:hAnsi="宋体"/>
          <w:bCs/>
          <w:szCs w:val="21"/>
          <w:highlight w:val="none"/>
        </w:rPr>
        <w:t xml:space="preserve">17.4 磋商文件的解释 </w:t>
      </w:r>
    </w:p>
    <w:p w14:paraId="47E6DB71">
      <w:pPr>
        <w:spacing w:line="400" w:lineRule="exact"/>
        <w:ind w:firstLine="420" w:firstLineChars="200"/>
        <w:rPr>
          <w:rFonts w:ascii="宋体" w:hAnsi="宋体"/>
          <w:szCs w:val="21"/>
          <w:highlight w:val="none"/>
        </w:rPr>
      </w:pPr>
      <w:r>
        <w:rPr>
          <w:rFonts w:hint="eastAsia" w:ascii="宋体" w:hAnsi="宋体"/>
          <w:szCs w:val="21"/>
          <w:highlight w:val="none"/>
        </w:rPr>
        <w:t>本磋商文件由招标人（或其委托的招标代理机构）负责解释。</w:t>
      </w:r>
    </w:p>
    <w:p w14:paraId="73A516A3">
      <w:pPr>
        <w:spacing w:line="400" w:lineRule="exact"/>
        <w:rPr>
          <w:rFonts w:ascii="宋体" w:hAnsi="宋体"/>
          <w:b/>
          <w:szCs w:val="21"/>
          <w:highlight w:val="none"/>
        </w:rPr>
      </w:pPr>
      <w:r>
        <w:rPr>
          <w:rFonts w:hint="eastAsia" w:ascii="宋体" w:hAnsi="宋体" w:cs="宋体"/>
          <w:b/>
          <w:szCs w:val="21"/>
          <w:highlight w:val="none"/>
        </w:rPr>
        <w:t xml:space="preserve">   </w:t>
      </w:r>
      <w:r>
        <w:rPr>
          <w:rFonts w:hint="eastAsia"/>
          <w:b/>
          <w:szCs w:val="21"/>
          <w:highlight w:val="none"/>
        </w:rPr>
        <w:t xml:space="preserve">18. </w:t>
      </w:r>
      <w:r>
        <w:rPr>
          <w:rFonts w:hint="eastAsia" w:ascii="宋体" w:hAnsi="宋体"/>
          <w:b/>
          <w:szCs w:val="21"/>
          <w:highlight w:val="none"/>
        </w:rPr>
        <w:t>磋商文件的发出</w:t>
      </w:r>
    </w:p>
    <w:p w14:paraId="065C21E4">
      <w:pPr>
        <w:spacing w:line="400" w:lineRule="exact"/>
        <w:ind w:firstLine="315" w:firstLineChars="150"/>
        <w:rPr>
          <w:rFonts w:ascii="宋体" w:hAnsi="宋体"/>
          <w:szCs w:val="21"/>
          <w:highlight w:val="none"/>
        </w:rPr>
      </w:pPr>
      <w:r>
        <w:rPr>
          <w:rFonts w:hint="eastAsia" w:ascii="宋体" w:hAnsi="宋体"/>
          <w:szCs w:val="21"/>
          <w:highlight w:val="none"/>
        </w:rPr>
        <w:t>18.1  磋商文件、磋商文件的澄清、修改、补充及招标答疑等均应报相关部门备案后，方可发出。</w:t>
      </w:r>
    </w:p>
    <w:p w14:paraId="1FC3C181">
      <w:pPr>
        <w:spacing w:line="400" w:lineRule="exact"/>
        <w:ind w:firstLine="420"/>
        <w:rPr>
          <w:rFonts w:ascii="宋体"/>
          <w:szCs w:val="21"/>
          <w:highlight w:val="none"/>
        </w:rPr>
      </w:pPr>
      <w:bookmarkStart w:id="44" w:name="_Toc469495726"/>
      <w:r>
        <w:rPr>
          <w:rFonts w:hint="eastAsia"/>
          <w:b/>
          <w:szCs w:val="21"/>
          <w:highlight w:val="none"/>
        </w:rPr>
        <w:t xml:space="preserve">19. </w:t>
      </w:r>
      <w:r>
        <w:rPr>
          <w:rFonts w:hint="eastAsia" w:ascii="宋体"/>
          <w:szCs w:val="21"/>
          <w:highlight w:val="none"/>
        </w:rPr>
        <w:t>凡需要设置样品情形时，必须明确是否需要随样品提交检测报告，并明确检测机构的要求、检测内容、中标样品封存等事项。</w:t>
      </w:r>
    </w:p>
    <w:p w14:paraId="7573386E">
      <w:pPr>
        <w:spacing w:before="312" w:beforeLines="100" w:after="312" w:afterLines="100" w:line="440" w:lineRule="exact"/>
        <w:jc w:val="center"/>
        <w:outlineLvl w:val="2"/>
        <w:rPr>
          <w:rFonts w:ascii="宋体"/>
          <w:b/>
          <w:sz w:val="28"/>
          <w:szCs w:val="28"/>
          <w:highlight w:val="none"/>
        </w:rPr>
      </w:pPr>
      <w:bookmarkStart w:id="45" w:name="_Toc31024"/>
      <w:r>
        <w:rPr>
          <w:rFonts w:hint="eastAsia" w:ascii="宋体"/>
          <w:b/>
          <w:sz w:val="28"/>
          <w:szCs w:val="28"/>
          <w:highlight w:val="none"/>
        </w:rPr>
        <w:t>（三）响应文件的编制</w:t>
      </w:r>
      <w:bookmarkEnd w:id="44"/>
      <w:bookmarkEnd w:id="45"/>
    </w:p>
    <w:p w14:paraId="6DBE2FA1">
      <w:pPr>
        <w:spacing w:line="440" w:lineRule="exact"/>
        <w:ind w:firstLine="304" w:firstLineChars="145"/>
        <w:rPr>
          <w:rFonts w:ascii="宋体" w:cs="宋体"/>
          <w:b/>
          <w:szCs w:val="21"/>
          <w:highlight w:val="none"/>
        </w:rPr>
      </w:pPr>
      <w:r>
        <w:rPr>
          <w:rFonts w:hint="eastAsia"/>
          <w:b/>
          <w:szCs w:val="21"/>
          <w:highlight w:val="none"/>
        </w:rPr>
        <w:t xml:space="preserve">20. </w:t>
      </w:r>
      <w:r>
        <w:rPr>
          <w:rFonts w:hint="eastAsia" w:ascii="宋体" w:cs="宋体"/>
          <w:b/>
          <w:szCs w:val="21"/>
          <w:highlight w:val="none"/>
        </w:rPr>
        <w:t>投标的语言及度量衡单位</w:t>
      </w:r>
    </w:p>
    <w:p w14:paraId="78C25529">
      <w:pPr>
        <w:spacing w:line="440" w:lineRule="exact"/>
        <w:ind w:firstLine="283" w:firstLineChars="135"/>
        <w:rPr>
          <w:rFonts w:ascii="宋体"/>
          <w:szCs w:val="21"/>
          <w:highlight w:val="none"/>
        </w:rPr>
      </w:pPr>
      <w:r>
        <w:rPr>
          <w:rFonts w:hint="eastAsia" w:ascii="宋体"/>
          <w:szCs w:val="21"/>
          <w:highlight w:val="none"/>
        </w:rPr>
        <w:t>20.1</w:t>
      </w:r>
      <w:r>
        <w:rPr>
          <w:rFonts w:ascii="宋体" w:hAnsi="宋体"/>
          <w:szCs w:val="21"/>
          <w:highlight w:val="none"/>
        </w:rPr>
        <w:t>投标人</w:t>
      </w:r>
      <w:r>
        <w:rPr>
          <w:rFonts w:hint="eastAsia" w:ascii="宋体" w:hAnsi="宋体"/>
          <w:szCs w:val="21"/>
          <w:highlight w:val="none"/>
        </w:rPr>
        <w:t>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14:paraId="3F2A2247">
      <w:pPr>
        <w:spacing w:line="440" w:lineRule="exact"/>
        <w:ind w:firstLine="283" w:firstLineChars="135"/>
        <w:rPr>
          <w:rFonts w:ascii="宋体"/>
          <w:szCs w:val="21"/>
          <w:highlight w:val="none"/>
        </w:rPr>
      </w:pPr>
      <w:r>
        <w:rPr>
          <w:rFonts w:hint="eastAsia" w:ascii="宋体"/>
          <w:szCs w:val="21"/>
          <w:highlight w:val="none"/>
        </w:rPr>
        <w:t xml:space="preserve"> 20.2除采购文件中另有规定外，投标书所使用的度量衡均须采用法定计量单位。</w:t>
      </w:r>
    </w:p>
    <w:p w14:paraId="55A9A8D8">
      <w:pPr>
        <w:spacing w:line="400" w:lineRule="exact"/>
        <w:ind w:firstLine="205" w:firstLineChars="98"/>
        <w:rPr>
          <w:rFonts w:ascii="宋体" w:hAnsi="宋体"/>
          <w:b/>
          <w:szCs w:val="21"/>
          <w:highlight w:val="none"/>
        </w:rPr>
      </w:pPr>
      <w:r>
        <w:rPr>
          <w:rFonts w:hint="eastAsia"/>
          <w:b/>
          <w:szCs w:val="21"/>
          <w:highlight w:val="none"/>
        </w:rPr>
        <w:t>21. 响应</w:t>
      </w:r>
      <w:r>
        <w:rPr>
          <w:rFonts w:hint="eastAsia" w:ascii="宋体" w:hAnsi="宋体"/>
          <w:b/>
          <w:szCs w:val="21"/>
          <w:highlight w:val="none"/>
        </w:rPr>
        <w:t>文件的组成</w:t>
      </w:r>
    </w:p>
    <w:p w14:paraId="2E740A90">
      <w:pPr>
        <w:spacing w:line="400" w:lineRule="exact"/>
        <w:ind w:firstLine="417" w:firstLineChars="199"/>
        <w:rPr>
          <w:rFonts w:hint="eastAsia" w:ascii="宋体" w:hAnsi="宋体"/>
          <w:b/>
          <w:bCs/>
          <w:szCs w:val="21"/>
          <w:highlight w:val="none"/>
        </w:rPr>
      </w:pPr>
      <w:r>
        <w:rPr>
          <w:rFonts w:hint="eastAsia" w:ascii="宋体" w:hAnsi="宋体"/>
          <w:b/>
          <w:bCs/>
          <w:szCs w:val="21"/>
          <w:highlight w:val="none"/>
        </w:rPr>
        <w:t>商务部分</w:t>
      </w:r>
    </w:p>
    <w:p w14:paraId="744C0CFE">
      <w:pPr>
        <w:spacing w:line="400" w:lineRule="exact"/>
        <w:ind w:firstLine="417" w:firstLineChars="199"/>
        <w:rPr>
          <w:rFonts w:hint="eastAsia" w:ascii="宋体" w:hAnsi="宋体"/>
          <w:szCs w:val="21"/>
          <w:highlight w:val="none"/>
        </w:rPr>
      </w:pPr>
      <w:r>
        <w:rPr>
          <w:rFonts w:hint="eastAsia" w:ascii="宋体" w:hAnsi="宋体"/>
          <w:szCs w:val="21"/>
          <w:highlight w:val="none"/>
          <w:lang w:eastAsia="zh-CN"/>
        </w:rPr>
        <w:t>一、</w:t>
      </w:r>
      <w:r>
        <w:rPr>
          <w:rFonts w:hint="eastAsia" w:ascii="宋体" w:hAnsi="宋体"/>
          <w:szCs w:val="21"/>
          <w:highlight w:val="none"/>
        </w:rPr>
        <w:t>投标函；</w:t>
      </w:r>
    </w:p>
    <w:p w14:paraId="339B426B">
      <w:pPr>
        <w:spacing w:line="400" w:lineRule="exact"/>
        <w:ind w:firstLine="417" w:firstLineChars="199"/>
        <w:rPr>
          <w:rFonts w:hint="eastAsia" w:ascii="宋体" w:hAnsi="宋体"/>
          <w:szCs w:val="21"/>
          <w:highlight w:val="none"/>
        </w:rPr>
      </w:pPr>
      <w:r>
        <w:rPr>
          <w:rFonts w:hint="eastAsia" w:ascii="宋体" w:hAnsi="宋体"/>
          <w:szCs w:val="21"/>
          <w:highlight w:val="none"/>
          <w:lang w:eastAsia="zh-CN"/>
        </w:rPr>
        <w:t>二、</w:t>
      </w:r>
      <w:r>
        <w:rPr>
          <w:rFonts w:hint="eastAsia" w:ascii="宋体" w:hAnsi="宋体"/>
          <w:szCs w:val="21"/>
          <w:highlight w:val="none"/>
        </w:rPr>
        <w:t xml:space="preserve">法定代表人身份证明（附法定代表人身份证复印件）； </w:t>
      </w:r>
    </w:p>
    <w:p w14:paraId="5DC33C89">
      <w:pPr>
        <w:spacing w:line="400" w:lineRule="exact"/>
        <w:ind w:firstLine="417" w:firstLineChars="199"/>
        <w:rPr>
          <w:rFonts w:hint="eastAsia" w:ascii="宋体" w:hAnsi="宋体"/>
          <w:szCs w:val="21"/>
          <w:highlight w:val="none"/>
        </w:rPr>
      </w:pPr>
      <w:r>
        <w:rPr>
          <w:rFonts w:hint="eastAsia" w:ascii="宋体" w:hAnsi="宋体"/>
          <w:szCs w:val="21"/>
          <w:highlight w:val="none"/>
          <w:lang w:eastAsia="zh-CN"/>
        </w:rPr>
        <w:t>三、</w:t>
      </w:r>
      <w:r>
        <w:rPr>
          <w:rFonts w:hint="eastAsia" w:ascii="宋体" w:hAnsi="宋体"/>
          <w:szCs w:val="21"/>
          <w:highlight w:val="none"/>
        </w:rPr>
        <w:t>授权委托书（附被授权人身份证复印件）；</w:t>
      </w:r>
    </w:p>
    <w:p w14:paraId="0C3C6948">
      <w:pPr>
        <w:spacing w:line="400" w:lineRule="exact"/>
        <w:ind w:firstLine="417" w:firstLineChars="199"/>
        <w:rPr>
          <w:rFonts w:hint="eastAsia" w:ascii="宋体" w:hAnsi="宋体"/>
          <w:szCs w:val="21"/>
          <w:highlight w:val="none"/>
        </w:rPr>
      </w:pPr>
      <w:r>
        <w:rPr>
          <w:rFonts w:hint="eastAsia" w:ascii="宋体" w:hAnsi="宋体"/>
          <w:szCs w:val="21"/>
          <w:highlight w:val="none"/>
          <w:lang w:eastAsia="zh-CN"/>
        </w:rPr>
        <w:t>四、</w:t>
      </w:r>
      <w:r>
        <w:rPr>
          <w:rFonts w:hint="eastAsia" w:ascii="宋体" w:hAnsi="宋体"/>
          <w:szCs w:val="21"/>
          <w:highlight w:val="none"/>
        </w:rPr>
        <w:t xml:space="preserve">投标保证金缴纳凭证或投标担保函 </w:t>
      </w:r>
    </w:p>
    <w:p w14:paraId="555AD3E0">
      <w:pPr>
        <w:spacing w:line="400" w:lineRule="exact"/>
        <w:ind w:firstLine="417" w:firstLineChars="199"/>
        <w:rPr>
          <w:rFonts w:hint="eastAsia" w:ascii="宋体" w:hAnsi="宋体"/>
          <w:szCs w:val="21"/>
          <w:highlight w:val="none"/>
        </w:rPr>
      </w:pPr>
      <w:r>
        <w:rPr>
          <w:rFonts w:hint="eastAsia" w:ascii="宋体" w:hAnsi="宋体"/>
          <w:szCs w:val="21"/>
          <w:highlight w:val="none"/>
          <w:lang w:eastAsia="zh-CN"/>
        </w:rPr>
        <w:t>五、</w:t>
      </w:r>
      <w:r>
        <w:rPr>
          <w:rFonts w:hint="eastAsia" w:ascii="宋体" w:hAnsi="宋体"/>
          <w:szCs w:val="21"/>
          <w:highlight w:val="none"/>
        </w:rPr>
        <w:t>开标一览表；</w:t>
      </w:r>
    </w:p>
    <w:p w14:paraId="484EE270">
      <w:pPr>
        <w:spacing w:line="400" w:lineRule="exact"/>
        <w:ind w:firstLine="417" w:firstLineChars="199"/>
        <w:rPr>
          <w:rFonts w:hint="eastAsia" w:ascii="宋体" w:hAnsi="宋体"/>
          <w:szCs w:val="21"/>
          <w:highlight w:val="none"/>
        </w:rPr>
      </w:pPr>
      <w:r>
        <w:rPr>
          <w:rFonts w:hint="eastAsia" w:ascii="宋体" w:hAnsi="宋体"/>
          <w:szCs w:val="21"/>
          <w:highlight w:val="none"/>
          <w:lang w:eastAsia="zh-CN"/>
        </w:rPr>
        <w:t>六、</w:t>
      </w:r>
      <w:r>
        <w:rPr>
          <w:rFonts w:hint="eastAsia" w:ascii="宋体" w:hAnsi="宋体"/>
          <w:szCs w:val="21"/>
          <w:highlight w:val="none"/>
        </w:rPr>
        <w:t>投标人基本情况；</w:t>
      </w:r>
    </w:p>
    <w:p w14:paraId="1E37966A">
      <w:pPr>
        <w:spacing w:line="400" w:lineRule="exact"/>
        <w:ind w:firstLine="417" w:firstLineChars="199"/>
        <w:rPr>
          <w:rFonts w:hint="eastAsia" w:ascii="宋体" w:hAnsi="宋体"/>
          <w:szCs w:val="21"/>
          <w:highlight w:val="none"/>
        </w:rPr>
      </w:pPr>
      <w:r>
        <w:rPr>
          <w:rFonts w:hint="eastAsia" w:ascii="宋体" w:hAnsi="宋体"/>
          <w:szCs w:val="21"/>
          <w:highlight w:val="none"/>
        </w:rPr>
        <w:t>1）投标人基本情况表；</w:t>
      </w:r>
    </w:p>
    <w:p w14:paraId="1ED915FC">
      <w:pPr>
        <w:spacing w:line="400" w:lineRule="exact"/>
        <w:ind w:firstLine="417" w:firstLineChars="199"/>
        <w:rPr>
          <w:rFonts w:hint="eastAsia" w:ascii="宋体" w:hAnsi="宋体"/>
          <w:szCs w:val="21"/>
          <w:highlight w:val="none"/>
        </w:rPr>
      </w:pPr>
      <w:r>
        <w:rPr>
          <w:rFonts w:hint="eastAsia" w:ascii="宋体" w:hAnsi="宋体"/>
          <w:szCs w:val="21"/>
          <w:highlight w:val="none"/>
        </w:rPr>
        <w:t>2）三证合一的营业执照</w:t>
      </w:r>
    </w:p>
    <w:p w14:paraId="20E3DBA9">
      <w:pPr>
        <w:spacing w:line="400" w:lineRule="exact"/>
        <w:ind w:firstLine="417" w:firstLineChars="199"/>
        <w:rPr>
          <w:rFonts w:hint="eastAsia" w:ascii="宋体" w:hAnsi="宋体"/>
          <w:szCs w:val="21"/>
          <w:highlight w:val="none"/>
          <w:lang w:val="en-US" w:eastAsia="zh-CN"/>
        </w:rPr>
      </w:pPr>
      <w:r>
        <w:rPr>
          <w:rFonts w:hint="eastAsia" w:ascii="宋体" w:hAnsi="宋体"/>
          <w:szCs w:val="21"/>
          <w:highlight w:val="none"/>
        </w:rPr>
        <w:t>3）</w:t>
      </w:r>
      <w:r>
        <w:rPr>
          <w:rFonts w:hint="eastAsia" w:ascii="宋体" w:hAnsi="宋体"/>
          <w:szCs w:val="21"/>
          <w:highlight w:val="none"/>
          <w:lang w:eastAsia="zh-CN"/>
        </w:rPr>
        <w:t>供应商必须为在中华人民共和国境内依法设立的国有商业银行、股份制商业银行、邮政储蓄银行、城市商业银行等银行机构且具备中国银行保险监督管理委员会核发的《中华人民共和国金融许可证》。</w:t>
      </w:r>
    </w:p>
    <w:p w14:paraId="51DD9A50">
      <w:pPr>
        <w:pStyle w:val="39"/>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4）</w:t>
      </w:r>
      <w:r>
        <w:rPr>
          <w:rFonts w:hint="default" w:ascii="宋体" w:hAnsi="宋体" w:eastAsia="宋体" w:cs="Times New Roman"/>
          <w:kern w:val="2"/>
          <w:sz w:val="21"/>
          <w:szCs w:val="21"/>
          <w:highlight w:val="none"/>
          <w:lang w:val="en-US" w:eastAsia="zh-CN" w:bidi="ar-SA"/>
        </w:rPr>
        <w:t>无重大违法记录声明</w:t>
      </w:r>
    </w:p>
    <w:p w14:paraId="70300A87">
      <w:pPr>
        <w:pStyle w:val="39"/>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5）</w:t>
      </w:r>
      <w:r>
        <w:rPr>
          <w:rFonts w:hint="default" w:ascii="宋体" w:hAnsi="宋体" w:eastAsia="宋体" w:cs="Times New Roman"/>
          <w:kern w:val="2"/>
          <w:sz w:val="21"/>
          <w:szCs w:val="21"/>
          <w:highlight w:val="none"/>
          <w:lang w:val="en-US" w:eastAsia="zh-CN" w:bidi="ar-SA"/>
        </w:rPr>
        <w:t>供反商业贿赂承诺书</w:t>
      </w:r>
    </w:p>
    <w:p w14:paraId="0F8C7053">
      <w:pPr>
        <w:spacing w:line="400" w:lineRule="exact"/>
        <w:ind w:firstLine="417" w:firstLineChars="199"/>
        <w:rPr>
          <w:rFonts w:hint="eastAsia" w:ascii="宋体" w:hAnsi="宋体"/>
          <w:szCs w:val="21"/>
          <w:highlight w:val="none"/>
        </w:rPr>
      </w:pPr>
      <w:r>
        <w:rPr>
          <w:rFonts w:hint="eastAsia" w:ascii="宋体" w:hAnsi="宋体"/>
          <w:szCs w:val="21"/>
          <w:highlight w:val="none"/>
          <w:lang w:eastAsia="zh-CN"/>
        </w:rPr>
        <w:t>七、</w:t>
      </w:r>
      <w:r>
        <w:rPr>
          <w:rFonts w:hint="eastAsia" w:ascii="宋体" w:hAnsi="宋体"/>
          <w:szCs w:val="21"/>
          <w:highlight w:val="none"/>
        </w:rPr>
        <w:t xml:space="preserve">商务条款偏离表； </w:t>
      </w:r>
    </w:p>
    <w:p w14:paraId="3BEBACAC">
      <w:pPr>
        <w:spacing w:line="400" w:lineRule="exact"/>
        <w:ind w:firstLine="417" w:firstLineChars="199"/>
        <w:rPr>
          <w:rFonts w:hint="eastAsia" w:ascii="宋体" w:hAnsi="宋体"/>
          <w:szCs w:val="21"/>
          <w:highlight w:val="none"/>
        </w:rPr>
      </w:pPr>
      <w:r>
        <w:rPr>
          <w:rFonts w:hint="eastAsia" w:ascii="宋体" w:hAnsi="宋体"/>
          <w:szCs w:val="21"/>
          <w:highlight w:val="none"/>
          <w:lang w:eastAsia="zh-CN"/>
        </w:rPr>
        <w:t>八、类似业绩（如有）</w:t>
      </w:r>
      <w:r>
        <w:rPr>
          <w:rFonts w:hint="eastAsia" w:ascii="宋体" w:hAnsi="宋体"/>
          <w:szCs w:val="21"/>
          <w:highlight w:val="none"/>
        </w:rPr>
        <w:t xml:space="preserve"> </w:t>
      </w:r>
    </w:p>
    <w:p w14:paraId="1B657E16">
      <w:pPr>
        <w:spacing w:line="400" w:lineRule="exact"/>
        <w:ind w:firstLine="417" w:firstLineChars="199"/>
        <w:rPr>
          <w:rFonts w:hint="eastAsia"/>
        </w:rPr>
      </w:pPr>
      <w:r>
        <w:rPr>
          <w:rFonts w:hint="eastAsia" w:ascii="宋体" w:hAnsi="宋体"/>
          <w:szCs w:val="21"/>
          <w:highlight w:val="none"/>
          <w:lang w:eastAsia="zh-CN"/>
        </w:rPr>
        <w:t>九、</w:t>
      </w:r>
      <w:r>
        <w:rPr>
          <w:rFonts w:hint="eastAsia" w:ascii="宋体" w:hAnsi="宋体"/>
          <w:szCs w:val="21"/>
          <w:highlight w:val="none"/>
        </w:rPr>
        <w:t>其他商务资格证明资料（格式自定）</w:t>
      </w:r>
    </w:p>
    <w:p w14:paraId="37F37525">
      <w:pPr>
        <w:spacing w:line="400" w:lineRule="exact"/>
        <w:ind w:firstLine="417" w:firstLineChars="199"/>
        <w:rPr>
          <w:rFonts w:hint="eastAsia" w:ascii="宋体" w:hAnsi="宋体"/>
          <w:b/>
          <w:bCs/>
          <w:szCs w:val="21"/>
          <w:highlight w:val="none"/>
        </w:rPr>
      </w:pPr>
      <w:r>
        <w:rPr>
          <w:rFonts w:hint="eastAsia" w:ascii="宋体" w:hAnsi="宋体"/>
          <w:b/>
          <w:bCs/>
          <w:szCs w:val="21"/>
          <w:highlight w:val="none"/>
        </w:rPr>
        <w:t>技术部分</w:t>
      </w:r>
    </w:p>
    <w:p w14:paraId="7179EC7D">
      <w:pPr>
        <w:pStyle w:val="39"/>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十、技术参数响应表</w:t>
      </w:r>
    </w:p>
    <w:p w14:paraId="07032AB8">
      <w:pPr>
        <w:numPr>
          <w:ilvl w:val="0"/>
          <w:numId w:val="0"/>
        </w:numPr>
        <w:spacing w:line="400" w:lineRule="exact"/>
        <w:ind w:firstLine="420" w:firstLineChars="200"/>
        <w:rPr>
          <w:rFonts w:hint="eastAsia" w:ascii="宋体" w:hAnsi="宋体"/>
          <w:szCs w:val="21"/>
          <w:highlight w:val="none"/>
        </w:rPr>
      </w:pPr>
      <w:r>
        <w:rPr>
          <w:rFonts w:hint="eastAsia" w:ascii="宋体" w:hAnsi="宋体"/>
          <w:szCs w:val="21"/>
          <w:highlight w:val="none"/>
          <w:lang w:eastAsia="zh-CN"/>
        </w:rPr>
        <w:t>十一、</w:t>
      </w:r>
      <w:r>
        <w:rPr>
          <w:rFonts w:hint="eastAsia" w:ascii="宋体" w:hAnsi="宋体"/>
          <w:szCs w:val="21"/>
          <w:highlight w:val="none"/>
        </w:rPr>
        <w:t>技术方案（投标人自行编写的技术文件</w:t>
      </w:r>
      <w:r>
        <w:rPr>
          <w:rFonts w:hint="eastAsia" w:ascii="宋体" w:hAnsi="宋体"/>
          <w:szCs w:val="21"/>
          <w:highlight w:val="none"/>
          <w:lang w:eastAsia="zh-CN"/>
        </w:rPr>
        <w:t>，包括但不限于</w:t>
      </w:r>
      <w:r>
        <w:rPr>
          <w:rFonts w:hint="eastAsia" w:ascii="宋体" w:hAnsi="宋体"/>
          <w:szCs w:val="21"/>
          <w:highlight w:val="none"/>
        </w:rPr>
        <w:t>）</w:t>
      </w:r>
    </w:p>
    <w:p w14:paraId="4AEBF197">
      <w:pPr>
        <w:pStyle w:val="39"/>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（1）针对本次招标内容的实施方案</w:t>
      </w:r>
    </w:p>
    <w:p w14:paraId="52D4FEB2">
      <w:pPr>
        <w:pStyle w:val="39"/>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（2）服务质量保证措施。</w:t>
      </w:r>
      <w:r>
        <w:rPr>
          <w:rFonts w:hint="eastAsia" w:ascii="宋体" w:hAnsi="宋体" w:eastAsia="宋体" w:cs="Times New Roman"/>
          <w:kern w:val="2"/>
          <w:sz w:val="21"/>
          <w:szCs w:val="21"/>
          <w:highlight w:val="none"/>
          <w:lang w:val="en-US" w:eastAsia="zh-CN" w:bidi="ar-SA"/>
        </w:rPr>
        <w:softHyphen/>
      </w:r>
    </w:p>
    <w:p w14:paraId="25FFC4CB">
      <w:pPr>
        <w:pStyle w:val="39"/>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（3）售后与承诺（范围、标准及期限等）。</w:t>
      </w:r>
    </w:p>
    <w:p w14:paraId="508F73BA">
      <w:pPr>
        <w:pStyle w:val="39"/>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（4）优惠措施（后期服务费用及方式）。</w:t>
      </w:r>
    </w:p>
    <w:p w14:paraId="752D1977">
      <w:pPr>
        <w:pStyle w:val="39"/>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（5）投标服务符合竞争性磋商文件规定的其他证明文件及磋商响应人认为需加以说明的其他内容。</w:t>
      </w:r>
    </w:p>
    <w:p w14:paraId="2094F535">
      <w:pPr>
        <w:pStyle w:val="39"/>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（6）投标承诺书（附件1）</w:t>
      </w:r>
    </w:p>
    <w:p w14:paraId="2D9DB304">
      <w:pPr>
        <w:pStyle w:val="39"/>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（7）评分标准和细则中技术部分证明材料（格式自拟）</w:t>
      </w:r>
    </w:p>
    <w:p w14:paraId="5CF1FAC8">
      <w:pPr>
        <w:pStyle w:val="39"/>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（8）投标人认为有必要提供的其他证明材料（格式自拟）</w:t>
      </w:r>
    </w:p>
    <w:p w14:paraId="5BD43839">
      <w:pPr>
        <w:spacing w:line="400" w:lineRule="exact"/>
        <w:ind w:firstLine="420" w:firstLineChars="200"/>
        <w:rPr>
          <w:rFonts w:hint="eastAsia" w:ascii="宋体" w:hAnsi="宋体"/>
          <w:szCs w:val="21"/>
          <w:highlight w:val="none"/>
        </w:rPr>
      </w:pPr>
      <w:r>
        <w:rPr>
          <w:rFonts w:hint="eastAsia" w:ascii="宋体" w:hAnsi="宋体" w:eastAsia="宋体" w:cs="Times New Roman"/>
          <w:kern w:val="2"/>
          <w:sz w:val="21"/>
          <w:szCs w:val="21"/>
          <w:highlight w:val="none"/>
          <w:lang w:val="en-US" w:eastAsia="zh-CN" w:bidi="ar-SA"/>
        </w:rPr>
        <w:t>十二、投标人认为需要提交的技术资料（根据评审标准自行添加）</w:t>
      </w:r>
    </w:p>
    <w:p w14:paraId="69354BE7">
      <w:pPr>
        <w:spacing w:line="400" w:lineRule="exact"/>
        <w:ind w:firstLine="417" w:firstLineChars="199"/>
        <w:rPr>
          <w:rFonts w:ascii="宋体"/>
          <w:szCs w:val="21"/>
          <w:highlight w:val="none"/>
        </w:rPr>
      </w:pPr>
      <w:r>
        <w:rPr>
          <w:rFonts w:hint="eastAsia" w:ascii="宋体" w:hAnsi="宋体" w:cs="宋体"/>
          <w:b/>
          <w:kern w:val="0"/>
          <w:szCs w:val="21"/>
          <w:highlight w:val="none"/>
          <w:u w:val="single"/>
        </w:rPr>
        <w:t>注：以上材料须逐页加盖单位公章。</w:t>
      </w:r>
    </w:p>
    <w:p w14:paraId="4D649F8E">
      <w:pPr>
        <w:spacing w:line="400" w:lineRule="exact"/>
        <w:ind w:firstLine="417" w:firstLineChars="199"/>
        <w:rPr>
          <w:rFonts w:ascii="宋体" w:hAnsi="宋体"/>
          <w:szCs w:val="21"/>
          <w:highlight w:val="none"/>
        </w:rPr>
      </w:pPr>
      <w:r>
        <w:rPr>
          <w:rFonts w:hint="eastAsia" w:ascii="宋体"/>
          <w:szCs w:val="21"/>
          <w:highlight w:val="none"/>
        </w:rPr>
        <w:t>21.</w:t>
      </w:r>
      <w:r>
        <w:rPr>
          <w:rFonts w:hint="eastAsia" w:ascii="宋体"/>
          <w:szCs w:val="21"/>
          <w:highlight w:val="none"/>
          <w:lang w:val="en-US" w:eastAsia="zh-CN"/>
        </w:rPr>
        <w:t>1</w:t>
      </w:r>
      <w:r>
        <w:rPr>
          <w:rFonts w:hint="eastAsia" w:ascii="宋体" w:hAnsi="宋体"/>
          <w:szCs w:val="21"/>
          <w:highlight w:val="none"/>
        </w:rPr>
        <w:t>投标文件的要求</w:t>
      </w:r>
    </w:p>
    <w:p w14:paraId="6BD7A126">
      <w:pPr>
        <w:spacing w:line="400" w:lineRule="exact"/>
        <w:ind w:firstLine="417" w:firstLineChars="199"/>
        <w:rPr>
          <w:rFonts w:ascii="宋体" w:hAnsi="宋体"/>
          <w:szCs w:val="21"/>
          <w:highlight w:val="none"/>
        </w:rPr>
      </w:pPr>
      <w:r>
        <w:rPr>
          <w:rFonts w:hint="eastAsia" w:ascii="宋体" w:hAnsi="宋体"/>
          <w:szCs w:val="21"/>
          <w:highlight w:val="none"/>
        </w:rPr>
        <w:t>（1）供应商应仔细阅读采购文件的所有内容，按照采购文件的要求详细编制投标文件，所提交的全部资料必须真实有效，并且要保证字迹清晰易于辨认。投标文件应对采购文件实质性内容作出响应，否则按无效标处理。</w:t>
      </w:r>
    </w:p>
    <w:p w14:paraId="139F7EE0">
      <w:pPr>
        <w:spacing w:line="400" w:lineRule="exact"/>
        <w:ind w:firstLine="417" w:firstLineChars="199"/>
        <w:rPr>
          <w:rFonts w:ascii="宋体" w:hAnsi="宋体"/>
          <w:szCs w:val="21"/>
          <w:highlight w:val="none"/>
        </w:rPr>
      </w:pPr>
      <w:r>
        <w:rPr>
          <w:rFonts w:hint="eastAsia" w:ascii="宋体" w:hAnsi="宋体"/>
          <w:szCs w:val="21"/>
          <w:highlight w:val="none"/>
        </w:rPr>
        <w:t>（2）投标文件格式应按本采购文件第六章格式要求编制，不得对采购文件格式进行增删更改，否则按无效标处理。</w:t>
      </w:r>
    </w:p>
    <w:p w14:paraId="49065F5C">
      <w:pPr>
        <w:spacing w:line="400" w:lineRule="exact"/>
        <w:ind w:firstLine="417" w:firstLineChars="199"/>
        <w:rPr>
          <w:rFonts w:ascii="宋体" w:hAnsi="宋体"/>
          <w:szCs w:val="21"/>
          <w:highlight w:val="none"/>
        </w:rPr>
      </w:pPr>
      <w:r>
        <w:rPr>
          <w:rFonts w:hint="eastAsia" w:ascii="宋体" w:hAnsi="宋体"/>
          <w:szCs w:val="21"/>
          <w:highlight w:val="none"/>
        </w:rPr>
        <w:t xml:space="preserve">（3）对采购文件格式可更改的例外情况：采购文件第六章附件格式要求中明确规定表格中行数不够用时可按相同格式增加行数，其他一切内容和格式不得更改。 </w:t>
      </w:r>
    </w:p>
    <w:p w14:paraId="45B5E57A">
      <w:pPr>
        <w:spacing w:line="400" w:lineRule="exact"/>
        <w:ind w:firstLine="417" w:firstLineChars="199"/>
        <w:rPr>
          <w:rFonts w:ascii="宋体" w:hAnsi="宋体"/>
          <w:szCs w:val="21"/>
          <w:highlight w:val="none"/>
        </w:rPr>
      </w:pPr>
      <w:r>
        <w:rPr>
          <w:rFonts w:hint="eastAsia" w:ascii="宋体" w:hAnsi="宋体"/>
          <w:szCs w:val="21"/>
          <w:highlight w:val="none"/>
        </w:rPr>
        <w:t>（4）投标文件为电子投标文件，电子投标文件按“政采云供应商项目采购-电子招投标操作指南”及本采购文件要求制作、加密传输。</w:t>
      </w:r>
    </w:p>
    <w:p w14:paraId="2E8D0FE8">
      <w:pPr>
        <w:spacing w:line="400" w:lineRule="exact"/>
        <w:ind w:firstLine="417" w:firstLineChars="199"/>
        <w:rPr>
          <w:rFonts w:ascii="宋体"/>
          <w:szCs w:val="21"/>
          <w:highlight w:val="none"/>
        </w:rPr>
      </w:pPr>
      <w:r>
        <w:rPr>
          <w:rFonts w:hint="eastAsia" w:ascii="宋体" w:hAnsi="宋体"/>
          <w:szCs w:val="21"/>
          <w:highlight w:val="none"/>
        </w:rPr>
        <w:t>（5）投标文件未在投标截止时间前完成传输的，视为投标文件撤回；投标文件未按时解密也未提供备份投标文件的，亦视为投标文件撤回。</w:t>
      </w:r>
    </w:p>
    <w:p w14:paraId="56F12E86">
      <w:pPr>
        <w:spacing w:line="440" w:lineRule="exact"/>
        <w:ind w:firstLine="420" w:firstLineChars="200"/>
        <w:rPr>
          <w:rFonts w:ascii="宋体"/>
          <w:szCs w:val="21"/>
          <w:highlight w:val="none"/>
        </w:rPr>
      </w:pPr>
      <w:r>
        <w:rPr>
          <w:rFonts w:hint="eastAsia" w:ascii="宋体"/>
          <w:b/>
          <w:szCs w:val="21"/>
          <w:highlight w:val="none"/>
        </w:rPr>
        <w:t>22</w:t>
      </w:r>
      <w:r>
        <w:rPr>
          <w:rFonts w:hint="eastAsia" w:ascii="宋体"/>
          <w:szCs w:val="21"/>
          <w:highlight w:val="none"/>
        </w:rPr>
        <w:t>.</w:t>
      </w:r>
      <w:r>
        <w:rPr>
          <w:rFonts w:hint="eastAsia" w:ascii="宋体"/>
          <w:b/>
          <w:szCs w:val="21"/>
          <w:highlight w:val="none"/>
        </w:rPr>
        <w:t>磋商报价</w:t>
      </w:r>
    </w:p>
    <w:p w14:paraId="5669A055">
      <w:pPr>
        <w:spacing w:line="440" w:lineRule="exact"/>
        <w:ind w:firstLine="420" w:firstLineChars="200"/>
        <w:rPr>
          <w:rFonts w:hint="eastAsia" w:ascii="宋体"/>
          <w:szCs w:val="21"/>
          <w:highlight w:val="none"/>
        </w:rPr>
      </w:pPr>
      <w:r>
        <w:rPr>
          <w:rFonts w:hint="eastAsia" w:ascii="宋体"/>
          <w:szCs w:val="21"/>
          <w:highlight w:val="none"/>
          <w:lang w:val="en-US" w:eastAsia="zh-CN"/>
        </w:rPr>
        <w:t>22.</w:t>
      </w:r>
      <w:r>
        <w:rPr>
          <w:rFonts w:hint="eastAsia" w:ascii="宋体"/>
          <w:szCs w:val="21"/>
          <w:highlight w:val="none"/>
        </w:rPr>
        <w:t>1本项目报价为分次报价，供应商响应文件中的报价作为第一次报价；以最终竞争性磋商报价作为评审价。</w:t>
      </w:r>
    </w:p>
    <w:p w14:paraId="71071CCB">
      <w:pPr>
        <w:spacing w:line="440" w:lineRule="exact"/>
        <w:ind w:firstLine="420" w:firstLineChars="200"/>
        <w:rPr>
          <w:rFonts w:hint="eastAsia" w:ascii="宋体"/>
          <w:szCs w:val="21"/>
          <w:highlight w:val="none"/>
        </w:rPr>
      </w:pPr>
      <w:r>
        <w:rPr>
          <w:rFonts w:hint="eastAsia" w:ascii="宋体"/>
          <w:szCs w:val="21"/>
          <w:highlight w:val="none"/>
          <w:lang w:val="en-US" w:eastAsia="zh-CN"/>
        </w:rPr>
        <w:t>22.</w:t>
      </w:r>
      <w:r>
        <w:rPr>
          <w:rFonts w:hint="eastAsia" w:ascii="宋体"/>
          <w:szCs w:val="21"/>
          <w:highlight w:val="none"/>
        </w:rPr>
        <w:t>2凡要求供应商考虑在报价中的内容供应商在响应文件中没有考虑、没有计入的或未单独列出，采购人认为供应商已将此项费用涵盖在其它费用价格中。</w:t>
      </w:r>
    </w:p>
    <w:p w14:paraId="46000AF1">
      <w:pPr>
        <w:spacing w:line="440" w:lineRule="exact"/>
        <w:ind w:firstLine="420" w:firstLineChars="200"/>
        <w:rPr>
          <w:rFonts w:hint="eastAsia" w:ascii="宋体"/>
          <w:szCs w:val="21"/>
          <w:highlight w:val="none"/>
        </w:rPr>
      </w:pPr>
      <w:r>
        <w:rPr>
          <w:rFonts w:hint="eastAsia" w:ascii="宋体"/>
          <w:szCs w:val="21"/>
          <w:highlight w:val="none"/>
          <w:lang w:val="en-US" w:eastAsia="zh-CN"/>
        </w:rPr>
        <w:t>22.</w:t>
      </w:r>
      <w:r>
        <w:rPr>
          <w:rFonts w:hint="eastAsia" w:ascii="宋体"/>
          <w:szCs w:val="21"/>
          <w:highlight w:val="none"/>
        </w:rPr>
        <w:t>3报价注意事项：</w:t>
      </w:r>
    </w:p>
    <w:p w14:paraId="30753B68">
      <w:pPr>
        <w:spacing w:line="440" w:lineRule="exact"/>
        <w:ind w:firstLine="420" w:firstLineChars="200"/>
        <w:rPr>
          <w:rFonts w:hint="eastAsia" w:ascii="宋体"/>
          <w:color w:val="auto"/>
          <w:szCs w:val="21"/>
          <w:highlight w:val="none"/>
        </w:rPr>
      </w:pPr>
      <w:r>
        <w:rPr>
          <w:rFonts w:hint="eastAsia" w:ascii="宋体"/>
          <w:color w:val="auto"/>
          <w:szCs w:val="21"/>
          <w:highlight w:val="none"/>
        </w:rPr>
        <w:t>（1）价格一律以（年）利率计算，以%为单位标准；</w:t>
      </w:r>
    </w:p>
    <w:p w14:paraId="693E8ED9">
      <w:pPr>
        <w:spacing w:line="440" w:lineRule="exact"/>
        <w:ind w:firstLine="420" w:firstLineChars="200"/>
        <w:rPr>
          <w:rFonts w:hint="eastAsia" w:ascii="宋体"/>
          <w:color w:val="auto"/>
          <w:szCs w:val="21"/>
          <w:highlight w:val="none"/>
        </w:rPr>
      </w:pPr>
      <w:r>
        <w:rPr>
          <w:rFonts w:hint="eastAsia" w:ascii="宋体"/>
          <w:color w:val="auto"/>
          <w:szCs w:val="21"/>
          <w:highlight w:val="none"/>
        </w:rPr>
        <w:t>（2）供应商报价时应充分考虑所有可能影响到报价的报价因素，一旦招标结束最终成交，总价将固定，不予调整。如发生漏、缺、少项，都将被认为是成交人的报价让利行为，损失自负。</w:t>
      </w:r>
    </w:p>
    <w:p w14:paraId="233C4B78">
      <w:pPr>
        <w:spacing w:line="440" w:lineRule="exact"/>
        <w:ind w:firstLine="420" w:firstLineChars="200"/>
        <w:rPr>
          <w:rFonts w:ascii="宋体"/>
          <w:b/>
          <w:szCs w:val="21"/>
          <w:highlight w:val="none"/>
        </w:rPr>
      </w:pPr>
      <w:r>
        <w:rPr>
          <w:rFonts w:hint="eastAsia" w:ascii="宋体"/>
          <w:b/>
          <w:szCs w:val="21"/>
          <w:highlight w:val="none"/>
        </w:rPr>
        <w:t>23. 投标有效期</w:t>
      </w:r>
    </w:p>
    <w:p w14:paraId="6ACF4C9D">
      <w:pPr>
        <w:spacing w:line="440" w:lineRule="exact"/>
        <w:ind w:firstLine="420" w:firstLineChars="200"/>
        <w:rPr>
          <w:rFonts w:ascii="宋体"/>
          <w:szCs w:val="21"/>
          <w:highlight w:val="none"/>
        </w:rPr>
      </w:pPr>
      <w:r>
        <w:rPr>
          <w:rFonts w:hint="eastAsia" w:ascii="宋体"/>
          <w:szCs w:val="21"/>
          <w:highlight w:val="none"/>
        </w:rPr>
        <w:t>23.1 除投标人须知前附表另有规定外，投标有效期为60天。</w:t>
      </w:r>
    </w:p>
    <w:p w14:paraId="0A7BF347">
      <w:pPr>
        <w:spacing w:line="440" w:lineRule="exact"/>
        <w:ind w:firstLine="420" w:firstLineChars="200"/>
        <w:rPr>
          <w:rFonts w:ascii="宋体"/>
          <w:szCs w:val="21"/>
          <w:highlight w:val="none"/>
        </w:rPr>
      </w:pPr>
      <w:r>
        <w:rPr>
          <w:rFonts w:hint="eastAsia" w:ascii="宋体"/>
          <w:szCs w:val="21"/>
          <w:highlight w:val="none"/>
        </w:rPr>
        <w:t>23.2在投标有效期内，投标人撤销或修改其投标文件的，应承担采购文件和法律规定的责任。</w:t>
      </w:r>
    </w:p>
    <w:p w14:paraId="19075EDA">
      <w:pPr>
        <w:spacing w:line="440" w:lineRule="exact"/>
        <w:ind w:firstLine="420" w:firstLineChars="200"/>
        <w:rPr>
          <w:rFonts w:ascii="宋体"/>
          <w:szCs w:val="21"/>
          <w:highlight w:val="none"/>
        </w:rPr>
      </w:pPr>
      <w:r>
        <w:rPr>
          <w:rFonts w:hint="eastAsia" w:ascii="宋体"/>
          <w:szCs w:val="21"/>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3C434DD6">
      <w:pPr>
        <w:spacing w:line="440" w:lineRule="exact"/>
        <w:ind w:firstLine="403" w:firstLineChars="192"/>
        <w:rPr>
          <w:rFonts w:ascii="宋体"/>
          <w:b/>
          <w:szCs w:val="21"/>
          <w:highlight w:val="none"/>
        </w:rPr>
      </w:pPr>
      <w:r>
        <w:rPr>
          <w:rFonts w:hint="eastAsia" w:ascii="宋体"/>
          <w:b/>
          <w:szCs w:val="21"/>
          <w:highlight w:val="none"/>
        </w:rPr>
        <w:t>24. 投标保证金</w:t>
      </w:r>
    </w:p>
    <w:p w14:paraId="02D88E85">
      <w:pPr>
        <w:spacing w:line="400" w:lineRule="exact"/>
        <w:ind w:firstLine="420" w:firstLineChars="200"/>
        <w:rPr>
          <w:rFonts w:ascii="宋体"/>
          <w:szCs w:val="21"/>
          <w:highlight w:val="none"/>
        </w:rPr>
      </w:pPr>
      <w:r>
        <w:rPr>
          <w:rFonts w:hint="eastAsia" w:ascii="宋体"/>
          <w:szCs w:val="21"/>
          <w:highlight w:val="none"/>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14:paraId="0E33332F">
      <w:pPr>
        <w:spacing w:line="400" w:lineRule="exact"/>
        <w:ind w:firstLine="420" w:firstLineChars="200"/>
        <w:rPr>
          <w:rFonts w:ascii="宋体"/>
          <w:szCs w:val="21"/>
          <w:highlight w:val="none"/>
        </w:rPr>
      </w:pPr>
      <w:r>
        <w:rPr>
          <w:rFonts w:hint="eastAsia" w:ascii="宋体"/>
          <w:szCs w:val="21"/>
          <w:highlight w:val="none"/>
        </w:rPr>
        <w:t>24.2自中标通知书发出之日起5个工作日内退还未中标投标人的投标保证金，自政府采购合同签订之日起5个工作日内退还中标人的投标保证金。</w:t>
      </w:r>
    </w:p>
    <w:p w14:paraId="36178783">
      <w:pPr>
        <w:spacing w:line="400" w:lineRule="exact"/>
        <w:ind w:firstLine="420" w:firstLineChars="200"/>
        <w:rPr>
          <w:rFonts w:ascii="宋体"/>
          <w:szCs w:val="21"/>
          <w:highlight w:val="none"/>
        </w:rPr>
      </w:pPr>
      <w:r>
        <w:rPr>
          <w:rFonts w:hint="eastAsia" w:ascii="宋体"/>
          <w:szCs w:val="21"/>
          <w:highlight w:val="none"/>
        </w:rPr>
        <w:t xml:space="preserve">24.3有下列情形之一的，投标保证金将不予退还： </w:t>
      </w:r>
    </w:p>
    <w:p w14:paraId="1B135B59">
      <w:pPr>
        <w:spacing w:line="400" w:lineRule="exact"/>
        <w:ind w:firstLine="420" w:firstLineChars="200"/>
        <w:rPr>
          <w:rFonts w:ascii="宋体"/>
          <w:szCs w:val="21"/>
          <w:highlight w:val="none"/>
        </w:rPr>
      </w:pPr>
      <w:r>
        <w:rPr>
          <w:rFonts w:hint="eastAsia" w:ascii="宋体"/>
          <w:szCs w:val="21"/>
          <w:highlight w:val="none"/>
        </w:rPr>
        <w:t>（1）投标人在规定的投标有效期内撤回或修改其投标文件；</w:t>
      </w:r>
    </w:p>
    <w:p w14:paraId="7680DE6C">
      <w:pPr>
        <w:spacing w:line="400" w:lineRule="exact"/>
        <w:ind w:firstLine="420" w:firstLineChars="200"/>
        <w:rPr>
          <w:rFonts w:ascii="宋体"/>
          <w:szCs w:val="21"/>
          <w:highlight w:val="none"/>
        </w:rPr>
      </w:pPr>
      <w:r>
        <w:rPr>
          <w:rFonts w:hint="eastAsia" w:ascii="宋体"/>
          <w:szCs w:val="21"/>
          <w:highlight w:val="none"/>
        </w:rPr>
        <w:t>（2）成交通知书发出后三十天内，中标人无正当理由拒签合同协议书或未按采购文件规定提交履约担保。</w:t>
      </w:r>
    </w:p>
    <w:p w14:paraId="7627C5F6">
      <w:pPr>
        <w:spacing w:line="400" w:lineRule="exact"/>
        <w:ind w:firstLine="420" w:firstLineChars="200"/>
        <w:rPr>
          <w:rFonts w:ascii="宋体"/>
          <w:szCs w:val="21"/>
          <w:highlight w:val="none"/>
        </w:rPr>
      </w:pPr>
      <w:r>
        <w:rPr>
          <w:rFonts w:hint="eastAsia" w:ascii="宋体"/>
          <w:szCs w:val="21"/>
          <w:highlight w:val="none"/>
        </w:rPr>
        <w:t>（3）提供虚假材料谋取中标的；</w:t>
      </w:r>
    </w:p>
    <w:p w14:paraId="1B8E586E">
      <w:pPr>
        <w:spacing w:line="400" w:lineRule="exact"/>
        <w:ind w:firstLine="420" w:firstLineChars="200"/>
        <w:rPr>
          <w:rFonts w:ascii="宋体"/>
          <w:szCs w:val="21"/>
          <w:highlight w:val="none"/>
        </w:rPr>
      </w:pPr>
      <w:r>
        <w:rPr>
          <w:rFonts w:hint="eastAsia" w:ascii="宋体"/>
          <w:szCs w:val="21"/>
          <w:highlight w:val="none"/>
        </w:rPr>
        <w:t>（4）经查实属于陪标、串通投标的等。</w:t>
      </w:r>
    </w:p>
    <w:p w14:paraId="331BFDBB">
      <w:pPr>
        <w:spacing w:line="400" w:lineRule="exact"/>
        <w:ind w:firstLine="420" w:firstLineChars="200"/>
        <w:rPr>
          <w:rFonts w:ascii="宋体"/>
          <w:szCs w:val="21"/>
          <w:highlight w:val="none"/>
        </w:rPr>
      </w:pPr>
      <w:bookmarkStart w:id="46" w:name="_Toc469495727"/>
      <w:r>
        <w:rPr>
          <w:rFonts w:hint="eastAsia" w:ascii="宋体"/>
          <w:szCs w:val="21"/>
          <w:highlight w:val="none"/>
        </w:rPr>
        <w:t>24.4投标保证金按投标人须知前附表第24条规定执行。</w:t>
      </w:r>
    </w:p>
    <w:p w14:paraId="26F944AF">
      <w:pPr>
        <w:pStyle w:val="3"/>
        <w:jc w:val="center"/>
        <w:rPr>
          <w:sz w:val="28"/>
          <w:szCs w:val="28"/>
          <w:highlight w:val="none"/>
        </w:rPr>
      </w:pPr>
      <w:bookmarkStart w:id="47" w:name="_Toc859"/>
      <w:r>
        <w:rPr>
          <w:rFonts w:hint="eastAsia"/>
          <w:sz w:val="28"/>
          <w:szCs w:val="28"/>
          <w:highlight w:val="none"/>
        </w:rPr>
        <w:t>（四）</w:t>
      </w:r>
      <w:bookmarkEnd w:id="46"/>
      <w:r>
        <w:rPr>
          <w:rFonts w:hint="eastAsia"/>
          <w:sz w:val="28"/>
          <w:szCs w:val="28"/>
          <w:highlight w:val="none"/>
        </w:rPr>
        <w:t>投标文件的制作、上传及递交要求</w:t>
      </w:r>
      <w:bookmarkEnd w:id="47"/>
    </w:p>
    <w:p w14:paraId="17301663">
      <w:pPr>
        <w:snapToGrid w:val="0"/>
        <w:spacing w:line="360" w:lineRule="auto"/>
        <w:ind w:firstLine="420" w:firstLineChars="200"/>
        <w:rPr>
          <w:rFonts w:ascii="宋体" w:hAnsi="宋体" w:cs="宋体"/>
          <w:b/>
          <w:szCs w:val="21"/>
          <w:highlight w:val="none"/>
        </w:rPr>
      </w:pPr>
      <w:r>
        <w:rPr>
          <w:rFonts w:hint="eastAsia" w:ascii="宋体" w:hAnsi="宋体" w:cs="宋体"/>
          <w:b/>
          <w:bCs/>
          <w:szCs w:val="21"/>
          <w:highlight w:val="none"/>
        </w:rPr>
        <w:t>25.投标文件的制作要求</w:t>
      </w:r>
    </w:p>
    <w:p w14:paraId="4B3567B6">
      <w:pPr>
        <w:pStyle w:val="5"/>
        <w:snapToGrid w:val="0"/>
        <w:spacing w:line="360" w:lineRule="auto"/>
        <w:rPr>
          <w:rFonts w:ascii="宋体" w:hAnsi="宋体" w:cs="宋体"/>
          <w:sz w:val="21"/>
          <w:szCs w:val="21"/>
          <w:highlight w:val="none"/>
        </w:rPr>
      </w:pPr>
      <w:r>
        <w:rPr>
          <w:rFonts w:hint="eastAsia" w:ascii="宋体" w:hAnsi="宋体" w:cs="宋体"/>
          <w:bCs/>
          <w:sz w:val="21"/>
          <w:szCs w:val="21"/>
          <w:highlight w:val="none"/>
        </w:rPr>
        <w:t>（1）供应商应按照投标文件组成内容及项目招标需求和新疆政府采购云平台要求制作投标文件，不按采购文件和新疆政府采购云平台要求制作投标文件的将视情况处理（拒收等），由此产生的责任由供应商自行承担。</w:t>
      </w:r>
    </w:p>
    <w:p w14:paraId="2997BA62">
      <w:pPr>
        <w:pStyle w:val="5"/>
        <w:snapToGrid w:val="0"/>
        <w:spacing w:line="360" w:lineRule="auto"/>
        <w:ind w:firstLine="420" w:firstLineChars="200"/>
        <w:rPr>
          <w:rFonts w:ascii="宋体" w:hAnsi="宋体" w:cs="宋体"/>
          <w:sz w:val="21"/>
          <w:szCs w:val="21"/>
          <w:highlight w:val="none"/>
        </w:rPr>
      </w:pPr>
      <w:r>
        <w:rPr>
          <w:rFonts w:hint="eastAsia" w:ascii="宋体" w:hAnsi="宋体" w:cs="宋体"/>
          <w:bCs/>
          <w:sz w:val="21"/>
          <w:szCs w:val="21"/>
          <w:highlight w:val="none"/>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14:paraId="5C51EDB5">
      <w:pPr>
        <w:pStyle w:val="5"/>
        <w:snapToGrid w:val="0"/>
        <w:spacing w:line="360"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备份电子投标文件：通过“政采云”平台电子投标工具制作投标文件所产生的备份文件。</w:t>
      </w:r>
    </w:p>
    <w:p w14:paraId="210DEBDD">
      <w:pPr>
        <w:pStyle w:val="5"/>
        <w:snapToGrid w:val="0"/>
        <w:spacing w:line="360" w:lineRule="auto"/>
        <w:rPr>
          <w:rFonts w:ascii="宋体" w:hAnsi="宋体" w:cs="宋体"/>
          <w:bCs/>
          <w:sz w:val="21"/>
          <w:szCs w:val="21"/>
          <w:highlight w:val="none"/>
        </w:rPr>
      </w:pPr>
      <w:r>
        <w:rPr>
          <w:rFonts w:hint="eastAsia" w:ascii="宋体" w:hAnsi="宋体" w:cs="宋体"/>
          <w:bCs/>
          <w:sz w:val="21"/>
          <w:szCs w:val="21"/>
          <w:highlight w:val="none"/>
        </w:rPr>
        <w:t>（2）供应商应对所提供的全部资料的真实性、有效性承担法律责任，电子投标文件中所须加盖公章部分均采用CA签章。</w:t>
      </w:r>
    </w:p>
    <w:p w14:paraId="3182ABBE">
      <w:pPr>
        <w:pStyle w:val="5"/>
        <w:snapToGrid w:val="0"/>
        <w:spacing w:line="360" w:lineRule="auto"/>
        <w:rPr>
          <w:rFonts w:ascii="宋体" w:hAnsi="宋体" w:cs="宋体"/>
          <w:bCs/>
          <w:sz w:val="21"/>
          <w:szCs w:val="21"/>
          <w:highlight w:val="none"/>
        </w:rPr>
      </w:pPr>
      <w:r>
        <w:rPr>
          <w:rFonts w:hint="eastAsia" w:ascii="宋体" w:hAnsi="宋体" w:cs="宋体"/>
          <w:bCs/>
          <w:sz w:val="21"/>
          <w:szCs w:val="21"/>
          <w:highlight w:val="none"/>
        </w:rPr>
        <w:t>（3）投标文件以及供应商与采购组织机构就有关投标事宜的所有来往函电，均应以中文汉语书写。除签字、盖章、专用名称等特殊情形外，以中文汉语以外的文字表述的投标文件视同未提供。</w:t>
      </w:r>
    </w:p>
    <w:p w14:paraId="0A654181">
      <w:pPr>
        <w:pStyle w:val="5"/>
        <w:snapToGrid w:val="0"/>
        <w:spacing w:line="360" w:lineRule="auto"/>
        <w:rPr>
          <w:rFonts w:ascii="宋体" w:hAnsi="宋体" w:cs="宋体"/>
          <w:bCs/>
          <w:sz w:val="21"/>
          <w:szCs w:val="21"/>
          <w:highlight w:val="none"/>
        </w:rPr>
      </w:pPr>
      <w:r>
        <w:rPr>
          <w:rFonts w:hint="eastAsia" w:ascii="宋体" w:hAnsi="宋体" w:cs="宋体"/>
          <w:bCs/>
          <w:sz w:val="21"/>
          <w:szCs w:val="21"/>
          <w:highlight w:val="none"/>
        </w:rPr>
        <w:t>（4）投标计量单位，采购文件已有明确规定的，使用采购文件规定的计量单位；采购文件没有规定的，应采用中华人民共和国法定计量单位（货币单位：人民币元）。</w:t>
      </w:r>
    </w:p>
    <w:p w14:paraId="783EF941">
      <w:pPr>
        <w:pStyle w:val="5"/>
        <w:snapToGrid w:val="0"/>
        <w:spacing w:line="360" w:lineRule="auto"/>
        <w:rPr>
          <w:rFonts w:ascii="宋体" w:hAnsi="宋体" w:cs="宋体"/>
          <w:bCs/>
          <w:sz w:val="21"/>
          <w:szCs w:val="21"/>
          <w:highlight w:val="none"/>
        </w:rPr>
      </w:pPr>
      <w:r>
        <w:rPr>
          <w:rFonts w:hint="eastAsia" w:ascii="宋体" w:hAnsi="宋体" w:cs="宋体"/>
          <w:bCs/>
          <w:sz w:val="21"/>
          <w:szCs w:val="21"/>
          <w:highlight w:val="none"/>
        </w:rPr>
        <w:t>（5）若供应商不按采购文件的要求提供资格审查材料，其风险由供应商自行承担。</w:t>
      </w:r>
    </w:p>
    <w:p w14:paraId="3DC33DCA">
      <w:pPr>
        <w:pStyle w:val="5"/>
        <w:snapToGrid w:val="0"/>
        <w:spacing w:line="360" w:lineRule="auto"/>
        <w:rPr>
          <w:rFonts w:ascii="宋体" w:hAnsi="宋体" w:cs="宋体"/>
          <w:bCs/>
          <w:sz w:val="21"/>
          <w:szCs w:val="21"/>
          <w:highlight w:val="none"/>
        </w:rPr>
      </w:pPr>
      <w:r>
        <w:rPr>
          <w:rFonts w:hint="eastAsia" w:ascii="宋体" w:hAnsi="宋体" w:cs="宋体"/>
          <w:bCs/>
          <w:sz w:val="21"/>
          <w:szCs w:val="21"/>
          <w:highlight w:val="none"/>
        </w:rPr>
        <w:t>（6）与本次投标无关的内容请不要制作在内，确保投标文件有针对性、简洁明了。</w:t>
      </w:r>
    </w:p>
    <w:p w14:paraId="404B260D">
      <w:pPr>
        <w:snapToGrid w:val="0"/>
        <w:spacing w:line="360" w:lineRule="auto"/>
        <w:ind w:firstLine="420" w:firstLineChars="200"/>
        <w:rPr>
          <w:rFonts w:ascii="宋体" w:hAnsi="宋体" w:cs="宋体"/>
          <w:b/>
          <w:szCs w:val="21"/>
          <w:highlight w:val="none"/>
        </w:rPr>
      </w:pPr>
      <w:r>
        <w:rPr>
          <w:rFonts w:hint="eastAsia" w:ascii="宋体" w:hAnsi="宋体" w:cs="宋体"/>
          <w:b/>
          <w:bCs/>
          <w:szCs w:val="21"/>
          <w:highlight w:val="none"/>
        </w:rPr>
        <w:t>26.投标文件的上传</w:t>
      </w:r>
    </w:p>
    <w:p w14:paraId="0B949CF2">
      <w:pPr>
        <w:pStyle w:val="5"/>
        <w:snapToGrid w:val="0"/>
        <w:spacing w:line="360" w:lineRule="auto"/>
        <w:rPr>
          <w:rFonts w:ascii="宋体" w:hAnsi="宋体" w:cs="宋体"/>
          <w:b/>
          <w:bCs/>
          <w:sz w:val="21"/>
          <w:szCs w:val="21"/>
          <w:highlight w:val="none"/>
        </w:rPr>
      </w:pPr>
      <w:r>
        <w:rPr>
          <w:rFonts w:hint="eastAsia" w:ascii="宋体" w:hAnsi="宋体" w:cs="宋体"/>
          <w:b/>
          <w:bCs/>
          <w:sz w:val="21"/>
          <w:szCs w:val="21"/>
          <w:highlight w:val="none"/>
        </w:rPr>
        <w:t>（1）</w:t>
      </w:r>
      <w:r>
        <w:rPr>
          <w:rFonts w:hint="eastAsia" w:ascii="宋体" w:hAnsi="宋体" w:cs="宋体"/>
          <w:b/>
          <w:bCs/>
          <w:sz w:val="21"/>
          <w:szCs w:val="21"/>
          <w:highlight w:val="none"/>
          <w:lang w:bidi="zh-CN"/>
        </w:rPr>
        <w:t>电子加密投标文件（“.jmbs”格式）</w:t>
      </w:r>
      <w:r>
        <w:rPr>
          <w:rFonts w:hint="eastAsia" w:ascii="宋体" w:hAnsi="宋体" w:cs="宋体"/>
          <w:b/>
          <w:bCs/>
          <w:sz w:val="21"/>
          <w:szCs w:val="21"/>
          <w:highlight w:val="none"/>
        </w:rPr>
        <w:t>：</w:t>
      </w:r>
    </w:p>
    <w:p w14:paraId="58BBD417">
      <w:pPr>
        <w:pStyle w:val="5"/>
        <w:snapToGrid w:val="0"/>
        <w:spacing w:line="360" w:lineRule="auto"/>
        <w:ind w:firstLine="525" w:firstLineChars="250"/>
        <w:rPr>
          <w:rFonts w:ascii="宋体" w:hAnsi="宋体" w:cs="宋体"/>
          <w:bCs/>
          <w:sz w:val="21"/>
          <w:szCs w:val="21"/>
          <w:highlight w:val="none"/>
          <w:lang w:bidi="zh-CN"/>
        </w:rPr>
      </w:pPr>
      <w:r>
        <w:rPr>
          <w:rFonts w:hint="eastAsia" w:ascii="宋体" w:hAnsi="宋体" w:cs="宋体"/>
          <w:bCs/>
          <w:sz w:val="21"/>
          <w:szCs w:val="21"/>
          <w:highlight w:val="none"/>
          <w:lang w:bidi="zh-CN"/>
        </w:rPr>
        <w:t>a.</w:t>
      </w:r>
      <w:r>
        <w:rPr>
          <w:rFonts w:hint="eastAsia" w:ascii="宋体" w:hAnsi="宋体" w:cs="宋体"/>
          <w:bCs/>
          <w:sz w:val="21"/>
          <w:szCs w:val="21"/>
          <w:highlight w:val="none"/>
        </w:rPr>
        <w:t xml:space="preserve"> </w:t>
      </w:r>
      <w:r>
        <w:rPr>
          <w:rFonts w:hint="eastAsia" w:ascii="宋体" w:hAnsi="宋体" w:cs="宋体"/>
          <w:bCs/>
          <w:sz w:val="21"/>
          <w:szCs w:val="21"/>
          <w:highlight w:val="none"/>
          <w:lang w:bidi="zh-CN"/>
        </w:rPr>
        <w:t>供应商应在投标截止时间前将电子加密投标文件成功上传递交至新疆政府采购云平台，否则投标无效；</w:t>
      </w:r>
    </w:p>
    <w:p w14:paraId="13B212C5">
      <w:pPr>
        <w:pStyle w:val="5"/>
        <w:snapToGrid w:val="0"/>
        <w:spacing w:line="360" w:lineRule="auto"/>
        <w:ind w:firstLine="525" w:firstLineChars="250"/>
        <w:rPr>
          <w:rFonts w:ascii="宋体" w:hAnsi="宋体" w:cs="宋体"/>
          <w:bCs/>
          <w:sz w:val="21"/>
          <w:szCs w:val="21"/>
          <w:highlight w:val="none"/>
        </w:rPr>
      </w:pPr>
      <w:r>
        <w:rPr>
          <w:rFonts w:hint="eastAsia" w:ascii="宋体" w:hAnsi="宋体" w:cs="宋体"/>
          <w:bCs/>
          <w:sz w:val="21"/>
          <w:szCs w:val="21"/>
          <w:highlight w:val="none"/>
          <w:lang w:bidi="zh-CN"/>
        </w:rPr>
        <w:t>b.供应商成功上传电子加密投标文件后，可自行打印投标文件接收回执。</w:t>
      </w:r>
    </w:p>
    <w:p w14:paraId="4996C2D0">
      <w:pPr>
        <w:pStyle w:val="5"/>
        <w:snapToGrid w:val="0"/>
        <w:spacing w:line="360" w:lineRule="auto"/>
        <w:rPr>
          <w:rFonts w:ascii="宋体" w:hAnsi="宋体" w:cs="宋体"/>
          <w:b/>
          <w:bCs/>
          <w:sz w:val="21"/>
          <w:szCs w:val="21"/>
          <w:highlight w:val="none"/>
          <w:lang w:bidi="zh-CN"/>
        </w:rPr>
      </w:pPr>
      <w:r>
        <w:rPr>
          <w:rFonts w:hint="eastAsia" w:ascii="宋体" w:hAnsi="宋体" w:cs="宋体"/>
          <w:b/>
          <w:bCs/>
          <w:sz w:val="21"/>
          <w:szCs w:val="21"/>
          <w:highlight w:val="none"/>
        </w:rPr>
        <w:t>（2）</w:t>
      </w:r>
      <w:r>
        <w:rPr>
          <w:rFonts w:hint="eastAsia" w:ascii="宋体" w:hAnsi="宋体" w:cs="宋体"/>
          <w:b/>
          <w:bCs/>
          <w:sz w:val="21"/>
          <w:szCs w:val="21"/>
          <w:highlight w:val="none"/>
          <w:lang w:bidi="zh-CN"/>
        </w:rPr>
        <w:t>备份投标文件（“.bfbs”格式）：</w:t>
      </w:r>
    </w:p>
    <w:p w14:paraId="7F5A7FE7">
      <w:pPr>
        <w:pStyle w:val="5"/>
        <w:snapToGrid w:val="0"/>
        <w:spacing w:line="360" w:lineRule="auto"/>
        <w:ind w:firstLine="525" w:firstLineChars="250"/>
        <w:rPr>
          <w:rFonts w:ascii="宋体" w:hAnsi="宋体" w:cs="宋体"/>
          <w:color w:val="auto"/>
          <w:sz w:val="21"/>
          <w:szCs w:val="21"/>
          <w:highlight w:val="none"/>
          <w:lang w:bidi="zh-CN"/>
        </w:rPr>
      </w:pPr>
      <w:r>
        <w:rPr>
          <w:rFonts w:hint="eastAsia" w:ascii="宋体" w:hAnsi="宋体" w:cs="宋体"/>
          <w:bCs/>
          <w:sz w:val="21"/>
          <w:szCs w:val="21"/>
          <w:highlight w:val="none"/>
          <w:lang w:bidi="zh-CN"/>
        </w:rPr>
        <w:t>a.供应商可以将备份投标文件打包压缩并加密，压缩包命名为“XX单位备份投标文件”，加密密码由供应商自行保管；送达时间以采购代理机构实际接收时间为准。</w:t>
      </w:r>
      <w:r>
        <w:rPr>
          <w:rFonts w:hint="eastAsia" w:ascii="宋体" w:hAnsi="宋体" w:cs="宋体"/>
          <w:sz w:val="21"/>
          <w:szCs w:val="21"/>
          <w:highlight w:val="none"/>
          <w:lang w:bidi="zh-CN"/>
        </w:rPr>
        <w:t>“备份投标文件”以投标截止时间前指定接收邮箱最终收到的文件为准，逾期或未按要求提供的视为未提供，建议供应商提前1日办理邮件提</w:t>
      </w:r>
      <w:r>
        <w:rPr>
          <w:rFonts w:hint="eastAsia" w:ascii="宋体" w:hAnsi="宋体" w:cs="宋体"/>
          <w:color w:val="auto"/>
          <w:sz w:val="21"/>
          <w:szCs w:val="21"/>
          <w:highlight w:val="none"/>
          <w:lang w:bidi="zh-CN"/>
        </w:rPr>
        <w:t>供事宜（接收人邮箱：</w:t>
      </w:r>
      <w:r>
        <w:rPr>
          <w:color w:val="auto"/>
          <w:highlight w:val="none"/>
          <w:u w:val="single"/>
        </w:rPr>
        <w:fldChar w:fldCharType="begin"/>
      </w:r>
      <w:r>
        <w:rPr>
          <w:color w:val="auto"/>
          <w:highlight w:val="none"/>
          <w:u w:val="single"/>
        </w:rPr>
        <w:instrText xml:space="preserve"> HYPERLINK "mailto:1207446769@qq.com，接收人：陈加轲，电话：15157655122" </w:instrText>
      </w:r>
      <w:r>
        <w:rPr>
          <w:color w:val="auto"/>
          <w:highlight w:val="none"/>
          <w:u w:val="single"/>
        </w:rPr>
        <w:fldChar w:fldCharType="separate"/>
      </w:r>
      <w:r>
        <w:rPr>
          <w:rFonts w:hint="eastAsia" w:ascii="宋体" w:hAnsi="宋体" w:cs="宋体"/>
          <w:color w:val="auto"/>
          <w:sz w:val="21"/>
          <w:szCs w:val="21"/>
          <w:highlight w:val="none"/>
          <w:u w:val="single"/>
          <w:lang w:bidi="zh-CN"/>
        </w:rPr>
        <w:t>19246091@qq.com</w:t>
      </w:r>
      <w:r>
        <w:rPr>
          <w:rStyle w:val="34"/>
          <w:rFonts w:hint="eastAsia" w:ascii="宋体" w:hAnsi="宋体" w:cs="宋体"/>
          <w:color w:val="auto"/>
          <w:sz w:val="21"/>
          <w:szCs w:val="21"/>
          <w:highlight w:val="none"/>
          <w:u w:val="single"/>
          <w:lang w:bidi="zh-CN"/>
        </w:rPr>
        <w:t>，接收人：黄女士，电话：</w:t>
      </w:r>
      <w:r>
        <w:rPr>
          <w:rFonts w:hint="eastAsia" w:ascii="宋体" w:hAnsi="宋体" w:cs="宋体"/>
          <w:color w:val="auto"/>
          <w:sz w:val="21"/>
          <w:szCs w:val="21"/>
          <w:highlight w:val="none"/>
          <w:u w:val="single"/>
          <w:lang w:val="en-US" w:bidi="zh-CN"/>
        </w:rPr>
        <w:t>1</w:t>
      </w:r>
      <w:r>
        <w:rPr>
          <w:rFonts w:hint="eastAsia" w:ascii="宋体" w:hAnsi="宋体" w:cs="宋体"/>
          <w:color w:val="auto"/>
          <w:sz w:val="21"/>
          <w:szCs w:val="21"/>
          <w:highlight w:val="none"/>
          <w:u w:val="single"/>
          <w:lang w:bidi="zh-CN"/>
        </w:rPr>
        <w:fldChar w:fldCharType="end"/>
      </w:r>
      <w:r>
        <w:rPr>
          <w:rFonts w:hint="eastAsia" w:ascii="宋体" w:hAnsi="宋体" w:cs="宋体"/>
          <w:color w:val="auto"/>
          <w:sz w:val="21"/>
          <w:szCs w:val="21"/>
          <w:highlight w:val="none"/>
          <w:u w:val="single"/>
          <w:lang w:val="en-US" w:bidi="zh-CN"/>
        </w:rPr>
        <w:t>7609081174</w:t>
      </w:r>
      <w:r>
        <w:rPr>
          <w:rFonts w:hint="eastAsia" w:ascii="宋体" w:hAnsi="宋体" w:cs="宋体"/>
          <w:color w:val="auto"/>
          <w:sz w:val="21"/>
          <w:szCs w:val="21"/>
          <w:highlight w:val="none"/>
          <w:lang w:bidi="zh-CN"/>
        </w:rPr>
        <w:t>）；</w:t>
      </w:r>
    </w:p>
    <w:p w14:paraId="7B6BB663">
      <w:pPr>
        <w:pStyle w:val="5"/>
        <w:snapToGrid w:val="0"/>
        <w:spacing w:line="360" w:lineRule="auto"/>
        <w:ind w:firstLine="525" w:firstLineChars="250"/>
        <w:rPr>
          <w:rFonts w:ascii="宋体" w:hAnsi="宋体" w:cs="宋体"/>
          <w:bCs/>
          <w:sz w:val="21"/>
          <w:szCs w:val="21"/>
          <w:highlight w:val="none"/>
          <w:lang w:bidi="zh-CN"/>
        </w:rPr>
      </w:pPr>
      <w:r>
        <w:rPr>
          <w:rFonts w:hint="eastAsia" w:ascii="宋体" w:hAnsi="宋体" w:cs="宋体"/>
          <w:bCs/>
          <w:sz w:val="21"/>
          <w:szCs w:val="21"/>
          <w:highlight w:val="none"/>
          <w:lang w:bidi="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14:paraId="5156ABB2">
      <w:pPr>
        <w:snapToGrid w:val="0"/>
        <w:spacing w:line="360" w:lineRule="auto"/>
        <w:ind w:firstLine="420" w:firstLineChars="200"/>
        <w:rPr>
          <w:rFonts w:ascii="宋体" w:hAnsi="宋体" w:cs="宋体"/>
          <w:b/>
          <w:szCs w:val="21"/>
          <w:highlight w:val="none"/>
        </w:rPr>
      </w:pPr>
      <w:r>
        <w:rPr>
          <w:rFonts w:hint="eastAsia" w:ascii="宋体" w:hAnsi="宋体" w:cs="宋体"/>
          <w:b/>
          <w:bCs/>
          <w:szCs w:val="21"/>
          <w:highlight w:val="none"/>
        </w:rPr>
        <w:t>27.</w:t>
      </w:r>
      <w:r>
        <w:rPr>
          <w:rFonts w:hint="eastAsia" w:ascii="宋体" w:hAnsi="宋体" w:cs="宋体"/>
          <w:b/>
          <w:szCs w:val="21"/>
          <w:highlight w:val="none"/>
        </w:rPr>
        <w:t>投标文件的递交要求</w:t>
      </w:r>
    </w:p>
    <w:p w14:paraId="30A12F4E">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（1）供应商须按照采购文件和政采云平台的要求编制并加密投标文件。在投标文件递交截止时间以前完成投标文件的传输递交，截止时间后递交的投标文件，将被拒收。</w:t>
      </w:r>
    </w:p>
    <w:p w14:paraId="6939830A">
      <w:pPr>
        <w:tabs>
          <w:tab w:val="left" w:pos="1418"/>
        </w:tabs>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（2）备份电子投标文件必须在投标截止时间前送达指定的投标地点。备份电子投标文件在截止时间后提交，采购组织机构将拒绝接收。</w:t>
      </w:r>
    </w:p>
    <w:p w14:paraId="60AA515B">
      <w:pPr>
        <w:tabs>
          <w:tab w:val="left" w:pos="1418"/>
        </w:tabs>
        <w:autoSpaceDE w:val="0"/>
        <w:autoSpaceDN w:val="0"/>
        <w:adjustRightInd w:val="0"/>
        <w:snapToGrid w:val="0"/>
        <w:spacing w:line="360" w:lineRule="auto"/>
        <w:ind w:firstLine="420" w:firstLineChars="200"/>
        <w:rPr>
          <w:rFonts w:ascii="宋体" w:hAnsi="宋体"/>
          <w:szCs w:val="21"/>
          <w:highlight w:val="none"/>
        </w:rPr>
      </w:pPr>
      <w:r>
        <w:rPr>
          <w:rFonts w:hint="eastAsia" w:ascii="宋体" w:hAnsi="宋体" w:cs="宋体"/>
          <w:szCs w:val="21"/>
          <w:highlight w:val="none"/>
        </w:rPr>
        <w:t>（3）如有特殊情况，采购组织机构延长截止时间和开标时间，采购组织机构和供应商的权利和义务将受到新的截止时间和开标时间的约束。</w:t>
      </w:r>
    </w:p>
    <w:p w14:paraId="5DA05222">
      <w:pPr>
        <w:snapToGrid w:val="0"/>
        <w:spacing w:line="360" w:lineRule="auto"/>
        <w:ind w:firstLine="420" w:firstLineChars="200"/>
        <w:rPr>
          <w:rFonts w:ascii="宋体" w:hAnsi="宋体" w:cs="宋体"/>
          <w:b/>
          <w:bCs/>
          <w:szCs w:val="21"/>
          <w:highlight w:val="none"/>
        </w:rPr>
      </w:pPr>
      <w:r>
        <w:rPr>
          <w:rFonts w:hint="eastAsia" w:ascii="宋体" w:hAnsi="宋体" w:cs="宋体"/>
          <w:b/>
          <w:bCs/>
          <w:szCs w:val="21"/>
          <w:highlight w:val="none"/>
        </w:rPr>
        <w:t>28．投标文件的补充、修改与撤回</w:t>
      </w:r>
    </w:p>
    <w:p w14:paraId="4BAD2D25">
      <w:pPr>
        <w:tabs>
          <w:tab w:val="left" w:pos="960"/>
          <w:tab w:val="left" w:pos="1418"/>
        </w:tabs>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14:paraId="2B195BEE">
      <w:pPr>
        <w:spacing w:before="312" w:beforeLines="100" w:after="312" w:afterLines="100" w:line="440" w:lineRule="exact"/>
        <w:jc w:val="center"/>
        <w:outlineLvl w:val="2"/>
        <w:rPr>
          <w:rFonts w:ascii="黑体" w:eastAsia="黑体"/>
          <w:sz w:val="28"/>
          <w:szCs w:val="28"/>
          <w:highlight w:val="none"/>
        </w:rPr>
      </w:pPr>
      <w:bookmarkStart w:id="48" w:name="_Toc6569"/>
      <w:bookmarkStart w:id="49" w:name="_Toc469495728"/>
      <w:r>
        <w:rPr>
          <w:rFonts w:hint="eastAsia" w:ascii="黑体" w:eastAsia="黑体"/>
          <w:sz w:val="28"/>
          <w:szCs w:val="28"/>
          <w:highlight w:val="none"/>
        </w:rPr>
        <w:t>（五）开 标、评标和定标</w:t>
      </w:r>
      <w:bookmarkEnd w:id="48"/>
      <w:bookmarkEnd w:id="49"/>
    </w:p>
    <w:p w14:paraId="3F855760">
      <w:pPr>
        <w:snapToGrid w:val="0"/>
        <w:spacing w:line="360" w:lineRule="auto"/>
        <w:ind w:firstLine="420" w:firstLineChars="200"/>
        <w:rPr>
          <w:rFonts w:ascii="宋体" w:hAnsi="宋体" w:cs="宋体"/>
          <w:b/>
          <w:bCs/>
          <w:szCs w:val="21"/>
          <w:highlight w:val="none"/>
        </w:rPr>
      </w:pPr>
      <w:r>
        <w:rPr>
          <w:rFonts w:hint="eastAsia" w:ascii="宋体" w:hAnsi="宋体" w:cs="宋体"/>
          <w:b/>
          <w:bCs/>
          <w:szCs w:val="21"/>
          <w:highlight w:val="none"/>
        </w:rPr>
        <w:t>29. 开标</w:t>
      </w:r>
    </w:p>
    <w:p w14:paraId="310CDA54">
      <w:pPr>
        <w:snapToGrid w:val="0"/>
        <w:spacing w:line="360" w:lineRule="auto"/>
        <w:ind w:firstLine="420" w:firstLineChars="200"/>
        <w:rPr>
          <w:rFonts w:ascii="宋体" w:hAnsi="宋体" w:cs="宋体"/>
          <w:b/>
          <w:bCs/>
          <w:szCs w:val="21"/>
          <w:highlight w:val="none"/>
        </w:rPr>
      </w:pPr>
      <w:bookmarkStart w:id="50" w:name="_Toc73975822"/>
      <w:r>
        <w:rPr>
          <w:rFonts w:hint="eastAsia" w:ascii="宋体" w:hAnsi="宋体" w:cs="宋体"/>
          <w:b/>
          <w:bCs/>
          <w:szCs w:val="21"/>
          <w:highlight w:val="none"/>
        </w:rPr>
        <w:t>29.1开标邀请</w:t>
      </w:r>
      <w:bookmarkEnd w:id="50"/>
    </w:p>
    <w:p w14:paraId="442266DB">
      <w:pPr>
        <w:pStyle w:val="12"/>
        <w:snapToGrid w:val="0"/>
        <w:spacing w:line="360" w:lineRule="auto"/>
        <w:ind w:firstLine="420" w:firstLineChars="200"/>
        <w:rPr>
          <w:rFonts w:hAnsi="宋体" w:cs="宋体"/>
          <w:bCs/>
          <w:color w:val="auto"/>
          <w:szCs w:val="21"/>
          <w:highlight w:val="none"/>
        </w:rPr>
      </w:pPr>
      <w:r>
        <w:rPr>
          <w:rFonts w:hint="eastAsia" w:hAnsi="宋体" w:cs="宋体"/>
          <w:bCs/>
          <w:color w:val="auto"/>
          <w:szCs w:val="21"/>
          <w:highlight w:val="none"/>
        </w:rPr>
        <w:t>（1）开标准备：本项目开标的准备工作由采购组织机构负责落实，开标过程由采购组织机构负责记录；</w:t>
      </w:r>
    </w:p>
    <w:p w14:paraId="7BF4B5FD">
      <w:pPr>
        <w:pStyle w:val="12"/>
        <w:snapToGrid w:val="0"/>
        <w:spacing w:line="360" w:lineRule="auto"/>
        <w:ind w:firstLine="420" w:firstLineChars="200"/>
        <w:rPr>
          <w:rFonts w:hAnsi="宋体" w:cs="宋体"/>
          <w:bCs/>
          <w:color w:val="auto"/>
          <w:szCs w:val="21"/>
          <w:highlight w:val="none"/>
        </w:rPr>
      </w:pPr>
      <w:r>
        <w:rPr>
          <w:rFonts w:hint="eastAsia" w:hAnsi="宋体" w:cs="宋体"/>
          <w:bCs/>
          <w:color w:val="auto"/>
          <w:szCs w:val="21"/>
          <w:highlight w:val="none"/>
        </w:rPr>
        <w:t>（2）开标主持：本项目开标由采购人或者采购代理机构主持；</w:t>
      </w:r>
    </w:p>
    <w:p w14:paraId="37DEE3C8">
      <w:pPr>
        <w:pStyle w:val="12"/>
        <w:snapToGrid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（3）开标邀请：本项目采用电子交易，采购组织机构将按照采购文件规定的时间通过“新疆政府采购云平台，网址：</w:t>
      </w:r>
      <w:r>
        <w:rPr>
          <w:highlight w:val="none"/>
        </w:rPr>
        <w:fldChar w:fldCharType="begin"/>
      </w:r>
      <w:r>
        <w:rPr>
          <w:highlight w:val="none"/>
        </w:rPr>
        <w:instrText xml:space="preserve"> HYPERLINK "http://www.zcygov.cn" </w:instrText>
      </w:r>
      <w:r>
        <w:rPr>
          <w:highlight w:val="none"/>
        </w:rPr>
        <w:fldChar w:fldCharType="separate"/>
      </w:r>
      <w:r>
        <w:rPr>
          <w:rStyle w:val="34"/>
          <w:rFonts w:hint="eastAsia" w:hAnsi="宋体" w:cs="宋体"/>
          <w:color w:val="auto"/>
          <w:szCs w:val="21"/>
          <w:highlight w:val="none"/>
          <w:u w:val="none"/>
        </w:rPr>
        <w:t>www.zcygov.cn</w:t>
      </w:r>
      <w:r>
        <w:rPr>
          <w:rStyle w:val="34"/>
          <w:rFonts w:hint="eastAsia" w:hAnsi="宋体" w:cs="宋体"/>
          <w:color w:val="auto"/>
          <w:szCs w:val="21"/>
          <w:highlight w:val="none"/>
          <w:u w:val="none"/>
        </w:rPr>
        <w:fldChar w:fldCharType="end"/>
      </w:r>
      <w:r>
        <w:rPr>
          <w:rFonts w:hint="eastAsia" w:hAnsi="宋体" w:cs="宋体"/>
          <w:color w:val="auto"/>
          <w:szCs w:val="21"/>
          <w:highlight w:val="none"/>
        </w:rPr>
        <w:t>”组织开标、开启投标响应文件，所有供应商均应当准时在线参加。</w:t>
      </w:r>
    </w:p>
    <w:p w14:paraId="389B06BF">
      <w:pPr>
        <w:pStyle w:val="12"/>
        <w:snapToGrid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14:paraId="745502B8">
      <w:pPr>
        <w:snapToGrid w:val="0"/>
        <w:spacing w:line="360" w:lineRule="auto"/>
        <w:ind w:firstLine="420" w:firstLineChars="200"/>
        <w:outlineLvl w:val="2"/>
        <w:rPr>
          <w:rFonts w:ascii="宋体" w:hAnsi="宋体" w:cs="宋体"/>
          <w:b/>
          <w:szCs w:val="21"/>
          <w:highlight w:val="none"/>
        </w:rPr>
      </w:pPr>
      <w:bookmarkStart w:id="51" w:name="_Toc73975823"/>
      <w:bookmarkStart w:id="52" w:name="_Toc7364"/>
      <w:r>
        <w:rPr>
          <w:rFonts w:hint="eastAsia" w:ascii="宋体" w:hAnsi="宋体" w:cs="宋体"/>
          <w:b/>
          <w:szCs w:val="21"/>
          <w:highlight w:val="none"/>
        </w:rPr>
        <w:t>29.2</w:t>
      </w:r>
      <w:r>
        <w:rPr>
          <w:rFonts w:hint="eastAsia" w:ascii="宋体" w:hAnsi="宋体" w:cs="宋体"/>
          <w:b/>
          <w:bCs/>
          <w:szCs w:val="21"/>
          <w:highlight w:val="none"/>
        </w:rPr>
        <w:t>开标程序</w:t>
      </w:r>
      <w:bookmarkEnd w:id="51"/>
      <w:bookmarkEnd w:id="52"/>
    </w:p>
    <w:p w14:paraId="2202AF30">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（1）开标时间到后，主持人宣布开标会议开始。</w:t>
      </w:r>
    </w:p>
    <w:p w14:paraId="4739134C">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w:t>
      </w:r>
      <w:r>
        <w:rPr>
          <w:rFonts w:hint="eastAsia" w:ascii="宋体" w:hAnsi="宋体" w:cs="宋体"/>
          <w:kern w:val="0"/>
          <w:szCs w:val="21"/>
          <w:highlight w:val="none"/>
        </w:rPr>
        <w:t>投标文件解密（</w:t>
      </w:r>
      <w:r>
        <w:rPr>
          <w:rFonts w:hint="eastAsia" w:ascii="宋体" w:hAnsi="宋体" w:cs="宋体"/>
          <w:b/>
          <w:kern w:val="0"/>
          <w:szCs w:val="21"/>
          <w:highlight w:val="none"/>
        </w:rPr>
        <w:t>解密规定见《供应商须知前附表》</w:t>
      </w:r>
      <w:r>
        <w:rPr>
          <w:rFonts w:hint="eastAsia" w:ascii="宋体" w:hAnsi="宋体" w:cs="宋体"/>
          <w:kern w:val="0"/>
          <w:szCs w:val="21"/>
          <w:highlight w:val="none"/>
        </w:rPr>
        <w:t>）</w:t>
      </w:r>
      <w:r>
        <w:rPr>
          <w:rFonts w:hint="eastAsia" w:ascii="宋体" w:hAnsi="宋体" w:cs="宋体"/>
          <w:szCs w:val="21"/>
          <w:highlight w:val="none"/>
        </w:rPr>
        <w:t>。</w:t>
      </w:r>
    </w:p>
    <w:p w14:paraId="5539A723">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w:t>
      </w:r>
      <w:r>
        <w:rPr>
          <w:rFonts w:hint="eastAsia" w:ascii="宋体" w:hAnsi="宋体" w:cs="宋体"/>
          <w:kern w:val="0"/>
          <w:szCs w:val="21"/>
          <w:highlight w:val="none"/>
        </w:rPr>
        <w:t>投标文件解密异常情况处理（</w:t>
      </w:r>
      <w:r>
        <w:rPr>
          <w:rFonts w:hint="eastAsia" w:ascii="宋体" w:hAnsi="宋体" w:cs="宋体"/>
          <w:b/>
          <w:kern w:val="0"/>
          <w:szCs w:val="21"/>
          <w:highlight w:val="none"/>
        </w:rPr>
        <w:t>处理办法见《供应商须知前附表》</w:t>
      </w:r>
      <w:r>
        <w:rPr>
          <w:rFonts w:hint="eastAsia" w:ascii="宋体" w:hAnsi="宋体" w:cs="宋体"/>
          <w:kern w:val="0"/>
          <w:szCs w:val="21"/>
          <w:highlight w:val="none"/>
        </w:rPr>
        <w:t>）</w:t>
      </w:r>
      <w:r>
        <w:rPr>
          <w:rFonts w:hint="eastAsia" w:ascii="宋体" w:hAnsi="宋体" w:cs="宋体"/>
          <w:szCs w:val="21"/>
          <w:highlight w:val="none"/>
        </w:rPr>
        <w:t>。</w:t>
      </w:r>
    </w:p>
    <w:p w14:paraId="049EF222">
      <w:pPr>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（4）公布投标文件解密情况（投标文件成功解密的供应商名单等信息），组织签署</w:t>
      </w:r>
      <w:r>
        <w:rPr>
          <w:rFonts w:hint="eastAsia" w:ascii="宋体" w:hAnsi="宋体" w:cs="宋体"/>
          <w:b/>
          <w:bCs/>
          <w:kern w:val="0"/>
          <w:szCs w:val="21"/>
          <w:highlight w:val="none"/>
        </w:rPr>
        <w:t>《政府采购活动现场确认声明书》（将通过电子邮件形式组织签署），供应商应在20分钟内通过邮件形式将经签署的《政府采购活动现场确认声明书》发送至采购代理机构指定邮箱</w:t>
      </w:r>
      <w:r>
        <w:rPr>
          <w:rFonts w:hint="eastAsia" w:ascii="宋体" w:hAnsi="宋体" w:cs="宋体"/>
          <w:b/>
          <w:bCs/>
          <w:kern w:val="0"/>
          <w:szCs w:val="21"/>
          <w:highlight w:val="none"/>
          <w:lang w:eastAsia="zh-CN"/>
        </w:rPr>
        <w:t>19246091</w:t>
      </w:r>
      <w:r>
        <w:rPr>
          <w:rFonts w:hint="eastAsia" w:ascii="宋体" w:hAnsi="宋体" w:cs="宋体"/>
          <w:b/>
          <w:bCs/>
          <w:kern w:val="0"/>
          <w:szCs w:val="21"/>
          <w:highlight w:val="none"/>
        </w:rPr>
        <w:t>@qq.c</w:t>
      </w:r>
      <w:r>
        <w:rPr>
          <w:rFonts w:hint="eastAsia" w:ascii="宋体" w:hAnsi="宋体" w:cs="宋体"/>
          <w:b/>
          <w:bCs/>
          <w:kern w:val="0"/>
          <w:szCs w:val="21"/>
          <w:highlight w:val="none"/>
          <w:lang w:val="en-US" w:eastAsia="zh-CN"/>
        </w:rPr>
        <w:t>o</w:t>
      </w:r>
      <w:r>
        <w:rPr>
          <w:rFonts w:hint="eastAsia" w:ascii="宋体" w:hAnsi="宋体" w:cs="宋体"/>
          <w:b/>
          <w:bCs/>
          <w:kern w:val="0"/>
          <w:szCs w:val="21"/>
          <w:highlight w:val="none"/>
        </w:rPr>
        <w:t>m ，逾期发送或未发送的视为无异议</w:t>
      </w:r>
      <w:r>
        <w:rPr>
          <w:rFonts w:hint="eastAsia" w:ascii="宋体" w:hAnsi="宋体" w:cs="宋体"/>
          <w:kern w:val="0"/>
          <w:szCs w:val="21"/>
          <w:highlight w:val="none"/>
        </w:rPr>
        <w:t>。</w:t>
      </w:r>
    </w:p>
    <w:p w14:paraId="67C1C6B3">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（5）开启标书信息。标书信息开启后，首先由采购人或采购代理机构或评审小组依法对投标供应商的资格证明文件进行审查（具体见本章“29.3 投标供应商资格审查”）， 审查结束公布投标供应商的资格符合情况。资格审查未获通过的供应商，其商务技术文件及报价文件不再进入评审。</w:t>
      </w:r>
    </w:p>
    <w:p w14:paraId="388B7669">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（6）商务技术评审结束后，主持人公布商务技术评审无效投标供应商名单和商务技术评审有效投标供应商名单及其商务技术得分情况</w:t>
      </w:r>
      <w:r>
        <w:rPr>
          <w:rFonts w:hint="eastAsia" w:ascii="宋体" w:hAnsi="宋体" w:cs="宋体"/>
          <w:szCs w:val="21"/>
          <w:highlight w:val="none"/>
        </w:rPr>
        <w:t>。</w:t>
      </w:r>
      <w:r>
        <w:rPr>
          <w:rFonts w:hint="eastAsia" w:ascii="宋体" w:hAnsi="宋体" w:cs="宋体"/>
          <w:kern w:val="0"/>
          <w:szCs w:val="21"/>
          <w:highlight w:val="none"/>
        </w:rPr>
        <w:t>商务技术评审无效的供应商，其报价不再进入评审。</w:t>
      </w:r>
    </w:p>
    <w:p w14:paraId="19BE11CD">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（7）开启有效投标供应商的报价，公布开标一览表有关内容，</w:t>
      </w:r>
      <w:r>
        <w:rPr>
          <w:rFonts w:hint="eastAsia" w:ascii="宋体" w:hAnsi="宋体" w:cs="宋体"/>
          <w:szCs w:val="21"/>
          <w:highlight w:val="none"/>
          <w:lang w:bidi="zh-CN"/>
        </w:rPr>
        <w:t>并【开启签字时段】，供应商对开标纪录进行在线签字确认（不予确认的应说明理由，否则视为无异议）</w:t>
      </w:r>
      <w:r>
        <w:rPr>
          <w:rFonts w:hint="eastAsia" w:ascii="宋体" w:hAnsi="宋体" w:cs="宋体"/>
          <w:kern w:val="0"/>
          <w:szCs w:val="21"/>
          <w:highlight w:val="none"/>
        </w:rPr>
        <w:t>。开标结束后，由评标委员会对报价的合理性、准确性等进行审查核实</w:t>
      </w:r>
      <w:r>
        <w:rPr>
          <w:rFonts w:hint="eastAsia" w:ascii="宋体" w:hAnsi="宋体" w:cs="宋体"/>
          <w:szCs w:val="21"/>
          <w:highlight w:val="none"/>
        </w:rPr>
        <w:t>。</w:t>
      </w:r>
    </w:p>
    <w:p w14:paraId="7623384A">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（8）</w:t>
      </w:r>
      <w:r>
        <w:rPr>
          <w:rFonts w:hint="eastAsia" w:ascii="宋体" w:hAnsi="宋体" w:cs="宋体"/>
          <w:kern w:val="0"/>
          <w:szCs w:val="21"/>
          <w:highlight w:val="none"/>
        </w:rPr>
        <w:t>评审结束后，采购代理机构在系统上公布评审结果。</w:t>
      </w:r>
    </w:p>
    <w:p w14:paraId="118FBD30">
      <w:pPr>
        <w:snapToGrid w:val="0"/>
        <w:spacing w:line="360" w:lineRule="auto"/>
        <w:ind w:left="480"/>
        <w:rPr>
          <w:rFonts w:ascii="宋体" w:hAnsi="宋体" w:cs="宋体"/>
          <w:b/>
          <w:szCs w:val="21"/>
          <w:highlight w:val="none"/>
        </w:rPr>
      </w:pPr>
      <w:r>
        <w:rPr>
          <w:rFonts w:hint="eastAsia" w:ascii="宋体" w:hAnsi="宋体" w:cs="宋体"/>
          <w:b/>
          <w:szCs w:val="21"/>
          <w:highlight w:val="none"/>
        </w:rPr>
        <w:t>特别情况说明：</w:t>
      </w:r>
    </w:p>
    <w:p w14:paraId="7FECD944">
      <w:pPr>
        <w:snapToGrid w:val="0"/>
        <w:spacing w:line="360" w:lineRule="auto"/>
        <w:ind w:firstLine="371" w:firstLineChars="177"/>
        <w:jc w:val="left"/>
        <w:rPr>
          <w:rFonts w:ascii="宋体" w:hAnsi="宋体" w:cs="宋体"/>
          <w:b/>
          <w:kern w:val="0"/>
          <w:szCs w:val="21"/>
          <w:highlight w:val="none"/>
        </w:rPr>
      </w:pPr>
      <w:r>
        <w:rPr>
          <w:rFonts w:hint="eastAsia" w:ascii="宋体" w:hAnsi="宋体" w:cs="宋体"/>
          <w:b/>
          <w:kern w:val="0"/>
          <w:szCs w:val="21"/>
          <w:highlight w:val="none"/>
        </w:rPr>
        <w:t>（1）本项目采用电子交易，如遇“新疆政府采购云平台”电子化开标或评审程序调整的，按调整后程序执行。</w:t>
      </w:r>
    </w:p>
    <w:p w14:paraId="06564AB3">
      <w:pPr>
        <w:snapToGrid w:val="0"/>
        <w:spacing w:line="360" w:lineRule="auto"/>
        <w:ind w:firstLine="371" w:firstLineChars="177"/>
        <w:jc w:val="left"/>
        <w:rPr>
          <w:rFonts w:ascii="宋体" w:hAnsi="宋体" w:cs="宋体"/>
          <w:b/>
          <w:kern w:val="0"/>
          <w:szCs w:val="21"/>
          <w:highlight w:val="none"/>
        </w:rPr>
      </w:pPr>
      <w:r>
        <w:rPr>
          <w:rFonts w:hint="eastAsia" w:ascii="宋体" w:hAnsi="宋体" w:cs="宋体"/>
          <w:b/>
          <w:kern w:val="0"/>
          <w:szCs w:val="21"/>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宋体" w:hAnsi="宋体" w:cs="宋体"/>
          <w:b/>
          <w:kern w:val="0"/>
          <w:szCs w:val="21"/>
          <w:highlight w:val="none"/>
          <w:u w:val="single"/>
        </w:rPr>
        <w:t>请供应商保证办理投标事宜人员电话畅通、网络在线，签字或盖章确认的时间为20分钟。如未及时签字或盖章确认的，视为无异议</w:t>
      </w:r>
      <w:r>
        <w:rPr>
          <w:rFonts w:hint="eastAsia" w:ascii="宋体" w:hAnsi="宋体" w:cs="宋体"/>
          <w:b/>
          <w:kern w:val="0"/>
          <w:szCs w:val="21"/>
          <w:highlight w:val="none"/>
        </w:rPr>
        <w:t>。</w:t>
      </w:r>
    </w:p>
    <w:p w14:paraId="282E2E02">
      <w:pPr>
        <w:snapToGrid w:val="0"/>
        <w:spacing w:line="360" w:lineRule="auto"/>
        <w:ind w:firstLine="420" w:firstLineChars="200"/>
        <w:rPr>
          <w:rFonts w:ascii="宋体" w:hAnsi="宋体" w:cs="宋体"/>
          <w:b/>
          <w:kern w:val="0"/>
          <w:szCs w:val="21"/>
          <w:highlight w:val="none"/>
        </w:rPr>
      </w:pPr>
      <w:r>
        <w:rPr>
          <w:rFonts w:hint="eastAsia" w:ascii="宋体" w:hAnsi="宋体" w:cs="宋体"/>
          <w:b/>
          <w:kern w:val="0"/>
          <w:szCs w:val="21"/>
          <w:highlight w:val="none"/>
        </w:rPr>
        <w:t>29.3 投标供应商资格审查：</w:t>
      </w:r>
    </w:p>
    <w:p w14:paraId="26A46A96">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w:t>
      </w:r>
      <w:r>
        <w:rPr>
          <w:rFonts w:hint="eastAsia" w:ascii="宋体" w:hAnsi="宋体" w:cs="宋体"/>
          <w:bCs/>
          <w:kern w:val="0"/>
          <w:szCs w:val="21"/>
          <w:highlight w:val="none"/>
        </w:rPr>
        <w:t>开标（标书信息开启）后，采购人或采购代理机构或</w:t>
      </w:r>
      <w:r>
        <w:rPr>
          <w:rFonts w:hint="eastAsia" w:ascii="宋体" w:hAnsi="宋体" w:cs="宋体"/>
          <w:kern w:val="0"/>
          <w:szCs w:val="21"/>
          <w:highlight w:val="none"/>
        </w:rPr>
        <w:t>评审小组</w:t>
      </w:r>
      <w:r>
        <w:rPr>
          <w:rFonts w:hint="eastAsia" w:ascii="宋体" w:hAnsi="宋体" w:cs="宋体"/>
          <w:bCs/>
          <w:kern w:val="0"/>
          <w:szCs w:val="21"/>
          <w:highlight w:val="none"/>
        </w:rPr>
        <w:t>首先依法对投标供应商的资格文件进行审查，审查各投标供应商的资格符合情况。</w:t>
      </w:r>
      <w:r>
        <w:rPr>
          <w:rFonts w:hint="eastAsia" w:ascii="宋体" w:hAnsi="宋体" w:cs="宋体"/>
          <w:szCs w:val="21"/>
          <w:highlight w:val="none"/>
        </w:rPr>
        <w:t>采购人或采购代理机构</w:t>
      </w:r>
      <w:r>
        <w:rPr>
          <w:rFonts w:hint="eastAsia" w:ascii="宋体" w:hAnsi="宋体" w:cs="宋体"/>
          <w:bCs/>
          <w:kern w:val="0"/>
          <w:szCs w:val="21"/>
          <w:highlight w:val="none"/>
        </w:rPr>
        <w:t>或</w:t>
      </w:r>
      <w:r>
        <w:rPr>
          <w:rFonts w:hint="eastAsia" w:ascii="宋体" w:hAnsi="宋体" w:cs="宋体"/>
          <w:kern w:val="0"/>
          <w:szCs w:val="21"/>
          <w:highlight w:val="none"/>
        </w:rPr>
        <w:t>评审小组</w:t>
      </w:r>
      <w:r>
        <w:rPr>
          <w:rFonts w:hint="eastAsia" w:ascii="宋体" w:hAnsi="宋体" w:cs="宋体"/>
          <w:szCs w:val="21"/>
          <w:highlight w:val="none"/>
        </w:rPr>
        <w:t>对投标供应商所提交的资格证明材料仅负审核的责任。如发现投标供应商所提交的资格证明材料不合法或与事实不符，采购人可取消其中标资格并追究投标供应商的法律责任。</w:t>
      </w:r>
    </w:p>
    <w:p w14:paraId="030CDA9C">
      <w:pPr>
        <w:pStyle w:val="5"/>
        <w:snapToGrid w:val="0"/>
        <w:spacing w:line="360" w:lineRule="auto"/>
        <w:rPr>
          <w:rFonts w:ascii="宋体" w:hAnsi="宋体" w:cs="宋体"/>
          <w:bCs/>
          <w:sz w:val="21"/>
          <w:szCs w:val="21"/>
          <w:highlight w:val="none"/>
        </w:rPr>
      </w:pPr>
      <w:r>
        <w:rPr>
          <w:rFonts w:hint="eastAsia" w:ascii="宋体" w:hAnsi="宋体" w:cs="宋体"/>
          <w:bCs/>
          <w:sz w:val="21"/>
          <w:szCs w:val="21"/>
          <w:highlight w:val="none"/>
        </w:rPr>
        <w:t>（2）投标供应商提交的资格证明材料无法证明其符合采购文件规定的“投标供应商资格要求”的，采购人或采购代理机构将对其作“资格审查不合格”处理（无效投标），并不再将其投标提交评标委员会进行后续评审。</w:t>
      </w:r>
    </w:p>
    <w:p w14:paraId="6F8B1935">
      <w:pPr>
        <w:pStyle w:val="5"/>
        <w:snapToGrid w:val="0"/>
        <w:spacing w:line="360" w:lineRule="auto"/>
        <w:rPr>
          <w:rFonts w:ascii="宋体" w:hAnsi="宋体" w:cs="宋体"/>
          <w:bCs/>
          <w:sz w:val="21"/>
          <w:szCs w:val="21"/>
          <w:highlight w:val="none"/>
        </w:rPr>
      </w:pPr>
      <w:r>
        <w:rPr>
          <w:rFonts w:hint="eastAsia" w:ascii="宋体" w:hAnsi="宋体" w:cs="宋体"/>
          <w:bCs/>
          <w:sz w:val="21"/>
          <w:szCs w:val="21"/>
          <w:highlight w:val="none"/>
        </w:rPr>
        <w:t>（3）供应商信用记录查询与使用：见《供应商须知前附表》。</w:t>
      </w:r>
    </w:p>
    <w:p w14:paraId="64E8F75F">
      <w:pPr>
        <w:widowControl/>
        <w:spacing w:line="440" w:lineRule="exact"/>
        <w:ind w:firstLine="210" w:firstLineChars="100"/>
        <w:rPr>
          <w:rFonts w:ascii="宋体"/>
          <w:szCs w:val="21"/>
          <w:highlight w:val="none"/>
        </w:rPr>
      </w:pPr>
      <w:r>
        <w:rPr>
          <w:rFonts w:hint="eastAsia" w:ascii="宋体"/>
          <w:szCs w:val="21"/>
          <w:highlight w:val="none"/>
        </w:rPr>
        <w:t>30.评审工作的组织</w:t>
      </w:r>
    </w:p>
    <w:p w14:paraId="38B1D049">
      <w:pPr>
        <w:widowControl/>
        <w:spacing w:line="440" w:lineRule="exact"/>
        <w:ind w:firstLine="210" w:firstLineChars="100"/>
        <w:rPr>
          <w:rFonts w:ascii="宋体"/>
          <w:szCs w:val="21"/>
          <w:highlight w:val="none"/>
        </w:rPr>
      </w:pPr>
      <w:r>
        <w:rPr>
          <w:rFonts w:hint="eastAsia" w:ascii="宋体"/>
          <w:szCs w:val="21"/>
          <w:highlight w:val="none"/>
        </w:rPr>
        <w:t>采购人或采购代理机构负责组织本项目的评审工作，并依据《政府采购货物和服务招标投标管理办法（财政部第87号令）》第四十五条的相关规定履行职责。</w:t>
      </w:r>
    </w:p>
    <w:p w14:paraId="2A843475">
      <w:pPr>
        <w:widowControl/>
        <w:spacing w:line="440" w:lineRule="exact"/>
        <w:ind w:firstLine="210" w:firstLineChars="100"/>
        <w:rPr>
          <w:rFonts w:ascii="宋体"/>
          <w:szCs w:val="21"/>
          <w:highlight w:val="none"/>
        </w:rPr>
      </w:pPr>
      <w:r>
        <w:rPr>
          <w:rFonts w:hint="eastAsia" w:ascii="宋体"/>
          <w:szCs w:val="21"/>
          <w:highlight w:val="none"/>
        </w:rPr>
        <w:t>31. 评标委员会的组建</w:t>
      </w:r>
    </w:p>
    <w:p w14:paraId="2F9202C4">
      <w:pPr>
        <w:widowControl/>
        <w:spacing w:line="440" w:lineRule="exact"/>
        <w:ind w:firstLine="210" w:firstLineChars="100"/>
        <w:rPr>
          <w:rFonts w:ascii="宋体"/>
          <w:szCs w:val="21"/>
          <w:highlight w:val="none"/>
        </w:rPr>
      </w:pPr>
      <w:r>
        <w:rPr>
          <w:rFonts w:hint="eastAsia" w:ascii="宋体"/>
          <w:szCs w:val="21"/>
          <w:highlight w:val="none"/>
        </w:rPr>
        <w:t>31.1评标委员会由采购人或采购代理机构依法组建，成员由采购人代表和评审专家组成，成员人数为</w:t>
      </w:r>
      <w:r>
        <w:rPr>
          <w:rFonts w:hint="eastAsia" w:ascii="宋体"/>
          <w:szCs w:val="21"/>
          <w:highlight w:val="none"/>
          <w:lang w:val="en-US" w:eastAsia="zh-CN"/>
        </w:rPr>
        <w:t>3</w:t>
      </w:r>
      <w:r>
        <w:rPr>
          <w:rFonts w:hint="eastAsia" w:ascii="宋体"/>
          <w:szCs w:val="21"/>
          <w:highlight w:val="none"/>
        </w:rPr>
        <w:t>人或以上单数，其中评审专家不少于成员总数的三分之二。</w:t>
      </w:r>
    </w:p>
    <w:p w14:paraId="6EDBB91B">
      <w:pPr>
        <w:widowControl/>
        <w:spacing w:line="440" w:lineRule="exact"/>
        <w:ind w:firstLine="210" w:firstLineChars="100"/>
        <w:rPr>
          <w:rFonts w:ascii="宋体"/>
          <w:szCs w:val="21"/>
          <w:highlight w:val="none"/>
        </w:rPr>
      </w:pPr>
      <w:r>
        <w:rPr>
          <w:rFonts w:hint="eastAsia" w:ascii="宋体"/>
          <w:szCs w:val="21"/>
          <w:highlight w:val="none"/>
        </w:rPr>
        <w:t>31.2评审专家从新疆政府采购云平台专家库中通过随机方式抽取产生。评标委员会成员名单在采购结果公告前保密。</w:t>
      </w:r>
    </w:p>
    <w:p w14:paraId="3A0272CF">
      <w:pPr>
        <w:widowControl/>
        <w:spacing w:line="440" w:lineRule="exact"/>
        <w:ind w:firstLine="210" w:firstLineChars="100"/>
        <w:rPr>
          <w:rFonts w:ascii="宋体"/>
          <w:szCs w:val="21"/>
          <w:highlight w:val="none"/>
        </w:rPr>
      </w:pPr>
      <w:r>
        <w:rPr>
          <w:rFonts w:hint="eastAsia" w:ascii="宋体"/>
          <w:szCs w:val="21"/>
          <w:highlight w:val="none"/>
        </w:rPr>
        <w:t>32.评标委员会的职责</w:t>
      </w:r>
    </w:p>
    <w:p w14:paraId="3EA40ED9">
      <w:pPr>
        <w:widowControl/>
        <w:spacing w:line="440" w:lineRule="exact"/>
        <w:ind w:firstLine="210" w:firstLineChars="100"/>
        <w:rPr>
          <w:rFonts w:ascii="宋体"/>
          <w:szCs w:val="21"/>
          <w:highlight w:val="none"/>
        </w:rPr>
      </w:pPr>
      <w:r>
        <w:rPr>
          <w:rFonts w:hint="eastAsia" w:ascii="宋体"/>
          <w:szCs w:val="21"/>
          <w:highlight w:val="none"/>
        </w:rPr>
        <w:t>32.1审查、评价投标文件是否符合采购文件的商务、技术等实质性要求。</w:t>
      </w:r>
    </w:p>
    <w:p w14:paraId="2E9363E5">
      <w:pPr>
        <w:widowControl/>
        <w:spacing w:line="440" w:lineRule="exact"/>
        <w:ind w:firstLine="210" w:firstLineChars="100"/>
        <w:rPr>
          <w:rFonts w:ascii="宋体"/>
          <w:szCs w:val="21"/>
          <w:highlight w:val="none"/>
        </w:rPr>
      </w:pPr>
      <w:r>
        <w:rPr>
          <w:rFonts w:hint="eastAsia" w:ascii="宋体"/>
          <w:szCs w:val="21"/>
          <w:highlight w:val="none"/>
        </w:rPr>
        <w:t>32.2要求供应商对投标文件有关事项作出澄清或者说明。</w:t>
      </w:r>
    </w:p>
    <w:p w14:paraId="19874AF0">
      <w:pPr>
        <w:widowControl/>
        <w:spacing w:line="440" w:lineRule="exact"/>
        <w:ind w:firstLine="210" w:firstLineChars="100"/>
        <w:rPr>
          <w:rFonts w:ascii="宋体"/>
          <w:szCs w:val="21"/>
          <w:highlight w:val="none"/>
        </w:rPr>
      </w:pPr>
      <w:r>
        <w:rPr>
          <w:rFonts w:hint="eastAsia" w:ascii="宋体"/>
          <w:szCs w:val="21"/>
          <w:highlight w:val="none"/>
        </w:rPr>
        <w:t>32.3对投标文件进行比较和评价。</w:t>
      </w:r>
    </w:p>
    <w:p w14:paraId="0E75F2B4">
      <w:pPr>
        <w:widowControl/>
        <w:spacing w:line="440" w:lineRule="exact"/>
        <w:ind w:firstLine="210" w:firstLineChars="100"/>
        <w:rPr>
          <w:rFonts w:ascii="宋体"/>
          <w:szCs w:val="21"/>
          <w:highlight w:val="none"/>
        </w:rPr>
      </w:pPr>
      <w:r>
        <w:rPr>
          <w:rFonts w:hint="eastAsia" w:ascii="宋体"/>
          <w:szCs w:val="21"/>
          <w:highlight w:val="none"/>
        </w:rPr>
        <w:t>32.4确定中标候选人名单，以及根据采购人委托直接确定中标人。</w:t>
      </w:r>
    </w:p>
    <w:p w14:paraId="007C5A3A">
      <w:pPr>
        <w:widowControl/>
        <w:spacing w:line="440" w:lineRule="exact"/>
        <w:ind w:firstLine="210" w:firstLineChars="100"/>
        <w:rPr>
          <w:rFonts w:ascii="宋体"/>
          <w:szCs w:val="21"/>
          <w:highlight w:val="none"/>
        </w:rPr>
      </w:pPr>
      <w:r>
        <w:rPr>
          <w:rFonts w:hint="eastAsia" w:ascii="宋体"/>
          <w:szCs w:val="21"/>
          <w:highlight w:val="none"/>
        </w:rPr>
        <w:t>32.5向采购人、采购代理机构或者有关部门报告评审中发现的违法行为。</w:t>
      </w:r>
    </w:p>
    <w:p w14:paraId="04ED85C7">
      <w:pPr>
        <w:widowControl/>
        <w:spacing w:line="440" w:lineRule="exact"/>
        <w:ind w:firstLine="210" w:firstLineChars="100"/>
        <w:rPr>
          <w:rFonts w:ascii="宋体"/>
          <w:szCs w:val="21"/>
          <w:highlight w:val="none"/>
        </w:rPr>
      </w:pPr>
      <w:r>
        <w:rPr>
          <w:rFonts w:hint="eastAsia" w:ascii="宋体"/>
          <w:szCs w:val="21"/>
          <w:highlight w:val="none"/>
        </w:rPr>
        <w:t>33. 评标原则</w:t>
      </w:r>
    </w:p>
    <w:p w14:paraId="744B2AE7">
      <w:pPr>
        <w:widowControl/>
        <w:spacing w:line="440" w:lineRule="exact"/>
        <w:ind w:firstLine="210" w:firstLineChars="100"/>
        <w:rPr>
          <w:rFonts w:ascii="宋体"/>
          <w:szCs w:val="21"/>
          <w:highlight w:val="none"/>
        </w:rPr>
      </w:pPr>
      <w:r>
        <w:rPr>
          <w:rFonts w:hint="eastAsia" w:ascii="宋体"/>
          <w:szCs w:val="21"/>
          <w:highlight w:val="none"/>
        </w:rPr>
        <w:t>33.1评标委员会将遵循公平、公正、科学的原则，对供应商提交的投标文件进行综合评审，评标委员会按照采购文件规定的评标细则进行评分。</w:t>
      </w:r>
    </w:p>
    <w:p w14:paraId="62087A6A">
      <w:pPr>
        <w:widowControl/>
        <w:spacing w:line="440" w:lineRule="exact"/>
        <w:ind w:firstLine="210" w:firstLineChars="100"/>
        <w:rPr>
          <w:rFonts w:ascii="宋体"/>
          <w:szCs w:val="21"/>
          <w:highlight w:val="none"/>
        </w:rPr>
      </w:pPr>
      <w:r>
        <w:rPr>
          <w:rFonts w:hint="eastAsia" w:ascii="宋体"/>
          <w:szCs w:val="21"/>
          <w:highlight w:val="none"/>
        </w:rPr>
        <w:t xml:space="preserve">33.2客观公正对待所有供应商，对所有投标评价均采用相同的程序和标准。 </w:t>
      </w:r>
    </w:p>
    <w:p w14:paraId="0C1FBC6D">
      <w:pPr>
        <w:widowControl/>
        <w:spacing w:line="440" w:lineRule="exact"/>
        <w:ind w:firstLine="210" w:firstLineChars="100"/>
        <w:rPr>
          <w:rFonts w:ascii="宋体"/>
          <w:szCs w:val="21"/>
          <w:highlight w:val="none"/>
        </w:rPr>
      </w:pPr>
      <w:r>
        <w:rPr>
          <w:rFonts w:hint="eastAsia" w:ascii="宋体"/>
          <w:szCs w:val="21"/>
          <w:highlight w:val="none"/>
        </w:rPr>
        <w:t>33.3评标委员会成员对需要共同认定的事项存在争议的，按照少数服从多数的原则作出结论。持不同意见的评标委员会成员应当在评审报告上签署不同意见及理由，否则视为同意评审报告。</w:t>
      </w:r>
    </w:p>
    <w:p w14:paraId="266C8034">
      <w:pPr>
        <w:widowControl/>
        <w:spacing w:line="440" w:lineRule="exact"/>
        <w:ind w:firstLine="210" w:firstLineChars="100"/>
        <w:rPr>
          <w:rFonts w:ascii="宋体"/>
          <w:szCs w:val="21"/>
          <w:highlight w:val="none"/>
        </w:rPr>
      </w:pPr>
      <w:r>
        <w:rPr>
          <w:rFonts w:hint="eastAsia" w:ascii="宋体"/>
          <w:szCs w:val="21"/>
          <w:highlight w:val="none"/>
        </w:rPr>
        <w:t>33.4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14:paraId="72E12D86">
      <w:pPr>
        <w:widowControl/>
        <w:spacing w:line="440" w:lineRule="exact"/>
        <w:ind w:firstLine="210" w:firstLineChars="100"/>
        <w:rPr>
          <w:rFonts w:ascii="宋体"/>
          <w:szCs w:val="21"/>
          <w:highlight w:val="none"/>
        </w:rPr>
      </w:pPr>
      <w:r>
        <w:rPr>
          <w:rFonts w:hint="eastAsia" w:ascii="宋体"/>
          <w:szCs w:val="21"/>
          <w:highlight w:val="none"/>
        </w:rPr>
        <w:t xml:space="preserve">非单一产品采购项目，采购人应当根据采购项目技术构成、产品价格比重等合理确定核心产品，并在采购文件中载明。多家供应商提供的核心产品品牌相同的，按前款规定处理。      </w:t>
      </w:r>
    </w:p>
    <w:p w14:paraId="336AA486">
      <w:pPr>
        <w:widowControl/>
        <w:spacing w:line="440" w:lineRule="exact"/>
        <w:ind w:firstLine="210" w:firstLineChars="100"/>
        <w:rPr>
          <w:rFonts w:ascii="宋体"/>
          <w:szCs w:val="21"/>
          <w:highlight w:val="none"/>
        </w:rPr>
      </w:pPr>
      <w:r>
        <w:rPr>
          <w:rFonts w:hint="eastAsia" w:ascii="宋体"/>
          <w:szCs w:val="21"/>
          <w:highlight w:val="none"/>
        </w:rPr>
        <w:t>34. 评委纪律</w:t>
      </w:r>
    </w:p>
    <w:p w14:paraId="2CC3B131">
      <w:pPr>
        <w:widowControl/>
        <w:spacing w:line="440" w:lineRule="exact"/>
        <w:ind w:firstLine="210" w:firstLineChars="100"/>
        <w:rPr>
          <w:rFonts w:ascii="宋体"/>
          <w:szCs w:val="21"/>
          <w:highlight w:val="none"/>
        </w:rPr>
      </w:pPr>
      <w:r>
        <w:rPr>
          <w:rFonts w:hint="eastAsia" w:ascii="宋体"/>
          <w:szCs w:val="21"/>
          <w:highlight w:val="none"/>
        </w:rPr>
        <w:t>评标委员会成员必须严格遵守保密规定，不得泄露评审的有关情况，任何单位和个人不得干扰、影响评标的正常进行，评标委员会成员不得私下与投标供应商接触，不得出现新疆政府采购活动现场组织管理办法中规定的其他禁止行为。</w:t>
      </w:r>
    </w:p>
    <w:p w14:paraId="12884A70">
      <w:pPr>
        <w:widowControl/>
        <w:spacing w:line="440" w:lineRule="exact"/>
        <w:ind w:firstLine="210" w:firstLineChars="100"/>
        <w:rPr>
          <w:rFonts w:ascii="宋体"/>
          <w:szCs w:val="21"/>
          <w:highlight w:val="none"/>
        </w:rPr>
      </w:pPr>
      <w:r>
        <w:rPr>
          <w:rFonts w:hint="eastAsia" w:ascii="宋体"/>
          <w:szCs w:val="21"/>
          <w:highlight w:val="none"/>
        </w:rPr>
        <w:t>35.评标程序</w:t>
      </w:r>
    </w:p>
    <w:p w14:paraId="1CD86762">
      <w:pPr>
        <w:widowControl/>
        <w:spacing w:line="440" w:lineRule="exact"/>
        <w:ind w:firstLine="210" w:firstLineChars="100"/>
        <w:rPr>
          <w:rFonts w:ascii="宋体"/>
          <w:szCs w:val="21"/>
          <w:highlight w:val="none"/>
        </w:rPr>
      </w:pPr>
      <w:r>
        <w:rPr>
          <w:rFonts w:hint="eastAsia" w:ascii="宋体"/>
          <w:szCs w:val="21"/>
          <w:highlight w:val="none"/>
        </w:rPr>
        <w:t>35.1 在评审专家中推选评标委员会组长，采购人代表不得担任评标委员会组长。</w:t>
      </w:r>
    </w:p>
    <w:p w14:paraId="7B12430C">
      <w:pPr>
        <w:widowControl/>
        <w:spacing w:line="440" w:lineRule="exact"/>
        <w:ind w:firstLine="210" w:firstLineChars="100"/>
        <w:rPr>
          <w:rFonts w:ascii="宋体"/>
          <w:szCs w:val="21"/>
          <w:highlight w:val="none"/>
        </w:rPr>
      </w:pPr>
      <w:r>
        <w:rPr>
          <w:rFonts w:hint="eastAsia" w:ascii="宋体"/>
          <w:szCs w:val="21"/>
          <w:highlight w:val="none"/>
        </w:rPr>
        <w:t>35.2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14:paraId="03116851">
      <w:pPr>
        <w:widowControl/>
        <w:spacing w:line="440" w:lineRule="exact"/>
        <w:ind w:firstLine="210" w:firstLineChars="100"/>
        <w:rPr>
          <w:rFonts w:ascii="宋体"/>
          <w:szCs w:val="21"/>
          <w:highlight w:val="none"/>
        </w:rPr>
      </w:pPr>
      <w:r>
        <w:rPr>
          <w:rFonts w:hint="eastAsia" w:ascii="宋体"/>
          <w:szCs w:val="21"/>
          <w:highlight w:val="none"/>
        </w:rPr>
        <w:t>35.3 评审人员对符合资格的供应商的投标文件的有效性、符合性、完整性和响应程度进行审查，确定是否对采购文件作出实质性响应。</w:t>
      </w:r>
    </w:p>
    <w:p w14:paraId="73205AC0">
      <w:pPr>
        <w:widowControl/>
        <w:spacing w:line="440" w:lineRule="exact"/>
        <w:ind w:firstLine="210" w:firstLineChars="100"/>
        <w:rPr>
          <w:rFonts w:ascii="宋体"/>
          <w:szCs w:val="21"/>
          <w:highlight w:val="none"/>
        </w:rPr>
      </w:pPr>
      <w:r>
        <w:rPr>
          <w:rFonts w:hint="eastAsia" w:ascii="宋体"/>
          <w:szCs w:val="21"/>
          <w:highlight w:val="none"/>
        </w:rPr>
        <w:t>35.4 评审人员按采购文件规定的评审方法和评审标准，依法独立对供应商投标文件进行评估、比较，并给予评价或打分，不受任何单位和个人的干预。</w:t>
      </w:r>
    </w:p>
    <w:p w14:paraId="07B87583">
      <w:pPr>
        <w:adjustRightInd w:val="0"/>
        <w:spacing w:line="360" w:lineRule="auto"/>
        <w:ind w:firstLine="411" w:firstLineChars="196"/>
        <w:rPr>
          <w:rFonts w:ascii="仿宋" w:hAnsi="仿宋" w:eastAsia="仿宋" w:cs="仿宋"/>
          <w:kern w:val="0"/>
          <w:sz w:val="24"/>
          <w:highlight w:val="none"/>
        </w:rPr>
      </w:pPr>
      <w:r>
        <w:rPr>
          <w:rFonts w:hint="eastAsia" w:ascii="宋体"/>
          <w:szCs w:val="21"/>
          <w:highlight w:val="none"/>
        </w:rPr>
        <w:t>35.5符合性审查。</w:t>
      </w:r>
      <w:r>
        <w:rPr>
          <w:rFonts w:hint="eastAsia" w:ascii="宋体" w:hAnsi="宋体" w:cs="宋体"/>
          <w:kern w:val="0"/>
          <w:szCs w:val="21"/>
          <w:highlight w:val="none"/>
        </w:rPr>
        <w:t>磋商小组应当对符合资格的磋商供应商的磋商响应文件进行符合性审查，以确定其是否满足采购文件的实质性要求。不满足采购文件的实质性要求的，投标无效。</w:t>
      </w:r>
    </w:p>
    <w:p w14:paraId="27763093">
      <w:pPr>
        <w:adjustRightInd w:val="0"/>
        <w:spacing w:line="360" w:lineRule="auto"/>
        <w:ind w:firstLine="411" w:firstLineChars="196"/>
        <w:rPr>
          <w:rFonts w:ascii="宋体"/>
          <w:szCs w:val="21"/>
          <w:highlight w:val="none"/>
        </w:rPr>
      </w:pPr>
      <w:r>
        <w:rPr>
          <w:rFonts w:hint="eastAsia" w:ascii="宋体"/>
          <w:szCs w:val="21"/>
          <w:highlight w:val="none"/>
        </w:rPr>
        <w:t>35.6与各磋商响应方进行磋商。</w:t>
      </w:r>
    </w:p>
    <w:p w14:paraId="05B874B6">
      <w:pPr>
        <w:adjustRightInd w:val="0"/>
        <w:spacing w:line="360" w:lineRule="auto"/>
        <w:ind w:firstLine="411" w:firstLineChars="196"/>
        <w:rPr>
          <w:rFonts w:ascii="宋体" w:hAnsi="宋体" w:cs="宋体"/>
          <w:kern w:val="0"/>
          <w:szCs w:val="21"/>
          <w:highlight w:val="none"/>
        </w:rPr>
      </w:pPr>
      <w:r>
        <w:rPr>
          <w:rFonts w:hint="eastAsia" w:ascii="宋体" w:hAnsi="宋体" w:cs="宋体"/>
          <w:kern w:val="0"/>
          <w:szCs w:val="21"/>
          <w:highlight w:val="none"/>
        </w:rPr>
        <w:t>1.磋商小组与符合要求的供应商进行磋商。磋商小组所有成员按照响应文件递交签到次序集中与单一供应商分别进行磋商，并给予所有参加磋商的供应商平等的磋商机会。磋商过程中，磋商小组可以根据磋商情况调整轮次。</w:t>
      </w:r>
    </w:p>
    <w:p w14:paraId="2536208E">
      <w:pPr>
        <w:adjustRightInd w:val="0"/>
        <w:spacing w:line="360" w:lineRule="auto"/>
        <w:ind w:firstLine="411" w:firstLineChars="196"/>
        <w:rPr>
          <w:rFonts w:ascii="宋体" w:hAnsi="宋体" w:cs="宋体"/>
          <w:kern w:val="0"/>
          <w:szCs w:val="21"/>
          <w:highlight w:val="none"/>
        </w:rPr>
      </w:pPr>
      <w:r>
        <w:rPr>
          <w:rFonts w:hint="eastAsia" w:ascii="宋体" w:hAnsi="宋体" w:cs="宋体"/>
          <w:kern w:val="0"/>
          <w:szCs w:val="21"/>
          <w:highlight w:val="none"/>
        </w:rPr>
        <w:t>2.经磋商确定采购文件的变动情况。对采购文件作出的实质性变动是采购文件的有效组成部分，磋商小组应当及时以书面形式同时通知所有参加磋商的供应商。</w:t>
      </w:r>
    </w:p>
    <w:p w14:paraId="3AD27842">
      <w:pPr>
        <w:adjustRightInd w:val="0"/>
        <w:spacing w:line="360" w:lineRule="auto"/>
        <w:ind w:firstLine="411" w:firstLineChars="196"/>
        <w:rPr>
          <w:rFonts w:ascii="宋体" w:hAnsi="宋体" w:cs="宋体"/>
          <w:kern w:val="0"/>
          <w:szCs w:val="21"/>
          <w:highlight w:val="none"/>
        </w:rPr>
      </w:pPr>
      <w:r>
        <w:rPr>
          <w:rFonts w:hint="eastAsia" w:ascii="宋体" w:hAnsi="宋体" w:cs="宋体"/>
          <w:kern w:val="0"/>
          <w:szCs w:val="21"/>
          <w:highlight w:val="none"/>
        </w:rPr>
        <w:t>3.磋商小组应当按照采购文件中规定的评标方法和标准，对符合性审查合格的响应文件进行商务和技术评估，综合比较与评价。磋商小组各成员应当独立对每个磋商响应方的商务和技术文件进行评价，并汇总商务技术得分情况。</w:t>
      </w:r>
    </w:p>
    <w:p w14:paraId="62A2BED6">
      <w:pPr>
        <w:adjustRightInd w:val="0"/>
        <w:spacing w:line="360" w:lineRule="auto"/>
        <w:ind w:firstLine="411" w:firstLineChars="196"/>
        <w:rPr>
          <w:rFonts w:ascii="宋体" w:hAnsi="宋体" w:cs="宋体"/>
          <w:kern w:val="0"/>
          <w:szCs w:val="21"/>
          <w:highlight w:val="none"/>
        </w:rPr>
      </w:pPr>
      <w:r>
        <w:rPr>
          <w:rFonts w:hint="eastAsia" w:ascii="宋体" w:hAnsi="宋体" w:cs="宋体"/>
          <w:kern w:val="0"/>
          <w:szCs w:val="21"/>
          <w:highlight w:val="none"/>
        </w:rPr>
        <w:t>4.各磋商响应方在本项目全部磋商结束后在规定时间内进行最后报价（供应商需在30分钟内线上提交最终报价）。</w:t>
      </w:r>
    </w:p>
    <w:p w14:paraId="1B21837E">
      <w:pPr>
        <w:adjustRightInd w:val="0"/>
        <w:spacing w:line="360" w:lineRule="auto"/>
        <w:ind w:firstLine="411" w:firstLineChars="196"/>
        <w:rPr>
          <w:rFonts w:ascii="仿宋" w:hAnsi="仿宋" w:eastAsia="仿宋" w:cs="仿宋"/>
          <w:kern w:val="0"/>
          <w:sz w:val="24"/>
          <w:highlight w:val="none"/>
        </w:rPr>
      </w:pPr>
      <w:r>
        <w:rPr>
          <w:rFonts w:hint="eastAsia" w:ascii="宋体"/>
          <w:szCs w:val="21"/>
          <w:highlight w:val="none"/>
        </w:rPr>
        <w:t>35.7汇总商务技术得分。</w:t>
      </w:r>
      <w:r>
        <w:rPr>
          <w:rFonts w:hint="eastAsia" w:ascii="宋体" w:hAnsi="宋体" w:cs="宋体"/>
          <w:kern w:val="0"/>
          <w:szCs w:val="21"/>
          <w:highlight w:val="none"/>
        </w:rPr>
        <w:t>磋商小组各成员应当独立对每个磋商供应商的商务和技术文件进行评价，并汇总商务技术得分情况。</w:t>
      </w:r>
    </w:p>
    <w:p w14:paraId="176545DD">
      <w:pPr>
        <w:adjustRightInd w:val="0"/>
        <w:spacing w:line="360" w:lineRule="auto"/>
        <w:ind w:firstLine="411" w:firstLineChars="196"/>
        <w:rPr>
          <w:rFonts w:ascii="宋体"/>
          <w:szCs w:val="21"/>
          <w:highlight w:val="none"/>
        </w:rPr>
      </w:pPr>
      <w:r>
        <w:rPr>
          <w:rFonts w:hint="eastAsia" w:ascii="宋体"/>
          <w:szCs w:val="21"/>
          <w:highlight w:val="none"/>
        </w:rPr>
        <w:t>35.8报价评审。</w:t>
      </w:r>
    </w:p>
    <w:p w14:paraId="0C1141BB">
      <w:pPr>
        <w:widowControl/>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1.磋商响应文件报价出现前后不一致的，按照下列规定修正：</w:t>
      </w:r>
    </w:p>
    <w:p w14:paraId="2457A94E">
      <w:pPr>
        <w:widowControl/>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2.磋商响应文件中开标一览表(报价表)内容与磋商响应文件中相应内容不一致的，以开标一览表(报价表)为准;</w:t>
      </w:r>
    </w:p>
    <w:p w14:paraId="4056A3D6">
      <w:pPr>
        <w:widowControl/>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3.大写金额和小写金额不一致的，以大写金额为准;</w:t>
      </w:r>
    </w:p>
    <w:p w14:paraId="59538339">
      <w:pPr>
        <w:widowControl/>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4.单价金额小数点或者百分比有明显错位的，以开标一览表的总价为准，并修改单价;</w:t>
      </w:r>
    </w:p>
    <w:p w14:paraId="6DF5C4F0">
      <w:pPr>
        <w:widowControl/>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5.总价金额与按单价汇总金额不一致的，以单价金额计算结果为准。</w:t>
      </w:r>
    </w:p>
    <w:p w14:paraId="485B670E">
      <w:pPr>
        <w:widowControl/>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6.同时出现两种以上不一致的，按照规定的顺序修正。</w:t>
      </w:r>
    </w:p>
    <w:p w14:paraId="17A58F61">
      <w:pPr>
        <w:widowControl/>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7.磋商响应文件出现不是唯一的、有选择性投标报价的，投标无效。</w:t>
      </w:r>
    </w:p>
    <w:p w14:paraId="41664797">
      <w:pPr>
        <w:widowControl/>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8.投标报价超过采购文件中规定的预算金额或者最高限价的，投标无效。</w:t>
      </w:r>
    </w:p>
    <w:p w14:paraId="50701C50">
      <w:pPr>
        <w:widowControl/>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9.磋商小组认为磋商供应商的报价明显低于其他通过符合性审查磋商供应商的报价，有可能影响产品质量或者不能诚信履约的，应当要求其在合理的时间内提供书面说明，必要时提交相关证明材料;磋商供应商不能证明其报价合理性的，磋商小组应当将其作为无效投标处理。</w:t>
      </w:r>
    </w:p>
    <w:p w14:paraId="21FA6B3C">
      <w:pPr>
        <w:widowControl/>
        <w:spacing w:line="440" w:lineRule="exact"/>
        <w:ind w:firstLine="420" w:firstLineChars="200"/>
        <w:rPr>
          <w:rFonts w:ascii="宋体" w:hAnsi="宋体" w:cs="宋体"/>
          <w:kern w:val="0"/>
          <w:szCs w:val="21"/>
          <w:highlight w:val="none"/>
        </w:rPr>
      </w:pPr>
      <w:r>
        <w:rPr>
          <w:rFonts w:hint="eastAsia" w:ascii="宋体"/>
          <w:szCs w:val="21"/>
          <w:highlight w:val="none"/>
        </w:rPr>
        <w:t>35.9排序与推荐。</w:t>
      </w:r>
      <w:r>
        <w:rPr>
          <w:rFonts w:hint="eastAsia" w:ascii="宋体" w:hAnsi="宋体" w:cs="宋体"/>
          <w:kern w:val="0"/>
          <w:szCs w:val="21"/>
          <w:highlight w:val="none"/>
        </w:rPr>
        <w:t>采用综合评分法的，评标结果按评审后得分由高到低顺序排列。得分相同的，按投标报价由低到高顺序排列。得分且投标报价相同的并列。响应文件满足招标文件全部实质性要求，且按照评审因素的量化指标评审得分最高的投标人为排名第一的中标候选人。</w:t>
      </w:r>
    </w:p>
    <w:p w14:paraId="60C4ECE6">
      <w:pPr>
        <w:widowControl/>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401ED8CE">
      <w:pPr>
        <w:rPr>
          <w:highlight w:val="none"/>
        </w:rPr>
      </w:pPr>
    </w:p>
    <w:p w14:paraId="36D2CC1C">
      <w:pPr>
        <w:widowControl/>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综合评分法</w:t>
      </w:r>
      <w:r>
        <w:rPr>
          <w:rFonts w:hint="eastAsia" w:ascii="宋体" w:hAnsi="宋体" w:cs="宋体"/>
          <w:kern w:val="0"/>
          <w:szCs w:val="21"/>
          <w:highlight w:val="none"/>
          <w:lang w:eastAsia="zh-CN"/>
        </w:rPr>
        <w:t>服务</w:t>
      </w:r>
      <w:r>
        <w:rPr>
          <w:rFonts w:hint="eastAsia" w:ascii="宋体" w:hAnsi="宋体" w:cs="宋体"/>
          <w:kern w:val="0"/>
          <w:szCs w:val="21"/>
          <w:highlight w:val="none"/>
        </w:rPr>
        <w:t>项目的价格分值占总分值的比重(即权值)</w:t>
      </w:r>
      <w:r>
        <w:rPr>
          <w:rFonts w:hint="eastAsia" w:ascii="宋体" w:hAnsi="宋体" w:cs="宋体"/>
          <w:color w:val="auto"/>
          <w:kern w:val="0"/>
          <w:szCs w:val="21"/>
          <w:highlight w:val="none"/>
        </w:rPr>
        <w:t>为</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w:t>
      </w:r>
      <w:r>
        <w:rPr>
          <w:rFonts w:hint="eastAsia" w:ascii="宋体" w:hAnsi="宋体" w:cs="宋体"/>
          <w:kern w:val="0"/>
          <w:szCs w:val="21"/>
          <w:highlight w:val="none"/>
        </w:rPr>
        <w:t>，采购项目中含不同采购对象的，以占项目资金比例最高的采购对象确定其项目属性。其价格不列为评分因素，有特殊情况需要在上述规定范围外设定价格分权重的。</w:t>
      </w:r>
    </w:p>
    <w:p w14:paraId="5895849C">
      <w:pPr>
        <w:widowControl/>
        <w:spacing w:line="440" w:lineRule="exact"/>
        <w:ind w:firstLine="480"/>
        <w:rPr>
          <w:rFonts w:ascii="宋体" w:hAnsi="宋体" w:cs="宋体"/>
          <w:kern w:val="0"/>
          <w:szCs w:val="21"/>
          <w:highlight w:val="none"/>
        </w:rPr>
      </w:pPr>
      <w:r>
        <w:rPr>
          <w:rFonts w:hint="eastAsia" w:ascii="宋体" w:hAnsi="宋体" w:cs="宋体"/>
          <w:kern w:val="0"/>
          <w:szCs w:val="21"/>
          <w:highlight w:val="none"/>
        </w:rPr>
        <w:t>综合评分法中的价格分统一采用</w:t>
      </w:r>
      <w:r>
        <w:rPr>
          <w:rFonts w:hint="eastAsia" w:ascii="宋体" w:hAnsi="宋体" w:cs="宋体"/>
          <w:kern w:val="0"/>
          <w:szCs w:val="21"/>
          <w:highlight w:val="none"/>
          <w:lang w:eastAsia="zh-CN"/>
        </w:rPr>
        <w:t>高</w:t>
      </w:r>
      <w:r>
        <w:rPr>
          <w:rFonts w:hint="eastAsia" w:ascii="宋体" w:hAnsi="宋体" w:cs="宋体"/>
          <w:kern w:val="0"/>
          <w:szCs w:val="21"/>
          <w:highlight w:val="none"/>
        </w:rPr>
        <w:t>价优先法计算，即满足磋商文件要求且最后报价最</w:t>
      </w:r>
      <w:r>
        <w:rPr>
          <w:rFonts w:hint="eastAsia" w:ascii="宋体" w:hAnsi="宋体" w:cs="宋体"/>
          <w:kern w:val="0"/>
          <w:szCs w:val="21"/>
          <w:highlight w:val="none"/>
          <w:lang w:eastAsia="zh-CN"/>
        </w:rPr>
        <w:t>高</w:t>
      </w:r>
      <w:r>
        <w:rPr>
          <w:rFonts w:hint="eastAsia" w:ascii="宋体" w:hAnsi="宋体" w:cs="宋体"/>
          <w:kern w:val="0"/>
          <w:szCs w:val="21"/>
          <w:highlight w:val="none"/>
        </w:rPr>
        <w:t>的供应商的价格为招标基准价，其价格分为满分。其他供应商的价格分统一按照下列公式计算：</w:t>
      </w:r>
    </w:p>
    <w:p w14:paraId="6890CF99">
      <w:pPr>
        <w:widowControl/>
        <w:spacing w:line="440" w:lineRule="exact"/>
        <w:ind w:firstLine="480"/>
        <w:rPr>
          <w:rFonts w:ascii="宋体" w:hAnsi="宋体" w:cs="宋体"/>
          <w:kern w:val="0"/>
          <w:szCs w:val="21"/>
          <w:highlight w:val="none"/>
        </w:rPr>
      </w:pPr>
      <w:r>
        <w:rPr>
          <w:rFonts w:hint="eastAsia" w:ascii="宋体" w:hAnsi="宋体" w:cs="宋体"/>
          <w:kern w:val="0"/>
          <w:szCs w:val="21"/>
          <w:highlight w:val="none"/>
        </w:rPr>
        <w:t>投标报价得分=（基准价/投标报价）×价格权值×100</w:t>
      </w:r>
    </w:p>
    <w:p w14:paraId="7C64C69D">
      <w:pPr>
        <w:widowControl/>
        <w:spacing w:line="440" w:lineRule="exact"/>
        <w:ind w:firstLine="480"/>
        <w:rPr>
          <w:rFonts w:ascii="宋体"/>
          <w:szCs w:val="21"/>
          <w:highlight w:val="none"/>
        </w:rPr>
      </w:pPr>
      <w:r>
        <w:rPr>
          <w:rFonts w:hint="eastAsia" w:ascii="宋体" w:hAnsi="宋体" w:cs="宋体"/>
          <w:kern w:val="0"/>
          <w:szCs w:val="21"/>
          <w:highlight w:val="none"/>
        </w:rPr>
        <w:t>项目评审过程中，不得去掉最后报价中的最高报价和最低报价。</w:t>
      </w:r>
    </w:p>
    <w:p w14:paraId="0220D0F7">
      <w:pPr>
        <w:widowControl/>
        <w:spacing w:line="440" w:lineRule="exact"/>
        <w:ind w:firstLine="210" w:firstLineChars="100"/>
        <w:rPr>
          <w:rFonts w:ascii="宋体"/>
          <w:szCs w:val="21"/>
          <w:highlight w:val="none"/>
        </w:rPr>
      </w:pPr>
      <w:r>
        <w:rPr>
          <w:rFonts w:hint="eastAsia" w:ascii="宋体"/>
          <w:szCs w:val="21"/>
          <w:highlight w:val="none"/>
        </w:rPr>
        <w:t>35.5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14:paraId="527157AF">
      <w:pPr>
        <w:widowControl/>
        <w:spacing w:line="440" w:lineRule="exact"/>
        <w:ind w:firstLine="210" w:firstLineChars="100"/>
        <w:rPr>
          <w:rFonts w:ascii="宋体"/>
          <w:szCs w:val="21"/>
          <w:highlight w:val="none"/>
        </w:rPr>
      </w:pPr>
      <w:r>
        <w:rPr>
          <w:rFonts w:hint="eastAsia" w:ascii="宋体"/>
          <w:szCs w:val="21"/>
          <w:highlight w:val="none"/>
        </w:rPr>
        <w:t>35.6 评审人员需对采购方工作人员唱票或统计的评审结果进行确认，现场监督员应对评审结果签署监督意见。如发现分值汇总计算错误、分项评分超出评分标准范围、客观评分不一致以及存在评分畸高、畸低（其总评分偏</w:t>
      </w:r>
      <w:r>
        <w:rPr>
          <w:rFonts w:hint="eastAsia" w:ascii="宋体"/>
          <w:color w:val="auto"/>
          <w:szCs w:val="21"/>
          <w:highlight w:val="none"/>
        </w:rPr>
        <w:t>离平均分30%以上的）情</w:t>
      </w:r>
      <w:r>
        <w:rPr>
          <w:rFonts w:hint="eastAsia" w:ascii="宋体"/>
          <w:szCs w:val="21"/>
          <w:highlight w:val="none"/>
        </w:rPr>
        <w:t>形的，应由相关人员当场改正或作出书面说明；拒不改正又不作书面说明的，由现场监督员如实记载后存入项目档案资料。</w:t>
      </w:r>
    </w:p>
    <w:p w14:paraId="75A28311">
      <w:pPr>
        <w:widowControl/>
        <w:spacing w:line="440" w:lineRule="exact"/>
        <w:ind w:firstLine="210" w:firstLineChars="100"/>
        <w:rPr>
          <w:rFonts w:ascii="宋体"/>
          <w:szCs w:val="21"/>
          <w:highlight w:val="none"/>
        </w:rPr>
      </w:pPr>
      <w:r>
        <w:rPr>
          <w:rFonts w:hint="eastAsia" w:ascii="宋体"/>
          <w:szCs w:val="21"/>
          <w:highlight w:val="none"/>
        </w:rPr>
        <w:t>35.7 评标委员会根据评审汇总情况和采购文件规定确定中标候选供应商排序名单。</w:t>
      </w:r>
    </w:p>
    <w:p w14:paraId="03E3F9C8">
      <w:pPr>
        <w:widowControl/>
        <w:spacing w:line="440" w:lineRule="exact"/>
        <w:ind w:firstLine="210" w:firstLineChars="100"/>
        <w:rPr>
          <w:rFonts w:ascii="宋体"/>
          <w:szCs w:val="21"/>
          <w:highlight w:val="none"/>
        </w:rPr>
      </w:pPr>
      <w:r>
        <w:rPr>
          <w:rFonts w:hint="eastAsia" w:ascii="宋体"/>
          <w:szCs w:val="21"/>
          <w:highlight w:val="none"/>
        </w:rPr>
        <w:t xml:space="preserve">35.8 起草评审报告，所有评审人员须在评审报告上签字确认，对自己的评审意见承担法律责任。 </w:t>
      </w:r>
    </w:p>
    <w:p w14:paraId="4F43F4BC">
      <w:pPr>
        <w:widowControl/>
        <w:spacing w:line="440" w:lineRule="exact"/>
        <w:ind w:firstLine="210" w:firstLineChars="100"/>
        <w:rPr>
          <w:rFonts w:ascii="宋体"/>
          <w:szCs w:val="21"/>
          <w:highlight w:val="none"/>
        </w:rPr>
      </w:pPr>
      <w:r>
        <w:rPr>
          <w:rFonts w:hint="eastAsia" w:ascii="宋体"/>
          <w:szCs w:val="21"/>
          <w:highlight w:val="none"/>
        </w:rPr>
        <w:t>35.9 采购组织机构对评标委员会评审专家进行评价。</w:t>
      </w:r>
    </w:p>
    <w:p w14:paraId="68793830">
      <w:pPr>
        <w:widowControl/>
        <w:spacing w:line="440" w:lineRule="exact"/>
        <w:ind w:firstLine="210" w:firstLineChars="100"/>
        <w:rPr>
          <w:rFonts w:ascii="宋体"/>
          <w:szCs w:val="21"/>
          <w:highlight w:val="none"/>
        </w:rPr>
      </w:pPr>
      <w:r>
        <w:rPr>
          <w:rFonts w:hint="eastAsia" w:ascii="宋体"/>
          <w:szCs w:val="21"/>
          <w:highlight w:val="none"/>
        </w:rPr>
        <w:t>35.10 修改评审结果</w:t>
      </w:r>
    </w:p>
    <w:p w14:paraId="02A998C4">
      <w:pPr>
        <w:widowControl/>
        <w:spacing w:line="440" w:lineRule="exact"/>
        <w:ind w:firstLine="210" w:firstLineChars="100"/>
        <w:rPr>
          <w:rFonts w:ascii="宋体"/>
          <w:szCs w:val="21"/>
          <w:highlight w:val="none"/>
        </w:rPr>
      </w:pPr>
      <w:r>
        <w:rPr>
          <w:rFonts w:hint="eastAsia" w:ascii="宋体"/>
          <w:szCs w:val="21"/>
          <w:highlight w:val="none"/>
        </w:rPr>
        <w:t>评标结果汇总完成后，除下列情形外，任何人不得修改评标结果：</w:t>
      </w:r>
    </w:p>
    <w:p w14:paraId="638E71E9">
      <w:pPr>
        <w:widowControl/>
        <w:spacing w:line="440" w:lineRule="exact"/>
        <w:ind w:firstLine="210" w:firstLineChars="100"/>
        <w:rPr>
          <w:rFonts w:ascii="宋体"/>
          <w:szCs w:val="21"/>
          <w:highlight w:val="none"/>
        </w:rPr>
      </w:pPr>
      <w:r>
        <w:rPr>
          <w:rFonts w:hint="eastAsia" w:ascii="宋体"/>
          <w:szCs w:val="21"/>
          <w:highlight w:val="none"/>
        </w:rPr>
        <w:t>（1）分值汇总计算错误的；</w:t>
      </w:r>
    </w:p>
    <w:p w14:paraId="591EDEBC">
      <w:pPr>
        <w:widowControl/>
        <w:spacing w:line="440" w:lineRule="exact"/>
        <w:ind w:firstLine="210" w:firstLineChars="100"/>
        <w:rPr>
          <w:rFonts w:ascii="宋体"/>
          <w:szCs w:val="21"/>
          <w:highlight w:val="none"/>
        </w:rPr>
      </w:pPr>
      <w:r>
        <w:rPr>
          <w:rFonts w:hint="eastAsia" w:ascii="宋体"/>
          <w:szCs w:val="21"/>
          <w:highlight w:val="none"/>
        </w:rPr>
        <w:t>（2）分项评分超出评分标准范围的；</w:t>
      </w:r>
    </w:p>
    <w:p w14:paraId="3C6CA229">
      <w:pPr>
        <w:widowControl/>
        <w:spacing w:line="440" w:lineRule="exact"/>
        <w:ind w:firstLine="210" w:firstLineChars="100"/>
        <w:rPr>
          <w:rFonts w:ascii="宋体"/>
          <w:szCs w:val="21"/>
          <w:highlight w:val="none"/>
        </w:rPr>
      </w:pPr>
      <w:r>
        <w:rPr>
          <w:rFonts w:hint="eastAsia" w:ascii="宋体"/>
          <w:szCs w:val="21"/>
          <w:highlight w:val="none"/>
        </w:rPr>
        <w:t>（3）评标委员会成员对客观评审因素评分不一致的；</w:t>
      </w:r>
    </w:p>
    <w:p w14:paraId="0BDE578D">
      <w:pPr>
        <w:widowControl/>
        <w:spacing w:line="440" w:lineRule="exact"/>
        <w:ind w:firstLine="210" w:firstLineChars="100"/>
        <w:rPr>
          <w:rFonts w:ascii="宋体"/>
          <w:szCs w:val="21"/>
          <w:highlight w:val="none"/>
        </w:rPr>
      </w:pPr>
      <w:r>
        <w:rPr>
          <w:rFonts w:hint="eastAsia" w:ascii="宋体"/>
          <w:szCs w:val="21"/>
          <w:highlight w:val="none"/>
        </w:rPr>
        <w:t>（4）经评标委员会认定评分畸高、畸低的。</w:t>
      </w:r>
    </w:p>
    <w:p w14:paraId="0CD6E922">
      <w:pPr>
        <w:widowControl/>
        <w:spacing w:line="440" w:lineRule="exact"/>
        <w:ind w:firstLine="210" w:firstLineChars="100"/>
        <w:rPr>
          <w:rFonts w:ascii="宋体"/>
          <w:szCs w:val="21"/>
          <w:highlight w:val="none"/>
        </w:rPr>
      </w:pPr>
      <w:r>
        <w:rPr>
          <w:rFonts w:hint="eastAsia" w:ascii="宋体"/>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6201FFF1">
      <w:pPr>
        <w:spacing w:line="440" w:lineRule="exact"/>
        <w:ind w:firstLine="210" w:firstLineChars="100"/>
        <w:jc w:val="left"/>
        <w:rPr>
          <w:rFonts w:ascii="宋体"/>
          <w:szCs w:val="21"/>
          <w:highlight w:val="none"/>
        </w:rPr>
      </w:pPr>
      <w:r>
        <w:rPr>
          <w:rFonts w:hint="eastAsia" w:ascii="宋体"/>
          <w:szCs w:val="21"/>
          <w:highlight w:val="none"/>
        </w:rPr>
        <w:t>36．澄清、说明或补正的形式</w:t>
      </w:r>
    </w:p>
    <w:p w14:paraId="78BBC77B">
      <w:pPr>
        <w:spacing w:line="440" w:lineRule="exact"/>
        <w:ind w:firstLine="210" w:firstLineChars="100"/>
        <w:jc w:val="left"/>
        <w:rPr>
          <w:rFonts w:ascii="宋体"/>
          <w:szCs w:val="21"/>
          <w:highlight w:val="none"/>
        </w:rPr>
      </w:pPr>
      <w:r>
        <w:rPr>
          <w:rFonts w:hint="eastAsia" w:ascii="宋体"/>
          <w:szCs w:val="21"/>
          <w:highlight w:val="none"/>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宋体"/>
          <w:b/>
          <w:bCs/>
          <w:szCs w:val="21"/>
          <w:highlight w:val="none"/>
        </w:rPr>
        <w:t>投标供应商澄清、说明或补正时间为20分钟</w:t>
      </w:r>
      <w:r>
        <w:rPr>
          <w:rFonts w:hint="eastAsia" w:ascii="宋体"/>
          <w:szCs w:val="21"/>
          <w:highlight w:val="none"/>
        </w:rPr>
        <w:t>。</w:t>
      </w:r>
    </w:p>
    <w:p w14:paraId="38F003FB">
      <w:pPr>
        <w:spacing w:line="440" w:lineRule="exact"/>
        <w:ind w:firstLine="210" w:firstLineChars="100"/>
        <w:jc w:val="left"/>
        <w:rPr>
          <w:rFonts w:ascii="宋体"/>
          <w:szCs w:val="21"/>
          <w:highlight w:val="none"/>
        </w:rPr>
      </w:pPr>
      <w:r>
        <w:rPr>
          <w:rFonts w:hint="eastAsia" w:ascii="宋体"/>
          <w:szCs w:val="21"/>
          <w:highlight w:val="none"/>
        </w:rPr>
        <w:t>36.2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14:paraId="7698805C">
      <w:pPr>
        <w:spacing w:line="440" w:lineRule="exact"/>
        <w:ind w:firstLine="210" w:firstLineChars="100"/>
        <w:jc w:val="left"/>
        <w:rPr>
          <w:rFonts w:ascii="宋体"/>
          <w:szCs w:val="21"/>
          <w:highlight w:val="none"/>
        </w:rPr>
      </w:pPr>
      <w:r>
        <w:rPr>
          <w:rFonts w:hint="eastAsia" w:ascii="宋体"/>
          <w:szCs w:val="21"/>
          <w:highlight w:val="none"/>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64BFB36D">
      <w:pPr>
        <w:spacing w:line="440" w:lineRule="exact"/>
        <w:ind w:firstLine="210" w:firstLineChars="100"/>
        <w:jc w:val="left"/>
        <w:rPr>
          <w:rFonts w:ascii="宋体"/>
          <w:szCs w:val="21"/>
          <w:highlight w:val="none"/>
        </w:rPr>
      </w:pPr>
      <w:r>
        <w:rPr>
          <w:rFonts w:hint="eastAsia" w:ascii="宋体"/>
          <w:szCs w:val="21"/>
          <w:highlight w:val="none"/>
        </w:rPr>
        <w:t>37．错误修正的原则</w:t>
      </w:r>
    </w:p>
    <w:p w14:paraId="0650E2F7">
      <w:pPr>
        <w:spacing w:line="440" w:lineRule="exact"/>
        <w:ind w:firstLine="210" w:firstLineChars="100"/>
        <w:jc w:val="left"/>
        <w:rPr>
          <w:rFonts w:ascii="宋体"/>
          <w:szCs w:val="21"/>
          <w:highlight w:val="none"/>
        </w:rPr>
      </w:pPr>
      <w:r>
        <w:rPr>
          <w:rFonts w:hint="eastAsia" w:ascii="宋体"/>
          <w:szCs w:val="21"/>
          <w:highlight w:val="none"/>
        </w:rPr>
        <w:t>电子交易平台客户端里开标一览表录入的投标报价或优惠率与扫描上传的报价文件信息不一致的，以扫描上传的报价文件信息为准进行修正。</w:t>
      </w:r>
    </w:p>
    <w:p w14:paraId="329B3427">
      <w:pPr>
        <w:spacing w:line="440" w:lineRule="exact"/>
        <w:ind w:firstLine="210" w:firstLineChars="100"/>
        <w:jc w:val="left"/>
        <w:rPr>
          <w:rFonts w:ascii="宋体"/>
          <w:szCs w:val="21"/>
          <w:highlight w:val="none"/>
        </w:rPr>
      </w:pPr>
      <w:r>
        <w:rPr>
          <w:rFonts w:hint="eastAsia" w:ascii="宋体"/>
          <w:szCs w:val="21"/>
          <w:highlight w:val="none"/>
        </w:rPr>
        <w:t>投标文件报价出现前后不一致的，除采购文件另有规定外，按照下列规定修正：</w:t>
      </w:r>
    </w:p>
    <w:p w14:paraId="5380F0EC">
      <w:pPr>
        <w:spacing w:line="440" w:lineRule="exact"/>
        <w:ind w:firstLine="210" w:firstLineChars="100"/>
        <w:jc w:val="left"/>
        <w:rPr>
          <w:rFonts w:ascii="宋体"/>
          <w:szCs w:val="21"/>
          <w:highlight w:val="none"/>
        </w:rPr>
      </w:pPr>
      <w:r>
        <w:rPr>
          <w:rFonts w:hint="eastAsia" w:ascii="宋体"/>
          <w:szCs w:val="21"/>
          <w:highlight w:val="none"/>
        </w:rPr>
        <w:t>37.1 投标函中表述的内容与报价表中不一致的，以报价表为准；报价表中的内容与报价明细表不一致的，以报价表为准；</w:t>
      </w:r>
    </w:p>
    <w:p w14:paraId="489AF121">
      <w:pPr>
        <w:spacing w:line="440" w:lineRule="exact"/>
        <w:ind w:firstLine="210" w:firstLineChars="100"/>
        <w:jc w:val="left"/>
        <w:rPr>
          <w:rFonts w:ascii="宋体"/>
          <w:szCs w:val="21"/>
          <w:highlight w:val="none"/>
        </w:rPr>
      </w:pPr>
      <w:r>
        <w:rPr>
          <w:rFonts w:hint="eastAsia" w:ascii="宋体"/>
          <w:szCs w:val="21"/>
          <w:highlight w:val="none"/>
        </w:rPr>
        <w:t>37.2 投标文件中的大写金额和小写金额不一致的，以大写金额为准；</w:t>
      </w:r>
    </w:p>
    <w:p w14:paraId="02789E34">
      <w:pPr>
        <w:spacing w:line="440" w:lineRule="exact"/>
        <w:ind w:firstLine="210" w:firstLineChars="100"/>
        <w:jc w:val="left"/>
        <w:rPr>
          <w:rFonts w:ascii="宋体"/>
          <w:szCs w:val="21"/>
          <w:highlight w:val="none"/>
        </w:rPr>
      </w:pPr>
      <w:r>
        <w:rPr>
          <w:rFonts w:hint="eastAsia" w:ascii="宋体"/>
          <w:szCs w:val="21"/>
          <w:highlight w:val="none"/>
        </w:rPr>
        <w:t>37.3 单价金额小数点或者百分比有明显错位的，以开标一览表的总价为准，并修改单价；</w:t>
      </w:r>
    </w:p>
    <w:p w14:paraId="43CD8049">
      <w:pPr>
        <w:spacing w:line="440" w:lineRule="exact"/>
        <w:ind w:firstLine="210" w:firstLineChars="100"/>
        <w:jc w:val="left"/>
        <w:rPr>
          <w:rFonts w:ascii="宋体"/>
          <w:szCs w:val="21"/>
          <w:highlight w:val="none"/>
        </w:rPr>
      </w:pPr>
      <w:r>
        <w:rPr>
          <w:rFonts w:hint="eastAsia" w:ascii="宋体"/>
          <w:szCs w:val="21"/>
          <w:highlight w:val="none"/>
        </w:rPr>
        <w:t>37.4 总价金额与按单价汇总金额不一致的，以单价金额计算结果为准；</w:t>
      </w:r>
    </w:p>
    <w:p w14:paraId="4EFF3B24">
      <w:pPr>
        <w:spacing w:line="440" w:lineRule="exact"/>
        <w:ind w:firstLine="210" w:firstLineChars="100"/>
        <w:jc w:val="left"/>
        <w:rPr>
          <w:rFonts w:ascii="宋体"/>
          <w:szCs w:val="21"/>
          <w:highlight w:val="none"/>
        </w:rPr>
      </w:pPr>
      <w:r>
        <w:rPr>
          <w:rFonts w:hint="eastAsia" w:ascii="宋体"/>
          <w:szCs w:val="21"/>
          <w:highlight w:val="none"/>
        </w:rPr>
        <w:t>37.5 若用文字表示的数值与用数字表示的数值不一致，以文字表示的数值为准；</w:t>
      </w:r>
    </w:p>
    <w:p w14:paraId="39095B55">
      <w:pPr>
        <w:spacing w:line="440" w:lineRule="exact"/>
        <w:ind w:firstLine="210" w:firstLineChars="100"/>
        <w:jc w:val="left"/>
        <w:rPr>
          <w:rFonts w:ascii="宋体"/>
          <w:szCs w:val="21"/>
          <w:highlight w:val="none"/>
        </w:rPr>
      </w:pPr>
      <w:r>
        <w:rPr>
          <w:rFonts w:hint="eastAsia" w:ascii="宋体"/>
          <w:szCs w:val="21"/>
          <w:highlight w:val="none"/>
        </w:rPr>
        <w:t>37.6 如有多报（指数量超出采购文件需求）、重报（指同一货物重复报价），其投标总价在评标过程中不予调整，如其中标，其合同价按其投标单价予以调整；</w:t>
      </w:r>
    </w:p>
    <w:p w14:paraId="593F8ADC">
      <w:pPr>
        <w:spacing w:line="440" w:lineRule="exact"/>
        <w:ind w:firstLine="210" w:firstLineChars="100"/>
        <w:jc w:val="left"/>
        <w:rPr>
          <w:rFonts w:ascii="宋体"/>
          <w:szCs w:val="21"/>
          <w:highlight w:val="none"/>
        </w:rPr>
      </w:pPr>
      <w:r>
        <w:rPr>
          <w:rFonts w:hint="eastAsia" w:ascii="宋体"/>
          <w:szCs w:val="21"/>
          <w:highlight w:val="none"/>
        </w:rPr>
        <w:t>37.7 对不同文字文本投标文件的解释发生异议的，以中文文本为准；</w:t>
      </w:r>
    </w:p>
    <w:p w14:paraId="146E11C6">
      <w:pPr>
        <w:spacing w:line="440" w:lineRule="exact"/>
        <w:ind w:firstLine="210" w:firstLineChars="100"/>
        <w:jc w:val="left"/>
        <w:rPr>
          <w:rFonts w:ascii="宋体"/>
          <w:b/>
          <w:bCs/>
          <w:szCs w:val="21"/>
          <w:highlight w:val="none"/>
        </w:rPr>
      </w:pPr>
      <w:r>
        <w:rPr>
          <w:rFonts w:hint="eastAsia" w:ascii="宋体"/>
          <w:szCs w:val="21"/>
          <w:highlight w:val="none"/>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宋体"/>
          <w:b/>
          <w:bCs/>
          <w:szCs w:val="21"/>
          <w:highlight w:val="none"/>
        </w:rPr>
        <w:t>修正应当采用电子询标的形式，并加盖公章（电子印章）。</w:t>
      </w:r>
    </w:p>
    <w:p w14:paraId="3B696C64">
      <w:pPr>
        <w:spacing w:line="440" w:lineRule="exact"/>
        <w:ind w:firstLine="210" w:firstLineChars="100"/>
        <w:jc w:val="left"/>
        <w:rPr>
          <w:rFonts w:ascii="宋体"/>
          <w:szCs w:val="21"/>
          <w:highlight w:val="none"/>
        </w:rPr>
      </w:pPr>
      <w:r>
        <w:rPr>
          <w:rFonts w:hint="eastAsia" w:ascii="宋体"/>
          <w:szCs w:val="21"/>
          <w:highlight w:val="none"/>
        </w:rPr>
        <w:t>38．无效投标文件</w:t>
      </w:r>
    </w:p>
    <w:p w14:paraId="670DE928">
      <w:pPr>
        <w:spacing w:line="440" w:lineRule="exact"/>
        <w:ind w:firstLine="210" w:firstLineChars="100"/>
        <w:jc w:val="left"/>
        <w:rPr>
          <w:rFonts w:ascii="宋体"/>
          <w:szCs w:val="21"/>
          <w:highlight w:val="none"/>
        </w:rPr>
      </w:pPr>
      <w:r>
        <w:rPr>
          <w:rFonts w:hint="eastAsia" w:ascii="宋体"/>
          <w:szCs w:val="21"/>
          <w:highlight w:val="none"/>
        </w:rPr>
        <w:t>有下列情形之一的，投标文件按无效标处理：</w:t>
      </w:r>
    </w:p>
    <w:p w14:paraId="5062C087">
      <w:pPr>
        <w:spacing w:line="440" w:lineRule="exact"/>
        <w:ind w:firstLine="210" w:firstLineChars="100"/>
        <w:jc w:val="left"/>
        <w:rPr>
          <w:rFonts w:ascii="宋体"/>
          <w:szCs w:val="21"/>
          <w:highlight w:val="none"/>
        </w:rPr>
      </w:pPr>
      <w:r>
        <w:rPr>
          <w:rFonts w:hint="eastAsia" w:ascii="宋体"/>
          <w:szCs w:val="21"/>
          <w:highlight w:val="none"/>
        </w:rPr>
        <w:t>38.1 报名的投标人与参加投标的投标人发生实质性变更的且未提供有效证明的；</w:t>
      </w:r>
    </w:p>
    <w:p w14:paraId="3C8BD255">
      <w:pPr>
        <w:spacing w:line="440" w:lineRule="exact"/>
        <w:ind w:firstLine="210" w:firstLineChars="100"/>
        <w:jc w:val="left"/>
        <w:rPr>
          <w:rFonts w:ascii="宋体"/>
          <w:szCs w:val="21"/>
          <w:highlight w:val="none"/>
        </w:rPr>
      </w:pPr>
      <w:r>
        <w:rPr>
          <w:rFonts w:hint="eastAsia" w:ascii="宋体"/>
          <w:szCs w:val="21"/>
          <w:highlight w:val="none"/>
        </w:rPr>
        <w:t>38.2投标人提交两份或两份以上内容不同的投标文件，未声明哪一份有效的；</w:t>
      </w:r>
    </w:p>
    <w:p w14:paraId="49BEFEF9">
      <w:pPr>
        <w:spacing w:line="440" w:lineRule="exact"/>
        <w:ind w:firstLine="210" w:firstLineChars="100"/>
        <w:jc w:val="left"/>
        <w:rPr>
          <w:rFonts w:ascii="宋体"/>
          <w:szCs w:val="21"/>
          <w:highlight w:val="none"/>
        </w:rPr>
      </w:pPr>
      <w:r>
        <w:rPr>
          <w:rFonts w:hint="eastAsia" w:ascii="宋体"/>
          <w:szCs w:val="21"/>
          <w:highlight w:val="none"/>
        </w:rPr>
        <w:t>38.3 投标文件非投标人法定代表人签署的，未提供或提供无效的法定代表人授权书；</w:t>
      </w:r>
    </w:p>
    <w:p w14:paraId="20BA1C13">
      <w:pPr>
        <w:spacing w:line="440" w:lineRule="exact"/>
        <w:ind w:firstLine="210" w:firstLineChars="100"/>
        <w:jc w:val="left"/>
        <w:rPr>
          <w:rFonts w:ascii="宋体"/>
          <w:szCs w:val="21"/>
          <w:highlight w:val="none"/>
        </w:rPr>
      </w:pPr>
      <w:r>
        <w:rPr>
          <w:rFonts w:hint="eastAsia" w:ascii="宋体"/>
          <w:szCs w:val="21"/>
          <w:highlight w:val="none"/>
        </w:rPr>
        <w:t>38.4 未按磋商文件规定装订；</w:t>
      </w:r>
    </w:p>
    <w:p w14:paraId="0BEF2170">
      <w:pPr>
        <w:spacing w:line="440" w:lineRule="exact"/>
        <w:ind w:firstLine="210" w:firstLineChars="100"/>
        <w:jc w:val="left"/>
        <w:rPr>
          <w:rFonts w:ascii="宋体"/>
          <w:szCs w:val="21"/>
          <w:highlight w:val="none"/>
        </w:rPr>
      </w:pPr>
      <w:r>
        <w:rPr>
          <w:rFonts w:hint="eastAsia" w:ascii="宋体"/>
          <w:szCs w:val="21"/>
          <w:highlight w:val="none"/>
        </w:rPr>
        <w:t>38.5 投标文件内容未按磋商文件规定签字或盖章的；</w:t>
      </w:r>
    </w:p>
    <w:p w14:paraId="2D5A3CA8">
      <w:pPr>
        <w:spacing w:line="440" w:lineRule="exact"/>
        <w:ind w:firstLine="210" w:firstLineChars="100"/>
        <w:jc w:val="left"/>
        <w:rPr>
          <w:rFonts w:ascii="宋体"/>
          <w:szCs w:val="21"/>
          <w:highlight w:val="none"/>
        </w:rPr>
      </w:pPr>
      <w:r>
        <w:rPr>
          <w:rFonts w:hint="eastAsia" w:ascii="宋体"/>
          <w:szCs w:val="21"/>
          <w:highlight w:val="none"/>
        </w:rPr>
        <w:t>38.6 投标文件组成漏项或未按规定的格式编制或投标文件正、副本份数不足或内容不全或内容字迹模糊辨认不清的等而导致评标活动无法正常进行；</w:t>
      </w:r>
    </w:p>
    <w:p w14:paraId="667F9ED0">
      <w:pPr>
        <w:spacing w:line="440" w:lineRule="exact"/>
        <w:ind w:firstLine="210" w:firstLineChars="100"/>
        <w:jc w:val="left"/>
        <w:rPr>
          <w:rFonts w:ascii="宋体"/>
          <w:szCs w:val="21"/>
          <w:highlight w:val="none"/>
        </w:rPr>
      </w:pPr>
      <w:r>
        <w:rPr>
          <w:rFonts w:hint="eastAsia" w:ascii="宋体"/>
          <w:szCs w:val="21"/>
          <w:highlight w:val="none"/>
        </w:rPr>
        <w:t>38.7 投标人未按磋商文件变更通知更改投标文件的；</w:t>
      </w:r>
    </w:p>
    <w:p w14:paraId="73CD0D7D">
      <w:pPr>
        <w:spacing w:line="440" w:lineRule="exact"/>
        <w:ind w:firstLine="210" w:firstLineChars="100"/>
        <w:jc w:val="left"/>
        <w:rPr>
          <w:rFonts w:ascii="宋体"/>
          <w:szCs w:val="21"/>
          <w:highlight w:val="none"/>
        </w:rPr>
      </w:pPr>
      <w:r>
        <w:rPr>
          <w:rFonts w:hint="eastAsia" w:ascii="宋体"/>
          <w:szCs w:val="21"/>
          <w:highlight w:val="none"/>
        </w:rPr>
        <w:t>38.8 《开标一览表》和《投标分项报价表》内容不完整且不接受修正意见或字迹不能辨认的或未提供；</w:t>
      </w:r>
    </w:p>
    <w:p w14:paraId="7F29EE4A">
      <w:pPr>
        <w:spacing w:line="440" w:lineRule="exact"/>
        <w:ind w:firstLine="210" w:firstLineChars="100"/>
        <w:jc w:val="left"/>
        <w:rPr>
          <w:rFonts w:ascii="宋体"/>
          <w:szCs w:val="21"/>
          <w:highlight w:val="none"/>
        </w:rPr>
      </w:pPr>
      <w:r>
        <w:rPr>
          <w:rFonts w:hint="eastAsia" w:ascii="宋体"/>
          <w:szCs w:val="21"/>
          <w:highlight w:val="none"/>
        </w:rPr>
        <w:t>38.9 标项投标报价超过磋商文件规定的预算金额或最高限价</w:t>
      </w:r>
    </w:p>
    <w:p w14:paraId="48A6CA82">
      <w:pPr>
        <w:spacing w:line="440" w:lineRule="exact"/>
        <w:ind w:firstLine="210" w:firstLineChars="100"/>
        <w:jc w:val="left"/>
        <w:rPr>
          <w:rFonts w:ascii="宋体"/>
          <w:szCs w:val="21"/>
          <w:highlight w:val="none"/>
        </w:rPr>
      </w:pPr>
      <w:r>
        <w:rPr>
          <w:rFonts w:hint="eastAsia" w:ascii="宋体"/>
          <w:szCs w:val="21"/>
          <w:highlight w:val="none"/>
        </w:rPr>
        <w:t>38.10 因投标人原因编制错误造成经评标委员会修正后的报价达到或超过投标报价的0.5%；</w:t>
      </w:r>
    </w:p>
    <w:p w14:paraId="4D31177A">
      <w:pPr>
        <w:spacing w:line="440" w:lineRule="exact"/>
        <w:ind w:firstLine="210" w:firstLineChars="100"/>
        <w:jc w:val="left"/>
        <w:rPr>
          <w:rFonts w:ascii="宋体"/>
          <w:szCs w:val="21"/>
          <w:highlight w:val="none"/>
        </w:rPr>
      </w:pPr>
      <w:r>
        <w:rPr>
          <w:rFonts w:hint="eastAsia" w:ascii="宋体"/>
          <w:szCs w:val="21"/>
          <w:highlight w:val="none"/>
        </w:rPr>
        <w:t>38.11 投标人的报价明显低于其他通过符合性审查投标人的报价，有可能影响产品质量或者不能诚信履约的，且在规定时间内不能合理说明原因并提供证明材料的；</w:t>
      </w:r>
    </w:p>
    <w:p w14:paraId="003F4DA3">
      <w:pPr>
        <w:spacing w:line="440" w:lineRule="exact"/>
        <w:ind w:firstLine="210" w:firstLineChars="100"/>
        <w:jc w:val="left"/>
        <w:rPr>
          <w:rFonts w:ascii="宋体"/>
          <w:szCs w:val="21"/>
          <w:highlight w:val="none"/>
        </w:rPr>
      </w:pPr>
      <w:r>
        <w:rPr>
          <w:rFonts w:hint="eastAsia" w:ascii="宋体"/>
          <w:szCs w:val="21"/>
          <w:highlight w:val="none"/>
        </w:rPr>
        <w:t>38.12 未实质性响应磋商文件中条款要求的投标文件；</w:t>
      </w:r>
    </w:p>
    <w:p w14:paraId="12708255">
      <w:pPr>
        <w:spacing w:line="440" w:lineRule="exact"/>
        <w:ind w:firstLine="210" w:firstLineChars="100"/>
        <w:jc w:val="left"/>
        <w:rPr>
          <w:rFonts w:ascii="宋体"/>
          <w:szCs w:val="21"/>
          <w:highlight w:val="none"/>
        </w:rPr>
      </w:pPr>
      <w:r>
        <w:rPr>
          <w:rFonts w:hint="eastAsia" w:ascii="宋体"/>
          <w:szCs w:val="21"/>
          <w:highlight w:val="none"/>
        </w:rPr>
        <w:t>38.13 不符合招标范围、技术规格、技术标准的要求无法满足采购人使用要求；</w:t>
      </w:r>
    </w:p>
    <w:p w14:paraId="5D0579C7">
      <w:pPr>
        <w:spacing w:line="440" w:lineRule="exact"/>
        <w:ind w:firstLine="210" w:firstLineChars="100"/>
        <w:jc w:val="left"/>
        <w:rPr>
          <w:rFonts w:ascii="宋体"/>
          <w:szCs w:val="21"/>
          <w:highlight w:val="none"/>
        </w:rPr>
      </w:pPr>
      <w:r>
        <w:rPr>
          <w:rFonts w:hint="eastAsia" w:ascii="宋体"/>
          <w:szCs w:val="21"/>
          <w:highlight w:val="none"/>
        </w:rPr>
        <w:t>38.14 投标文件附有采购人不能接受的条款；</w:t>
      </w:r>
    </w:p>
    <w:p w14:paraId="158C7317">
      <w:pPr>
        <w:spacing w:line="440" w:lineRule="exact"/>
        <w:ind w:firstLine="210" w:firstLineChars="100"/>
        <w:jc w:val="left"/>
        <w:rPr>
          <w:rFonts w:ascii="宋体"/>
          <w:szCs w:val="21"/>
          <w:highlight w:val="none"/>
        </w:rPr>
      </w:pPr>
      <w:r>
        <w:rPr>
          <w:rFonts w:hint="eastAsia" w:ascii="宋体"/>
          <w:szCs w:val="21"/>
          <w:highlight w:val="none"/>
        </w:rPr>
        <w:t>38.15 投标文件中提供了赠品或者与本项目采购无关的其他商品、服务；</w:t>
      </w:r>
    </w:p>
    <w:p w14:paraId="48F42ADC">
      <w:pPr>
        <w:spacing w:line="440" w:lineRule="exact"/>
        <w:ind w:firstLine="210" w:firstLineChars="100"/>
        <w:jc w:val="left"/>
        <w:rPr>
          <w:rFonts w:ascii="宋体"/>
          <w:szCs w:val="21"/>
          <w:highlight w:val="none"/>
        </w:rPr>
      </w:pPr>
      <w:r>
        <w:rPr>
          <w:rFonts w:hint="eastAsia" w:ascii="宋体"/>
          <w:szCs w:val="21"/>
          <w:highlight w:val="none"/>
        </w:rPr>
        <w:t>38.16 投标文件中承诺的投标有效期少于磋商文件中载明的投标有效期；</w:t>
      </w:r>
    </w:p>
    <w:p w14:paraId="7A20C3ED">
      <w:pPr>
        <w:spacing w:line="440" w:lineRule="exact"/>
        <w:ind w:firstLine="210" w:firstLineChars="100"/>
        <w:jc w:val="left"/>
        <w:rPr>
          <w:rFonts w:ascii="宋体"/>
          <w:szCs w:val="21"/>
          <w:highlight w:val="none"/>
        </w:rPr>
      </w:pPr>
      <w:r>
        <w:rPr>
          <w:rFonts w:hint="eastAsia" w:ascii="宋体"/>
          <w:szCs w:val="21"/>
          <w:highlight w:val="none"/>
        </w:rPr>
        <w:t>38.17投标人串通投标，妨碍其他投标人的竞争行为，损害采购人或者其他投标人的合法权益；</w:t>
      </w:r>
    </w:p>
    <w:p w14:paraId="095131ED">
      <w:pPr>
        <w:spacing w:line="440" w:lineRule="exact"/>
        <w:ind w:firstLine="210" w:firstLineChars="100"/>
        <w:jc w:val="left"/>
        <w:rPr>
          <w:rFonts w:ascii="宋体"/>
          <w:szCs w:val="21"/>
          <w:highlight w:val="none"/>
        </w:rPr>
      </w:pPr>
      <w:r>
        <w:rPr>
          <w:rFonts w:hint="eastAsia" w:ascii="宋体"/>
          <w:szCs w:val="21"/>
          <w:highlight w:val="none"/>
        </w:rPr>
        <w:t>38.18违反国家及政府部门相关法律、法规、文件规定或经评标委员会认定的其他属于重大偏离；</w:t>
      </w:r>
    </w:p>
    <w:p w14:paraId="69DADF45">
      <w:pPr>
        <w:spacing w:line="440" w:lineRule="exact"/>
        <w:ind w:firstLine="210" w:firstLineChars="100"/>
        <w:jc w:val="left"/>
        <w:rPr>
          <w:rFonts w:ascii="宋体"/>
          <w:szCs w:val="21"/>
          <w:highlight w:val="none"/>
        </w:rPr>
      </w:pPr>
      <w:r>
        <w:rPr>
          <w:rFonts w:hint="eastAsia" w:ascii="宋体"/>
          <w:szCs w:val="21"/>
          <w:highlight w:val="none"/>
        </w:rPr>
        <w:t>39．废标</w:t>
      </w:r>
    </w:p>
    <w:p w14:paraId="4F0B4AB8">
      <w:pPr>
        <w:spacing w:line="440" w:lineRule="exact"/>
        <w:ind w:firstLine="210" w:firstLineChars="100"/>
        <w:jc w:val="left"/>
        <w:rPr>
          <w:rFonts w:ascii="宋体"/>
          <w:szCs w:val="21"/>
          <w:highlight w:val="none"/>
        </w:rPr>
      </w:pPr>
      <w:r>
        <w:rPr>
          <w:rFonts w:hint="eastAsia" w:ascii="宋体"/>
          <w:szCs w:val="21"/>
          <w:highlight w:val="none"/>
        </w:rPr>
        <w:t>39.1 符合磋商文件规定废标情形的；</w:t>
      </w:r>
    </w:p>
    <w:p w14:paraId="02CBA6B4">
      <w:pPr>
        <w:spacing w:line="440" w:lineRule="exact"/>
        <w:ind w:firstLine="210" w:firstLineChars="100"/>
        <w:jc w:val="left"/>
        <w:rPr>
          <w:rFonts w:ascii="宋体"/>
          <w:szCs w:val="21"/>
          <w:highlight w:val="none"/>
        </w:rPr>
      </w:pPr>
      <w:r>
        <w:rPr>
          <w:rFonts w:hint="eastAsia" w:ascii="宋体"/>
          <w:szCs w:val="21"/>
          <w:highlight w:val="none"/>
        </w:rPr>
        <w:t>39.2 出现影响采购公正的违法、违规行为的；</w:t>
      </w:r>
    </w:p>
    <w:p w14:paraId="06F93F0C">
      <w:pPr>
        <w:spacing w:line="440" w:lineRule="exact"/>
        <w:ind w:firstLine="210" w:firstLineChars="100"/>
        <w:jc w:val="left"/>
        <w:rPr>
          <w:rFonts w:ascii="宋体"/>
          <w:szCs w:val="21"/>
          <w:highlight w:val="none"/>
        </w:rPr>
      </w:pPr>
      <w:r>
        <w:rPr>
          <w:rFonts w:hint="eastAsia" w:ascii="宋体"/>
          <w:szCs w:val="21"/>
          <w:highlight w:val="none"/>
        </w:rPr>
        <w:t>39.3 供应商的报价均超过了采购预算（或最高限价），采购人不能支付的;</w:t>
      </w:r>
    </w:p>
    <w:p w14:paraId="39F49947">
      <w:pPr>
        <w:spacing w:line="440" w:lineRule="exact"/>
        <w:ind w:firstLine="210" w:firstLineChars="100"/>
        <w:jc w:val="left"/>
        <w:rPr>
          <w:rFonts w:ascii="宋体"/>
          <w:szCs w:val="21"/>
          <w:highlight w:val="none"/>
        </w:rPr>
      </w:pPr>
      <w:r>
        <w:rPr>
          <w:rFonts w:hint="eastAsia" w:ascii="宋体"/>
          <w:szCs w:val="21"/>
          <w:highlight w:val="none"/>
        </w:rPr>
        <w:t>39.4 因重大变故，采购任务取消的。</w:t>
      </w:r>
    </w:p>
    <w:p w14:paraId="76A3F0EA">
      <w:pPr>
        <w:spacing w:line="440" w:lineRule="exact"/>
        <w:ind w:firstLine="210" w:firstLineChars="100"/>
        <w:jc w:val="left"/>
        <w:rPr>
          <w:rFonts w:ascii="宋体"/>
          <w:szCs w:val="21"/>
          <w:highlight w:val="none"/>
        </w:rPr>
      </w:pPr>
      <w:r>
        <w:rPr>
          <w:rFonts w:hint="eastAsia" w:ascii="宋体"/>
          <w:szCs w:val="21"/>
          <w:highlight w:val="none"/>
        </w:rPr>
        <w:t>40．突发情况处理</w:t>
      </w:r>
    </w:p>
    <w:p w14:paraId="614E1653">
      <w:pPr>
        <w:spacing w:line="440" w:lineRule="exact"/>
        <w:ind w:firstLine="210" w:firstLineChars="100"/>
        <w:jc w:val="left"/>
        <w:rPr>
          <w:rFonts w:ascii="宋体"/>
          <w:szCs w:val="21"/>
          <w:highlight w:val="none"/>
        </w:rPr>
      </w:pPr>
      <w:r>
        <w:rPr>
          <w:rFonts w:hint="eastAsia" w:ascii="宋体"/>
          <w:szCs w:val="21"/>
          <w:highlight w:val="none"/>
        </w:rPr>
        <w:t>40.1 采购过程中出现以下情形，导致电子交易平台无法正常运行，或者无法保证电子交易的公平、公正和安全时，采购组织机构可中止电子交易活动：</w:t>
      </w:r>
    </w:p>
    <w:p w14:paraId="4B288D94">
      <w:pPr>
        <w:spacing w:line="440" w:lineRule="exact"/>
        <w:ind w:firstLine="210" w:firstLineChars="100"/>
        <w:jc w:val="left"/>
        <w:rPr>
          <w:rFonts w:ascii="宋体"/>
          <w:szCs w:val="21"/>
          <w:highlight w:val="none"/>
        </w:rPr>
      </w:pPr>
      <w:r>
        <w:rPr>
          <w:rFonts w:hint="eastAsia" w:ascii="宋体"/>
          <w:szCs w:val="21"/>
          <w:highlight w:val="none"/>
        </w:rPr>
        <w:t xml:space="preserve">（1）电子交易平台发生故障而无法登录访问的； </w:t>
      </w:r>
    </w:p>
    <w:p w14:paraId="3FCEA7C8">
      <w:pPr>
        <w:spacing w:line="440" w:lineRule="exact"/>
        <w:ind w:firstLine="210" w:firstLineChars="100"/>
        <w:jc w:val="left"/>
        <w:rPr>
          <w:rFonts w:ascii="宋体"/>
          <w:szCs w:val="21"/>
          <w:highlight w:val="none"/>
        </w:rPr>
      </w:pPr>
      <w:r>
        <w:rPr>
          <w:rFonts w:hint="eastAsia" w:ascii="宋体"/>
          <w:szCs w:val="21"/>
          <w:highlight w:val="none"/>
        </w:rPr>
        <w:t>（2）电子交易平台应用或数据库出现错误，不能进行正常操作的；</w:t>
      </w:r>
    </w:p>
    <w:p w14:paraId="1BF65A28">
      <w:pPr>
        <w:spacing w:line="440" w:lineRule="exact"/>
        <w:ind w:firstLine="210" w:firstLineChars="100"/>
        <w:jc w:val="left"/>
        <w:rPr>
          <w:rFonts w:ascii="宋体"/>
          <w:szCs w:val="21"/>
          <w:highlight w:val="none"/>
        </w:rPr>
      </w:pPr>
      <w:r>
        <w:rPr>
          <w:rFonts w:hint="eastAsia" w:ascii="宋体"/>
          <w:szCs w:val="21"/>
          <w:highlight w:val="none"/>
        </w:rPr>
        <w:t>（3）电子交易平台发现严重安全漏洞，有潜在泄密危险的；</w:t>
      </w:r>
    </w:p>
    <w:p w14:paraId="337F3D30">
      <w:pPr>
        <w:spacing w:line="440" w:lineRule="exact"/>
        <w:ind w:firstLine="210" w:firstLineChars="100"/>
        <w:jc w:val="left"/>
        <w:rPr>
          <w:rFonts w:ascii="宋体"/>
          <w:szCs w:val="21"/>
          <w:highlight w:val="none"/>
        </w:rPr>
      </w:pPr>
      <w:r>
        <w:rPr>
          <w:rFonts w:hint="eastAsia" w:ascii="宋体"/>
          <w:szCs w:val="21"/>
          <w:highlight w:val="none"/>
        </w:rPr>
        <w:t xml:space="preserve">（4）病毒发作导致不能进行正常操作的； </w:t>
      </w:r>
    </w:p>
    <w:p w14:paraId="6947120A">
      <w:pPr>
        <w:spacing w:line="440" w:lineRule="exact"/>
        <w:ind w:firstLine="210" w:firstLineChars="100"/>
        <w:jc w:val="left"/>
        <w:rPr>
          <w:rFonts w:ascii="宋体"/>
          <w:szCs w:val="21"/>
          <w:highlight w:val="none"/>
        </w:rPr>
      </w:pPr>
      <w:r>
        <w:rPr>
          <w:rFonts w:hint="eastAsia" w:ascii="宋体"/>
          <w:szCs w:val="21"/>
          <w:highlight w:val="none"/>
        </w:rPr>
        <w:t>（5）其他无法保证电子交易的公平、公正和安全的情况。</w:t>
      </w:r>
    </w:p>
    <w:p w14:paraId="19A3B751">
      <w:pPr>
        <w:spacing w:line="440" w:lineRule="exact"/>
        <w:ind w:firstLine="210" w:firstLineChars="100"/>
        <w:jc w:val="left"/>
        <w:rPr>
          <w:rFonts w:ascii="宋体"/>
          <w:szCs w:val="21"/>
          <w:highlight w:val="none"/>
        </w:rPr>
      </w:pPr>
      <w:r>
        <w:rPr>
          <w:rFonts w:hint="eastAsia" w:ascii="宋体"/>
          <w:szCs w:val="21"/>
          <w:highlight w:val="none"/>
        </w:rPr>
        <w:t>出现前款规定情形，不影响采购公平、公正性的，采购组织机构可以待上述情形消除后继续组织电子交易活动，也可以决定某些环节以纸质形式进行；影响或可能影响采购公平、公正性的，应当重新采购。</w:t>
      </w:r>
    </w:p>
    <w:p w14:paraId="7E3C0256">
      <w:pPr>
        <w:spacing w:line="440" w:lineRule="exact"/>
        <w:ind w:firstLine="210" w:firstLineChars="100"/>
        <w:jc w:val="left"/>
        <w:rPr>
          <w:rFonts w:ascii="宋体"/>
          <w:szCs w:val="21"/>
          <w:highlight w:val="none"/>
        </w:rPr>
      </w:pPr>
      <w:r>
        <w:rPr>
          <w:rFonts w:hint="eastAsia" w:ascii="宋体"/>
          <w:szCs w:val="21"/>
          <w:highlight w:val="none"/>
        </w:rPr>
        <w:t>40.2 采购代理机构或评审小组因不可抗力（不可抗力包括但不限于自然灾害、断电、传播疫病等）原因造成电子交易活动无法正常运行的，将采取以下措施：</w:t>
      </w:r>
    </w:p>
    <w:p w14:paraId="39A5DD0B">
      <w:pPr>
        <w:spacing w:line="440" w:lineRule="exact"/>
        <w:ind w:firstLine="210" w:firstLineChars="100"/>
        <w:jc w:val="left"/>
        <w:rPr>
          <w:rFonts w:ascii="宋体"/>
          <w:szCs w:val="21"/>
          <w:highlight w:val="none"/>
        </w:rPr>
      </w:pPr>
      <w:r>
        <w:rPr>
          <w:rFonts w:hint="eastAsia" w:ascii="宋体"/>
          <w:szCs w:val="21"/>
          <w:highlight w:val="none"/>
        </w:rPr>
        <w:t xml:space="preserve">（1）短时间内能消除不可抗力因素的，采购代理机构或评审小组在消除不可抗力因素后继续组织电子交易活动； </w:t>
      </w:r>
    </w:p>
    <w:p w14:paraId="6B3EF95C">
      <w:pPr>
        <w:spacing w:line="440" w:lineRule="exact"/>
        <w:ind w:firstLine="210" w:firstLineChars="100"/>
        <w:jc w:val="left"/>
        <w:rPr>
          <w:rFonts w:ascii="宋体"/>
          <w:szCs w:val="21"/>
          <w:highlight w:val="none"/>
        </w:rPr>
      </w:pPr>
      <w:r>
        <w:rPr>
          <w:rFonts w:hint="eastAsia" w:ascii="宋体"/>
          <w:szCs w:val="21"/>
          <w:highlight w:val="none"/>
        </w:rPr>
        <w:t>（2）长时间内无法消除不可抗力因素的，采购代理机构或评审小组将中止电子交易活动。中止电子交易活动的，采购人应当重新组织政府采购活动。</w:t>
      </w:r>
    </w:p>
    <w:p w14:paraId="0E8C4C7E">
      <w:pPr>
        <w:snapToGrid w:val="0"/>
        <w:spacing w:line="360" w:lineRule="exact"/>
        <w:ind w:firstLine="421"/>
        <w:rPr>
          <w:rFonts w:ascii="宋体"/>
          <w:b/>
          <w:szCs w:val="21"/>
          <w:highlight w:val="none"/>
        </w:rPr>
      </w:pPr>
      <w:r>
        <w:rPr>
          <w:rFonts w:hint="eastAsia" w:ascii="宋体"/>
          <w:b/>
          <w:szCs w:val="21"/>
          <w:highlight w:val="none"/>
        </w:rPr>
        <w:t>41. 定标</w:t>
      </w:r>
    </w:p>
    <w:p w14:paraId="3AE50529">
      <w:pPr>
        <w:spacing w:line="440" w:lineRule="exact"/>
        <w:ind w:firstLine="210" w:firstLineChars="100"/>
        <w:jc w:val="left"/>
        <w:rPr>
          <w:rFonts w:ascii="宋体"/>
          <w:szCs w:val="21"/>
          <w:highlight w:val="none"/>
        </w:rPr>
      </w:pPr>
      <w:r>
        <w:rPr>
          <w:rFonts w:hint="eastAsia" w:ascii="宋体"/>
          <w:szCs w:val="21"/>
          <w:highlight w:val="none"/>
        </w:rPr>
        <w:t xml:space="preserve">    </w:t>
      </w:r>
      <w:bookmarkStart w:id="53" w:name="_Toc469495729"/>
      <w:r>
        <w:rPr>
          <w:rFonts w:hint="eastAsia" w:ascii="宋体"/>
          <w:szCs w:val="21"/>
          <w:highlight w:val="none"/>
        </w:rPr>
        <w:t>41.1采购结果确认（确定中标供应商）</w:t>
      </w:r>
    </w:p>
    <w:p w14:paraId="7EC8BBA9">
      <w:pPr>
        <w:spacing w:line="440" w:lineRule="exact"/>
        <w:ind w:firstLine="210" w:firstLineChars="100"/>
        <w:jc w:val="left"/>
        <w:rPr>
          <w:rFonts w:ascii="宋体"/>
          <w:szCs w:val="21"/>
          <w:highlight w:val="none"/>
        </w:rPr>
      </w:pPr>
      <w:r>
        <w:rPr>
          <w:rFonts w:hint="eastAsia" w:ascii="宋体"/>
          <w:szCs w:val="21"/>
          <w:highlight w:val="none"/>
        </w:rPr>
        <w:t>采购结果确认（确定中标供应商）：本项目由采购人根据评标委员会提交的《评审报告》，通过“政府采购云平台”依法确认采购结果、确定中标供应商。具体流程如下：</w:t>
      </w:r>
    </w:p>
    <w:p w14:paraId="55DBD28B">
      <w:pPr>
        <w:spacing w:line="440" w:lineRule="exact"/>
        <w:ind w:firstLine="210" w:firstLineChars="100"/>
        <w:jc w:val="left"/>
        <w:rPr>
          <w:rFonts w:ascii="宋体"/>
          <w:szCs w:val="21"/>
          <w:highlight w:val="none"/>
        </w:rPr>
      </w:pPr>
      <w:r>
        <w:rPr>
          <w:rFonts w:hint="eastAsia" w:ascii="宋体"/>
          <w:szCs w:val="21"/>
          <w:highlight w:val="none"/>
        </w:rPr>
        <w:t>（1）采购代理机构将在评审结束后2个工作日内将评审报告送采购人。</w:t>
      </w:r>
    </w:p>
    <w:p w14:paraId="7C675EF6">
      <w:pPr>
        <w:spacing w:line="440" w:lineRule="exact"/>
        <w:ind w:firstLine="210" w:firstLineChars="100"/>
        <w:jc w:val="left"/>
        <w:rPr>
          <w:rFonts w:ascii="宋体"/>
          <w:szCs w:val="21"/>
          <w:highlight w:val="none"/>
        </w:rPr>
      </w:pPr>
      <w:r>
        <w:rPr>
          <w:rFonts w:hint="eastAsia" w:ascii="宋体"/>
          <w:szCs w:val="21"/>
          <w:highlight w:val="none"/>
        </w:rPr>
        <w:t xml:space="preserve">（2）采购人将在收到评审报告之日起5个工作日内，在评审报告推荐的中标候选供应商名单中按顺序确定中标供应商，并将确认意见以书面形式回复采购代理机构。 </w:t>
      </w:r>
    </w:p>
    <w:p w14:paraId="19AB0AF6">
      <w:pPr>
        <w:spacing w:line="440" w:lineRule="exact"/>
        <w:ind w:firstLine="210" w:firstLineChars="100"/>
        <w:jc w:val="left"/>
        <w:rPr>
          <w:rFonts w:ascii="宋体"/>
          <w:b/>
          <w:bCs/>
          <w:szCs w:val="21"/>
          <w:highlight w:val="none"/>
        </w:rPr>
      </w:pPr>
      <w:r>
        <w:rPr>
          <w:rFonts w:hint="eastAsia" w:ascii="宋体"/>
          <w:szCs w:val="21"/>
          <w:highlight w:val="none"/>
        </w:rPr>
        <w:t>41.2采购结果经采购人确认后2个工作日内，采购代理机构将在</w:t>
      </w:r>
      <w:r>
        <w:rPr>
          <w:rFonts w:hint="eastAsia" w:ascii="宋体"/>
          <w:b/>
          <w:bCs/>
          <w:szCs w:val="21"/>
          <w:highlight w:val="none"/>
        </w:rPr>
        <w:t>克州公共资源交易中心网、新疆政府采购网（www.zjzfcg.gov.cn）上公告采购结果，中标公告期限为1个工作日。</w:t>
      </w:r>
    </w:p>
    <w:p w14:paraId="2B3E6722">
      <w:pPr>
        <w:spacing w:line="440" w:lineRule="exact"/>
        <w:ind w:firstLine="210" w:firstLineChars="100"/>
        <w:jc w:val="left"/>
        <w:rPr>
          <w:rFonts w:ascii="宋体"/>
          <w:szCs w:val="21"/>
          <w:highlight w:val="none"/>
        </w:rPr>
      </w:pPr>
      <w:r>
        <w:rPr>
          <w:rFonts w:hint="eastAsia" w:ascii="宋体"/>
          <w:szCs w:val="21"/>
          <w:highlight w:val="none"/>
        </w:rPr>
        <w:t>42. 成交通知书</w:t>
      </w:r>
    </w:p>
    <w:p w14:paraId="17388BC3">
      <w:pPr>
        <w:spacing w:line="440" w:lineRule="exact"/>
        <w:ind w:firstLine="210" w:firstLineChars="100"/>
        <w:jc w:val="left"/>
        <w:rPr>
          <w:rFonts w:ascii="宋体"/>
          <w:szCs w:val="21"/>
          <w:highlight w:val="none"/>
        </w:rPr>
      </w:pPr>
      <w:r>
        <w:rPr>
          <w:rFonts w:hint="eastAsia" w:ascii="宋体"/>
          <w:szCs w:val="21"/>
          <w:highlight w:val="none"/>
        </w:rPr>
        <w:t>42.1</w:t>
      </w:r>
      <w:r>
        <w:rPr>
          <w:rFonts w:hint="eastAsia" w:ascii="宋体" w:hAnsi="宋体" w:cs="宋体"/>
          <w:szCs w:val="21"/>
          <w:highlight w:val="none"/>
        </w:rPr>
        <w:t>在成交通知书发出前，招标人将中标侯选人的情况在克州公共资源交易中心网、新疆政府采购网予以公示，</w:t>
      </w:r>
      <w:r>
        <w:rPr>
          <w:rFonts w:hint="eastAsia" w:ascii="宋体" w:hAnsi="宋体" w:cs="宋体"/>
          <w:b/>
          <w:bCs/>
          <w:szCs w:val="21"/>
          <w:highlight w:val="none"/>
        </w:rPr>
        <w:t>公示期为一个工作日。待公示期结束后，</w:t>
      </w:r>
      <w:r>
        <w:rPr>
          <w:rFonts w:hint="eastAsia" w:ascii="宋体"/>
          <w:szCs w:val="21"/>
          <w:highlight w:val="none"/>
        </w:rPr>
        <w:t>采购组织机构向中标人发出中标通知书。</w:t>
      </w:r>
    </w:p>
    <w:p w14:paraId="7DA332D9">
      <w:pPr>
        <w:spacing w:line="440" w:lineRule="exact"/>
        <w:ind w:firstLine="210" w:firstLineChars="100"/>
        <w:jc w:val="left"/>
        <w:rPr>
          <w:rFonts w:ascii="宋体"/>
          <w:szCs w:val="21"/>
          <w:highlight w:val="none"/>
        </w:rPr>
      </w:pPr>
      <w:r>
        <w:rPr>
          <w:rFonts w:hint="eastAsia" w:ascii="宋体"/>
          <w:szCs w:val="21"/>
          <w:highlight w:val="none"/>
        </w:rPr>
        <w:t>42.2成交通知书作为签订合同的重要依据，对采购人和中标供应商均具有法律效力。采购人改变中标结果或者中标供应商放弃中标项目的都应承担法律责任。成交供应商不得向他人转让中标项目，也不得将中标项目肢解后分别向他人转让。</w:t>
      </w:r>
    </w:p>
    <w:p w14:paraId="13476DF8">
      <w:pPr>
        <w:spacing w:before="156" w:beforeLines="50" w:line="440" w:lineRule="exact"/>
        <w:jc w:val="center"/>
        <w:outlineLvl w:val="2"/>
        <w:rPr>
          <w:rFonts w:ascii="黑体" w:eastAsia="黑体"/>
          <w:sz w:val="24"/>
          <w:highlight w:val="none"/>
        </w:rPr>
      </w:pPr>
      <w:bookmarkStart w:id="54" w:name="_Toc21524"/>
      <w:r>
        <w:rPr>
          <w:rFonts w:hint="eastAsia" w:ascii="黑体" w:eastAsia="黑体"/>
          <w:sz w:val="28"/>
          <w:szCs w:val="28"/>
          <w:highlight w:val="none"/>
        </w:rPr>
        <w:t>（六）合同的授予</w:t>
      </w:r>
      <w:bookmarkEnd w:id="53"/>
      <w:bookmarkEnd w:id="54"/>
    </w:p>
    <w:p w14:paraId="154C2930">
      <w:pPr>
        <w:spacing w:line="440" w:lineRule="exact"/>
        <w:ind w:firstLine="210" w:firstLineChars="100"/>
        <w:jc w:val="left"/>
        <w:rPr>
          <w:rFonts w:hint="eastAsia" w:ascii="宋体" w:eastAsia="宋体"/>
          <w:szCs w:val="21"/>
          <w:highlight w:val="none"/>
          <w:lang w:eastAsia="zh-CN"/>
        </w:rPr>
      </w:pPr>
      <w:bookmarkStart w:id="55" w:name="_Toc73975842"/>
      <w:bookmarkStart w:id="56" w:name="_Toc469495730"/>
      <w:r>
        <w:rPr>
          <w:rFonts w:hint="eastAsia" w:ascii="宋体"/>
          <w:szCs w:val="21"/>
          <w:highlight w:val="none"/>
        </w:rPr>
        <w:t>43．履约保证金</w:t>
      </w:r>
      <w:bookmarkEnd w:id="55"/>
      <w:r>
        <w:rPr>
          <w:rFonts w:hint="eastAsia" w:ascii="宋体"/>
          <w:szCs w:val="21"/>
          <w:highlight w:val="none"/>
          <w:lang w:eastAsia="zh-CN"/>
        </w:rPr>
        <w:t>（本项目无）</w:t>
      </w:r>
    </w:p>
    <w:p w14:paraId="1C500D39">
      <w:pPr>
        <w:spacing w:line="440" w:lineRule="exact"/>
        <w:ind w:firstLine="210" w:firstLineChars="100"/>
        <w:jc w:val="left"/>
        <w:rPr>
          <w:rFonts w:ascii="宋体"/>
          <w:szCs w:val="21"/>
          <w:highlight w:val="none"/>
        </w:rPr>
      </w:pPr>
      <w:r>
        <w:rPr>
          <w:rFonts w:hint="eastAsia" w:ascii="宋体"/>
          <w:szCs w:val="21"/>
          <w:highlight w:val="none"/>
        </w:rPr>
        <w:t>43.1 中标供应商在签订合同后5个工作日内向采购人交纳不超过中标价</w:t>
      </w:r>
      <w:r>
        <w:rPr>
          <w:rFonts w:hint="eastAsia" w:ascii="宋体"/>
          <w:szCs w:val="21"/>
          <w:highlight w:val="none"/>
          <w:u w:val="single"/>
          <w:lang w:val="en-US" w:eastAsia="zh-CN"/>
        </w:rPr>
        <w:t>/</w:t>
      </w:r>
      <w:r>
        <w:rPr>
          <w:rFonts w:hint="eastAsia" w:ascii="宋体"/>
          <w:szCs w:val="21"/>
          <w:highlight w:val="none"/>
        </w:rPr>
        <w:t>的履约保证金（鼓励以银行、保险公司出具的履约保函形式提交；若以电汇、银行转账方式提交的，必须转到采购人的指定账户）。</w:t>
      </w:r>
    </w:p>
    <w:p w14:paraId="68CFE843">
      <w:pPr>
        <w:spacing w:line="440" w:lineRule="exact"/>
        <w:ind w:firstLine="210" w:firstLineChars="100"/>
        <w:jc w:val="left"/>
        <w:rPr>
          <w:rFonts w:ascii="宋体"/>
          <w:szCs w:val="21"/>
          <w:highlight w:val="none"/>
        </w:rPr>
      </w:pPr>
      <w:r>
        <w:rPr>
          <w:rFonts w:hint="eastAsia" w:ascii="宋体"/>
          <w:szCs w:val="21"/>
          <w:highlight w:val="none"/>
        </w:rPr>
        <w:t>43.2 签订合同后，如中标供应商不按合同约定履约的，履约保证金不予退还，履约保证金不足以赔偿损失的，按实际损失赔偿。</w:t>
      </w:r>
    </w:p>
    <w:p w14:paraId="055C313F">
      <w:pPr>
        <w:spacing w:line="440" w:lineRule="exact"/>
        <w:ind w:firstLine="210" w:firstLineChars="100"/>
        <w:jc w:val="left"/>
        <w:rPr>
          <w:rFonts w:ascii="宋体"/>
          <w:szCs w:val="21"/>
          <w:highlight w:val="none"/>
        </w:rPr>
      </w:pPr>
      <w:r>
        <w:rPr>
          <w:rFonts w:hint="eastAsia" w:ascii="宋体"/>
          <w:szCs w:val="21"/>
          <w:highlight w:val="none"/>
        </w:rPr>
        <w:t>43.3 如果中标供应商在建设期内没有涉及采购人的应付而未付金额或违约行为，采购人在项目验收合格后或提前终止合同后全额无息退还履约保证金。</w:t>
      </w:r>
    </w:p>
    <w:p w14:paraId="75F0C3F0">
      <w:pPr>
        <w:spacing w:line="440" w:lineRule="exact"/>
        <w:ind w:firstLine="210" w:firstLineChars="100"/>
        <w:jc w:val="left"/>
        <w:rPr>
          <w:rFonts w:ascii="宋体"/>
          <w:szCs w:val="21"/>
          <w:highlight w:val="none"/>
        </w:rPr>
      </w:pPr>
      <w:bookmarkStart w:id="57" w:name="_Toc73975843"/>
      <w:r>
        <w:rPr>
          <w:rFonts w:hint="eastAsia" w:ascii="宋体"/>
          <w:szCs w:val="21"/>
          <w:highlight w:val="none"/>
        </w:rPr>
        <w:t>44．签订合同及公告</w:t>
      </w:r>
      <w:bookmarkEnd w:id="57"/>
    </w:p>
    <w:p w14:paraId="6FDB2F3A">
      <w:pPr>
        <w:spacing w:line="440" w:lineRule="exact"/>
        <w:ind w:firstLine="210" w:firstLineChars="100"/>
        <w:jc w:val="left"/>
        <w:rPr>
          <w:rFonts w:ascii="宋体"/>
          <w:szCs w:val="21"/>
          <w:highlight w:val="none"/>
        </w:rPr>
      </w:pPr>
      <w:r>
        <w:rPr>
          <w:rFonts w:hint="eastAsia" w:ascii="宋体"/>
          <w:szCs w:val="21"/>
          <w:highlight w:val="none"/>
        </w:rPr>
        <w:t>44.1采购人在中标通知书发出之日起30日内与中标供应商签订合同。</w:t>
      </w:r>
    </w:p>
    <w:p w14:paraId="2E4C4031">
      <w:pPr>
        <w:spacing w:line="440" w:lineRule="exact"/>
        <w:ind w:firstLine="210" w:firstLineChars="100"/>
        <w:jc w:val="left"/>
        <w:rPr>
          <w:rFonts w:ascii="宋体"/>
          <w:szCs w:val="21"/>
          <w:highlight w:val="none"/>
        </w:rPr>
      </w:pPr>
      <w:r>
        <w:rPr>
          <w:rFonts w:hint="eastAsia" w:ascii="宋体"/>
          <w:szCs w:val="21"/>
          <w:highlight w:val="none"/>
        </w:rPr>
        <w:t>44.2中标供应商拖延、拒签合同的,取消中标资格。</w:t>
      </w:r>
    </w:p>
    <w:p w14:paraId="273E8C9D">
      <w:pPr>
        <w:spacing w:line="440" w:lineRule="exact"/>
        <w:ind w:firstLine="210" w:firstLineChars="100"/>
        <w:jc w:val="left"/>
        <w:rPr>
          <w:rFonts w:ascii="宋体"/>
          <w:szCs w:val="21"/>
          <w:highlight w:val="none"/>
        </w:rPr>
      </w:pPr>
      <w:r>
        <w:rPr>
          <w:rFonts w:hint="eastAsia" w:ascii="宋体"/>
          <w:szCs w:val="21"/>
          <w:highlight w:val="none"/>
        </w:rPr>
        <w:t>44.3 采购文件、中标供应商的投标文件及评标过程中有关澄清文件等均作为签订合同的依据。所签订的合同不得对采购文件和中标供应商的投标文件的内容作实质性修改。</w:t>
      </w:r>
    </w:p>
    <w:p w14:paraId="53C1903C">
      <w:pPr>
        <w:spacing w:line="440" w:lineRule="exact"/>
        <w:ind w:firstLine="210" w:firstLineChars="100"/>
        <w:jc w:val="left"/>
        <w:rPr>
          <w:rFonts w:ascii="宋体"/>
          <w:szCs w:val="21"/>
          <w:highlight w:val="none"/>
        </w:rPr>
      </w:pPr>
      <w:r>
        <w:rPr>
          <w:rFonts w:hint="eastAsia" w:ascii="宋体"/>
          <w:szCs w:val="21"/>
          <w:highlight w:val="none"/>
        </w:rPr>
        <w:t>44.4采购人应当自政府采购合同签订之日起2个工作日内，在省级以上财政部门指定的政府采购信息发布媒体及相关网站上公告。</w:t>
      </w:r>
    </w:p>
    <w:p w14:paraId="400EC0D8">
      <w:pPr>
        <w:spacing w:line="440" w:lineRule="exact"/>
        <w:ind w:firstLine="210" w:firstLineChars="100"/>
        <w:jc w:val="left"/>
        <w:rPr>
          <w:rFonts w:ascii="宋体"/>
          <w:szCs w:val="21"/>
          <w:highlight w:val="none"/>
        </w:rPr>
      </w:pPr>
      <w:r>
        <w:rPr>
          <w:rFonts w:hint="eastAsia" w:ascii="宋体"/>
          <w:szCs w:val="21"/>
          <w:highlight w:val="none"/>
        </w:rPr>
        <w:t>44.5采购人应当自政府采购合同签订之日起7个工作日内，将政府采购合同副本报同级人民政府财政部门备案以及采购代理机构存档。</w:t>
      </w:r>
    </w:p>
    <w:p w14:paraId="2F7E134A">
      <w:pPr>
        <w:adjustRightInd w:val="0"/>
        <w:snapToGrid w:val="0"/>
        <w:spacing w:line="440" w:lineRule="exact"/>
        <w:jc w:val="center"/>
        <w:outlineLvl w:val="2"/>
        <w:rPr>
          <w:rFonts w:ascii="黑体" w:eastAsia="黑体"/>
          <w:sz w:val="28"/>
          <w:szCs w:val="28"/>
          <w:highlight w:val="none"/>
        </w:rPr>
      </w:pPr>
      <w:bookmarkStart w:id="58" w:name="_Toc29743"/>
      <w:r>
        <w:rPr>
          <w:rFonts w:hint="eastAsia" w:ascii="黑体" w:eastAsia="黑体"/>
          <w:sz w:val="28"/>
          <w:szCs w:val="28"/>
          <w:highlight w:val="none"/>
        </w:rPr>
        <w:t>（七）纪律和监督</w:t>
      </w:r>
      <w:bookmarkEnd w:id="56"/>
      <w:bookmarkEnd w:id="58"/>
    </w:p>
    <w:p w14:paraId="31892878">
      <w:pPr>
        <w:spacing w:line="440" w:lineRule="exact"/>
        <w:ind w:firstLine="308" w:firstLineChars="147"/>
        <w:jc w:val="left"/>
        <w:rPr>
          <w:rFonts w:ascii="宋体"/>
          <w:b/>
          <w:szCs w:val="21"/>
          <w:highlight w:val="none"/>
        </w:rPr>
      </w:pPr>
      <w:r>
        <w:rPr>
          <w:rFonts w:hint="eastAsia" w:ascii="宋体"/>
          <w:b/>
          <w:szCs w:val="21"/>
          <w:highlight w:val="none"/>
        </w:rPr>
        <w:t xml:space="preserve">45. 对招标人的纪律要求 </w:t>
      </w:r>
    </w:p>
    <w:p w14:paraId="6114C10C">
      <w:pPr>
        <w:adjustRightInd w:val="0"/>
        <w:snapToGrid w:val="0"/>
        <w:spacing w:line="440" w:lineRule="exact"/>
        <w:ind w:firstLine="315" w:firstLineChars="150"/>
        <w:rPr>
          <w:rFonts w:ascii="宋体"/>
          <w:kern w:val="10"/>
          <w:szCs w:val="21"/>
          <w:highlight w:val="none"/>
        </w:rPr>
      </w:pPr>
      <w:r>
        <w:rPr>
          <w:rFonts w:hint="eastAsia" w:ascii="宋体"/>
          <w:kern w:val="10"/>
          <w:szCs w:val="21"/>
          <w:highlight w:val="none"/>
        </w:rPr>
        <w:t xml:space="preserve">45.1招标人不得泄漏招标投标活动中应当保密的情况和资料，不得与投标人串通损害国家利益，社会公共利益或者他人合法权益。 </w:t>
      </w:r>
    </w:p>
    <w:p w14:paraId="56A8FFC7">
      <w:pPr>
        <w:spacing w:line="440" w:lineRule="exact"/>
        <w:ind w:firstLine="308" w:firstLineChars="147"/>
        <w:jc w:val="left"/>
        <w:rPr>
          <w:rFonts w:ascii="宋体"/>
          <w:b/>
          <w:szCs w:val="21"/>
          <w:highlight w:val="none"/>
        </w:rPr>
      </w:pPr>
      <w:r>
        <w:rPr>
          <w:rFonts w:hint="eastAsia" w:ascii="宋体"/>
          <w:b/>
          <w:szCs w:val="21"/>
          <w:highlight w:val="none"/>
        </w:rPr>
        <w:t xml:space="preserve">46. 对投标人的纪律要求 </w:t>
      </w:r>
    </w:p>
    <w:p w14:paraId="78D9FCB0">
      <w:pPr>
        <w:adjustRightInd w:val="0"/>
        <w:snapToGrid w:val="0"/>
        <w:spacing w:line="440" w:lineRule="exact"/>
        <w:ind w:firstLine="315" w:firstLineChars="150"/>
        <w:rPr>
          <w:rFonts w:ascii="宋体"/>
          <w:kern w:val="10"/>
          <w:szCs w:val="21"/>
          <w:highlight w:val="none"/>
        </w:rPr>
      </w:pPr>
      <w:r>
        <w:rPr>
          <w:rFonts w:hint="eastAsia" w:ascii="宋体"/>
          <w:kern w:val="10"/>
          <w:szCs w:val="21"/>
          <w:highlight w:val="none"/>
        </w:rPr>
        <w:t>46.1投标人不得相互串通投标或者与招标人串通投标，不得向招标人或者评标委员会成员行贿谋取中标，不得以他人名义投标或者以其他方式弄虚作假骗取中标；投标人不得以任何方式干扰、影响评标工作。</w:t>
      </w:r>
    </w:p>
    <w:p w14:paraId="436EE2E4">
      <w:pPr>
        <w:spacing w:line="440" w:lineRule="exact"/>
        <w:ind w:firstLine="308" w:firstLineChars="147"/>
        <w:jc w:val="left"/>
        <w:rPr>
          <w:rFonts w:ascii="宋体"/>
          <w:b/>
          <w:szCs w:val="21"/>
          <w:highlight w:val="none"/>
        </w:rPr>
      </w:pPr>
      <w:r>
        <w:rPr>
          <w:rFonts w:hint="eastAsia" w:ascii="宋体"/>
          <w:b/>
          <w:szCs w:val="21"/>
          <w:highlight w:val="none"/>
        </w:rPr>
        <w:t xml:space="preserve">47. 对评标委员会成员的纪律要求 </w:t>
      </w:r>
    </w:p>
    <w:p w14:paraId="55527EC6">
      <w:pPr>
        <w:adjustRightInd w:val="0"/>
        <w:snapToGrid w:val="0"/>
        <w:spacing w:line="440" w:lineRule="exact"/>
        <w:ind w:firstLine="315" w:firstLineChars="150"/>
        <w:rPr>
          <w:rFonts w:ascii="宋体"/>
          <w:kern w:val="10"/>
          <w:szCs w:val="21"/>
          <w:highlight w:val="none"/>
        </w:rPr>
      </w:pPr>
      <w:r>
        <w:rPr>
          <w:rFonts w:hint="eastAsia" w:ascii="宋体"/>
          <w:kern w:val="10"/>
          <w:szCs w:val="21"/>
          <w:highlight w:val="none"/>
        </w:rPr>
        <w:t>47.1评标委员会成员不得收受他人的财物或者其他好处，不得向他人透漏对投标文件的评审和比较、中标候选人的推荐情况以及评标有关的其他情况。</w:t>
      </w:r>
    </w:p>
    <w:p w14:paraId="1F423C8E">
      <w:pPr>
        <w:adjustRightInd w:val="0"/>
        <w:snapToGrid w:val="0"/>
        <w:spacing w:line="440" w:lineRule="exact"/>
        <w:ind w:firstLine="315" w:firstLineChars="150"/>
        <w:rPr>
          <w:rFonts w:ascii="宋体"/>
          <w:kern w:val="10"/>
          <w:szCs w:val="21"/>
          <w:highlight w:val="none"/>
        </w:rPr>
      </w:pPr>
      <w:r>
        <w:rPr>
          <w:rFonts w:hint="eastAsia" w:ascii="宋体"/>
          <w:kern w:val="10"/>
          <w:szCs w:val="21"/>
          <w:highlight w:val="none"/>
        </w:rPr>
        <w:t xml:space="preserve">47.2在评标活动中，评标委员会成员不得擅离职守，影响评标程序正常进行，不得使用第三章“评标办法”没有规定的评审因素和标准进行评标。 </w:t>
      </w:r>
    </w:p>
    <w:p w14:paraId="221F61BA">
      <w:pPr>
        <w:spacing w:line="440" w:lineRule="exact"/>
        <w:ind w:firstLine="308" w:firstLineChars="147"/>
        <w:jc w:val="left"/>
        <w:rPr>
          <w:rFonts w:ascii="宋体"/>
          <w:b/>
          <w:szCs w:val="21"/>
          <w:highlight w:val="none"/>
        </w:rPr>
      </w:pPr>
      <w:r>
        <w:rPr>
          <w:rFonts w:hint="eastAsia" w:ascii="宋体"/>
          <w:b/>
          <w:szCs w:val="21"/>
          <w:highlight w:val="none"/>
        </w:rPr>
        <w:t xml:space="preserve">48. 对与评标活动有关的工作人员的纪律要求 </w:t>
      </w:r>
    </w:p>
    <w:p w14:paraId="27798A53">
      <w:pPr>
        <w:adjustRightInd w:val="0"/>
        <w:snapToGrid w:val="0"/>
        <w:spacing w:line="440" w:lineRule="exact"/>
        <w:ind w:firstLine="315" w:firstLineChars="150"/>
        <w:rPr>
          <w:rFonts w:ascii="宋体"/>
          <w:kern w:val="10"/>
          <w:szCs w:val="21"/>
          <w:highlight w:val="none"/>
        </w:rPr>
      </w:pPr>
      <w:r>
        <w:rPr>
          <w:rFonts w:hint="eastAsia" w:ascii="宋体"/>
          <w:kern w:val="10"/>
          <w:szCs w:val="21"/>
          <w:highlight w:val="none"/>
        </w:rPr>
        <w:t>48.1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613C73D7">
      <w:pPr>
        <w:spacing w:before="156" w:beforeLines="50" w:after="156" w:afterLines="50" w:line="500" w:lineRule="exact"/>
        <w:jc w:val="center"/>
        <w:rPr>
          <w:rFonts w:ascii="黑体" w:hAnsi="宋体" w:eastAsia="黑体"/>
          <w:sz w:val="28"/>
          <w:szCs w:val="28"/>
          <w:highlight w:val="none"/>
        </w:rPr>
      </w:pPr>
      <w:r>
        <w:rPr>
          <w:rFonts w:hint="eastAsia" w:ascii="黑体" w:eastAsia="黑体"/>
          <w:sz w:val="28"/>
          <w:szCs w:val="28"/>
          <w:highlight w:val="none"/>
        </w:rPr>
        <w:t>（八）</w:t>
      </w:r>
      <w:r>
        <w:rPr>
          <w:rFonts w:hint="eastAsia" w:ascii="黑体" w:hAnsi="宋体" w:eastAsia="黑体"/>
          <w:sz w:val="28"/>
          <w:szCs w:val="28"/>
          <w:highlight w:val="none"/>
        </w:rPr>
        <w:t>质疑与投诉</w:t>
      </w:r>
    </w:p>
    <w:p w14:paraId="7903C86D">
      <w:pPr>
        <w:spacing w:line="440" w:lineRule="exact"/>
        <w:ind w:firstLine="210" w:firstLineChars="100"/>
        <w:jc w:val="left"/>
        <w:rPr>
          <w:rFonts w:ascii="宋体"/>
          <w:szCs w:val="21"/>
          <w:highlight w:val="none"/>
        </w:rPr>
      </w:pPr>
      <w:r>
        <w:rPr>
          <w:rFonts w:hint="eastAsia" w:ascii="宋体"/>
          <w:szCs w:val="21"/>
          <w:highlight w:val="none"/>
        </w:rPr>
        <w:t>49．质疑和投诉</w:t>
      </w:r>
    </w:p>
    <w:p w14:paraId="052634F9">
      <w:pPr>
        <w:spacing w:line="440" w:lineRule="exact"/>
        <w:ind w:firstLine="210" w:firstLineChars="100"/>
        <w:jc w:val="left"/>
        <w:rPr>
          <w:rFonts w:ascii="宋体"/>
          <w:szCs w:val="21"/>
          <w:highlight w:val="none"/>
        </w:rPr>
      </w:pPr>
      <w:r>
        <w:rPr>
          <w:rFonts w:hint="eastAsia" w:ascii="宋体"/>
          <w:szCs w:val="21"/>
          <w:highlight w:val="none"/>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14:paraId="4AD48508">
      <w:pPr>
        <w:spacing w:line="440" w:lineRule="exact"/>
        <w:ind w:firstLine="210" w:firstLineChars="100"/>
        <w:jc w:val="left"/>
        <w:rPr>
          <w:rFonts w:ascii="宋体"/>
          <w:szCs w:val="21"/>
          <w:highlight w:val="none"/>
        </w:rPr>
      </w:pPr>
      <w:r>
        <w:rPr>
          <w:rFonts w:hint="eastAsia" w:ascii="宋体"/>
          <w:szCs w:val="21"/>
          <w:highlight w:val="none"/>
        </w:rPr>
        <w:t>（一）对可以质疑的采购文件提出质疑的，为收到采购文件之日或者采购文件公告期限届满之日；</w:t>
      </w:r>
    </w:p>
    <w:p w14:paraId="1E7F4BDF">
      <w:pPr>
        <w:spacing w:line="440" w:lineRule="exact"/>
        <w:ind w:firstLine="210" w:firstLineChars="100"/>
        <w:jc w:val="left"/>
        <w:rPr>
          <w:rFonts w:ascii="宋体"/>
          <w:szCs w:val="21"/>
          <w:highlight w:val="none"/>
        </w:rPr>
      </w:pPr>
      <w:r>
        <w:rPr>
          <w:rFonts w:hint="eastAsia" w:ascii="宋体"/>
          <w:szCs w:val="21"/>
          <w:highlight w:val="none"/>
        </w:rPr>
        <w:t>（二）对采购过程提出质疑的，为各采购程序环节结束之日；</w:t>
      </w:r>
    </w:p>
    <w:p w14:paraId="2C7099F3">
      <w:pPr>
        <w:spacing w:line="440" w:lineRule="exact"/>
        <w:ind w:firstLine="210" w:firstLineChars="100"/>
        <w:jc w:val="left"/>
        <w:rPr>
          <w:rFonts w:ascii="宋体"/>
          <w:szCs w:val="21"/>
          <w:highlight w:val="none"/>
        </w:rPr>
      </w:pPr>
      <w:r>
        <w:rPr>
          <w:rFonts w:hint="eastAsia" w:ascii="宋体"/>
          <w:szCs w:val="21"/>
          <w:highlight w:val="none"/>
        </w:rPr>
        <w:t>（三）对中标或者成交结果提出质疑的，为中标或者成交结果公告期限届满之日。</w:t>
      </w:r>
    </w:p>
    <w:p w14:paraId="1E7BC194">
      <w:pPr>
        <w:spacing w:line="440" w:lineRule="exact"/>
        <w:ind w:firstLine="210" w:firstLineChars="100"/>
        <w:jc w:val="left"/>
        <w:rPr>
          <w:rFonts w:ascii="宋体"/>
          <w:szCs w:val="21"/>
          <w:highlight w:val="none"/>
        </w:rPr>
      </w:pPr>
      <w:r>
        <w:rPr>
          <w:rFonts w:hint="eastAsia" w:ascii="宋体"/>
          <w:szCs w:val="21"/>
          <w:highlight w:val="none"/>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14:paraId="64C886BF">
      <w:pPr>
        <w:spacing w:line="440" w:lineRule="exact"/>
        <w:ind w:firstLine="210" w:firstLineChars="100"/>
        <w:jc w:val="left"/>
        <w:rPr>
          <w:rFonts w:ascii="宋体"/>
          <w:szCs w:val="21"/>
          <w:highlight w:val="none"/>
        </w:rPr>
      </w:pPr>
      <w:r>
        <w:rPr>
          <w:rFonts w:hint="eastAsia" w:ascii="宋体"/>
          <w:szCs w:val="21"/>
          <w:highlight w:val="none"/>
        </w:rPr>
        <w:t>供应商为自然人的，应当由本人签字；供应商为法人或者其他组织的，应当由法定代表人、主要负责人，或者其授权代表签字或者盖章，并加盖公章。</w:t>
      </w:r>
    </w:p>
    <w:p w14:paraId="20D0CC96">
      <w:pPr>
        <w:spacing w:line="440" w:lineRule="exact"/>
        <w:ind w:firstLine="210" w:firstLineChars="100"/>
        <w:jc w:val="left"/>
        <w:rPr>
          <w:rFonts w:ascii="宋体"/>
          <w:szCs w:val="21"/>
          <w:highlight w:val="none"/>
        </w:rPr>
      </w:pPr>
      <w:r>
        <w:rPr>
          <w:rFonts w:hint="eastAsia" w:ascii="宋体"/>
          <w:szCs w:val="21"/>
          <w:highlight w:val="none"/>
        </w:rPr>
        <w:t>49.3供应商质疑、投诉应当有明确的请求和必要的证明材料。供应商投诉的事项不得超出已质疑事项的范围。采购人及采购代理机构按《政府采购质疑和投诉办法》进行处理供应商质疑事项。</w:t>
      </w:r>
    </w:p>
    <w:p w14:paraId="2254D910">
      <w:pPr>
        <w:spacing w:line="440" w:lineRule="exact"/>
        <w:ind w:firstLine="210" w:firstLineChars="100"/>
        <w:jc w:val="left"/>
        <w:rPr>
          <w:rFonts w:ascii="宋体"/>
          <w:szCs w:val="21"/>
          <w:highlight w:val="none"/>
        </w:rPr>
      </w:pPr>
      <w:r>
        <w:rPr>
          <w:rFonts w:hint="eastAsia" w:ascii="宋体"/>
          <w:szCs w:val="21"/>
          <w:highlight w:val="none"/>
        </w:rPr>
        <w:t>49.4质疑供应商对采购人、采购代理机构的质疑答复不满意，或者采购人、采购代理机构未在规定期限内作出答复的，供应商可以在答复期满后15个工作日内向同级财政部门提起投诉。</w:t>
      </w:r>
    </w:p>
    <w:p w14:paraId="40B87F93">
      <w:pPr>
        <w:spacing w:line="440" w:lineRule="exact"/>
        <w:ind w:firstLine="210" w:firstLineChars="100"/>
        <w:jc w:val="left"/>
        <w:rPr>
          <w:rFonts w:ascii="宋体"/>
          <w:szCs w:val="21"/>
          <w:highlight w:val="none"/>
        </w:rPr>
      </w:pPr>
      <w:r>
        <w:rPr>
          <w:rFonts w:hint="eastAsia" w:ascii="宋体"/>
          <w:szCs w:val="21"/>
          <w:highlight w:val="none"/>
        </w:rPr>
        <w:t>49.5供应商有下列情形之一的，将其列入不良行为记录名单：</w:t>
      </w:r>
    </w:p>
    <w:p w14:paraId="2AF4E072">
      <w:pPr>
        <w:spacing w:line="440" w:lineRule="exact"/>
        <w:ind w:firstLine="210" w:firstLineChars="100"/>
        <w:jc w:val="left"/>
        <w:rPr>
          <w:rFonts w:ascii="宋体"/>
          <w:szCs w:val="21"/>
          <w:highlight w:val="none"/>
        </w:rPr>
      </w:pPr>
      <w:r>
        <w:rPr>
          <w:rFonts w:hint="eastAsia" w:ascii="宋体"/>
          <w:szCs w:val="21"/>
          <w:highlight w:val="none"/>
        </w:rPr>
        <w:t>（一）一年内三次以上质疑均查无实据的；</w:t>
      </w:r>
    </w:p>
    <w:p w14:paraId="2FB9B688">
      <w:pPr>
        <w:spacing w:line="440" w:lineRule="exact"/>
        <w:ind w:firstLine="210" w:firstLineChars="100"/>
        <w:jc w:val="left"/>
        <w:rPr>
          <w:rFonts w:ascii="宋体"/>
          <w:szCs w:val="21"/>
          <w:highlight w:val="none"/>
        </w:rPr>
      </w:pPr>
      <w:r>
        <w:rPr>
          <w:rFonts w:hint="eastAsia" w:ascii="宋体"/>
          <w:szCs w:val="21"/>
          <w:highlight w:val="none"/>
        </w:rPr>
        <w:t>（二）捏造事实或者提供虚假质疑材料的。</w:t>
      </w:r>
    </w:p>
    <w:p w14:paraId="289CD190">
      <w:pPr>
        <w:spacing w:line="440" w:lineRule="exact"/>
        <w:ind w:firstLine="210" w:firstLineChars="100"/>
        <w:jc w:val="left"/>
        <w:rPr>
          <w:rFonts w:ascii="宋体"/>
          <w:szCs w:val="21"/>
          <w:highlight w:val="none"/>
        </w:rPr>
      </w:pPr>
      <w:r>
        <w:rPr>
          <w:rFonts w:hint="eastAsia" w:ascii="宋体"/>
          <w:szCs w:val="21"/>
          <w:highlight w:val="none"/>
        </w:rPr>
        <w:t>（三）以非法手段取得证明材料。证据来源的合法性存在明显疑问，质疑人无法证明其取得方式合法的，视为以非法手段取得证明材料。</w:t>
      </w:r>
    </w:p>
    <w:p w14:paraId="44694BE5">
      <w:pPr>
        <w:jc w:val="left"/>
        <w:rPr>
          <w:rFonts w:ascii="宋体" w:hAnsi="宋体" w:cs="宋体"/>
          <w:b/>
          <w:bCs/>
          <w:szCs w:val="21"/>
          <w:highlight w:val="none"/>
        </w:rPr>
      </w:pPr>
    </w:p>
    <w:p w14:paraId="4041CE60">
      <w:pPr>
        <w:rPr>
          <w:rFonts w:hint="eastAsia" w:ascii="宋体" w:hAnsi="宋体" w:cs="宋体"/>
          <w:b/>
          <w:bCs/>
          <w:szCs w:val="21"/>
          <w:highlight w:val="none"/>
        </w:rPr>
      </w:pPr>
    </w:p>
    <w:p w14:paraId="5DE30007">
      <w:pPr>
        <w:jc w:val="left"/>
        <w:rPr>
          <w:rFonts w:ascii="宋体" w:hAnsi="宋体" w:cs="宋体"/>
          <w:b/>
          <w:bCs/>
          <w:szCs w:val="21"/>
          <w:highlight w:val="none"/>
        </w:rPr>
      </w:pPr>
      <w:r>
        <w:rPr>
          <w:rFonts w:hint="eastAsia" w:ascii="宋体" w:hAnsi="宋体" w:cs="宋体"/>
          <w:b/>
          <w:bCs/>
          <w:szCs w:val="21"/>
          <w:highlight w:val="none"/>
        </w:rPr>
        <w:t>附件：</w:t>
      </w:r>
    </w:p>
    <w:p w14:paraId="62DA1C1E">
      <w:pPr>
        <w:jc w:val="center"/>
        <w:rPr>
          <w:rFonts w:ascii="宋体" w:hAnsi="宋体" w:cs="宋体"/>
          <w:b/>
          <w:bCs/>
          <w:sz w:val="32"/>
          <w:szCs w:val="32"/>
          <w:highlight w:val="none"/>
        </w:rPr>
      </w:pPr>
    </w:p>
    <w:p w14:paraId="2139D297">
      <w:pPr>
        <w:jc w:val="center"/>
        <w:rPr>
          <w:rFonts w:ascii="宋体" w:hAnsi="宋体" w:cs="宋体"/>
          <w:b/>
          <w:bCs/>
          <w:sz w:val="28"/>
          <w:szCs w:val="28"/>
          <w:highlight w:val="none"/>
        </w:rPr>
      </w:pPr>
      <w:r>
        <w:rPr>
          <w:rFonts w:hint="eastAsia" w:ascii="宋体" w:hAnsi="宋体" w:cs="宋体"/>
          <w:b/>
          <w:bCs/>
          <w:sz w:val="32"/>
          <w:szCs w:val="32"/>
          <w:highlight w:val="none"/>
        </w:rPr>
        <w:t>政府采购投诉书（范本）、质疑函范本</w:t>
      </w:r>
    </w:p>
    <w:p w14:paraId="4DE82A04">
      <w:pPr>
        <w:spacing w:line="400" w:lineRule="exact"/>
        <w:jc w:val="center"/>
        <w:rPr>
          <w:rFonts w:ascii="宋体" w:hAnsi="宋体" w:cs="宋体"/>
          <w:sz w:val="24"/>
          <w:highlight w:val="none"/>
          <w:u w:val="single"/>
        </w:rPr>
      </w:pPr>
      <w:r>
        <w:rPr>
          <w:rFonts w:hint="eastAsia" w:ascii="宋体" w:hAnsi="宋体" w:cs="宋体"/>
          <w:b/>
          <w:bCs/>
          <w:sz w:val="28"/>
          <w:szCs w:val="28"/>
          <w:highlight w:val="none"/>
        </w:rPr>
        <w:t>政府采购投诉书（范本）</w:t>
      </w:r>
    </w:p>
    <w:p w14:paraId="1C9586BB">
      <w:pPr>
        <w:spacing w:line="400" w:lineRule="exact"/>
        <w:rPr>
          <w:rFonts w:ascii="宋体" w:hAnsi="宋体" w:cs="宋体"/>
          <w:szCs w:val="21"/>
          <w:highlight w:val="none"/>
        </w:rPr>
      </w:pPr>
      <w:r>
        <w:rPr>
          <w:rFonts w:hint="eastAsia" w:ascii="宋体" w:hAnsi="宋体" w:cs="宋体"/>
          <w:szCs w:val="21"/>
          <w:highlight w:val="none"/>
        </w:rPr>
        <w:t>投诉人：</w:t>
      </w:r>
      <w:r>
        <w:rPr>
          <w:rFonts w:hint="eastAsia" w:ascii="宋体" w:hAnsi="宋体" w:cs="宋体"/>
          <w:szCs w:val="21"/>
          <w:highlight w:val="none"/>
          <w:u w:val="single"/>
        </w:rPr>
        <w:t xml:space="preserve">              </w:t>
      </w:r>
      <w:r>
        <w:rPr>
          <w:rFonts w:hint="eastAsia" w:ascii="宋体" w:hAnsi="宋体" w:cs="宋体"/>
          <w:szCs w:val="21"/>
          <w:highlight w:val="none"/>
        </w:rPr>
        <w:t xml:space="preserve">     法定代表人：</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45B696D8">
      <w:pPr>
        <w:spacing w:line="400" w:lineRule="exact"/>
        <w:rPr>
          <w:rFonts w:ascii="宋体" w:hAnsi="宋体" w:cs="宋体"/>
          <w:szCs w:val="21"/>
          <w:highlight w:val="none"/>
        </w:rPr>
      </w:pPr>
      <w:r>
        <w:rPr>
          <w:rFonts w:hint="eastAsia" w:ascii="宋体" w:hAnsi="宋体" w:cs="宋体"/>
          <w:szCs w:val="21"/>
          <w:highlight w:val="none"/>
        </w:rPr>
        <w:t>地址：</w:t>
      </w:r>
      <w:r>
        <w:rPr>
          <w:rFonts w:hint="eastAsia" w:ascii="宋体" w:hAnsi="宋体" w:cs="宋体"/>
          <w:szCs w:val="21"/>
          <w:highlight w:val="none"/>
          <w:u w:val="single"/>
        </w:rPr>
        <w:t xml:space="preserve">                </w:t>
      </w:r>
      <w:r>
        <w:rPr>
          <w:rFonts w:hint="eastAsia" w:ascii="宋体" w:hAnsi="宋体" w:cs="宋体"/>
          <w:szCs w:val="21"/>
          <w:highlight w:val="none"/>
        </w:rPr>
        <w:t xml:space="preserve">           电话：</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06ACE7B7">
      <w:pPr>
        <w:spacing w:line="400" w:lineRule="exact"/>
        <w:rPr>
          <w:rFonts w:ascii="宋体" w:hAnsi="宋体" w:cs="宋体"/>
          <w:szCs w:val="21"/>
          <w:highlight w:val="none"/>
        </w:rPr>
      </w:pPr>
      <w:r>
        <w:rPr>
          <w:rFonts w:hint="eastAsia" w:ascii="宋体" w:hAnsi="宋体" w:cs="宋体"/>
          <w:szCs w:val="21"/>
          <w:highlight w:val="none"/>
        </w:rPr>
        <w:t>委托代理人姓名：</w:t>
      </w:r>
      <w:r>
        <w:rPr>
          <w:rFonts w:hint="eastAsia" w:ascii="宋体" w:hAnsi="宋体" w:cs="宋体"/>
          <w:szCs w:val="21"/>
          <w:highlight w:val="none"/>
          <w:u w:val="single"/>
        </w:rPr>
        <w:t xml:space="preserve">      </w:t>
      </w:r>
      <w:r>
        <w:rPr>
          <w:rFonts w:hint="eastAsia" w:ascii="宋体" w:hAnsi="宋体" w:cs="宋体"/>
          <w:szCs w:val="21"/>
          <w:highlight w:val="none"/>
        </w:rPr>
        <w:t xml:space="preserve">           职务：</w:t>
      </w:r>
      <w:r>
        <w:rPr>
          <w:rFonts w:hint="eastAsia" w:ascii="宋体" w:hAnsi="宋体" w:cs="宋体"/>
          <w:szCs w:val="21"/>
          <w:highlight w:val="none"/>
          <w:u w:val="single"/>
        </w:rPr>
        <w:t xml:space="preserve">               </w:t>
      </w:r>
    </w:p>
    <w:p w14:paraId="44C65261">
      <w:pPr>
        <w:spacing w:line="400" w:lineRule="exact"/>
        <w:rPr>
          <w:rFonts w:ascii="宋体" w:hAnsi="宋体" w:cs="宋体"/>
          <w:szCs w:val="21"/>
          <w:highlight w:val="none"/>
        </w:rPr>
      </w:pPr>
      <w:r>
        <w:rPr>
          <w:rFonts w:hint="eastAsia" w:ascii="宋体" w:hAnsi="宋体" w:cs="宋体"/>
          <w:szCs w:val="21"/>
          <w:highlight w:val="none"/>
        </w:rPr>
        <w:t>住址：</w:t>
      </w:r>
      <w:r>
        <w:rPr>
          <w:rFonts w:hint="eastAsia" w:ascii="宋体" w:hAnsi="宋体" w:cs="宋体"/>
          <w:szCs w:val="21"/>
          <w:highlight w:val="none"/>
          <w:u w:val="single"/>
        </w:rPr>
        <w:t xml:space="preserve">                </w:t>
      </w:r>
      <w:r>
        <w:rPr>
          <w:rFonts w:hint="eastAsia" w:ascii="宋体" w:hAnsi="宋体" w:cs="宋体"/>
          <w:szCs w:val="21"/>
          <w:highlight w:val="none"/>
        </w:rPr>
        <w:t xml:space="preserve">       联系电话：</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0ABA0209">
      <w:pPr>
        <w:spacing w:line="400" w:lineRule="exact"/>
        <w:rPr>
          <w:rFonts w:ascii="宋体" w:hAnsi="宋体" w:cs="宋体"/>
          <w:szCs w:val="21"/>
          <w:highlight w:val="none"/>
        </w:rPr>
      </w:pPr>
      <w:r>
        <w:rPr>
          <w:rFonts w:hint="eastAsia" w:ascii="宋体" w:hAnsi="宋体" w:cs="宋体"/>
          <w:szCs w:val="21"/>
          <w:highlight w:val="none"/>
        </w:rPr>
        <w:t>被投诉人：</w:t>
      </w:r>
      <w:r>
        <w:rPr>
          <w:rFonts w:hint="eastAsia" w:ascii="宋体" w:hAnsi="宋体" w:cs="宋体"/>
          <w:szCs w:val="21"/>
          <w:highlight w:val="none"/>
          <w:u w:val="single"/>
        </w:rPr>
        <w:t xml:space="preserve">           </w:t>
      </w:r>
      <w:r>
        <w:rPr>
          <w:rFonts w:hint="eastAsia" w:ascii="宋体" w:hAnsi="宋体" w:cs="宋体"/>
          <w:szCs w:val="21"/>
          <w:highlight w:val="none"/>
        </w:rPr>
        <w:t xml:space="preserve">      法定代表人：</w:t>
      </w:r>
      <w:r>
        <w:rPr>
          <w:rFonts w:hint="eastAsia" w:ascii="宋体" w:hAnsi="宋体" w:cs="宋体"/>
          <w:szCs w:val="21"/>
          <w:highlight w:val="none"/>
          <w:u w:val="single"/>
        </w:rPr>
        <w:t xml:space="preserve">         </w:t>
      </w:r>
    </w:p>
    <w:p w14:paraId="1988BD5B">
      <w:pPr>
        <w:spacing w:line="400" w:lineRule="exact"/>
        <w:rPr>
          <w:rFonts w:ascii="宋体" w:hAnsi="宋体" w:cs="宋体"/>
          <w:szCs w:val="21"/>
          <w:highlight w:val="none"/>
          <w:u w:val="single"/>
        </w:rPr>
      </w:pPr>
      <w:r>
        <w:rPr>
          <w:rFonts w:hint="eastAsia" w:ascii="宋体" w:hAnsi="宋体" w:cs="宋体"/>
          <w:szCs w:val="21"/>
          <w:highlight w:val="none"/>
        </w:rPr>
        <w:t>地址：</w:t>
      </w:r>
      <w:r>
        <w:rPr>
          <w:rFonts w:hint="eastAsia" w:ascii="宋体" w:hAnsi="宋体" w:cs="宋体"/>
          <w:szCs w:val="21"/>
          <w:highlight w:val="none"/>
          <w:u w:val="single"/>
        </w:rPr>
        <w:t xml:space="preserve">               </w:t>
      </w:r>
      <w:r>
        <w:rPr>
          <w:rFonts w:hint="eastAsia" w:ascii="宋体" w:hAnsi="宋体" w:cs="宋体"/>
          <w:szCs w:val="21"/>
          <w:highlight w:val="none"/>
        </w:rPr>
        <w:t>          电话：</w:t>
      </w:r>
      <w:r>
        <w:rPr>
          <w:rFonts w:hint="eastAsia" w:ascii="宋体" w:hAnsi="宋体" w:cs="宋体"/>
          <w:szCs w:val="21"/>
          <w:highlight w:val="none"/>
          <w:u w:val="single"/>
        </w:rPr>
        <w:t xml:space="preserve">               </w:t>
      </w:r>
    </w:p>
    <w:p w14:paraId="3962B7FB">
      <w:pPr>
        <w:spacing w:line="400" w:lineRule="exact"/>
        <w:ind w:firstLine="420" w:firstLineChars="200"/>
        <w:rPr>
          <w:rFonts w:ascii="宋体" w:hAnsi="宋体" w:cs="宋体"/>
          <w:szCs w:val="21"/>
          <w:highlight w:val="none"/>
        </w:rPr>
      </w:pPr>
    </w:p>
    <w:p w14:paraId="1CFD5D68">
      <w:pPr>
        <w:spacing w:line="400" w:lineRule="exact"/>
        <w:ind w:firstLine="420" w:firstLineChars="200"/>
        <w:rPr>
          <w:rFonts w:ascii="宋体" w:hAnsi="宋体" w:cs="宋体"/>
          <w:szCs w:val="21"/>
          <w:highlight w:val="none"/>
        </w:rPr>
      </w:pPr>
      <w:r>
        <w:rPr>
          <w:rFonts w:hint="eastAsia" w:ascii="宋体" w:hAnsi="宋体" w:cs="宋体"/>
          <w:szCs w:val="21"/>
          <w:highlight w:val="none"/>
        </w:rPr>
        <w:t>我公司参加了</w:t>
      </w:r>
      <w:r>
        <w:rPr>
          <w:rFonts w:hint="eastAsia" w:ascii="宋体" w:hAnsi="宋体" w:cs="宋体"/>
          <w:szCs w:val="21"/>
          <w:highlight w:val="none"/>
          <w:u w:val="single"/>
        </w:rPr>
        <w:t xml:space="preserve">     </w:t>
      </w:r>
      <w:r>
        <w:rPr>
          <w:rFonts w:hint="eastAsia" w:ascii="宋体" w:hAnsi="宋体" w:cs="宋体"/>
          <w:szCs w:val="21"/>
          <w:highlight w:val="none"/>
        </w:rPr>
        <w:t xml:space="preserve">年 </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日被投诉人组织的</w:t>
      </w:r>
      <w:r>
        <w:rPr>
          <w:rFonts w:hint="eastAsia" w:ascii="宋体" w:hAnsi="宋体" w:cs="宋体"/>
          <w:szCs w:val="21"/>
          <w:highlight w:val="none"/>
          <w:u w:val="single"/>
        </w:rPr>
        <w:t>（采购人）（项目名称）（项目编号）</w:t>
      </w:r>
      <w:r>
        <w:rPr>
          <w:rFonts w:hint="eastAsia" w:ascii="宋体" w:hAnsi="宋体" w:cs="宋体"/>
          <w:szCs w:val="21"/>
          <w:highlight w:val="none"/>
        </w:rPr>
        <w:t>的采购活动，我公司认为该项目的</w:t>
      </w:r>
      <w:r>
        <w:rPr>
          <w:rFonts w:hint="eastAsia" w:ascii="宋体" w:hAnsi="宋体" w:cs="宋体"/>
          <w:szCs w:val="21"/>
          <w:highlight w:val="none"/>
          <w:u w:val="single"/>
        </w:rPr>
        <w:t>（采购文件/采购过程/中标（中标）结果）</w:t>
      </w:r>
      <w:r>
        <w:rPr>
          <w:rFonts w:hint="eastAsia" w:ascii="宋体" w:hAnsi="宋体" w:cs="宋体"/>
          <w:szCs w:val="21"/>
          <w:highlight w:val="none"/>
        </w:rPr>
        <w:t>损害了我公司权益，对此，我公司于</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日向</w:t>
      </w:r>
      <w:r>
        <w:rPr>
          <w:rFonts w:hint="eastAsia" w:ascii="宋体" w:hAnsi="宋体" w:cs="宋体"/>
          <w:szCs w:val="21"/>
          <w:highlight w:val="none"/>
          <w:u w:val="single"/>
        </w:rPr>
        <w:t>（采购人或者政府采购代理机构）</w:t>
      </w:r>
      <w:r>
        <w:rPr>
          <w:rFonts w:hint="eastAsia" w:ascii="宋体" w:hAnsi="宋体" w:cs="宋体"/>
          <w:szCs w:val="21"/>
          <w:highlight w:val="none"/>
        </w:rPr>
        <w:t>提出了质疑，</w:t>
      </w:r>
      <w:r>
        <w:rPr>
          <w:rFonts w:hint="eastAsia" w:ascii="宋体" w:hAnsi="宋体" w:cs="宋体"/>
          <w:szCs w:val="21"/>
          <w:highlight w:val="none"/>
          <w:u w:val="single"/>
        </w:rPr>
        <w:t>（其于    年  月  日作出书面答复，因对其作出的答复不满意）/（被质疑人未在法定期内予以答复，按照政府采购有关规定）</w:t>
      </w:r>
      <w:r>
        <w:rPr>
          <w:rFonts w:hint="eastAsia" w:ascii="宋体" w:hAnsi="宋体" w:cs="宋体"/>
          <w:szCs w:val="21"/>
          <w:highlight w:val="none"/>
        </w:rPr>
        <w:t>，现向贵机关提起投诉：</w:t>
      </w:r>
    </w:p>
    <w:p w14:paraId="7326CCC5">
      <w:pPr>
        <w:spacing w:line="400" w:lineRule="exact"/>
        <w:ind w:firstLine="420" w:firstLineChars="200"/>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u w:val="single"/>
        </w:rPr>
        <w:t>具体的投诉事项及事实依据；</w:t>
      </w:r>
    </w:p>
    <w:p w14:paraId="77FCE2CE">
      <w:pPr>
        <w:spacing w:line="400" w:lineRule="exact"/>
        <w:ind w:firstLine="420" w:firstLineChars="200"/>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u w:val="single"/>
        </w:rPr>
        <w:t>质疑和质疑答复情况简要描述；</w:t>
      </w:r>
    </w:p>
    <w:p w14:paraId="2ED0A521">
      <w:pPr>
        <w:spacing w:line="400" w:lineRule="exact"/>
        <w:ind w:firstLine="420" w:firstLineChars="200"/>
        <w:rPr>
          <w:rFonts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u w:val="single"/>
        </w:rPr>
        <w:t>投诉请求。</w:t>
      </w:r>
    </w:p>
    <w:p w14:paraId="3C3B50F8">
      <w:pPr>
        <w:spacing w:line="400" w:lineRule="exact"/>
        <w:rPr>
          <w:rFonts w:ascii="宋体" w:hAnsi="宋体" w:cs="宋体"/>
          <w:szCs w:val="21"/>
          <w:highlight w:val="none"/>
        </w:rPr>
      </w:pPr>
      <w:r>
        <w:rPr>
          <w:rFonts w:hint="eastAsia" w:ascii="宋体" w:hAnsi="宋体" w:cs="宋体"/>
          <w:szCs w:val="21"/>
          <w:highlight w:val="none"/>
        </w:rPr>
        <w:t>附件：</w:t>
      </w:r>
    </w:p>
    <w:p w14:paraId="745BECDF">
      <w:pPr>
        <w:spacing w:line="400" w:lineRule="exact"/>
        <w:rPr>
          <w:rFonts w:ascii="宋体" w:hAnsi="宋体" w:cs="宋体"/>
          <w:szCs w:val="21"/>
          <w:highlight w:val="none"/>
        </w:rPr>
      </w:pPr>
      <w:r>
        <w:rPr>
          <w:rFonts w:hint="eastAsia" w:ascii="宋体" w:hAnsi="宋体" w:cs="宋体"/>
          <w:szCs w:val="21"/>
          <w:highlight w:val="none"/>
        </w:rPr>
        <w:t>1.质疑书和质疑答复书；</w:t>
      </w:r>
    </w:p>
    <w:p w14:paraId="59ED17E6">
      <w:pPr>
        <w:spacing w:line="400" w:lineRule="exact"/>
        <w:rPr>
          <w:rFonts w:ascii="宋体" w:hAnsi="宋体" w:cs="宋体"/>
          <w:szCs w:val="21"/>
          <w:highlight w:val="none"/>
        </w:rPr>
      </w:pPr>
      <w:r>
        <w:rPr>
          <w:rFonts w:hint="eastAsia" w:ascii="宋体" w:hAnsi="宋体" w:cs="宋体"/>
          <w:szCs w:val="21"/>
          <w:highlight w:val="none"/>
        </w:rPr>
        <w:t>2.证据材料（需注明证据来源），证人的姓名、住址和联系方式等；</w:t>
      </w:r>
    </w:p>
    <w:p w14:paraId="7B11D4E1">
      <w:pPr>
        <w:spacing w:line="400" w:lineRule="exact"/>
        <w:rPr>
          <w:rFonts w:ascii="宋体" w:hAnsi="宋体" w:cs="宋体"/>
          <w:szCs w:val="21"/>
          <w:highlight w:val="none"/>
        </w:rPr>
      </w:pPr>
      <w:r>
        <w:rPr>
          <w:rFonts w:hint="eastAsia" w:ascii="宋体" w:hAnsi="宋体" w:cs="宋体"/>
          <w:szCs w:val="21"/>
          <w:highlight w:val="none"/>
        </w:rPr>
        <w:t>3.营业执照；</w:t>
      </w:r>
    </w:p>
    <w:p w14:paraId="678FAA39">
      <w:pPr>
        <w:spacing w:line="400" w:lineRule="exact"/>
        <w:rPr>
          <w:rFonts w:ascii="宋体" w:hAnsi="宋体" w:cs="宋体"/>
          <w:szCs w:val="21"/>
          <w:highlight w:val="none"/>
        </w:rPr>
      </w:pPr>
      <w:r>
        <w:rPr>
          <w:rFonts w:hint="eastAsia" w:ascii="宋体" w:hAnsi="宋体" w:cs="宋体"/>
          <w:szCs w:val="21"/>
          <w:highlight w:val="none"/>
        </w:rPr>
        <w:t>4.法定代表人身份证明函</w:t>
      </w:r>
    </w:p>
    <w:p w14:paraId="7D88A042">
      <w:pPr>
        <w:spacing w:line="400" w:lineRule="exact"/>
        <w:rPr>
          <w:rFonts w:ascii="宋体" w:hAnsi="宋体" w:cs="宋体"/>
          <w:szCs w:val="21"/>
          <w:highlight w:val="none"/>
        </w:rPr>
      </w:pPr>
      <w:r>
        <w:rPr>
          <w:rFonts w:hint="eastAsia" w:ascii="宋体" w:hAnsi="宋体" w:cs="宋体"/>
          <w:szCs w:val="21"/>
          <w:highlight w:val="none"/>
        </w:rPr>
        <w:t>5.法定代表人授权委托书（包含法定代表人和委托代理人的身份证复印件）；</w:t>
      </w:r>
    </w:p>
    <w:p w14:paraId="00320692">
      <w:pPr>
        <w:spacing w:line="400" w:lineRule="exact"/>
        <w:rPr>
          <w:rFonts w:ascii="宋体" w:hAnsi="宋体" w:cs="宋体"/>
          <w:szCs w:val="21"/>
          <w:highlight w:val="none"/>
        </w:rPr>
      </w:pPr>
      <w:r>
        <w:rPr>
          <w:rFonts w:hint="eastAsia" w:ascii="宋体" w:hAnsi="宋体" w:cs="宋体"/>
          <w:szCs w:val="21"/>
          <w:highlight w:val="none"/>
        </w:rPr>
        <w:t>6.政府采购监管部门认为应当提供的其它材料。</w:t>
      </w:r>
    </w:p>
    <w:p w14:paraId="280AB419">
      <w:pPr>
        <w:spacing w:line="400" w:lineRule="exact"/>
        <w:jc w:val="right"/>
        <w:rPr>
          <w:rFonts w:ascii="宋体" w:hAnsi="宋体" w:cs="宋体"/>
          <w:szCs w:val="21"/>
          <w:highlight w:val="none"/>
        </w:rPr>
      </w:pPr>
      <w:r>
        <w:rPr>
          <w:rFonts w:hint="eastAsia" w:ascii="宋体" w:hAnsi="宋体" w:cs="宋体"/>
          <w:szCs w:val="21"/>
          <w:highlight w:val="none"/>
        </w:rPr>
        <w:t>投诉供应商：（盖章）</w:t>
      </w:r>
    </w:p>
    <w:p w14:paraId="2F991047">
      <w:pPr>
        <w:spacing w:line="400" w:lineRule="exact"/>
        <w:rPr>
          <w:rFonts w:ascii="宋体" w:hAnsi="宋体" w:cs="宋体"/>
          <w:szCs w:val="21"/>
          <w:highlight w:val="none"/>
        </w:rPr>
      </w:pPr>
      <w:r>
        <w:rPr>
          <w:rFonts w:hint="eastAsia" w:ascii="宋体" w:hAnsi="宋体" w:cs="宋体"/>
          <w:szCs w:val="21"/>
          <w:highlight w:val="none"/>
        </w:rPr>
        <w:t xml:space="preserve">                  法定代表人（或主要负责人）：（签字）</w:t>
      </w:r>
    </w:p>
    <w:p w14:paraId="43C00585">
      <w:pPr>
        <w:spacing w:line="400" w:lineRule="exact"/>
        <w:ind w:firstLine="3360" w:firstLineChars="1600"/>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6FBB6040">
      <w:pPr>
        <w:spacing w:line="400" w:lineRule="exact"/>
        <w:rPr>
          <w:rFonts w:ascii="宋体" w:hAnsi="宋体" w:cs="宋体"/>
          <w:szCs w:val="21"/>
          <w:highlight w:val="none"/>
        </w:rPr>
      </w:pPr>
    </w:p>
    <w:p w14:paraId="4F93C689">
      <w:pPr>
        <w:spacing w:line="400" w:lineRule="exact"/>
        <w:jc w:val="right"/>
        <w:rPr>
          <w:rFonts w:ascii="宋体" w:hAnsi="宋体" w:cs="宋体"/>
          <w:szCs w:val="21"/>
          <w:highlight w:val="none"/>
        </w:rPr>
      </w:pPr>
      <w:r>
        <w:rPr>
          <w:rFonts w:hint="eastAsia" w:ascii="宋体" w:hAnsi="宋体" w:cs="宋体"/>
          <w:szCs w:val="21"/>
          <w:highlight w:val="none"/>
        </w:rPr>
        <w:t>本投诉书正本叁份，副本</w:t>
      </w:r>
      <w:r>
        <w:rPr>
          <w:rFonts w:hint="eastAsia" w:ascii="宋体" w:hAnsi="宋体" w:cs="宋体"/>
          <w:szCs w:val="21"/>
          <w:highlight w:val="none"/>
          <w:u w:val="single"/>
        </w:rPr>
        <w:t xml:space="preserve">   </w:t>
      </w:r>
      <w:r>
        <w:rPr>
          <w:rFonts w:hint="eastAsia" w:ascii="宋体" w:hAnsi="宋体" w:cs="宋体"/>
          <w:szCs w:val="21"/>
          <w:highlight w:val="none"/>
        </w:rPr>
        <w:t>份并附电子文档。</w:t>
      </w:r>
    </w:p>
    <w:p w14:paraId="1640F6FF">
      <w:pPr>
        <w:ind w:left="7951" w:hanging="7920" w:hangingChars="1800"/>
        <w:jc w:val="center"/>
        <w:rPr>
          <w:rFonts w:ascii="宋体" w:hAnsi="宋体" w:cs="宋体"/>
          <w:b/>
          <w:bCs/>
          <w:sz w:val="44"/>
          <w:szCs w:val="44"/>
          <w:highlight w:val="none"/>
        </w:rPr>
      </w:pPr>
    </w:p>
    <w:p w14:paraId="0BA47EF4">
      <w:pPr>
        <w:ind w:left="5783" w:hanging="5760" w:hangingChars="1800"/>
        <w:jc w:val="center"/>
        <w:outlineLvl w:val="0"/>
        <w:rPr>
          <w:rFonts w:ascii="宋体" w:hAnsi="宋体" w:cs="宋体"/>
          <w:b/>
          <w:bCs/>
          <w:sz w:val="32"/>
          <w:szCs w:val="32"/>
          <w:highlight w:val="none"/>
        </w:rPr>
      </w:pPr>
      <w:bookmarkStart w:id="59" w:name="_Toc17515"/>
    </w:p>
    <w:p w14:paraId="5ACCECD7">
      <w:pPr>
        <w:ind w:left="5783" w:hanging="5760" w:hangingChars="1800"/>
        <w:jc w:val="center"/>
        <w:outlineLvl w:val="0"/>
        <w:rPr>
          <w:rFonts w:ascii="宋体" w:hAnsi="宋体" w:cs="宋体"/>
          <w:b/>
          <w:bCs/>
          <w:sz w:val="32"/>
          <w:szCs w:val="32"/>
          <w:highlight w:val="none"/>
        </w:rPr>
      </w:pPr>
    </w:p>
    <w:p w14:paraId="7B67AB12">
      <w:pPr>
        <w:jc w:val="center"/>
        <w:outlineLvl w:val="0"/>
        <w:rPr>
          <w:rFonts w:ascii="宋体" w:hAnsi="宋体" w:cs="宋体"/>
          <w:sz w:val="32"/>
          <w:szCs w:val="32"/>
          <w:highlight w:val="none"/>
        </w:rPr>
      </w:pPr>
      <w:bookmarkStart w:id="60" w:name="_Toc27114"/>
      <w:r>
        <w:rPr>
          <w:rFonts w:hint="eastAsia" w:ascii="宋体" w:hAnsi="宋体" w:cs="宋体"/>
          <w:b/>
          <w:bCs/>
          <w:sz w:val="32"/>
          <w:szCs w:val="32"/>
          <w:highlight w:val="none"/>
        </w:rPr>
        <w:t>投诉相关说明</w:t>
      </w:r>
      <w:bookmarkEnd w:id="59"/>
      <w:bookmarkEnd w:id="60"/>
    </w:p>
    <w:p w14:paraId="29CEE569">
      <w:pPr>
        <w:widowControl/>
        <w:spacing w:line="400" w:lineRule="exact"/>
        <w:ind w:firstLine="420"/>
        <w:jc w:val="left"/>
        <w:rPr>
          <w:rFonts w:ascii="宋体" w:hAnsi="宋体" w:cs="宋体"/>
          <w:szCs w:val="21"/>
          <w:highlight w:val="none"/>
        </w:rPr>
      </w:pPr>
      <w:r>
        <w:rPr>
          <w:rFonts w:hint="eastAsia" w:ascii="宋体" w:hAnsi="宋体" w:cs="宋体"/>
          <w:szCs w:val="21"/>
          <w:highlight w:val="none"/>
        </w:rPr>
        <w:t>投诉人应当满足《政府采购法》、《政府采购法实施条例》和《政府采购供应商投诉处理办法》的相关规定。</w:t>
      </w:r>
    </w:p>
    <w:p w14:paraId="2E93C279">
      <w:pPr>
        <w:numPr>
          <w:ilvl w:val="0"/>
          <w:numId w:val="3"/>
        </w:numPr>
        <w:spacing w:line="400" w:lineRule="exact"/>
        <w:ind w:left="3998" w:leftChars="304" w:hanging="3360" w:hangingChars="1600"/>
        <w:outlineLvl w:val="0"/>
        <w:rPr>
          <w:rFonts w:ascii="宋体" w:hAnsi="宋体" w:cs="宋体"/>
          <w:b/>
          <w:bCs/>
          <w:szCs w:val="21"/>
          <w:highlight w:val="none"/>
        </w:rPr>
      </w:pPr>
      <w:bookmarkStart w:id="61" w:name="_Toc11499"/>
      <w:bookmarkStart w:id="62" w:name="_Toc19974"/>
      <w:r>
        <w:rPr>
          <w:rFonts w:hint="eastAsia" w:ascii="宋体" w:hAnsi="宋体" w:cs="宋体"/>
          <w:b/>
          <w:bCs/>
          <w:szCs w:val="21"/>
          <w:highlight w:val="none"/>
        </w:rPr>
        <w:t>质疑前置及时间要求</w:t>
      </w:r>
      <w:bookmarkEnd w:id="61"/>
      <w:bookmarkEnd w:id="62"/>
    </w:p>
    <w:p w14:paraId="00D8B5DE">
      <w:pPr>
        <w:widowControl/>
        <w:spacing w:line="400" w:lineRule="exact"/>
        <w:ind w:firstLine="420"/>
        <w:jc w:val="left"/>
        <w:rPr>
          <w:rFonts w:ascii="宋体" w:hAnsi="宋体" w:cs="宋体"/>
          <w:kern w:val="0"/>
          <w:szCs w:val="21"/>
          <w:highlight w:val="none"/>
          <w:shd w:val="clear" w:color="auto" w:fill="FFFFFF"/>
        </w:rPr>
      </w:pPr>
      <w:r>
        <w:rPr>
          <w:rFonts w:hint="eastAsia" w:ascii="宋体" w:hAnsi="宋体" w:cs="宋体"/>
          <w:szCs w:val="21"/>
          <w:highlight w:val="none"/>
        </w:rPr>
        <w:t>《中华人民共和国政府采购法》</w:t>
      </w:r>
      <w:r>
        <w:rPr>
          <w:rFonts w:hint="eastAsia" w:ascii="宋体" w:hAnsi="宋体" w:cs="宋体"/>
          <w:kern w:val="0"/>
          <w:szCs w:val="21"/>
          <w:highlight w:val="none"/>
          <w:shd w:val="clear" w:color="auto" w:fill="FFFFFF"/>
        </w:rPr>
        <w:t>第五十一条：供应商对政府采购活动事项有疑问的，可以向采购人提出询问，采购人应当及时作出答复，但答复的内容不得涉及商业秘密。</w:t>
      </w:r>
    </w:p>
    <w:p w14:paraId="169A0A1D">
      <w:pPr>
        <w:widowControl/>
        <w:spacing w:line="400" w:lineRule="exact"/>
        <w:ind w:firstLine="420"/>
        <w:jc w:val="left"/>
        <w:rPr>
          <w:rFonts w:ascii="宋体" w:hAnsi="宋体" w:cs="宋体"/>
          <w:szCs w:val="21"/>
          <w:highlight w:val="none"/>
        </w:rPr>
      </w:pPr>
      <w:r>
        <w:rPr>
          <w:rFonts w:hint="eastAsia" w:ascii="宋体" w:hAnsi="宋体" w:cs="宋体"/>
          <w:kern w:val="0"/>
          <w:szCs w:val="21"/>
          <w:highlight w:val="none"/>
          <w:shd w:val="clear" w:color="auto" w:fill="FFFFFF"/>
        </w:rPr>
        <w:t xml:space="preserve"> 第五十二条：供应商认为采购文件、采购过程和中标、中标结果使自己的权益受到损害的，可以在知道或者应知其权益受到损害之日起七个工作日内，以书面形式向采购人提出质疑。</w:t>
      </w:r>
    </w:p>
    <w:p w14:paraId="15BB459F">
      <w:pPr>
        <w:widowControl/>
        <w:spacing w:line="400" w:lineRule="exact"/>
        <w:ind w:firstLine="42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14:paraId="7C72C655">
      <w:pPr>
        <w:widowControl/>
        <w:spacing w:line="400" w:lineRule="exact"/>
        <w:ind w:firstLine="42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14:paraId="53BAF382">
      <w:pPr>
        <w:widowControl/>
        <w:spacing w:line="400" w:lineRule="exact"/>
        <w:ind w:firstLine="420"/>
        <w:jc w:val="left"/>
        <w:rPr>
          <w:rFonts w:ascii="宋体" w:hAnsi="宋体" w:cs="宋体"/>
          <w:szCs w:val="21"/>
          <w:highlight w:val="none"/>
        </w:rPr>
      </w:pPr>
      <w:r>
        <w:rPr>
          <w:rFonts w:hint="eastAsia" w:ascii="宋体" w:hAnsi="宋体" w:cs="宋体"/>
          <w:kern w:val="0"/>
          <w:szCs w:val="21"/>
          <w:highlight w:val="none"/>
          <w:shd w:val="clear" w:color="auto" w:fill="FFFFFF"/>
        </w:rPr>
        <w:t xml:space="preserve">  《政府采购实施条例》第五十五条：供应商质疑、投诉应当有明确的请求和必要的证明材料。供应商投诉的事项不得超出质疑事项的范围。</w:t>
      </w:r>
    </w:p>
    <w:p w14:paraId="4B484638">
      <w:pPr>
        <w:spacing w:line="400" w:lineRule="exact"/>
        <w:ind w:left="3780" w:hanging="3780" w:hangingChars="1800"/>
        <w:outlineLvl w:val="0"/>
        <w:rPr>
          <w:rFonts w:ascii="宋体" w:hAnsi="宋体" w:cs="宋体"/>
          <w:szCs w:val="21"/>
          <w:highlight w:val="none"/>
        </w:rPr>
      </w:pPr>
      <w:r>
        <w:rPr>
          <w:rFonts w:hint="eastAsia" w:ascii="宋体" w:hAnsi="宋体" w:cs="宋体"/>
          <w:szCs w:val="21"/>
          <w:highlight w:val="none"/>
        </w:rPr>
        <w:t xml:space="preserve"> </w:t>
      </w:r>
      <w:r>
        <w:rPr>
          <w:rFonts w:hint="eastAsia" w:ascii="宋体" w:hAnsi="宋体" w:cs="宋体"/>
          <w:b/>
          <w:bCs/>
          <w:szCs w:val="21"/>
          <w:highlight w:val="none"/>
        </w:rPr>
        <w:t xml:space="preserve">   </w:t>
      </w:r>
      <w:bookmarkStart w:id="63" w:name="_Toc15224"/>
      <w:bookmarkStart w:id="64" w:name="_Toc13508"/>
      <w:r>
        <w:rPr>
          <w:rFonts w:hint="eastAsia" w:ascii="宋体" w:hAnsi="宋体" w:cs="宋体"/>
          <w:b/>
          <w:bCs/>
          <w:szCs w:val="21"/>
          <w:highlight w:val="none"/>
        </w:rPr>
        <w:t>二、书面方式</w:t>
      </w:r>
      <w:bookmarkEnd w:id="63"/>
      <w:bookmarkEnd w:id="64"/>
    </w:p>
    <w:p w14:paraId="3D2A7829">
      <w:pPr>
        <w:spacing w:line="400" w:lineRule="exact"/>
        <w:ind w:left="3780" w:hanging="3780" w:hangingChars="1800"/>
        <w:rPr>
          <w:rFonts w:ascii="宋体" w:hAnsi="宋体" w:cs="宋体"/>
          <w:szCs w:val="21"/>
          <w:highlight w:val="none"/>
        </w:rPr>
      </w:pPr>
      <w:r>
        <w:rPr>
          <w:rFonts w:hint="eastAsia" w:ascii="宋体" w:hAnsi="宋体" w:cs="宋体"/>
          <w:szCs w:val="21"/>
          <w:highlight w:val="none"/>
        </w:rPr>
        <w:t xml:space="preserve">    《政府采购供应商投诉处理办法》第八条：投诉人投诉</w:t>
      </w:r>
    </w:p>
    <w:p w14:paraId="185E96FC">
      <w:pPr>
        <w:spacing w:line="400" w:lineRule="exact"/>
        <w:rPr>
          <w:rFonts w:ascii="宋体" w:hAnsi="宋体" w:cs="宋体"/>
          <w:szCs w:val="21"/>
          <w:highlight w:val="none"/>
        </w:rPr>
      </w:pPr>
      <w:r>
        <w:rPr>
          <w:rFonts w:hint="eastAsia" w:ascii="宋体" w:hAnsi="宋体" w:cs="宋体"/>
          <w:szCs w:val="21"/>
          <w:highlight w:val="none"/>
        </w:rPr>
        <w:t>时，应当提交投诉书，并按照被投诉人以及与投诉事项有关的供应商数量提供投诉书的副本。</w:t>
      </w:r>
    </w:p>
    <w:p w14:paraId="4B5DC072">
      <w:pPr>
        <w:spacing w:line="400" w:lineRule="exact"/>
        <w:ind w:left="3780" w:hanging="3780" w:hangingChars="1800"/>
        <w:rPr>
          <w:rFonts w:ascii="宋体" w:hAnsi="宋体" w:cs="宋体"/>
          <w:szCs w:val="21"/>
          <w:highlight w:val="none"/>
        </w:rPr>
      </w:pPr>
      <w:r>
        <w:rPr>
          <w:rFonts w:hint="eastAsia" w:ascii="宋体" w:hAnsi="宋体" w:cs="宋体"/>
          <w:szCs w:val="21"/>
          <w:highlight w:val="none"/>
        </w:rPr>
        <w:t xml:space="preserve">   投诉书应当包括下列主要内容：</w:t>
      </w:r>
    </w:p>
    <w:p w14:paraId="60ED163F">
      <w:pPr>
        <w:numPr>
          <w:ilvl w:val="0"/>
          <w:numId w:val="4"/>
        </w:numPr>
        <w:spacing w:line="400" w:lineRule="exact"/>
        <w:rPr>
          <w:rFonts w:ascii="宋体" w:hAnsi="宋体" w:cs="宋体"/>
          <w:szCs w:val="21"/>
          <w:highlight w:val="none"/>
        </w:rPr>
      </w:pPr>
      <w:r>
        <w:rPr>
          <w:rFonts w:hint="eastAsia" w:ascii="宋体" w:hAnsi="宋体" w:cs="宋体"/>
          <w:szCs w:val="21"/>
          <w:highlight w:val="none"/>
        </w:rPr>
        <w:t>投诉人和被投诉人的名称、地址、电话等；</w:t>
      </w:r>
    </w:p>
    <w:p w14:paraId="3F9FB1D6">
      <w:pPr>
        <w:numPr>
          <w:ilvl w:val="0"/>
          <w:numId w:val="4"/>
        </w:numPr>
        <w:spacing w:line="400" w:lineRule="exact"/>
        <w:rPr>
          <w:rFonts w:ascii="宋体" w:hAnsi="宋体" w:cs="宋体"/>
          <w:szCs w:val="21"/>
          <w:highlight w:val="none"/>
        </w:rPr>
      </w:pPr>
      <w:r>
        <w:rPr>
          <w:rFonts w:hint="eastAsia" w:ascii="宋体" w:hAnsi="宋体" w:cs="宋体"/>
          <w:szCs w:val="21"/>
          <w:highlight w:val="none"/>
        </w:rPr>
        <w:t>具体的投诉事项及事实依据；</w:t>
      </w:r>
    </w:p>
    <w:p w14:paraId="65061702">
      <w:pPr>
        <w:numPr>
          <w:ilvl w:val="0"/>
          <w:numId w:val="4"/>
        </w:numPr>
        <w:spacing w:line="400" w:lineRule="exact"/>
        <w:rPr>
          <w:rFonts w:ascii="宋体" w:hAnsi="宋体" w:cs="宋体"/>
          <w:szCs w:val="21"/>
          <w:highlight w:val="none"/>
        </w:rPr>
      </w:pPr>
      <w:r>
        <w:rPr>
          <w:rFonts w:hint="eastAsia" w:ascii="宋体" w:hAnsi="宋体" w:cs="宋体"/>
          <w:szCs w:val="21"/>
          <w:highlight w:val="none"/>
        </w:rPr>
        <w:t>质疑和质疑答复情况及相关证明材料；</w:t>
      </w:r>
    </w:p>
    <w:p w14:paraId="704E3BAC">
      <w:pPr>
        <w:numPr>
          <w:ilvl w:val="0"/>
          <w:numId w:val="4"/>
        </w:numPr>
        <w:spacing w:line="400" w:lineRule="exact"/>
        <w:rPr>
          <w:rFonts w:ascii="宋体" w:hAnsi="宋体" w:cs="宋体"/>
          <w:szCs w:val="21"/>
          <w:highlight w:val="none"/>
        </w:rPr>
      </w:pPr>
      <w:r>
        <w:rPr>
          <w:rFonts w:hint="eastAsia" w:ascii="宋体" w:hAnsi="宋体" w:cs="宋体"/>
          <w:szCs w:val="21"/>
          <w:highlight w:val="none"/>
        </w:rPr>
        <w:t>提起投诉的日期。</w:t>
      </w:r>
    </w:p>
    <w:p w14:paraId="3344D2DA">
      <w:pPr>
        <w:spacing w:line="400" w:lineRule="exact"/>
        <w:ind w:firstLine="645"/>
        <w:rPr>
          <w:rFonts w:ascii="宋体" w:hAnsi="宋体" w:cs="宋体"/>
          <w:szCs w:val="21"/>
          <w:highlight w:val="none"/>
        </w:rPr>
      </w:pPr>
      <w:r>
        <w:rPr>
          <w:rFonts w:hint="eastAsia" w:ascii="宋体" w:hAnsi="宋体" w:cs="宋体"/>
          <w:szCs w:val="21"/>
          <w:highlight w:val="none"/>
        </w:rPr>
        <w:t>投诉书应当署名。投诉人为自然人，应当由本人签字；投诉人为法人或者其他组织的，应当由法定代表人或者主要负责人签字并加盖公章。</w:t>
      </w:r>
    </w:p>
    <w:p w14:paraId="2BB1DC23">
      <w:pPr>
        <w:spacing w:line="400" w:lineRule="exact"/>
        <w:ind w:firstLine="645"/>
        <w:rPr>
          <w:rFonts w:ascii="宋体" w:hAnsi="宋体" w:cs="宋体"/>
          <w:szCs w:val="21"/>
          <w:highlight w:val="none"/>
        </w:rPr>
      </w:pPr>
      <w:r>
        <w:rPr>
          <w:rFonts w:hint="eastAsia" w:ascii="宋体" w:hAnsi="宋体" w:cs="宋体"/>
          <w:szCs w:val="21"/>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14:paraId="7EB6879D">
      <w:pPr>
        <w:spacing w:line="400" w:lineRule="exact"/>
        <w:ind w:firstLine="645"/>
        <w:rPr>
          <w:rFonts w:ascii="宋体" w:hAnsi="宋体" w:cs="宋体"/>
          <w:szCs w:val="21"/>
          <w:highlight w:val="none"/>
        </w:rPr>
      </w:pPr>
      <w:r>
        <w:rPr>
          <w:rFonts w:hint="eastAsia" w:ascii="宋体" w:hAnsi="宋体" w:cs="宋体"/>
          <w:szCs w:val="21"/>
          <w:highlight w:val="none"/>
        </w:rPr>
        <w:t>《政府采购供应商投诉处理办法》第十条：投诉人提起投诉应当符合下列条件：</w:t>
      </w:r>
    </w:p>
    <w:p w14:paraId="6A6C8267">
      <w:pPr>
        <w:numPr>
          <w:ilvl w:val="0"/>
          <w:numId w:val="5"/>
        </w:numPr>
        <w:spacing w:line="400" w:lineRule="exact"/>
        <w:rPr>
          <w:rFonts w:ascii="宋体" w:hAnsi="宋体" w:cs="宋体"/>
          <w:szCs w:val="21"/>
          <w:highlight w:val="none"/>
        </w:rPr>
      </w:pPr>
      <w:r>
        <w:rPr>
          <w:rFonts w:hint="eastAsia" w:ascii="宋体" w:hAnsi="宋体" w:cs="宋体"/>
          <w:szCs w:val="21"/>
          <w:highlight w:val="none"/>
        </w:rPr>
        <w:t>投诉人是参与所投诉政府采购活动的供应商；</w:t>
      </w:r>
    </w:p>
    <w:p w14:paraId="77DF67AD">
      <w:pPr>
        <w:numPr>
          <w:ilvl w:val="0"/>
          <w:numId w:val="5"/>
        </w:numPr>
        <w:spacing w:line="400" w:lineRule="exact"/>
        <w:rPr>
          <w:rFonts w:ascii="宋体" w:hAnsi="宋体" w:cs="宋体"/>
          <w:szCs w:val="21"/>
          <w:highlight w:val="none"/>
        </w:rPr>
      </w:pPr>
      <w:r>
        <w:rPr>
          <w:rFonts w:hint="eastAsia" w:ascii="宋体" w:hAnsi="宋体" w:cs="宋体"/>
          <w:szCs w:val="21"/>
          <w:highlight w:val="none"/>
        </w:rPr>
        <w:t>提起投诉诉前已依法进行质疑；</w:t>
      </w:r>
    </w:p>
    <w:p w14:paraId="0B00ADCF">
      <w:pPr>
        <w:numPr>
          <w:ilvl w:val="0"/>
          <w:numId w:val="5"/>
        </w:numPr>
        <w:spacing w:line="400" w:lineRule="exact"/>
        <w:rPr>
          <w:rFonts w:ascii="宋体" w:hAnsi="宋体" w:cs="宋体"/>
          <w:szCs w:val="21"/>
          <w:highlight w:val="none"/>
        </w:rPr>
      </w:pPr>
      <w:r>
        <w:rPr>
          <w:rFonts w:hint="eastAsia" w:ascii="宋体" w:hAnsi="宋体" w:cs="宋体"/>
          <w:szCs w:val="21"/>
          <w:highlight w:val="none"/>
        </w:rPr>
        <w:t>投诉书内容符合本办法的规定；</w:t>
      </w:r>
    </w:p>
    <w:p w14:paraId="62A01DDF">
      <w:pPr>
        <w:numPr>
          <w:ilvl w:val="0"/>
          <w:numId w:val="5"/>
        </w:numPr>
        <w:spacing w:line="400" w:lineRule="exact"/>
        <w:rPr>
          <w:rFonts w:ascii="宋体" w:hAnsi="宋体" w:cs="宋体"/>
          <w:szCs w:val="21"/>
          <w:highlight w:val="none"/>
        </w:rPr>
      </w:pPr>
      <w:r>
        <w:rPr>
          <w:rFonts w:hint="eastAsia" w:ascii="宋体" w:hAnsi="宋体" w:cs="宋体"/>
          <w:szCs w:val="21"/>
          <w:highlight w:val="none"/>
        </w:rPr>
        <w:t>在投诉有效期内提起投诉；</w:t>
      </w:r>
    </w:p>
    <w:p w14:paraId="071D8D87">
      <w:pPr>
        <w:numPr>
          <w:ilvl w:val="0"/>
          <w:numId w:val="5"/>
        </w:numPr>
        <w:spacing w:line="400" w:lineRule="exact"/>
        <w:rPr>
          <w:rFonts w:ascii="宋体" w:hAnsi="宋体" w:cs="宋体"/>
          <w:szCs w:val="21"/>
          <w:highlight w:val="none"/>
        </w:rPr>
      </w:pPr>
      <w:r>
        <w:rPr>
          <w:rFonts w:hint="eastAsia" w:ascii="宋体" w:hAnsi="宋体" w:cs="宋体"/>
          <w:szCs w:val="21"/>
          <w:highlight w:val="none"/>
        </w:rPr>
        <w:t>属于本级财政部门管辖；</w:t>
      </w:r>
    </w:p>
    <w:p w14:paraId="523FE6FD">
      <w:pPr>
        <w:numPr>
          <w:ilvl w:val="0"/>
          <w:numId w:val="5"/>
        </w:numPr>
        <w:spacing w:line="400" w:lineRule="exact"/>
        <w:rPr>
          <w:rFonts w:ascii="宋体" w:hAnsi="宋体" w:cs="宋体"/>
          <w:szCs w:val="21"/>
          <w:highlight w:val="none"/>
        </w:rPr>
      </w:pPr>
      <w:r>
        <w:rPr>
          <w:rFonts w:hint="eastAsia" w:ascii="宋体" w:hAnsi="宋体" w:cs="宋体"/>
          <w:szCs w:val="21"/>
          <w:highlight w:val="none"/>
        </w:rPr>
        <w:t>同一投诉事项未经财政部门投诉处理；</w:t>
      </w:r>
    </w:p>
    <w:p w14:paraId="4500BC37">
      <w:pPr>
        <w:numPr>
          <w:ilvl w:val="0"/>
          <w:numId w:val="5"/>
        </w:numPr>
        <w:spacing w:line="400" w:lineRule="exact"/>
        <w:rPr>
          <w:rFonts w:ascii="宋体" w:hAnsi="宋体" w:cs="宋体"/>
          <w:szCs w:val="21"/>
          <w:highlight w:val="none"/>
        </w:rPr>
      </w:pPr>
      <w:r>
        <w:rPr>
          <w:rFonts w:hint="eastAsia" w:ascii="宋体" w:hAnsi="宋体" w:cs="宋体"/>
          <w:szCs w:val="21"/>
          <w:highlight w:val="none"/>
        </w:rPr>
        <w:t>国务院财政部门规定的其他条件。</w:t>
      </w:r>
    </w:p>
    <w:p w14:paraId="2A87CD12">
      <w:pPr>
        <w:spacing w:line="400" w:lineRule="exact"/>
        <w:ind w:left="3780" w:hanging="3780" w:hangingChars="1800"/>
        <w:rPr>
          <w:rFonts w:ascii="宋体" w:hAnsi="宋体" w:cs="宋体"/>
          <w:szCs w:val="21"/>
          <w:highlight w:val="none"/>
        </w:rPr>
      </w:pPr>
      <w:r>
        <w:rPr>
          <w:rFonts w:hint="eastAsia" w:ascii="宋体" w:hAnsi="宋体" w:cs="宋体"/>
          <w:szCs w:val="21"/>
          <w:highlight w:val="none"/>
        </w:rPr>
        <w:t xml:space="preserve">   </w:t>
      </w:r>
    </w:p>
    <w:p w14:paraId="13ED6723">
      <w:pPr>
        <w:outlineLvl w:val="0"/>
        <w:rPr>
          <w:szCs w:val="21"/>
          <w:highlight w:val="none"/>
        </w:rPr>
      </w:pPr>
      <w:r>
        <w:rPr>
          <w:rFonts w:hint="eastAsia"/>
          <w:szCs w:val="21"/>
          <w:highlight w:val="none"/>
        </w:rPr>
        <w:t xml:space="preserve"> </w:t>
      </w:r>
      <w:r>
        <w:rPr>
          <w:rFonts w:hint="eastAsia" w:ascii="宋体" w:hAnsi="宋体" w:cs="宋体"/>
          <w:b/>
          <w:bCs/>
          <w:szCs w:val="21"/>
          <w:highlight w:val="none"/>
        </w:rPr>
        <w:t xml:space="preserve">   </w:t>
      </w:r>
      <w:bookmarkStart w:id="65" w:name="_Toc10437"/>
      <w:bookmarkStart w:id="66" w:name="_Toc5978"/>
      <w:r>
        <w:rPr>
          <w:rFonts w:hint="eastAsia" w:ascii="宋体" w:hAnsi="宋体" w:cs="宋体"/>
          <w:b/>
          <w:bCs/>
          <w:szCs w:val="21"/>
          <w:highlight w:val="none"/>
        </w:rPr>
        <w:t>三、虚假、恶意投诉法律责任</w:t>
      </w:r>
      <w:bookmarkEnd w:id="65"/>
      <w:bookmarkEnd w:id="66"/>
    </w:p>
    <w:p w14:paraId="4E2C9D3E">
      <w:pPr>
        <w:spacing w:line="400" w:lineRule="exact"/>
        <w:ind w:firstLine="420" w:firstLineChars="200"/>
        <w:rPr>
          <w:rFonts w:ascii="宋体" w:hAnsi="宋体" w:cs="宋体"/>
          <w:szCs w:val="21"/>
          <w:highlight w:val="none"/>
        </w:rPr>
      </w:pPr>
      <w:r>
        <w:rPr>
          <w:rFonts w:hint="eastAsia" w:ascii="宋体" w:hAnsi="宋体" w:cs="宋体"/>
          <w:szCs w:val="21"/>
          <w:highlight w:val="none"/>
        </w:rPr>
        <w:t>第七十三条：供应商捏造实施、提供虚假材料或者以非法手段取得证明材料进行投诉的，由财政部门列入不良行为记录名单，禁止其1至3年内参加政府采购活动。</w:t>
      </w:r>
    </w:p>
    <w:p w14:paraId="41878D18">
      <w:pPr>
        <w:spacing w:line="400" w:lineRule="exact"/>
        <w:ind w:firstLine="420" w:firstLineChars="200"/>
        <w:rPr>
          <w:rFonts w:ascii="宋体" w:hAnsi="宋体" w:cs="宋体"/>
          <w:szCs w:val="21"/>
          <w:highlight w:val="none"/>
        </w:rPr>
      </w:pPr>
      <w:r>
        <w:rPr>
          <w:rFonts w:hint="eastAsia" w:ascii="宋体" w:hAnsi="宋体" w:cs="宋体"/>
          <w:szCs w:val="21"/>
          <w:highlight w:val="none"/>
        </w:rPr>
        <w:t>《政府采购供应商投诉处理办法》第二十六条：投诉人有下列情形之一的，属于虚假、恶意投诉，财政部门应当驳回投诉，将其列入不良行为记录名单，并依法予以处罚：</w:t>
      </w:r>
    </w:p>
    <w:p w14:paraId="609A648C">
      <w:pPr>
        <w:spacing w:line="400" w:lineRule="exact"/>
        <w:ind w:firstLine="420" w:firstLineChars="200"/>
        <w:rPr>
          <w:rFonts w:ascii="宋体" w:hAnsi="宋体" w:cs="宋体"/>
          <w:szCs w:val="21"/>
          <w:highlight w:val="none"/>
        </w:rPr>
      </w:pPr>
      <w:r>
        <w:rPr>
          <w:rFonts w:hint="eastAsia" w:ascii="宋体" w:hAnsi="宋体" w:cs="宋体"/>
          <w:szCs w:val="21"/>
          <w:highlight w:val="none"/>
        </w:rPr>
        <w:t>（一）1年内3次以上投诉均查无实据的；</w:t>
      </w:r>
    </w:p>
    <w:p w14:paraId="02A9B911">
      <w:pPr>
        <w:spacing w:line="400" w:lineRule="exact"/>
        <w:ind w:firstLine="420" w:firstLineChars="200"/>
        <w:rPr>
          <w:rFonts w:ascii="宋体" w:hAnsi="宋体" w:cs="宋体"/>
          <w:szCs w:val="21"/>
          <w:highlight w:val="none"/>
        </w:rPr>
      </w:pPr>
      <w:r>
        <w:rPr>
          <w:rFonts w:hint="eastAsia" w:ascii="宋体" w:hAnsi="宋体" w:cs="宋体"/>
          <w:szCs w:val="21"/>
          <w:highlight w:val="none"/>
        </w:rPr>
        <w:t>（二）捏造事实或者提供虚假投诉材料的。</w:t>
      </w:r>
    </w:p>
    <w:p w14:paraId="6AF298B8">
      <w:pPr>
        <w:spacing w:line="400" w:lineRule="exact"/>
        <w:rPr>
          <w:rFonts w:ascii="宋体" w:hAnsi="宋体" w:cs="宋体"/>
          <w:szCs w:val="21"/>
          <w:highlight w:val="none"/>
        </w:rPr>
      </w:pPr>
    </w:p>
    <w:p w14:paraId="67C2C3CF">
      <w:pPr>
        <w:spacing w:line="400" w:lineRule="exact"/>
        <w:rPr>
          <w:rFonts w:ascii="宋体" w:hAnsi="宋体" w:cs="宋体"/>
          <w:szCs w:val="21"/>
          <w:highlight w:val="none"/>
        </w:rPr>
      </w:pPr>
    </w:p>
    <w:p w14:paraId="4B086E78">
      <w:pPr>
        <w:rPr>
          <w:rFonts w:ascii="宋体" w:hAnsi="宋体" w:cs="宋体"/>
          <w:szCs w:val="21"/>
          <w:highlight w:val="none"/>
        </w:rPr>
      </w:pPr>
      <w:r>
        <w:rPr>
          <w:rFonts w:hint="eastAsia" w:ascii="宋体" w:hAnsi="宋体" w:cs="宋体"/>
          <w:szCs w:val="21"/>
          <w:highlight w:val="none"/>
        </w:rPr>
        <w:t>递交投诉书地址：</w:t>
      </w:r>
      <w:r>
        <w:rPr>
          <w:rFonts w:hint="eastAsia" w:ascii="宋体" w:hAnsi="宋体" w:cs="宋体"/>
          <w:szCs w:val="21"/>
          <w:highlight w:val="none"/>
          <w:lang w:eastAsia="zh-CN"/>
        </w:rPr>
        <w:t>克孜勒苏柯尔克孜自治州财政局</w:t>
      </w:r>
      <w:r>
        <w:rPr>
          <w:rFonts w:hint="eastAsia" w:ascii="宋体" w:hAnsi="宋体" w:cs="宋体"/>
          <w:szCs w:val="21"/>
          <w:highlight w:val="none"/>
        </w:rPr>
        <w:t>政府采购办</w:t>
      </w:r>
    </w:p>
    <w:p w14:paraId="70DB0D76">
      <w:pPr>
        <w:jc w:val="right"/>
        <w:rPr>
          <w:rFonts w:ascii="宋体" w:hAnsi="宋体" w:cs="宋体"/>
          <w:sz w:val="32"/>
          <w:szCs w:val="32"/>
          <w:highlight w:val="none"/>
        </w:rPr>
      </w:pPr>
    </w:p>
    <w:p w14:paraId="50875679">
      <w:pPr>
        <w:spacing w:line="540" w:lineRule="exact"/>
        <w:jc w:val="center"/>
        <w:rPr>
          <w:rFonts w:ascii="宋体" w:hAnsi="宋体" w:cs="宋体"/>
          <w:b/>
          <w:bCs/>
          <w:sz w:val="44"/>
          <w:szCs w:val="44"/>
          <w:highlight w:val="none"/>
        </w:rPr>
      </w:pPr>
    </w:p>
    <w:p w14:paraId="786A5F48">
      <w:pPr>
        <w:spacing w:line="540" w:lineRule="exact"/>
        <w:jc w:val="center"/>
        <w:rPr>
          <w:rFonts w:ascii="宋体" w:hAnsi="宋体" w:cs="宋体"/>
          <w:b/>
          <w:bCs/>
          <w:sz w:val="44"/>
          <w:szCs w:val="44"/>
          <w:highlight w:val="none"/>
        </w:rPr>
      </w:pPr>
    </w:p>
    <w:p w14:paraId="47C41FB4">
      <w:pPr>
        <w:spacing w:line="540" w:lineRule="exact"/>
        <w:jc w:val="center"/>
        <w:rPr>
          <w:rFonts w:ascii="宋体" w:hAnsi="宋体" w:cs="宋体"/>
          <w:b/>
          <w:bCs/>
          <w:sz w:val="44"/>
          <w:szCs w:val="44"/>
          <w:highlight w:val="none"/>
        </w:rPr>
      </w:pPr>
    </w:p>
    <w:p w14:paraId="51555C2B">
      <w:pPr>
        <w:spacing w:line="540" w:lineRule="exact"/>
        <w:jc w:val="center"/>
        <w:rPr>
          <w:rFonts w:ascii="宋体" w:hAnsi="宋体" w:cs="宋体"/>
          <w:b/>
          <w:bCs/>
          <w:sz w:val="44"/>
          <w:szCs w:val="44"/>
          <w:highlight w:val="none"/>
        </w:rPr>
      </w:pPr>
    </w:p>
    <w:p w14:paraId="4B8485DE">
      <w:pPr>
        <w:spacing w:line="540" w:lineRule="exact"/>
        <w:jc w:val="center"/>
        <w:outlineLvl w:val="0"/>
        <w:rPr>
          <w:rFonts w:ascii="宋体" w:hAnsi="宋体" w:cs="宋体"/>
          <w:b/>
          <w:bCs/>
          <w:sz w:val="32"/>
          <w:szCs w:val="32"/>
          <w:highlight w:val="none"/>
        </w:rPr>
      </w:pPr>
      <w:bookmarkStart w:id="67" w:name="_Toc1697"/>
    </w:p>
    <w:p w14:paraId="2F0C1242">
      <w:pPr>
        <w:spacing w:line="540" w:lineRule="exact"/>
        <w:jc w:val="center"/>
        <w:outlineLvl w:val="0"/>
        <w:rPr>
          <w:rFonts w:ascii="宋体" w:hAnsi="宋体" w:cs="宋体"/>
          <w:b/>
          <w:bCs/>
          <w:sz w:val="32"/>
          <w:szCs w:val="32"/>
          <w:highlight w:val="none"/>
        </w:rPr>
      </w:pPr>
    </w:p>
    <w:p w14:paraId="795D22FF">
      <w:pPr>
        <w:spacing w:line="540" w:lineRule="exact"/>
        <w:jc w:val="center"/>
        <w:outlineLvl w:val="0"/>
        <w:rPr>
          <w:rFonts w:ascii="宋体" w:hAnsi="宋体" w:cs="宋体"/>
          <w:b/>
          <w:bCs/>
          <w:sz w:val="32"/>
          <w:szCs w:val="32"/>
          <w:highlight w:val="none"/>
        </w:rPr>
      </w:pPr>
    </w:p>
    <w:p w14:paraId="5E70E581">
      <w:pPr>
        <w:spacing w:line="540" w:lineRule="exact"/>
        <w:jc w:val="center"/>
        <w:outlineLvl w:val="0"/>
        <w:rPr>
          <w:rFonts w:ascii="宋体" w:hAnsi="宋体" w:cs="宋体"/>
          <w:b/>
          <w:bCs/>
          <w:sz w:val="32"/>
          <w:szCs w:val="32"/>
          <w:highlight w:val="none"/>
        </w:rPr>
      </w:pPr>
    </w:p>
    <w:p w14:paraId="55C57F0A">
      <w:pPr>
        <w:spacing w:line="540" w:lineRule="exact"/>
        <w:jc w:val="center"/>
        <w:outlineLvl w:val="0"/>
        <w:rPr>
          <w:rFonts w:ascii="宋体" w:hAnsi="宋体" w:cs="宋体"/>
          <w:b/>
          <w:bCs/>
          <w:sz w:val="32"/>
          <w:szCs w:val="32"/>
          <w:highlight w:val="none"/>
        </w:rPr>
      </w:pPr>
    </w:p>
    <w:p w14:paraId="1AE4E67B">
      <w:pPr>
        <w:spacing w:line="540" w:lineRule="exact"/>
        <w:jc w:val="center"/>
        <w:outlineLvl w:val="0"/>
        <w:rPr>
          <w:rFonts w:ascii="宋体" w:hAnsi="宋体" w:cs="宋体"/>
          <w:b/>
          <w:bCs/>
          <w:sz w:val="32"/>
          <w:szCs w:val="32"/>
          <w:highlight w:val="none"/>
        </w:rPr>
      </w:pPr>
    </w:p>
    <w:p w14:paraId="4EA5475B">
      <w:pPr>
        <w:spacing w:line="540" w:lineRule="exact"/>
        <w:jc w:val="center"/>
        <w:outlineLvl w:val="0"/>
        <w:rPr>
          <w:rFonts w:ascii="宋体" w:hAnsi="宋体" w:cs="宋体"/>
          <w:b/>
          <w:bCs/>
          <w:sz w:val="32"/>
          <w:szCs w:val="32"/>
          <w:highlight w:val="none"/>
        </w:rPr>
      </w:pPr>
    </w:p>
    <w:p w14:paraId="46667E78">
      <w:pPr>
        <w:spacing w:line="540" w:lineRule="exact"/>
        <w:jc w:val="center"/>
        <w:outlineLvl w:val="0"/>
        <w:rPr>
          <w:rFonts w:ascii="宋体" w:hAnsi="宋体" w:cs="宋体"/>
          <w:b/>
          <w:bCs/>
          <w:sz w:val="32"/>
          <w:szCs w:val="32"/>
          <w:highlight w:val="none"/>
        </w:rPr>
      </w:pPr>
    </w:p>
    <w:p w14:paraId="67F01B9E">
      <w:pPr>
        <w:spacing w:line="540" w:lineRule="exact"/>
        <w:jc w:val="center"/>
        <w:outlineLvl w:val="0"/>
        <w:rPr>
          <w:rFonts w:ascii="宋体" w:hAnsi="宋体" w:cs="宋体"/>
          <w:b/>
          <w:bCs/>
          <w:sz w:val="32"/>
          <w:szCs w:val="32"/>
          <w:highlight w:val="none"/>
        </w:rPr>
      </w:pPr>
    </w:p>
    <w:p w14:paraId="3689D864">
      <w:pPr>
        <w:spacing w:line="540" w:lineRule="exact"/>
        <w:jc w:val="center"/>
        <w:outlineLvl w:val="0"/>
        <w:rPr>
          <w:rFonts w:ascii="宋体" w:hAnsi="宋体" w:cs="宋体"/>
          <w:b/>
          <w:bCs/>
          <w:sz w:val="32"/>
          <w:szCs w:val="32"/>
          <w:highlight w:val="none"/>
        </w:rPr>
      </w:pPr>
      <w:bookmarkStart w:id="68" w:name="_Toc30496"/>
    </w:p>
    <w:p w14:paraId="345422EA">
      <w:pPr>
        <w:spacing w:line="540" w:lineRule="exact"/>
        <w:jc w:val="center"/>
        <w:outlineLvl w:val="0"/>
        <w:rPr>
          <w:rFonts w:ascii="宋体" w:hAnsi="宋体" w:cs="宋体"/>
          <w:b/>
          <w:bCs/>
          <w:sz w:val="32"/>
          <w:szCs w:val="32"/>
          <w:highlight w:val="none"/>
        </w:rPr>
      </w:pPr>
    </w:p>
    <w:p w14:paraId="251A7331">
      <w:pPr>
        <w:spacing w:line="540" w:lineRule="exact"/>
        <w:jc w:val="center"/>
        <w:outlineLvl w:val="0"/>
        <w:rPr>
          <w:rFonts w:ascii="宋体" w:hAnsi="宋体" w:cs="宋体"/>
          <w:b/>
          <w:bCs/>
          <w:sz w:val="32"/>
          <w:szCs w:val="32"/>
          <w:highlight w:val="none"/>
        </w:rPr>
      </w:pPr>
    </w:p>
    <w:p w14:paraId="7E2C0D58">
      <w:pPr>
        <w:rPr>
          <w:rFonts w:ascii="宋体" w:hAnsi="宋体" w:cs="宋体"/>
          <w:b/>
          <w:bCs/>
          <w:sz w:val="32"/>
          <w:szCs w:val="32"/>
          <w:highlight w:val="none"/>
        </w:rPr>
      </w:pPr>
      <w:r>
        <w:rPr>
          <w:rFonts w:hint="eastAsia" w:ascii="宋体" w:hAnsi="宋体" w:cs="宋体"/>
          <w:b/>
          <w:bCs/>
          <w:sz w:val="32"/>
          <w:szCs w:val="32"/>
          <w:highlight w:val="none"/>
        </w:rPr>
        <w:br w:type="page"/>
      </w:r>
    </w:p>
    <w:p w14:paraId="1D0086A5">
      <w:pPr>
        <w:spacing w:line="540" w:lineRule="exact"/>
        <w:jc w:val="center"/>
        <w:outlineLvl w:val="0"/>
        <w:rPr>
          <w:rFonts w:ascii="宋体" w:hAnsi="宋体" w:cs="宋体"/>
          <w:b/>
          <w:bCs/>
          <w:sz w:val="32"/>
          <w:szCs w:val="32"/>
          <w:highlight w:val="none"/>
        </w:rPr>
      </w:pPr>
      <w:r>
        <w:rPr>
          <w:rFonts w:hint="eastAsia" w:ascii="宋体" w:hAnsi="宋体" w:cs="宋体"/>
          <w:b/>
          <w:bCs/>
          <w:sz w:val="32"/>
          <w:szCs w:val="32"/>
          <w:highlight w:val="none"/>
        </w:rPr>
        <w:t>质疑函范本</w:t>
      </w:r>
      <w:bookmarkEnd w:id="67"/>
      <w:bookmarkEnd w:id="68"/>
    </w:p>
    <w:p w14:paraId="28B43D1E">
      <w:pPr>
        <w:adjustRightInd w:val="0"/>
        <w:snapToGrid w:val="0"/>
        <w:spacing w:before="312" w:beforeLines="100" w:line="540" w:lineRule="exact"/>
        <w:ind w:firstLine="420" w:firstLineChars="200"/>
        <w:outlineLvl w:val="0"/>
        <w:rPr>
          <w:rFonts w:ascii="宋体" w:hAnsi="宋体" w:cs="宋体"/>
          <w:bCs/>
          <w:szCs w:val="21"/>
          <w:highlight w:val="none"/>
        </w:rPr>
      </w:pPr>
      <w:bookmarkStart w:id="69" w:name="_Toc25524"/>
      <w:bookmarkStart w:id="70" w:name="_Toc9061"/>
      <w:r>
        <w:rPr>
          <w:rFonts w:hint="eastAsia" w:ascii="宋体" w:hAnsi="宋体" w:cs="宋体"/>
          <w:bCs/>
          <w:szCs w:val="21"/>
          <w:highlight w:val="none"/>
        </w:rPr>
        <w:t>一、质疑供应商基本信息</w:t>
      </w:r>
      <w:bookmarkEnd w:id="69"/>
      <w:bookmarkEnd w:id="70"/>
    </w:p>
    <w:p w14:paraId="7DC295F5">
      <w:pPr>
        <w:adjustRightInd w:val="0"/>
        <w:snapToGrid w:val="0"/>
        <w:spacing w:line="540" w:lineRule="exact"/>
        <w:ind w:firstLine="420" w:firstLineChars="200"/>
        <w:rPr>
          <w:rFonts w:ascii="宋体" w:hAnsi="宋体" w:cs="宋体"/>
          <w:szCs w:val="21"/>
          <w:highlight w:val="none"/>
          <w:u w:val="dotted"/>
        </w:rPr>
      </w:pPr>
      <w:r>
        <w:rPr>
          <w:rFonts w:hint="eastAsia" w:ascii="宋体" w:hAnsi="宋体" w:cs="宋体"/>
          <w:szCs w:val="21"/>
          <w:highlight w:val="none"/>
        </w:rPr>
        <w:t>质疑供应商：</w:t>
      </w:r>
      <w:r>
        <w:rPr>
          <w:rFonts w:hint="eastAsia" w:ascii="宋体" w:hAnsi="宋体" w:cs="宋体"/>
          <w:szCs w:val="21"/>
          <w:highlight w:val="none"/>
          <w:u w:val="dotted"/>
        </w:rPr>
        <w:t xml:space="preserve">                         </w:t>
      </w:r>
    </w:p>
    <w:p w14:paraId="63920C2E">
      <w:pPr>
        <w:adjustRightInd w:val="0"/>
        <w:snapToGrid w:val="0"/>
        <w:spacing w:line="540" w:lineRule="exact"/>
        <w:ind w:firstLine="420" w:firstLineChars="200"/>
        <w:rPr>
          <w:rFonts w:ascii="宋体" w:hAnsi="宋体" w:cs="宋体"/>
          <w:szCs w:val="21"/>
          <w:highlight w:val="none"/>
        </w:rPr>
      </w:pPr>
      <w:r>
        <w:rPr>
          <w:rFonts w:hint="eastAsia" w:ascii="宋体" w:hAnsi="宋体" w:cs="宋体"/>
          <w:szCs w:val="21"/>
          <w:highlight w:val="none"/>
        </w:rPr>
        <w:t>地址：</w:t>
      </w:r>
      <w:r>
        <w:rPr>
          <w:rFonts w:hint="eastAsia" w:ascii="宋体" w:hAnsi="宋体" w:cs="宋体"/>
          <w:szCs w:val="21"/>
          <w:highlight w:val="none"/>
          <w:u w:val="dotted"/>
        </w:rPr>
        <w:t xml:space="preserve">                          </w:t>
      </w:r>
      <w:r>
        <w:rPr>
          <w:rFonts w:hint="eastAsia" w:ascii="宋体" w:hAnsi="宋体" w:cs="宋体"/>
          <w:szCs w:val="21"/>
          <w:highlight w:val="none"/>
        </w:rPr>
        <w:t>邮编：</w:t>
      </w:r>
      <w:r>
        <w:rPr>
          <w:rFonts w:hint="eastAsia" w:ascii="宋体" w:hAnsi="宋体" w:cs="宋体"/>
          <w:szCs w:val="21"/>
          <w:highlight w:val="none"/>
          <w:u w:val="dotted"/>
        </w:rPr>
        <w:t xml:space="preserve">            </w:t>
      </w:r>
    </w:p>
    <w:p w14:paraId="19DE477B">
      <w:pPr>
        <w:adjustRightInd w:val="0"/>
        <w:snapToGrid w:val="0"/>
        <w:spacing w:line="540" w:lineRule="exact"/>
        <w:ind w:firstLine="420" w:firstLineChars="200"/>
        <w:rPr>
          <w:rFonts w:ascii="宋体" w:hAnsi="宋体" w:cs="宋体"/>
          <w:szCs w:val="21"/>
          <w:highlight w:val="none"/>
        </w:rPr>
      </w:pPr>
      <w:r>
        <w:rPr>
          <w:rFonts w:hint="eastAsia" w:ascii="宋体" w:hAnsi="宋体" w:cs="宋体"/>
          <w:szCs w:val="21"/>
          <w:highlight w:val="none"/>
        </w:rPr>
        <w:t>联系人：</w:t>
      </w:r>
      <w:r>
        <w:rPr>
          <w:rFonts w:hint="eastAsia" w:ascii="宋体" w:hAnsi="宋体" w:cs="宋体"/>
          <w:szCs w:val="21"/>
          <w:highlight w:val="none"/>
          <w:u w:val="dotted"/>
        </w:rPr>
        <w:t xml:space="preserve">                      </w:t>
      </w:r>
      <w:r>
        <w:rPr>
          <w:rFonts w:hint="eastAsia" w:ascii="宋体" w:hAnsi="宋体" w:cs="宋体"/>
          <w:szCs w:val="21"/>
          <w:highlight w:val="none"/>
        </w:rPr>
        <w:t>联系电话：</w:t>
      </w:r>
      <w:r>
        <w:rPr>
          <w:rFonts w:hint="eastAsia" w:ascii="宋体" w:hAnsi="宋体" w:cs="宋体"/>
          <w:szCs w:val="21"/>
          <w:highlight w:val="none"/>
          <w:u w:val="dotted"/>
        </w:rPr>
        <w:t xml:space="preserve">            </w:t>
      </w:r>
    </w:p>
    <w:p w14:paraId="3F000BAB">
      <w:pPr>
        <w:adjustRightInd w:val="0"/>
        <w:snapToGrid w:val="0"/>
        <w:spacing w:line="540" w:lineRule="exact"/>
        <w:ind w:firstLine="420" w:firstLineChars="200"/>
        <w:rPr>
          <w:rFonts w:ascii="宋体" w:hAnsi="宋体" w:cs="宋体"/>
          <w:szCs w:val="21"/>
          <w:highlight w:val="none"/>
          <w:u w:val="dotted"/>
        </w:rPr>
      </w:pPr>
      <w:r>
        <w:rPr>
          <w:rFonts w:hint="eastAsia" w:ascii="宋体" w:hAnsi="宋体" w:cs="宋体"/>
          <w:szCs w:val="21"/>
          <w:highlight w:val="none"/>
        </w:rPr>
        <w:t>授权代表：</w:t>
      </w:r>
      <w:r>
        <w:rPr>
          <w:rFonts w:hint="eastAsia" w:ascii="宋体" w:hAnsi="宋体" w:cs="宋体"/>
          <w:szCs w:val="21"/>
          <w:highlight w:val="none"/>
          <w:u w:val="dotted"/>
        </w:rPr>
        <w:t xml:space="preserve">                                          </w:t>
      </w:r>
    </w:p>
    <w:p w14:paraId="68226E85">
      <w:pPr>
        <w:adjustRightInd w:val="0"/>
        <w:snapToGrid w:val="0"/>
        <w:spacing w:line="540" w:lineRule="exact"/>
        <w:ind w:firstLine="420" w:firstLineChars="200"/>
        <w:rPr>
          <w:rFonts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dotted"/>
        </w:rPr>
        <w:t xml:space="preserve">                                          </w:t>
      </w:r>
    </w:p>
    <w:p w14:paraId="003F946E">
      <w:pPr>
        <w:adjustRightInd w:val="0"/>
        <w:snapToGrid w:val="0"/>
        <w:spacing w:line="540" w:lineRule="exact"/>
        <w:ind w:firstLine="420" w:firstLineChars="200"/>
        <w:rPr>
          <w:rFonts w:ascii="宋体" w:hAnsi="宋体" w:cs="宋体"/>
          <w:szCs w:val="21"/>
          <w:highlight w:val="none"/>
        </w:rPr>
      </w:pPr>
      <w:r>
        <w:rPr>
          <w:rFonts w:hint="eastAsia" w:ascii="宋体" w:hAnsi="宋体" w:cs="宋体"/>
          <w:szCs w:val="21"/>
          <w:highlight w:val="none"/>
        </w:rPr>
        <w:t xml:space="preserve">地址： </w:t>
      </w:r>
      <w:r>
        <w:rPr>
          <w:rFonts w:hint="eastAsia" w:ascii="宋体" w:hAnsi="宋体" w:cs="宋体"/>
          <w:szCs w:val="21"/>
          <w:highlight w:val="none"/>
          <w:u w:val="dotted"/>
        </w:rPr>
        <w:t xml:space="preserve">                        </w:t>
      </w:r>
      <w:r>
        <w:rPr>
          <w:rFonts w:hint="eastAsia" w:ascii="宋体" w:hAnsi="宋体" w:cs="宋体"/>
          <w:szCs w:val="21"/>
          <w:highlight w:val="none"/>
        </w:rPr>
        <w:t>邮编：</w:t>
      </w:r>
      <w:r>
        <w:rPr>
          <w:rFonts w:hint="eastAsia" w:ascii="宋体" w:hAnsi="宋体" w:cs="宋体"/>
          <w:szCs w:val="21"/>
          <w:highlight w:val="none"/>
          <w:u w:val="dotted"/>
        </w:rPr>
        <w:t xml:space="preserve">               </w:t>
      </w:r>
    </w:p>
    <w:p w14:paraId="5AAF8E34">
      <w:pPr>
        <w:adjustRightInd w:val="0"/>
        <w:snapToGrid w:val="0"/>
        <w:spacing w:line="540" w:lineRule="exact"/>
        <w:ind w:firstLine="420" w:firstLineChars="200"/>
        <w:outlineLvl w:val="0"/>
        <w:rPr>
          <w:rFonts w:ascii="宋体" w:hAnsi="宋体" w:cs="宋体"/>
          <w:bCs/>
          <w:szCs w:val="21"/>
          <w:highlight w:val="none"/>
        </w:rPr>
      </w:pPr>
      <w:bookmarkStart w:id="71" w:name="_Toc19533"/>
      <w:bookmarkStart w:id="72" w:name="_Toc15938"/>
      <w:r>
        <w:rPr>
          <w:rFonts w:hint="eastAsia" w:ascii="宋体" w:hAnsi="宋体" w:cs="宋体"/>
          <w:bCs/>
          <w:szCs w:val="21"/>
          <w:highlight w:val="none"/>
        </w:rPr>
        <w:t>二、质疑项目基本情况</w:t>
      </w:r>
      <w:bookmarkEnd w:id="71"/>
      <w:bookmarkEnd w:id="72"/>
    </w:p>
    <w:p w14:paraId="3AFA43ED">
      <w:pPr>
        <w:adjustRightInd w:val="0"/>
        <w:snapToGrid w:val="0"/>
        <w:spacing w:line="540" w:lineRule="exact"/>
        <w:ind w:firstLine="420" w:firstLineChars="200"/>
        <w:rPr>
          <w:rFonts w:ascii="宋体" w:hAnsi="宋体" w:cs="宋体"/>
          <w:szCs w:val="21"/>
          <w:highlight w:val="none"/>
        </w:rPr>
      </w:pPr>
      <w:r>
        <w:rPr>
          <w:rFonts w:hint="eastAsia" w:ascii="宋体" w:hAnsi="宋体" w:cs="宋体"/>
          <w:szCs w:val="21"/>
          <w:highlight w:val="none"/>
        </w:rPr>
        <w:t>质疑项目的名称：</w:t>
      </w:r>
      <w:r>
        <w:rPr>
          <w:rFonts w:hint="eastAsia" w:ascii="宋体" w:hAnsi="宋体" w:cs="宋体"/>
          <w:szCs w:val="21"/>
          <w:highlight w:val="none"/>
          <w:u w:val="dotted"/>
        </w:rPr>
        <w:t xml:space="preserve">                                     </w:t>
      </w:r>
    </w:p>
    <w:p w14:paraId="1EA03388">
      <w:pPr>
        <w:adjustRightInd w:val="0"/>
        <w:snapToGrid w:val="0"/>
        <w:spacing w:line="540" w:lineRule="exact"/>
        <w:ind w:firstLine="420" w:firstLineChars="200"/>
        <w:rPr>
          <w:rFonts w:ascii="宋体" w:hAnsi="宋体" w:cs="宋体"/>
          <w:szCs w:val="21"/>
          <w:highlight w:val="none"/>
        </w:rPr>
      </w:pPr>
      <w:r>
        <w:rPr>
          <w:rFonts w:hint="eastAsia" w:ascii="宋体" w:hAnsi="宋体" w:cs="宋体"/>
          <w:szCs w:val="21"/>
          <w:highlight w:val="none"/>
        </w:rPr>
        <w:t>质疑项目的编号：</w:t>
      </w:r>
      <w:r>
        <w:rPr>
          <w:rFonts w:hint="eastAsia" w:ascii="宋体" w:hAnsi="宋体" w:cs="宋体"/>
          <w:szCs w:val="21"/>
          <w:highlight w:val="none"/>
          <w:u w:val="dotted"/>
        </w:rPr>
        <w:t xml:space="preserve">               </w:t>
      </w:r>
      <w:r>
        <w:rPr>
          <w:rFonts w:hint="eastAsia" w:ascii="宋体" w:hAnsi="宋体" w:cs="宋体"/>
          <w:szCs w:val="21"/>
          <w:highlight w:val="none"/>
        </w:rPr>
        <w:t>包号：</w:t>
      </w:r>
      <w:r>
        <w:rPr>
          <w:rFonts w:hint="eastAsia" w:ascii="宋体" w:hAnsi="宋体" w:cs="宋体"/>
          <w:szCs w:val="21"/>
          <w:highlight w:val="none"/>
          <w:u w:val="dotted"/>
        </w:rPr>
        <w:t xml:space="preserve">                </w:t>
      </w:r>
    </w:p>
    <w:p w14:paraId="5F44B777">
      <w:pPr>
        <w:adjustRightInd w:val="0"/>
        <w:snapToGrid w:val="0"/>
        <w:spacing w:line="540" w:lineRule="exact"/>
        <w:ind w:firstLine="420" w:firstLineChars="200"/>
        <w:rPr>
          <w:rFonts w:ascii="宋体" w:hAnsi="宋体" w:cs="宋体"/>
          <w:szCs w:val="21"/>
          <w:highlight w:val="none"/>
          <w:u w:val="dotted"/>
        </w:rPr>
      </w:pPr>
      <w:r>
        <w:rPr>
          <w:rFonts w:hint="eastAsia" w:ascii="宋体" w:hAnsi="宋体" w:cs="宋体"/>
          <w:szCs w:val="21"/>
          <w:highlight w:val="none"/>
        </w:rPr>
        <w:t>采购人名称：</w:t>
      </w:r>
      <w:r>
        <w:rPr>
          <w:rFonts w:hint="eastAsia" w:ascii="宋体" w:hAnsi="宋体" w:cs="宋体"/>
          <w:szCs w:val="21"/>
          <w:highlight w:val="none"/>
          <w:u w:val="dotted"/>
        </w:rPr>
        <w:t xml:space="preserve">                                         </w:t>
      </w:r>
    </w:p>
    <w:p w14:paraId="4A0004A4">
      <w:pPr>
        <w:adjustRightInd w:val="0"/>
        <w:snapToGrid w:val="0"/>
        <w:spacing w:line="540" w:lineRule="exact"/>
        <w:ind w:firstLine="420" w:firstLineChars="200"/>
        <w:rPr>
          <w:rFonts w:ascii="宋体" w:hAnsi="宋体" w:cs="宋体"/>
          <w:szCs w:val="21"/>
          <w:highlight w:val="none"/>
        </w:rPr>
      </w:pPr>
      <w:r>
        <w:rPr>
          <w:rFonts w:hint="eastAsia" w:ascii="宋体" w:hAnsi="宋体" w:cs="宋体"/>
          <w:szCs w:val="21"/>
          <w:highlight w:val="none"/>
        </w:rPr>
        <w:t>采购文件获取日期：</w:t>
      </w:r>
      <w:r>
        <w:rPr>
          <w:rFonts w:hint="eastAsia" w:ascii="宋体" w:hAnsi="宋体" w:cs="宋体"/>
          <w:szCs w:val="21"/>
          <w:highlight w:val="none"/>
          <w:u w:val="dotted"/>
        </w:rPr>
        <w:t xml:space="preserve">                                   </w:t>
      </w:r>
    </w:p>
    <w:p w14:paraId="35C8554B">
      <w:pPr>
        <w:adjustRightInd w:val="0"/>
        <w:snapToGrid w:val="0"/>
        <w:spacing w:line="540" w:lineRule="exact"/>
        <w:ind w:firstLine="420" w:firstLineChars="200"/>
        <w:outlineLvl w:val="0"/>
        <w:rPr>
          <w:rFonts w:ascii="宋体" w:hAnsi="宋体" w:cs="宋体"/>
          <w:bCs/>
          <w:szCs w:val="21"/>
          <w:highlight w:val="none"/>
        </w:rPr>
      </w:pPr>
      <w:bookmarkStart w:id="73" w:name="_Toc25298"/>
      <w:bookmarkStart w:id="74" w:name="_Toc18271"/>
      <w:r>
        <w:rPr>
          <w:rFonts w:hint="eastAsia" w:ascii="宋体" w:hAnsi="宋体" w:cs="宋体"/>
          <w:bCs/>
          <w:szCs w:val="21"/>
          <w:highlight w:val="none"/>
        </w:rPr>
        <w:t>三、质疑事项具体内容</w:t>
      </w:r>
      <w:bookmarkEnd w:id="73"/>
      <w:bookmarkEnd w:id="74"/>
    </w:p>
    <w:p w14:paraId="531DE10F">
      <w:pPr>
        <w:adjustRightInd w:val="0"/>
        <w:snapToGrid w:val="0"/>
        <w:spacing w:line="540" w:lineRule="exact"/>
        <w:ind w:firstLine="420" w:firstLineChars="200"/>
        <w:rPr>
          <w:rFonts w:ascii="宋体" w:hAnsi="宋体" w:cs="宋体"/>
          <w:szCs w:val="21"/>
          <w:highlight w:val="none"/>
          <w:u w:val="dotted"/>
        </w:rPr>
      </w:pPr>
      <w:r>
        <w:rPr>
          <w:rFonts w:hint="eastAsia" w:ascii="宋体" w:hAnsi="宋体" w:cs="宋体"/>
          <w:szCs w:val="21"/>
          <w:highlight w:val="none"/>
        </w:rPr>
        <w:t>质疑事项1：</w:t>
      </w:r>
      <w:r>
        <w:rPr>
          <w:rFonts w:hint="eastAsia" w:ascii="宋体" w:hAnsi="宋体" w:cs="宋体"/>
          <w:szCs w:val="21"/>
          <w:highlight w:val="none"/>
          <w:u w:val="dotted"/>
        </w:rPr>
        <w:t xml:space="preserve">                                         </w:t>
      </w:r>
    </w:p>
    <w:p w14:paraId="4B137607">
      <w:pPr>
        <w:adjustRightInd w:val="0"/>
        <w:snapToGrid w:val="0"/>
        <w:spacing w:line="540" w:lineRule="exact"/>
        <w:ind w:firstLine="420" w:firstLineChars="200"/>
        <w:rPr>
          <w:rFonts w:ascii="宋体" w:hAnsi="宋体" w:cs="宋体"/>
          <w:szCs w:val="21"/>
          <w:highlight w:val="none"/>
        </w:rPr>
      </w:pPr>
      <w:r>
        <w:rPr>
          <w:rFonts w:hint="eastAsia" w:ascii="宋体" w:hAnsi="宋体" w:cs="宋体"/>
          <w:szCs w:val="21"/>
          <w:highlight w:val="none"/>
        </w:rPr>
        <w:t>事实依据：</w:t>
      </w:r>
      <w:r>
        <w:rPr>
          <w:rFonts w:hint="eastAsia" w:ascii="宋体" w:hAnsi="宋体" w:cs="宋体"/>
          <w:szCs w:val="21"/>
          <w:highlight w:val="none"/>
          <w:u w:val="dotted"/>
        </w:rPr>
        <w:t xml:space="preserve">                                           </w:t>
      </w:r>
    </w:p>
    <w:p w14:paraId="07EAD995">
      <w:pPr>
        <w:adjustRightInd w:val="0"/>
        <w:snapToGrid w:val="0"/>
        <w:spacing w:line="540" w:lineRule="exact"/>
        <w:ind w:firstLine="420" w:firstLineChars="200"/>
        <w:rPr>
          <w:rFonts w:ascii="宋体" w:hAnsi="宋体" w:cs="宋体"/>
          <w:szCs w:val="21"/>
          <w:highlight w:val="none"/>
          <w:u w:val="dotted"/>
        </w:rPr>
      </w:pPr>
      <w:r>
        <w:rPr>
          <w:rFonts w:hint="eastAsia" w:ascii="宋体" w:hAnsi="宋体" w:cs="宋体"/>
          <w:szCs w:val="21"/>
          <w:highlight w:val="none"/>
        </w:rPr>
        <w:t>法律依据：</w:t>
      </w:r>
      <w:r>
        <w:rPr>
          <w:rFonts w:hint="eastAsia" w:ascii="宋体" w:hAnsi="宋体" w:cs="宋体"/>
          <w:szCs w:val="21"/>
          <w:highlight w:val="none"/>
          <w:u w:val="dotted"/>
        </w:rPr>
        <w:t xml:space="preserve">                                           </w:t>
      </w:r>
    </w:p>
    <w:p w14:paraId="1CC0272E">
      <w:pPr>
        <w:adjustRightInd w:val="0"/>
        <w:snapToGrid w:val="0"/>
        <w:spacing w:line="540" w:lineRule="exact"/>
        <w:ind w:firstLine="420" w:firstLineChars="200"/>
        <w:rPr>
          <w:rFonts w:ascii="宋体" w:hAnsi="宋体" w:cs="宋体"/>
          <w:szCs w:val="21"/>
          <w:highlight w:val="none"/>
          <w:u w:val="dotted"/>
        </w:rPr>
      </w:pPr>
      <w:r>
        <w:rPr>
          <w:rFonts w:hint="eastAsia" w:ascii="宋体" w:hAnsi="宋体" w:cs="宋体"/>
          <w:szCs w:val="21"/>
          <w:highlight w:val="none"/>
        </w:rPr>
        <w:t>质疑事项2</w:t>
      </w:r>
    </w:p>
    <w:p w14:paraId="00336444">
      <w:pPr>
        <w:adjustRightInd w:val="0"/>
        <w:snapToGrid w:val="0"/>
        <w:spacing w:line="540" w:lineRule="exact"/>
        <w:ind w:firstLine="420" w:firstLineChars="200"/>
        <w:rPr>
          <w:rFonts w:ascii="宋体" w:hAnsi="宋体" w:cs="宋体"/>
          <w:szCs w:val="21"/>
          <w:highlight w:val="none"/>
        </w:rPr>
      </w:pPr>
      <w:r>
        <w:rPr>
          <w:rFonts w:hint="eastAsia" w:ascii="宋体" w:hAnsi="宋体" w:cs="宋体"/>
          <w:szCs w:val="21"/>
          <w:highlight w:val="none"/>
        </w:rPr>
        <w:t>……</w:t>
      </w:r>
    </w:p>
    <w:p w14:paraId="39041F99">
      <w:pPr>
        <w:adjustRightInd w:val="0"/>
        <w:snapToGrid w:val="0"/>
        <w:spacing w:line="540" w:lineRule="exact"/>
        <w:ind w:firstLine="420" w:firstLineChars="200"/>
        <w:outlineLvl w:val="0"/>
        <w:rPr>
          <w:rFonts w:ascii="宋体" w:hAnsi="宋体" w:cs="宋体"/>
          <w:bCs/>
          <w:szCs w:val="21"/>
          <w:highlight w:val="none"/>
        </w:rPr>
      </w:pPr>
      <w:bookmarkStart w:id="75" w:name="_Toc20488"/>
      <w:bookmarkStart w:id="76" w:name="_Toc22365"/>
      <w:r>
        <w:rPr>
          <w:rFonts w:hint="eastAsia" w:ascii="宋体" w:hAnsi="宋体" w:cs="宋体"/>
          <w:bCs/>
          <w:szCs w:val="21"/>
          <w:highlight w:val="none"/>
        </w:rPr>
        <w:t>四、与质疑事项相关的质疑请求</w:t>
      </w:r>
      <w:bookmarkEnd w:id="75"/>
      <w:bookmarkEnd w:id="76"/>
    </w:p>
    <w:p w14:paraId="5F8F15AC">
      <w:pPr>
        <w:adjustRightInd w:val="0"/>
        <w:snapToGrid w:val="0"/>
        <w:spacing w:line="540" w:lineRule="exact"/>
        <w:ind w:firstLine="420" w:firstLineChars="200"/>
        <w:rPr>
          <w:rFonts w:ascii="宋体" w:hAnsi="宋体" w:cs="宋体"/>
          <w:szCs w:val="21"/>
          <w:highlight w:val="none"/>
          <w:u w:val="dotted"/>
        </w:rPr>
      </w:pPr>
      <w:r>
        <w:rPr>
          <w:rFonts w:hint="eastAsia" w:ascii="宋体" w:hAnsi="宋体" w:cs="宋体"/>
          <w:szCs w:val="21"/>
          <w:highlight w:val="none"/>
        </w:rPr>
        <w:t>请求：</w:t>
      </w:r>
      <w:r>
        <w:rPr>
          <w:rFonts w:hint="eastAsia" w:ascii="宋体" w:hAnsi="宋体" w:cs="宋体"/>
          <w:szCs w:val="21"/>
          <w:highlight w:val="none"/>
          <w:u w:val="dotted"/>
        </w:rPr>
        <w:t xml:space="preserve">                                               </w:t>
      </w:r>
    </w:p>
    <w:p w14:paraId="1724743E">
      <w:pPr>
        <w:spacing w:line="540" w:lineRule="exact"/>
        <w:ind w:firstLine="420" w:firstLineChars="200"/>
        <w:rPr>
          <w:rFonts w:ascii="宋体" w:hAnsi="宋体" w:cs="宋体"/>
          <w:szCs w:val="21"/>
          <w:highlight w:val="none"/>
        </w:rPr>
      </w:pPr>
      <w:r>
        <w:rPr>
          <w:rFonts w:hint="eastAsia" w:ascii="宋体" w:hAnsi="宋体" w:cs="宋体"/>
          <w:szCs w:val="21"/>
          <w:highlight w:val="none"/>
        </w:rPr>
        <w:t xml:space="preserve">签字(签章)：                   公章：                      </w:t>
      </w:r>
    </w:p>
    <w:p w14:paraId="57AA0CA8">
      <w:pPr>
        <w:spacing w:line="540" w:lineRule="exact"/>
        <w:ind w:firstLine="420" w:firstLineChars="200"/>
        <w:rPr>
          <w:rFonts w:ascii="宋体" w:hAnsi="宋体" w:cs="宋体"/>
          <w:b/>
          <w:bCs/>
          <w:szCs w:val="21"/>
          <w:highlight w:val="none"/>
        </w:rPr>
      </w:pPr>
      <w:r>
        <w:rPr>
          <w:rFonts w:hint="eastAsia" w:ascii="宋体" w:hAnsi="宋体" w:cs="宋体"/>
          <w:szCs w:val="21"/>
          <w:highlight w:val="none"/>
        </w:rPr>
        <w:t xml:space="preserve">日期：    </w:t>
      </w:r>
    </w:p>
    <w:p w14:paraId="052896CD">
      <w:pPr>
        <w:pageBreakBefore/>
        <w:spacing w:line="440" w:lineRule="exact"/>
        <w:jc w:val="center"/>
        <w:outlineLvl w:val="0"/>
        <w:rPr>
          <w:rFonts w:ascii="黑体" w:eastAsia="黑体"/>
          <w:sz w:val="30"/>
          <w:szCs w:val="30"/>
          <w:highlight w:val="none"/>
        </w:rPr>
      </w:pPr>
      <w:bookmarkStart w:id="77" w:name="_Toc7619"/>
      <w:r>
        <w:rPr>
          <w:rFonts w:hint="eastAsia" w:ascii="黑体" w:eastAsia="黑体"/>
          <w:sz w:val="30"/>
          <w:szCs w:val="30"/>
          <w:highlight w:val="none"/>
        </w:rPr>
        <w:t>第三章  评标办法</w:t>
      </w:r>
      <w:bookmarkEnd w:id="77"/>
    </w:p>
    <w:p w14:paraId="5AC5DB9B">
      <w:pPr>
        <w:jc w:val="center"/>
        <w:outlineLvl w:val="1"/>
        <w:rPr>
          <w:rFonts w:ascii="宋体"/>
          <w:b/>
          <w:sz w:val="28"/>
          <w:szCs w:val="28"/>
          <w:highlight w:val="none"/>
        </w:rPr>
      </w:pPr>
      <w:bookmarkStart w:id="78" w:name="_Toc15723"/>
      <w:bookmarkStart w:id="79" w:name="_Toc362983802"/>
      <w:bookmarkStart w:id="80" w:name="_Toc267320058"/>
      <w:bookmarkStart w:id="81" w:name="_Toc363135205"/>
      <w:r>
        <w:rPr>
          <w:rFonts w:hint="eastAsia" w:ascii="宋体"/>
          <w:b/>
          <w:sz w:val="28"/>
          <w:szCs w:val="28"/>
          <w:highlight w:val="none"/>
        </w:rPr>
        <w:t>一  总  则</w:t>
      </w:r>
      <w:bookmarkEnd w:id="78"/>
    </w:p>
    <w:p w14:paraId="674B9D20">
      <w:pPr>
        <w:tabs>
          <w:tab w:val="left" w:pos="567"/>
          <w:tab w:val="left" w:pos="600"/>
        </w:tabs>
        <w:spacing w:line="440" w:lineRule="exact"/>
        <w:ind w:firstLine="535" w:firstLineChars="255"/>
        <w:rPr>
          <w:rFonts w:ascii="宋体" w:hAnsi="宋体" w:cs="宋体"/>
          <w:szCs w:val="21"/>
          <w:highlight w:val="none"/>
        </w:rPr>
      </w:pPr>
      <w:r>
        <w:rPr>
          <w:rFonts w:hint="eastAsia" w:ascii="宋体" w:hAnsi="宋体" w:cs="宋体"/>
          <w:szCs w:val="21"/>
          <w:highlight w:val="none"/>
        </w:rPr>
        <w:t>1、一般规定</w:t>
      </w:r>
    </w:p>
    <w:p w14:paraId="50BDF3D6">
      <w:pPr>
        <w:spacing w:line="440" w:lineRule="exact"/>
        <w:ind w:firstLine="535" w:firstLineChars="255"/>
        <w:rPr>
          <w:rFonts w:ascii="宋体" w:hAnsi="宋体" w:cs="宋体"/>
          <w:szCs w:val="21"/>
          <w:highlight w:val="none"/>
        </w:rPr>
      </w:pPr>
      <w:r>
        <w:rPr>
          <w:rFonts w:hint="eastAsia" w:ascii="宋体" w:hAnsi="宋体" w:cs="宋体"/>
          <w:szCs w:val="21"/>
          <w:highlight w:val="none"/>
        </w:rPr>
        <w:t>1.1本项目的招标按照《中华人民共和国政府采购法》、《政府采购服务和服务招标磋商管理办法》、《政府采购竞争性磋商采购方式管理暂行办法》及政府采购的有关规定进行。</w:t>
      </w:r>
    </w:p>
    <w:p w14:paraId="1CD579A9">
      <w:pPr>
        <w:spacing w:line="440" w:lineRule="exact"/>
        <w:ind w:firstLine="535" w:firstLineChars="255"/>
        <w:rPr>
          <w:rFonts w:ascii="宋体" w:hAnsi="宋体" w:cs="宋体"/>
          <w:szCs w:val="21"/>
          <w:highlight w:val="none"/>
        </w:rPr>
      </w:pPr>
      <w:r>
        <w:rPr>
          <w:rFonts w:hint="eastAsia" w:ascii="宋体" w:hAnsi="宋体" w:cs="宋体"/>
          <w:szCs w:val="21"/>
          <w:highlight w:val="none"/>
        </w:rPr>
        <w:t>1.2评标必须遵循公开、公平、公正、诚实信用的原则。</w:t>
      </w:r>
    </w:p>
    <w:p w14:paraId="3DD89F5A">
      <w:pPr>
        <w:spacing w:line="440" w:lineRule="exact"/>
        <w:ind w:firstLine="535" w:firstLineChars="255"/>
        <w:rPr>
          <w:rFonts w:ascii="宋体" w:hAnsi="宋体" w:cs="宋体"/>
          <w:szCs w:val="21"/>
          <w:highlight w:val="none"/>
        </w:rPr>
      </w:pPr>
      <w:r>
        <w:rPr>
          <w:rFonts w:hint="eastAsia" w:ascii="宋体" w:hAnsi="宋体" w:cs="宋体"/>
          <w:szCs w:val="21"/>
          <w:highlight w:val="none"/>
        </w:rPr>
        <w:t>1.3招标代理机构组织招标、开标、评标工作，全过程接受政府采购有关部门的监督、管理和指导。</w:t>
      </w:r>
    </w:p>
    <w:p w14:paraId="576F3A70">
      <w:pPr>
        <w:spacing w:line="440" w:lineRule="exact"/>
        <w:ind w:firstLine="535" w:firstLineChars="255"/>
        <w:rPr>
          <w:rFonts w:ascii="宋体" w:hAnsi="宋体" w:cs="宋体"/>
          <w:szCs w:val="21"/>
          <w:highlight w:val="none"/>
        </w:rPr>
      </w:pPr>
      <w:r>
        <w:rPr>
          <w:rFonts w:hint="eastAsia" w:ascii="宋体" w:hAnsi="宋体" w:cs="宋体"/>
          <w:szCs w:val="21"/>
          <w:highlight w:val="none"/>
        </w:rPr>
        <w:t>1.4评标按照磋商文件规定的内容进行，采取综合比较和分项打分相结合的评标方法（综合评分法），避免纯技术或纯经济的倾向。</w:t>
      </w:r>
    </w:p>
    <w:p w14:paraId="66461ED8">
      <w:pPr>
        <w:spacing w:line="440" w:lineRule="exact"/>
        <w:ind w:firstLine="535" w:firstLineChars="255"/>
        <w:rPr>
          <w:rFonts w:ascii="宋体" w:hAnsi="宋体" w:cs="宋体"/>
          <w:szCs w:val="21"/>
          <w:highlight w:val="none"/>
        </w:rPr>
      </w:pPr>
      <w:r>
        <w:rPr>
          <w:rFonts w:hint="eastAsia" w:ascii="宋体" w:hAnsi="宋体" w:cs="宋体"/>
          <w:szCs w:val="21"/>
          <w:highlight w:val="none"/>
        </w:rPr>
        <w:t>1.5本办法的评标对象是指供应商按照磋商文件要求提供的有效响应文件，包括供应商应磋商小组要求对原响应文件作出的正式书面澄清文件。</w:t>
      </w:r>
    </w:p>
    <w:p w14:paraId="337210D7">
      <w:pPr>
        <w:tabs>
          <w:tab w:val="left" w:pos="567"/>
          <w:tab w:val="left" w:pos="600"/>
        </w:tabs>
        <w:spacing w:line="440" w:lineRule="exact"/>
        <w:ind w:firstLine="535" w:firstLineChars="255"/>
        <w:rPr>
          <w:rFonts w:ascii="宋体" w:hAnsi="宋体" w:cs="宋体"/>
          <w:szCs w:val="21"/>
          <w:highlight w:val="none"/>
        </w:rPr>
      </w:pPr>
      <w:r>
        <w:rPr>
          <w:rFonts w:hint="eastAsia" w:ascii="宋体" w:hAnsi="宋体" w:cs="宋体"/>
          <w:szCs w:val="21"/>
          <w:highlight w:val="none"/>
        </w:rPr>
        <w:t>2、磋商组织机构的组成</w:t>
      </w:r>
    </w:p>
    <w:p w14:paraId="1D6F40D5">
      <w:pPr>
        <w:tabs>
          <w:tab w:val="left" w:pos="567"/>
          <w:tab w:val="left" w:pos="1145"/>
        </w:tabs>
        <w:spacing w:line="440" w:lineRule="exact"/>
        <w:ind w:firstLine="535" w:firstLineChars="255"/>
        <w:rPr>
          <w:rFonts w:ascii="宋体" w:hAnsi="宋体" w:cs="宋体"/>
          <w:szCs w:val="21"/>
          <w:highlight w:val="none"/>
        </w:rPr>
      </w:pPr>
      <w:r>
        <w:rPr>
          <w:rFonts w:hint="eastAsia" w:ascii="宋体" w:hAnsi="宋体" w:cs="宋体"/>
          <w:szCs w:val="21"/>
          <w:highlight w:val="none"/>
        </w:rPr>
        <w:t>2.1磋商小组成员由招标人的代表</w:t>
      </w:r>
      <w:r>
        <w:rPr>
          <w:rFonts w:hint="eastAsia" w:ascii="宋体" w:hAnsi="宋体" w:cs="宋体"/>
          <w:color w:val="000000" w:themeColor="text1"/>
          <w:szCs w:val="21"/>
          <w:highlight w:val="none"/>
          <w:u w:val="single"/>
          <w:lang w:val="en-US" w:eastAsia="zh-CN"/>
          <w14:textFill>
            <w14:solidFill>
              <w14:schemeClr w14:val="tx1"/>
            </w14:solidFill>
          </w14:textFill>
        </w:rPr>
        <w:t>1名</w:t>
      </w:r>
      <w:r>
        <w:rPr>
          <w:rFonts w:hint="eastAsia" w:ascii="宋体" w:hAnsi="宋体" w:cs="宋体"/>
          <w:color w:val="000000" w:themeColor="text1"/>
          <w:szCs w:val="21"/>
          <w:highlight w:val="none"/>
          <w:u w:val="single"/>
          <w14:textFill>
            <w14:solidFill>
              <w14:schemeClr w14:val="tx1"/>
            </w14:solidFill>
          </w14:textFill>
        </w:rPr>
        <w:t>和随机抽取的有关方面的</w:t>
      </w:r>
      <w:r>
        <w:rPr>
          <w:rFonts w:hint="eastAsia" w:ascii="宋体" w:hAnsi="宋体" w:cs="宋体"/>
          <w:b/>
          <w:bCs/>
          <w:color w:val="000000" w:themeColor="text1"/>
          <w:szCs w:val="21"/>
          <w:highlight w:val="none"/>
          <w:u w:val="single"/>
          <w14:textFill>
            <w14:solidFill>
              <w14:schemeClr w14:val="tx1"/>
            </w14:solidFill>
          </w14:textFill>
        </w:rPr>
        <w:t>专家</w:t>
      </w:r>
      <w:r>
        <w:rPr>
          <w:rFonts w:hint="eastAsia" w:ascii="宋体" w:hAnsi="宋体" w:cs="宋体"/>
          <w:b/>
          <w:bCs/>
          <w:color w:val="000000" w:themeColor="text1"/>
          <w:szCs w:val="21"/>
          <w:highlight w:val="none"/>
          <w:u w:val="single"/>
          <w:lang w:val="en-US" w:eastAsia="zh-CN"/>
          <w14:textFill>
            <w14:solidFill>
              <w14:schemeClr w14:val="tx1"/>
            </w14:solidFill>
          </w14:textFill>
        </w:rPr>
        <w:t>2</w:t>
      </w:r>
      <w:r>
        <w:rPr>
          <w:rFonts w:hint="eastAsia" w:ascii="宋体" w:hAnsi="宋体" w:cs="宋体"/>
          <w:b/>
          <w:bCs/>
          <w:color w:val="000000" w:themeColor="text1"/>
          <w:szCs w:val="21"/>
          <w:highlight w:val="none"/>
          <w:u w:val="single"/>
          <w14:textFill>
            <w14:solidFill>
              <w14:schemeClr w14:val="tx1"/>
            </w14:solidFill>
          </w14:textFill>
        </w:rPr>
        <w:t>名组成，成员为</w:t>
      </w:r>
      <w:r>
        <w:rPr>
          <w:rFonts w:hint="eastAsia" w:ascii="宋体" w:hAnsi="宋体" w:cs="宋体"/>
          <w:b/>
          <w:bCs/>
          <w:color w:val="000000" w:themeColor="text1"/>
          <w:szCs w:val="21"/>
          <w:highlight w:val="none"/>
          <w:u w:val="single"/>
          <w:lang w:val="en-US" w:eastAsia="zh-CN"/>
          <w14:textFill>
            <w14:solidFill>
              <w14:schemeClr w14:val="tx1"/>
            </w14:solidFill>
          </w14:textFill>
        </w:rPr>
        <w:t>3</w:t>
      </w:r>
      <w:r>
        <w:rPr>
          <w:rFonts w:hint="eastAsia" w:ascii="宋体" w:hAnsi="宋体" w:cs="宋体"/>
          <w:b/>
          <w:bCs/>
          <w:color w:val="000000" w:themeColor="text1"/>
          <w:szCs w:val="21"/>
          <w:highlight w:val="none"/>
          <w:u w:val="single"/>
          <w14:textFill>
            <w14:solidFill>
              <w14:schemeClr w14:val="tx1"/>
            </w14:solidFill>
          </w14:textFill>
        </w:rPr>
        <w:t>人</w:t>
      </w:r>
      <w:r>
        <w:rPr>
          <w:rFonts w:hint="eastAsia" w:ascii="宋体" w:hAnsi="宋体" w:cs="宋体"/>
          <w:szCs w:val="21"/>
          <w:highlight w:val="none"/>
        </w:rPr>
        <w:t>，磋商小组的成员在评标过程中</w:t>
      </w:r>
      <w:r>
        <w:rPr>
          <w:rFonts w:hint="eastAsia" w:ascii="宋体" w:hAnsi="宋体" w:cs="宋体"/>
          <w:szCs w:val="21"/>
          <w:highlight w:val="none"/>
          <w:lang w:val="zh-CN"/>
        </w:rPr>
        <w:t>必须严格遵守政府采购的有关规定</w:t>
      </w:r>
      <w:r>
        <w:rPr>
          <w:rFonts w:hint="eastAsia" w:ascii="宋体" w:hAnsi="宋体" w:cs="宋体"/>
          <w:szCs w:val="21"/>
          <w:highlight w:val="none"/>
        </w:rPr>
        <w:t>。专家从</w:t>
      </w:r>
      <w:r>
        <w:rPr>
          <w:rFonts w:hint="eastAsia" w:ascii="宋体" w:hAnsi="宋体" w:cs="宋体"/>
          <w:szCs w:val="21"/>
          <w:highlight w:val="none"/>
          <w:lang w:eastAsia="zh-CN"/>
        </w:rPr>
        <w:t>政采云</w:t>
      </w:r>
      <w:r>
        <w:rPr>
          <w:rFonts w:hint="eastAsia" w:ascii="宋体" w:hAnsi="宋体" w:cs="宋体"/>
          <w:szCs w:val="21"/>
          <w:highlight w:val="none"/>
        </w:rPr>
        <w:t>专家库中随机抽取产生。</w:t>
      </w:r>
    </w:p>
    <w:p w14:paraId="43BF61C4">
      <w:pPr>
        <w:tabs>
          <w:tab w:val="left" w:pos="567"/>
          <w:tab w:val="left" w:pos="1145"/>
        </w:tabs>
        <w:spacing w:line="440" w:lineRule="exact"/>
        <w:ind w:firstLine="535" w:firstLineChars="255"/>
        <w:rPr>
          <w:rFonts w:ascii="宋体" w:hAnsi="宋体" w:cs="宋体"/>
          <w:szCs w:val="21"/>
          <w:highlight w:val="none"/>
        </w:rPr>
      </w:pPr>
      <w:r>
        <w:rPr>
          <w:rFonts w:hint="eastAsia" w:ascii="宋体" w:hAnsi="宋体" w:cs="宋体"/>
          <w:szCs w:val="21"/>
          <w:highlight w:val="none"/>
        </w:rPr>
        <w:t>2.2评标工作组由招标人及有关专家组成，由磋商小组确认，并接受其领导。</w:t>
      </w:r>
    </w:p>
    <w:p w14:paraId="50403AE4">
      <w:pPr>
        <w:tabs>
          <w:tab w:val="left" w:pos="567"/>
          <w:tab w:val="left" w:pos="1145"/>
        </w:tabs>
        <w:spacing w:line="440" w:lineRule="exact"/>
        <w:ind w:firstLine="535" w:firstLineChars="255"/>
        <w:rPr>
          <w:rFonts w:ascii="宋体" w:hAnsi="宋体" w:cs="宋体"/>
          <w:szCs w:val="21"/>
          <w:highlight w:val="none"/>
        </w:rPr>
      </w:pPr>
      <w:r>
        <w:rPr>
          <w:rFonts w:hint="eastAsia" w:ascii="宋体" w:hAnsi="宋体" w:cs="宋体"/>
          <w:szCs w:val="21"/>
          <w:highlight w:val="none"/>
        </w:rPr>
        <w:t>2.3磋商小组应相对独立工作，负责评标、撰写技术、商务评标报告。采购代理机构负责评标过程中资料的保管、发放、回收，整理、汇总评标资料。</w:t>
      </w:r>
    </w:p>
    <w:p w14:paraId="4CC252F1">
      <w:pPr>
        <w:tabs>
          <w:tab w:val="left" w:pos="567"/>
          <w:tab w:val="left" w:pos="600"/>
        </w:tabs>
        <w:spacing w:line="440" w:lineRule="exact"/>
        <w:ind w:firstLine="535" w:firstLineChars="255"/>
        <w:rPr>
          <w:rFonts w:ascii="宋体" w:hAnsi="宋体" w:cs="宋体"/>
          <w:szCs w:val="21"/>
          <w:highlight w:val="none"/>
        </w:rPr>
      </w:pPr>
      <w:r>
        <w:rPr>
          <w:rFonts w:hint="eastAsia" w:ascii="宋体" w:hAnsi="宋体" w:cs="宋体"/>
          <w:szCs w:val="21"/>
          <w:highlight w:val="none"/>
        </w:rPr>
        <w:t>3、磋商小组职责</w:t>
      </w:r>
    </w:p>
    <w:p w14:paraId="0AB44520">
      <w:pPr>
        <w:pStyle w:val="59"/>
        <w:spacing w:before="0" w:beforeAutospacing="0" w:after="0" w:afterAutospacing="0" w:line="440" w:lineRule="exact"/>
        <w:ind w:firstLine="535" w:firstLineChars="255"/>
        <w:rPr>
          <w:rFonts w:ascii="宋体" w:hAnsi="宋体" w:cs="宋体"/>
          <w:color w:val="auto"/>
          <w:sz w:val="21"/>
          <w:szCs w:val="21"/>
          <w:highlight w:val="none"/>
        </w:rPr>
      </w:pPr>
      <w:r>
        <w:rPr>
          <w:rFonts w:hint="eastAsia" w:ascii="宋体" w:hAnsi="宋体" w:cs="宋体"/>
          <w:color w:val="auto"/>
          <w:sz w:val="21"/>
          <w:szCs w:val="21"/>
          <w:highlight w:val="none"/>
        </w:rPr>
        <w:t>3.1审查磋商文件是否符合磋商文件要求，并作出评价；</w:t>
      </w:r>
    </w:p>
    <w:p w14:paraId="32D11C16">
      <w:pPr>
        <w:pStyle w:val="59"/>
        <w:spacing w:before="0" w:beforeAutospacing="0" w:after="0" w:afterAutospacing="0" w:line="440" w:lineRule="exact"/>
        <w:ind w:firstLine="535" w:firstLineChars="255"/>
        <w:rPr>
          <w:rFonts w:ascii="宋体" w:hAnsi="宋体" w:cs="宋体"/>
          <w:color w:val="auto"/>
          <w:sz w:val="21"/>
          <w:szCs w:val="21"/>
          <w:highlight w:val="none"/>
        </w:rPr>
      </w:pPr>
      <w:r>
        <w:rPr>
          <w:rFonts w:hint="eastAsia" w:ascii="宋体" w:hAnsi="宋体" w:cs="宋体"/>
          <w:color w:val="auto"/>
          <w:sz w:val="21"/>
          <w:szCs w:val="21"/>
          <w:highlight w:val="none"/>
        </w:rPr>
        <w:t>3.2要求供应商对磋商文件有关事项作出解释或者澄清；</w:t>
      </w:r>
    </w:p>
    <w:p w14:paraId="0A282C19">
      <w:pPr>
        <w:pStyle w:val="59"/>
        <w:spacing w:before="0" w:beforeAutospacing="0" w:after="0" w:afterAutospacing="0" w:line="440" w:lineRule="exact"/>
        <w:ind w:firstLine="535" w:firstLineChars="255"/>
        <w:rPr>
          <w:rFonts w:ascii="宋体" w:hAnsi="宋体" w:cs="宋体"/>
          <w:color w:val="auto"/>
          <w:sz w:val="21"/>
          <w:szCs w:val="21"/>
          <w:highlight w:val="none"/>
        </w:rPr>
      </w:pPr>
      <w:r>
        <w:rPr>
          <w:rFonts w:hint="eastAsia" w:ascii="宋体" w:hAnsi="宋体" w:cs="宋体"/>
          <w:color w:val="auto"/>
          <w:sz w:val="21"/>
          <w:szCs w:val="21"/>
          <w:highlight w:val="none"/>
        </w:rPr>
        <w:t>3.3推荐成交候选人名单；</w:t>
      </w:r>
    </w:p>
    <w:p w14:paraId="1AE2A8A1">
      <w:pPr>
        <w:pStyle w:val="59"/>
        <w:spacing w:before="0" w:beforeAutospacing="0" w:after="0" w:afterAutospacing="0" w:line="440" w:lineRule="exact"/>
        <w:ind w:firstLine="535" w:firstLineChars="255"/>
        <w:rPr>
          <w:rFonts w:ascii="宋体" w:hAnsi="宋体" w:cs="宋体"/>
          <w:color w:val="auto"/>
          <w:sz w:val="21"/>
          <w:szCs w:val="21"/>
          <w:highlight w:val="none"/>
        </w:rPr>
      </w:pPr>
      <w:r>
        <w:rPr>
          <w:rFonts w:hint="eastAsia" w:ascii="宋体" w:hAnsi="宋体" w:cs="宋体"/>
          <w:color w:val="auto"/>
          <w:sz w:val="21"/>
          <w:szCs w:val="21"/>
          <w:highlight w:val="none"/>
        </w:rPr>
        <w:t>3.4向招标人、招标代理机构或者有关部门报告非法干预评标工作的行为。</w:t>
      </w:r>
    </w:p>
    <w:p w14:paraId="04BA0B38">
      <w:pPr>
        <w:tabs>
          <w:tab w:val="left" w:pos="567"/>
          <w:tab w:val="left" w:pos="600"/>
        </w:tabs>
        <w:spacing w:line="440" w:lineRule="exact"/>
        <w:ind w:firstLine="535" w:firstLineChars="255"/>
        <w:rPr>
          <w:rFonts w:ascii="宋体" w:hAnsi="宋体" w:cs="宋体"/>
          <w:szCs w:val="21"/>
          <w:highlight w:val="none"/>
        </w:rPr>
      </w:pPr>
      <w:r>
        <w:rPr>
          <w:rFonts w:hint="eastAsia" w:ascii="宋体" w:hAnsi="宋体" w:cs="宋体"/>
          <w:szCs w:val="21"/>
          <w:highlight w:val="none"/>
        </w:rPr>
        <w:t>4、磋商小组义务</w:t>
      </w:r>
    </w:p>
    <w:p w14:paraId="50CC0204">
      <w:pPr>
        <w:tabs>
          <w:tab w:val="left" w:pos="567"/>
          <w:tab w:val="left" w:pos="600"/>
        </w:tabs>
        <w:spacing w:line="440" w:lineRule="exact"/>
        <w:ind w:firstLine="535" w:firstLineChars="255"/>
        <w:rPr>
          <w:rFonts w:ascii="宋体" w:hAnsi="宋体" w:cs="宋体"/>
          <w:szCs w:val="21"/>
          <w:highlight w:val="none"/>
        </w:rPr>
      </w:pPr>
      <w:r>
        <w:rPr>
          <w:rFonts w:hint="eastAsia" w:ascii="宋体" w:hAnsi="宋体" w:cs="宋体"/>
          <w:szCs w:val="21"/>
          <w:highlight w:val="none"/>
        </w:rPr>
        <w:t>4.1遵纪守法，客观、公正、廉洁地履行职责；</w:t>
      </w:r>
    </w:p>
    <w:p w14:paraId="7FF20468">
      <w:pPr>
        <w:tabs>
          <w:tab w:val="left" w:pos="567"/>
          <w:tab w:val="left" w:pos="600"/>
        </w:tabs>
        <w:spacing w:line="440" w:lineRule="exact"/>
        <w:ind w:firstLine="535" w:firstLineChars="255"/>
        <w:rPr>
          <w:rFonts w:ascii="宋体" w:hAnsi="宋体" w:cs="宋体"/>
          <w:szCs w:val="21"/>
          <w:highlight w:val="none"/>
        </w:rPr>
      </w:pPr>
      <w:r>
        <w:rPr>
          <w:rFonts w:hint="eastAsia" w:ascii="宋体" w:hAnsi="宋体" w:cs="宋体"/>
          <w:szCs w:val="21"/>
          <w:highlight w:val="none"/>
        </w:rPr>
        <w:t>4.2按照磋商文件规定的评标方法和评标标准进行评标，对评审意见承担个人责任；</w:t>
      </w:r>
    </w:p>
    <w:p w14:paraId="62C51EA9">
      <w:pPr>
        <w:tabs>
          <w:tab w:val="left" w:pos="567"/>
          <w:tab w:val="left" w:pos="600"/>
        </w:tabs>
        <w:spacing w:line="440" w:lineRule="exact"/>
        <w:ind w:firstLine="535" w:firstLineChars="255"/>
        <w:rPr>
          <w:rFonts w:ascii="宋体" w:hAnsi="宋体" w:cs="宋体"/>
          <w:szCs w:val="21"/>
          <w:highlight w:val="none"/>
        </w:rPr>
      </w:pPr>
      <w:r>
        <w:rPr>
          <w:rFonts w:hint="eastAsia" w:ascii="宋体" w:hAnsi="宋体" w:cs="宋体"/>
          <w:szCs w:val="21"/>
          <w:highlight w:val="none"/>
        </w:rPr>
        <w:t>4.3对评标过程和结果，以及供应商的商业秘密保密；</w:t>
      </w:r>
    </w:p>
    <w:p w14:paraId="7A075A04">
      <w:pPr>
        <w:tabs>
          <w:tab w:val="left" w:pos="567"/>
          <w:tab w:val="left" w:pos="600"/>
        </w:tabs>
        <w:spacing w:line="440" w:lineRule="exact"/>
        <w:ind w:firstLine="535" w:firstLineChars="255"/>
        <w:rPr>
          <w:rFonts w:ascii="宋体" w:hAnsi="宋体" w:cs="宋体"/>
          <w:szCs w:val="21"/>
          <w:highlight w:val="none"/>
        </w:rPr>
      </w:pPr>
      <w:r>
        <w:rPr>
          <w:rFonts w:hint="eastAsia" w:ascii="宋体" w:hAnsi="宋体" w:cs="宋体"/>
          <w:szCs w:val="21"/>
          <w:highlight w:val="none"/>
        </w:rPr>
        <w:t>4.4参与评标报告的起草；</w:t>
      </w:r>
    </w:p>
    <w:p w14:paraId="762A1B9B">
      <w:pPr>
        <w:tabs>
          <w:tab w:val="left" w:pos="567"/>
          <w:tab w:val="left" w:pos="600"/>
        </w:tabs>
        <w:spacing w:line="440" w:lineRule="exact"/>
        <w:ind w:firstLine="535" w:firstLineChars="255"/>
        <w:rPr>
          <w:rFonts w:ascii="宋体" w:hAnsi="宋体" w:cs="宋体"/>
          <w:szCs w:val="21"/>
          <w:highlight w:val="none"/>
        </w:rPr>
      </w:pPr>
      <w:r>
        <w:rPr>
          <w:rFonts w:hint="eastAsia" w:ascii="宋体" w:hAnsi="宋体" w:cs="宋体"/>
          <w:szCs w:val="21"/>
          <w:highlight w:val="none"/>
        </w:rPr>
        <w:t>4.5配合有关部门的投诉处理工作；</w:t>
      </w:r>
    </w:p>
    <w:p w14:paraId="26FEBCA9">
      <w:pPr>
        <w:tabs>
          <w:tab w:val="left" w:pos="567"/>
          <w:tab w:val="left" w:pos="600"/>
        </w:tabs>
        <w:spacing w:line="440" w:lineRule="exact"/>
        <w:ind w:firstLine="535" w:firstLineChars="255"/>
        <w:rPr>
          <w:rFonts w:ascii="宋体" w:hAnsi="宋体" w:cs="宋体"/>
          <w:szCs w:val="21"/>
          <w:highlight w:val="none"/>
        </w:rPr>
      </w:pPr>
      <w:r>
        <w:rPr>
          <w:rFonts w:hint="eastAsia" w:ascii="宋体" w:hAnsi="宋体" w:cs="宋体"/>
          <w:szCs w:val="21"/>
          <w:highlight w:val="none"/>
        </w:rPr>
        <w:t>4.6配合招标人、招标代理机构答复磋商供应商提出的质疑。</w:t>
      </w:r>
    </w:p>
    <w:p w14:paraId="59509F69">
      <w:pPr>
        <w:tabs>
          <w:tab w:val="left" w:pos="1547"/>
        </w:tabs>
        <w:spacing w:line="440" w:lineRule="exact"/>
        <w:ind w:firstLine="535" w:firstLineChars="255"/>
        <w:rPr>
          <w:rFonts w:ascii="宋体" w:hAnsi="宋体" w:cs="宋体"/>
          <w:szCs w:val="21"/>
          <w:highlight w:val="none"/>
        </w:rPr>
      </w:pPr>
      <w:r>
        <w:rPr>
          <w:rFonts w:hint="eastAsia" w:ascii="宋体" w:hAnsi="宋体" w:cs="宋体"/>
          <w:szCs w:val="21"/>
          <w:highlight w:val="none"/>
        </w:rPr>
        <w:t>5、 评标程序</w:t>
      </w:r>
    </w:p>
    <w:p w14:paraId="02581769">
      <w:pPr>
        <w:pStyle w:val="20"/>
        <w:tabs>
          <w:tab w:val="left" w:pos="720"/>
          <w:tab w:val="clear" w:pos="0"/>
        </w:tabs>
        <w:spacing w:line="440" w:lineRule="exact"/>
        <w:ind w:firstLine="535" w:firstLineChars="255"/>
        <w:rPr>
          <w:rFonts w:ascii="宋体" w:hAnsi="宋体" w:cs="宋体"/>
          <w:bCs/>
          <w:color w:val="auto"/>
          <w:szCs w:val="21"/>
          <w:highlight w:val="none"/>
        </w:rPr>
      </w:pPr>
      <w:r>
        <w:rPr>
          <w:rFonts w:hint="eastAsia" w:ascii="宋体" w:hAnsi="宋体" w:cs="宋体"/>
          <w:bCs/>
          <w:color w:val="auto"/>
          <w:szCs w:val="21"/>
          <w:highlight w:val="none"/>
        </w:rPr>
        <w:t>5.1本次评标首先由磋商小组对供应商的响应文件进行初审，对未能通过初审的响应文件作废标处理；</w:t>
      </w:r>
    </w:p>
    <w:p w14:paraId="0AC64402">
      <w:pPr>
        <w:tabs>
          <w:tab w:val="left" w:pos="720"/>
        </w:tabs>
        <w:spacing w:line="440" w:lineRule="exact"/>
        <w:ind w:firstLine="535" w:firstLineChars="255"/>
        <w:rPr>
          <w:rFonts w:ascii="宋体" w:hAnsi="宋体" w:cs="宋体"/>
          <w:szCs w:val="21"/>
          <w:highlight w:val="none"/>
        </w:rPr>
      </w:pPr>
      <w:r>
        <w:rPr>
          <w:rFonts w:hint="eastAsia" w:ascii="宋体" w:hAnsi="宋体" w:cs="宋体"/>
          <w:szCs w:val="21"/>
          <w:highlight w:val="none"/>
        </w:rPr>
        <w:t>5.2对通过初审的供应商的响应文件进行详细的比较和评价。如需要，进行必要的澄清工作；</w:t>
      </w:r>
    </w:p>
    <w:p w14:paraId="0CBFD6E7">
      <w:pPr>
        <w:spacing w:line="360" w:lineRule="auto"/>
        <w:rPr>
          <w:rFonts w:ascii="宋体"/>
          <w:color w:val="000000"/>
          <w:szCs w:val="21"/>
          <w:highlight w:val="none"/>
        </w:rPr>
      </w:pPr>
      <w:r>
        <w:rPr>
          <w:rFonts w:hint="eastAsia" w:ascii="宋体" w:hAnsi="宋体" w:cs="宋体"/>
          <w:szCs w:val="21"/>
          <w:highlight w:val="none"/>
        </w:rPr>
        <w:t xml:space="preserve">     5.3</w:t>
      </w:r>
      <w:r>
        <w:rPr>
          <w:rFonts w:hint="eastAsia" w:ascii="宋体"/>
          <w:color w:val="000000"/>
          <w:szCs w:val="21"/>
          <w:highlight w:val="none"/>
        </w:rPr>
        <w:t>评标报告与推荐成交候选人</w:t>
      </w:r>
    </w:p>
    <w:p w14:paraId="62DD5F09">
      <w:pPr>
        <w:widowControl/>
        <w:spacing w:line="440" w:lineRule="exact"/>
        <w:ind w:firstLine="480"/>
        <w:rPr>
          <w:rFonts w:ascii="宋体" w:hAnsi="宋体" w:cs="宋体"/>
          <w:kern w:val="0"/>
          <w:szCs w:val="21"/>
          <w:highlight w:val="none"/>
        </w:rPr>
      </w:pPr>
      <w:r>
        <w:rPr>
          <w:rFonts w:hint="eastAsia" w:ascii="宋体" w:hAnsi="宋体" w:cs="宋体"/>
          <w:szCs w:val="21"/>
          <w:highlight w:val="none"/>
        </w:rPr>
        <w:t>5.3</w:t>
      </w:r>
      <w:r>
        <w:rPr>
          <w:rFonts w:hint="eastAsia" w:ascii="宋体" w:hAnsi="宋体" w:cs="宋体"/>
          <w:kern w:val="0"/>
          <w:szCs w:val="21"/>
          <w:highlight w:val="none"/>
        </w:rPr>
        <w:t>磋商小组各成员应当独立对每个有效响应的文件进行评价、打分，然后汇总每个供应商每项评分因素的得分。</w:t>
      </w:r>
    </w:p>
    <w:p w14:paraId="3E438CA7">
      <w:pPr>
        <w:jc w:val="left"/>
        <w:outlineLvl w:val="1"/>
        <w:rPr>
          <w:rFonts w:ascii="宋体" w:hAnsi="宋体" w:cs="宋体"/>
          <w:kern w:val="0"/>
          <w:szCs w:val="21"/>
          <w:highlight w:val="none"/>
        </w:rPr>
      </w:pPr>
      <w:r>
        <w:rPr>
          <w:rFonts w:hint="eastAsia" w:ascii="宋体" w:hAnsi="宋体" w:cs="宋体"/>
          <w:kern w:val="0"/>
          <w:szCs w:val="21"/>
          <w:highlight w:val="none"/>
        </w:rPr>
        <w:t>　</w:t>
      </w:r>
    </w:p>
    <w:p w14:paraId="261C5AE4">
      <w:pPr>
        <w:jc w:val="left"/>
        <w:outlineLvl w:val="1"/>
        <w:rPr>
          <w:rFonts w:ascii="宋体"/>
          <w:b/>
          <w:sz w:val="28"/>
          <w:szCs w:val="28"/>
          <w:highlight w:val="none"/>
        </w:rPr>
      </w:pPr>
    </w:p>
    <w:p w14:paraId="32DCFF72">
      <w:pPr>
        <w:jc w:val="center"/>
        <w:outlineLvl w:val="1"/>
        <w:rPr>
          <w:rFonts w:ascii="宋体"/>
          <w:b/>
          <w:sz w:val="28"/>
          <w:szCs w:val="28"/>
          <w:highlight w:val="none"/>
        </w:rPr>
      </w:pPr>
    </w:p>
    <w:p w14:paraId="230FD1D0">
      <w:pPr>
        <w:jc w:val="center"/>
        <w:outlineLvl w:val="1"/>
        <w:rPr>
          <w:rFonts w:ascii="宋体"/>
          <w:b/>
          <w:sz w:val="28"/>
          <w:szCs w:val="28"/>
          <w:highlight w:val="none"/>
        </w:rPr>
      </w:pPr>
    </w:p>
    <w:p w14:paraId="562636ED">
      <w:pPr>
        <w:jc w:val="center"/>
        <w:outlineLvl w:val="1"/>
        <w:rPr>
          <w:rFonts w:ascii="宋体"/>
          <w:b/>
          <w:sz w:val="28"/>
          <w:szCs w:val="28"/>
          <w:highlight w:val="none"/>
        </w:rPr>
      </w:pPr>
    </w:p>
    <w:p w14:paraId="2DCED71C">
      <w:pPr>
        <w:jc w:val="center"/>
        <w:outlineLvl w:val="1"/>
        <w:rPr>
          <w:rFonts w:ascii="宋体"/>
          <w:b/>
          <w:sz w:val="28"/>
          <w:szCs w:val="28"/>
          <w:highlight w:val="none"/>
        </w:rPr>
      </w:pPr>
    </w:p>
    <w:p w14:paraId="6745F1A4">
      <w:pPr>
        <w:jc w:val="center"/>
        <w:outlineLvl w:val="1"/>
        <w:rPr>
          <w:rFonts w:ascii="宋体"/>
          <w:b/>
          <w:sz w:val="28"/>
          <w:szCs w:val="28"/>
          <w:highlight w:val="none"/>
        </w:rPr>
      </w:pPr>
    </w:p>
    <w:p w14:paraId="05ABCECA">
      <w:pPr>
        <w:jc w:val="center"/>
        <w:outlineLvl w:val="1"/>
        <w:rPr>
          <w:rFonts w:ascii="宋体"/>
          <w:b/>
          <w:sz w:val="28"/>
          <w:szCs w:val="28"/>
          <w:highlight w:val="none"/>
        </w:rPr>
      </w:pPr>
    </w:p>
    <w:p w14:paraId="6F401CF3">
      <w:pPr>
        <w:jc w:val="center"/>
        <w:outlineLvl w:val="1"/>
        <w:rPr>
          <w:rFonts w:ascii="宋体"/>
          <w:b/>
          <w:sz w:val="28"/>
          <w:szCs w:val="28"/>
          <w:highlight w:val="none"/>
        </w:rPr>
      </w:pPr>
    </w:p>
    <w:p w14:paraId="1F0D4AE0">
      <w:pPr>
        <w:jc w:val="center"/>
        <w:outlineLvl w:val="1"/>
        <w:rPr>
          <w:rFonts w:ascii="宋体"/>
          <w:b/>
          <w:sz w:val="28"/>
          <w:szCs w:val="28"/>
          <w:highlight w:val="none"/>
        </w:rPr>
      </w:pPr>
    </w:p>
    <w:p w14:paraId="0E4802E5">
      <w:pPr>
        <w:jc w:val="center"/>
        <w:outlineLvl w:val="1"/>
        <w:rPr>
          <w:rFonts w:ascii="宋体"/>
          <w:b/>
          <w:sz w:val="28"/>
          <w:szCs w:val="28"/>
          <w:highlight w:val="none"/>
        </w:rPr>
      </w:pPr>
    </w:p>
    <w:p w14:paraId="09D62155">
      <w:pPr>
        <w:jc w:val="center"/>
        <w:outlineLvl w:val="1"/>
        <w:rPr>
          <w:rFonts w:ascii="宋体"/>
          <w:b/>
          <w:sz w:val="28"/>
          <w:szCs w:val="28"/>
          <w:highlight w:val="none"/>
        </w:rPr>
      </w:pPr>
    </w:p>
    <w:p w14:paraId="40D05A47">
      <w:pPr>
        <w:jc w:val="center"/>
        <w:outlineLvl w:val="1"/>
        <w:rPr>
          <w:rFonts w:ascii="宋体"/>
          <w:b/>
          <w:sz w:val="28"/>
          <w:szCs w:val="28"/>
          <w:highlight w:val="none"/>
        </w:rPr>
      </w:pPr>
    </w:p>
    <w:p w14:paraId="304618E6">
      <w:pPr>
        <w:jc w:val="center"/>
        <w:outlineLvl w:val="1"/>
        <w:rPr>
          <w:rFonts w:ascii="宋体"/>
          <w:b/>
          <w:sz w:val="28"/>
          <w:szCs w:val="28"/>
          <w:highlight w:val="none"/>
        </w:rPr>
      </w:pPr>
    </w:p>
    <w:p w14:paraId="4223838B">
      <w:pPr>
        <w:pStyle w:val="2"/>
        <w:rPr>
          <w:rFonts w:ascii="宋体"/>
          <w:b/>
          <w:sz w:val="28"/>
          <w:szCs w:val="28"/>
          <w:highlight w:val="none"/>
        </w:rPr>
      </w:pPr>
    </w:p>
    <w:p w14:paraId="54FBA299">
      <w:pPr>
        <w:rPr>
          <w:rFonts w:ascii="宋体"/>
          <w:b/>
          <w:sz w:val="28"/>
          <w:szCs w:val="28"/>
          <w:highlight w:val="none"/>
        </w:rPr>
      </w:pPr>
    </w:p>
    <w:p w14:paraId="14AED256">
      <w:pPr>
        <w:pStyle w:val="2"/>
        <w:rPr>
          <w:rFonts w:ascii="宋体"/>
          <w:b/>
          <w:sz w:val="28"/>
          <w:szCs w:val="28"/>
          <w:highlight w:val="none"/>
        </w:rPr>
      </w:pPr>
    </w:p>
    <w:p w14:paraId="7365BDBA">
      <w:pPr>
        <w:pStyle w:val="2"/>
      </w:pPr>
    </w:p>
    <w:p w14:paraId="7B004CDB">
      <w:pPr>
        <w:pStyle w:val="39"/>
      </w:pPr>
    </w:p>
    <w:p w14:paraId="16A1FD68">
      <w:pPr>
        <w:jc w:val="center"/>
        <w:outlineLvl w:val="1"/>
        <w:rPr>
          <w:rFonts w:ascii="宋体"/>
          <w:b/>
          <w:sz w:val="28"/>
          <w:szCs w:val="28"/>
          <w:highlight w:val="none"/>
        </w:rPr>
      </w:pPr>
      <w:bookmarkStart w:id="82" w:name="_Toc5760"/>
      <w:r>
        <w:rPr>
          <w:rFonts w:hint="eastAsia" w:ascii="宋体"/>
          <w:b/>
          <w:sz w:val="28"/>
          <w:szCs w:val="28"/>
          <w:highlight w:val="none"/>
        </w:rPr>
        <w:t>二  投标文件初审</w:t>
      </w:r>
      <w:bookmarkEnd w:id="79"/>
      <w:bookmarkEnd w:id="82"/>
    </w:p>
    <w:p w14:paraId="0695ADEC">
      <w:pPr>
        <w:spacing w:line="400" w:lineRule="exact"/>
        <w:ind w:firstLine="308" w:firstLineChars="147"/>
        <w:rPr>
          <w:rFonts w:ascii="宋体"/>
          <w:b/>
          <w:szCs w:val="21"/>
          <w:highlight w:val="none"/>
        </w:rPr>
      </w:pPr>
      <w:r>
        <w:rPr>
          <w:rFonts w:hint="eastAsia" w:ascii="宋体"/>
          <w:b/>
          <w:szCs w:val="21"/>
          <w:highlight w:val="none"/>
        </w:rPr>
        <w:t>6.资格性审查:</w:t>
      </w:r>
    </w:p>
    <w:p w14:paraId="3FEFB0D2">
      <w:pPr>
        <w:spacing w:line="400" w:lineRule="exact"/>
        <w:ind w:firstLine="308" w:firstLineChars="147"/>
        <w:rPr>
          <w:szCs w:val="21"/>
          <w:highlight w:val="none"/>
        </w:rPr>
      </w:pPr>
      <w:r>
        <w:rPr>
          <w:rFonts w:hint="eastAsia" w:ascii="宋体"/>
          <w:szCs w:val="21"/>
          <w:highlight w:val="none"/>
        </w:rPr>
        <w:t>6.1</w:t>
      </w:r>
      <w:r>
        <w:rPr>
          <w:rFonts w:hint="eastAsia"/>
          <w:szCs w:val="21"/>
          <w:highlight w:val="none"/>
        </w:rPr>
        <w:t>评审细则</w:t>
      </w:r>
    </w:p>
    <w:tbl>
      <w:tblPr>
        <w:tblStyle w:val="24"/>
        <w:tblW w:w="9060" w:type="dxa"/>
        <w:jc w:val="center"/>
        <w:tblLayout w:type="fixed"/>
        <w:tblCellMar>
          <w:top w:w="0" w:type="dxa"/>
          <w:left w:w="15" w:type="dxa"/>
          <w:bottom w:w="0" w:type="dxa"/>
          <w:right w:w="15" w:type="dxa"/>
        </w:tblCellMar>
      </w:tblPr>
      <w:tblGrid>
        <w:gridCol w:w="885"/>
        <w:gridCol w:w="8175"/>
      </w:tblGrid>
      <w:tr w14:paraId="76057472">
        <w:tblPrEx>
          <w:tblCellMar>
            <w:top w:w="0" w:type="dxa"/>
            <w:left w:w="15" w:type="dxa"/>
            <w:bottom w:w="0" w:type="dxa"/>
            <w:right w:w="15" w:type="dxa"/>
          </w:tblCellMar>
        </w:tblPrEx>
        <w:trPr>
          <w:trHeight w:val="429" w:hRule="atLeast"/>
          <w:jc w:val="center"/>
        </w:trPr>
        <w:tc>
          <w:tcPr>
            <w:tcW w:w="885" w:type="dxa"/>
            <w:tcBorders>
              <w:top w:val="single" w:color="000000" w:sz="4" w:space="0"/>
              <w:left w:val="single" w:color="000000" w:sz="4" w:space="0"/>
              <w:bottom w:val="single" w:color="auto" w:sz="4" w:space="0"/>
              <w:right w:val="single" w:color="000000" w:sz="4" w:space="0"/>
            </w:tcBorders>
            <w:vAlign w:val="center"/>
          </w:tcPr>
          <w:p w14:paraId="37C81FD6">
            <w:pPr>
              <w:spacing w:line="400" w:lineRule="exact"/>
              <w:ind w:firstLine="308" w:firstLineChars="147"/>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序号</w:t>
            </w:r>
          </w:p>
        </w:tc>
        <w:tc>
          <w:tcPr>
            <w:tcW w:w="8175" w:type="dxa"/>
            <w:tcBorders>
              <w:top w:val="single" w:color="000000" w:sz="4" w:space="0"/>
              <w:left w:val="single" w:color="000000" w:sz="4" w:space="0"/>
              <w:bottom w:val="single" w:color="000000" w:sz="4" w:space="0"/>
              <w:right w:val="single" w:color="000000" w:sz="4" w:space="0"/>
            </w:tcBorders>
            <w:vAlign w:val="center"/>
          </w:tcPr>
          <w:p w14:paraId="6A235D06">
            <w:pPr>
              <w:spacing w:line="400" w:lineRule="exact"/>
              <w:ind w:firstLine="308" w:firstLineChars="147"/>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资质审查</w:t>
            </w:r>
          </w:p>
        </w:tc>
      </w:tr>
      <w:tr w14:paraId="7F83C4D6">
        <w:tblPrEx>
          <w:tblCellMar>
            <w:top w:w="0" w:type="dxa"/>
            <w:left w:w="15" w:type="dxa"/>
            <w:bottom w:w="0" w:type="dxa"/>
            <w:right w:w="15" w:type="dxa"/>
          </w:tblCellMar>
        </w:tblPrEx>
        <w:trPr>
          <w:trHeight w:val="387"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14:paraId="05662BF5">
            <w:pPr>
              <w:spacing w:line="400" w:lineRule="exact"/>
              <w:ind w:firstLine="308" w:firstLineChars="147"/>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8175" w:type="dxa"/>
            <w:tcBorders>
              <w:top w:val="single" w:color="000000" w:sz="4" w:space="0"/>
              <w:left w:val="single" w:color="auto" w:sz="4" w:space="0"/>
              <w:bottom w:val="single" w:color="000000" w:sz="4" w:space="0"/>
              <w:right w:val="single" w:color="000000" w:sz="4" w:space="0"/>
            </w:tcBorders>
            <w:vAlign w:val="center"/>
          </w:tcPr>
          <w:p w14:paraId="24F03456">
            <w:pPr>
              <w:spacing w:line="400" w:lineRule="exact"/>
              <w:ind w:firstLine="308" w:firstLineChars="147"/>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eastAsia="zh-CN"/>
              </w:rPr>
              <w:t>具备三证合一营业执照</w:t>
            </w:r>
          </w:p>
        </w:tc>
      </w:tr>
      <w:tr w14:paraId="3E8DA824">
        <w:tblPrEx>
          <w:tblCellMar>
            <w:top w:w="0" w:type="dxa"/>
            <w:left w:w="15" w:type="dxa"/>
            <w:bottom w:w="0" w:type="dxa"/>
            <w:right w:w="15" w:type="dxa"/>
          </w:tblCellMar>
        </w:tblPrEx>
        <w:trPr>
          <w:trHeight w:val="882"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14:paraId="2187CDF5">
            <w:pPr>
              <w:spacing w:line="400" w:lineRule="exact"/>
              <w:ind w:firstLine="308" w:firstLineChars="147"/>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w:t>
            </w:r>
          </w:p>
        </w:tc>
        <w:tc>
          <w:tcPr>
            <w:tcW w:w="8175" w:type="dxa"/>
            <w:tcBorders>
              <w:top w:val="single" w:color="000000" w:sz="4" w:space="0"/>
              <w:left w:val="single" w:color="auto" w:sz="4" w:space="0"/>
              <w:bottom w:val="single" w:color="000000" w:sz="4" w:space="0"/>
              <w:right w:val="single" w:color="000000" w:sz="4" w:space="0"/>
            </w:tcBorders>
            <w:vAlign w:val="center"/>
          </w:tcPr>
          <w:p w14:paraId="1157C6EF">
            <w:pPr>
              <w:spacing w:line="400" w:lineRule="exact"/>
              <w:ind w:firstLine="308" w:firstLineChars="147"/>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法定代表人投标需提供法定代表人资格证明书，委托代理人投标需提供法定代表</w:t>
            </w:r>
          </w:p>
          <w:p w14:paraId="75EE50EE">
            <w:pPr>
              <w:spacing w:line="400" w:lineRule="exact"/>
              <w:ind w:firstLine="308" w:firstLineChars="147"/>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人授权委托书；</w:t>
            </w:r>
          </w:p>
        </w:tc>
      </w:tr>
      <w:tr w14:paraId="285EFCAA">
        <w:tblPrEx>
          <w:tblCellMar>
            <w:top w:w="0" w:type="dxa"/>
            <w:left w:w="15" w:type="dxa"/>
            <w:bottom w:w="0" w:type="dxa"/>
            <w:right w:w="15" w:type="dxa"/>
          </w:tblCellMar>
        </w:tblPrEx>
        <w:trPr>
          <w:trHeight w:val="982"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14:paraId="0EFEAC8E">
            <w:pPr>
              <w:spacing w:line="400" w:lineRule="exact"/>
              <w:ind w:firstLine="308" w:firstLineChars="147"/>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w:t>
            </w:r>
          </w:p>
        </w:tc>
        <w:tc>
          <w:tcPr>
            <w:tcW w:w="8175" w:type="dxa"/>
            <w:tcBorders>
              <w:top w:val="single" w:color="000000" w:sz="4" w:space="0"/>
              <w:left w:val="single" w:color="auto" w:sz="4" w:space="0"/>
              <w:bottom w:val="single" w:color="000000" w:sz="4" w:space="0"/>
              <w:right w:val="single" w:color="000000" w:sz="4" w:space="0"/>
            </w:tcBorders>
            <w:vAlign w:val="center"/>
          </w:tcPr>
          <w:p w14:paraId="2BF4F06E">
            <w:pPr>
              <w:spacing w:line="400" w:lineRule="exact"/>
              <w:ind w:firstLine="308" w:firstLineChars="147"/>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eastAsia="zh-CN"/>
              </w:rPr>
              <w:t>参加采购活动前三年内，在经营活动中没有重大违法记录，供应商须提供 “信用中国”网站（http://www.creditchina.gov.cn/）、“中国政府采购网”网站（http://www.ccgp.gov.cn）无违法违规行为的查询纪录（提供查询结果网页截图并加盖供应商公章）</w:t>
            </w:r>
          </w:p>
        </w:tc>
      </w:tr>
      <w:tr w14:paraId="0F455826">
        <w:tblPrEx>
          <w:tblCellMar>
            <w:top w:w="0" w:type="dxa"/>
            <w:left w:w="15" w:type="dxa"/>
            <w:bottom w:w="0" w:type="dxa"/>
            <w:right w:w="15" w:type="dxa"/>
          </w:tblCellMar>
        </w:tblPrEx>
        <w:trPr>
          <w:trHeight w:val="365"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14:paraId="53FF6515">
            <w:pPr>
              <w:spacing w:line="400" w:lineRule="exact"/>
              <w:ind w:firstLine="308" w:firstLineChars="147"/>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w:t>
            </w:r>
          </w:p>
        </w:tc>
        <w:tc>
          <w:tcPr>
            <w:tcW w:w="8175" w:type="dxa"/>
            <w:tcBorders>
              <w:top w:val="single" w:color="000000" w:sz="4" w:space="0"/>
              <w:left w:val="single" w:color="auto" w:sz="4" w:space="0"/>
              <w:bottom w:val="single" w:color="000000" w:sz="4" w:space="0"/>
              <w:right w:val="single" w:color="000000" w:sz="4" w:space="0"/>
            </w:tcBorders>
            <w:vAlign w:val="center"/>
          </w:tcPr>
          <w:p w14:paraId="67BE9AFB">
            <w:pPr>
              <w:spacing w:line="400" w:lineRule="exact"/>
              <w:ind w:firstLine="308" w:firstLineChars="147"/>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供应商必须为在中华人民共和国境内依法设立的国有商业银行、股份制商业银行、邮政储蓄银行、城市商业银行等银行机构且具备中国银行保险监督管理委员会核发的《中华人民共和国金融许可证》。</w:t>
            </w:r>
          </w:p>
        </w:tc>
      </w:tr>
      <w:tr w14:paraId="595B9EC2">
        <w:tblPrEx>
          <w:tblCellMar>
            <w:top w:w="0" w:type="dxa"/>
            <w:left w:w="15" w:type="dxa"/>
            <w:bottom w:w="0" w:type="dxa"/>
            <w:right w:w="15" w:type="dxa"/>
          </w:tblCellMar>
        </w:tblPrEx>
        <w:trPr>
          <w:trHeight w:val="372"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14:paraId="6B6A40C4">
            <w:pPr>
              <w:spacing w:line="400" w:lineRule="exact"/>
              <w:ind w:firstLine="308" w:firstLineChars="147"/>
              <w:rPr>
                <w:rFonts w:hint="eastAsia" w:ascii="Times New Roman" w:hAnsi="Times New Roman" w:eastAsia="宋体" w:cs="Times New Roman"/>
                <w:szCs w:val="21"/>
                <w:highlight w:val="none"/>
                <w:lang w:eastAsia="zh-CN"/>
              </w:rPr>
            </w:pPr>
            <w:r>
              <w:rPr>
                <w:rFonts w:hint="eastAsia" w:ascii="Times New Roman" w:hAnsi="Times New Roman" w:eastAsia="宋体" w:cs="Times New Roman"/>
                <w:szCs w:val="21"/>
                <w:highlight w:val="none"/>
                <w:lang w:val="en-US" w:eastAsia="zh-CN"/>
              </w:rPr>
              <w:t>5</w:t>
            </w:r>
          </w:p>
        </w:tc>
        <w:tc>
          <w:tcPr>
            <w:tcW w:w="8175" w:type="dxa"/>
            <w:tcBorders>
              <w:top w:val="single" w:color="000000" w:sz="4" w:space="0"/>
              <w:left w:val="single" w:color="auto" w:sz="4" w:space="0"/>
              <w:bottom w:val="single" w:color="000000" w:sz="4" w:space="0"/>
              <w:right w:val="single" w:color="000000" w:sz="4" w:space="0"/>
            </w:tcBorders>
            <w:vAlign w:val="center"/>
          </w:tcPr>
          <w:p w14:paraId="7B45BE06">
            <w:pPr>
              <w:spacing w:line="400" w:lineRule="exact"/>
              <w:ind w:firstLine="308" w:firstLineChars="147"/>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eastAsia="zh-CN"/>
              </w:rPr>
              <w:t>投标</w:t>
            </w:r>
            <w:r>
              <w:rPr>
                <w:rFonts w:hint="eastAsia" w:ascii="Times New Roman" w:hAnsi="Times New Roman" w:eastAsia="宋体" w:cs="Times New Roman"/>
                <w:szCs w:val="21"/>
                <w:highlight w:val="none"/>
              </w:rPr>
              <w:t>保证</w:t>
            </w:r>
            <w:r>
              <w:rPr>
                <w:rFonts w:hint="eastAsia" w:ascii="Times New Roman" w:hAnsi="Times New Roman" w:eastAsia="宋体" w:cs="Times New Roman"/>
                <w:szCs w:val="21"/>
                <w:highlight w:val="none"/>
                <w:lang w:eastAsia="zh-CN"/>
              </w:rPr>
              <w:t>金凭证或保函</w:t>
            </w:r>
          </w:p>
        </w:tc>
      </w:tr>
      <w:tr w14:paraId="1E4D8033">
        <w:tblPrEx>
          <w:tblCellMar>
            <w:top w:w="0" w:type="dxa"/>
            <w:left w:w="15" w:type="dxa"/>
            <w:bottom w:w="0" w:type="dxa"/>
            <w:right w:w="15" w:type="dxa"/>
          </w:tblCellMar>
        </w:tblPrEx>
        <w:trPr>
          <w:trHeight w:val="123" w:hRule="atLeast"/>
          <w:jc w:val="center"/>
        </w:trPr>
        <w:tc>
          <w:tcPr>
            <w:tcW w:w="9060" w:type="dxa"/>
            <w:gridSpan w:val="2"/>
            <w:tcBorders>
              <w:top w:val="single" w:color="000000" w:sz="4" w:space="0"/>
              <w:left w:val="single" w:color="000000" w:sz="4" w:space="0"/>
              <w:bottom w:val="single" w:color="000000" w:sz="4" w:space="0"/>
              <w:right w:val="single" w:color="000000" w:sz="4" w:space="0"/>
            </w:tcBorders>
            <w:vAlign w:val="center"/>
          </w:tcPr>
          <w:p w14:paraId="717984E0">
            <w:pPr>
              <w:spacing w:line="400" w:lineRule="exact"/>
              <w:ind w:firstLine="308" w:firstLineChars="147"/>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符合通过打“√”，不通过打“×”审查不通过的为投标无效。</w:t>
            </w:r>
          </w:p>
        </w:tc>
      </w:tr>
    </w:tbl>
    <w:p w14:paraId="0D405D84">
      <w:pPr>
        <w:spacing w:line="400" w:lineRule="exact"/>
        <w:ind w:firstLine="506" w:firstLineChars="241"/>
        <w:rPr>
          <w:rFonts w:ascii="宋体"/>
          <w:b/>
          <w:szCs w:val="21"/>
          <w:highlight w:val="none"/>
        </w:rPr>
      </w:pPr>
      <w:r>
        <w:rPr>
          <w:rFonts w:hint="eastAsia" w:ascii="宋体" w:hAnsi="宋体"/>
          <w:b/>
          <w:szCs w:val="21"/>
          <w:highlight w:val="none"/>
        </w:rPr>
        <w:t>6.2如评标专家在检验电子标书过程中，如果由于投标人自身原因导致评标专家无法查看并检验电子标书中以上相关资料的，否决其投标。即使投标单位将原件携带至现场的，同样按无效投标处理。</w:t>
      </w:r>
    </w:p>
    <w:p w14:paraId="78DFC0E5">
      <w:pPr>
        <w:spacing w:before="156" w:beforeLines="50" w:line="440" w:lineRule="exact"/>
        <w:ind w:firstLine="308" w:firstLineChars="147"/>
        <w:rPr>
          <w:rFonts w:ascii="宋体"/>
          <w:b/>
          <w:szCs w:val="21"/>
          <w:highlight w:val="none"/>
        </w:rPr>
      </w:pPr>
      <w:r>
        <w:rPr>
          <w:rFonts w:hint="eastAsia" w:ascii="宋体"/>
          <w:b/>
          <w:szCs w:val="21"/>
          <w:highlight w:val="none"/>
        </w:rPr>
        <w:t>7.符合性审查</w:t>
      </w:r>
    </w:p>
    <w:p w14:paraId="3FE6B6B2">
      <w:pPr>
        <w:spacing w:line="440" w:lineRule="exact"/>
        <w:ind w:firstLine="315" w:firstLineChars="150"/>
        <w:rPr>
          <w:rFonts w:ascii="宋体"/>
          <w:szCs w:val="21"/>
          <w:highlight w:val="none"/>
        </w:rPr>
      </w:pPr>
      <w:r>
        <w:rPr>
          <w:rFonts w:hint="eastAsia" w:ascii="宋体"/>
          <w:szCs w:val="21"/>
          <w:highlight w:val="none"/>
        </w:rPr>
        <w:t>7．1评审细则</w:t>
      </w:r>
    </w:p>
    <w:tbl>
      <w:tblPr>
        <w:tblStyle w:val="24"/>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8322"/>
      </w:tblGrid>
      <w:tr w14:paraId="4FE7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18" w:type="dxa"/>
            <w:vAlign w:val="center"/>
          </w:tcPr>
          <w:p w14:paraId="2A8B5B48">
            <w:pPr>
              <w:spacing w:line="400" w:lineRule="exact"/>
              <w:ind w:firstLine="308" w:firstLineChars="147"/>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序号</w:t>
            </w:r>
          </w:p>
        </w:tc>
        <w:tc>
          <w:tcPr>
            <w:tcW w:w="8322" w:type="dxa"/>
            <w:vAlign w:val="center"/>
          </w:tcPr>
          <w:p w14:paraId="1C7C8A2E">
            <w:pPr>
              <w:spacing w:line="400" w:lineRule="exact"/>
              <w:ind w:firstLine="308" w:firstLineChars="147"/>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符合性审查要求</w:t>
            </w:r>
          </w:p>
        </w:tc>
      </w:tr>
      <w:tr w14:paraId="53DD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18" w:type="dxa"/>
            <w:vAlign w:val="center"/>
          </w:tcPr>
          <w:p w14:paraId="46EDD098">
            <w:pPr>
              <w:spacing w:line="400" w:lineRule="exact"/>
              <w:ind w:firstLine="308" w:firstLineChars="147"/>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p>
        </w:tc>
        <w:tc>
          <w:tcPr>
            <w:tcW w:w="8322" w:type="dxa"/>
            <w:vAlign w:val="center"/>
          </w:tcPr>
          <w:p w14:paraId="3B2412C0">
            <w:pPr>
              <w:spacing w:line="400" w:lineRule="exact"/>
              <w:ind w:firstLine="308" w:firstLineChars="147"/>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政府立项核准、审批的采购项目，</w:t>
            </w:r>
            <w:r>
              <w:rPr>
                <w:rFonts w:hint="eastAsia" w:ascii="Times New Roman" w:hAnsi="Times New Roman" w:eastAsia="宋体" w:cs="Times New Roman"/>
                <w:szCs w:val="21"/>
                <w:highlight w:val="none"/>
              </w:rPr>
              <w:t>投标报价</w:t>
            </w:r>
            <w:r>
              <w:rPr>
                <w:rFonts w:hint="eastAsia" w:ascii="Times New Roman" w:hAnsi="Times New Roman" w:eastAsia="宋体" w:cs="Times New Roman"/>
                <w:szCs w:val="21"/>
                <w:highlight w:val="none"/>
                <w:lang w:eastAsia="zh-CN"/>
              </w:rPr>
              <w:t>未超过</w:t>
            </w:r>
            <w:r>
              <w:rPr>
                <w:rFonts w:hint="eastAsia" w:ascii="Times New Roman" w:hAnsi="Times New Roman" w:eastAsia="宋体" w:cs="Times New Roman"/>
                <w:szCs w:val="21"/>
                <w:highlight w:val="none"/>
              </w:rPr>
              <w:t>设定的采购预算价的</w:t>
            </w:r>
            <w:r>
              <w:rPr>
                <w:rFonts w:hint="eastAsia" w:ascii="Times New Roman" w:hAnsi="Times New Roman" w:eastAsia="宋体" w:cs="Times New Roman"/>
                <w:szCs w:val="21"/>
                <w:highlight w:val="none"/>
                <w:lang w:val="en-US" w:eastAsia="zh-CN"/>
              </w:rPr>
              <w:t>。</w:t>
            </w:r>
          </w:p>
        </w:tc>
      </w:tr>
      <w:tr w14:paraId="0AE3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18" w:type="dxa"/>
            <w:vAlign w:val="center"/>
          </w:tcPr>
          <w:p w14:paraId="34E893B1">
            <w:pPr>
              <w:spacing w:line="400" w:lineRule="exact"/>
              <w:ind w:firstLine="308" w:firstLineChars="147"/>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2</w:t>
            </w:r>
          </w:p>
        </w:tc>
        <w:tc>
          <w:tcPr>
            <w:tcW w:w="8322" w:type="dxa"/>
            <w:vAlign w:val="center"/>
          </w:tcPr>
          <w:p w14:paraId="36AFDBBC">
            <w:pPr>
              <w:spacing w:line="400" w:lineRule="exact"/>
              <w:ind w:firstLine="308" w:firstLineChars="147"/>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投标</w:t>
            </w:r>
            <w:r>
              <w:rPr>
                <w:rFonts w:hint="eastAsia" w:ascii="Times New Roman" w:hAnsi="Times New Roman" w:eastAsia="宋体" w:cs="Times New Roman"/>
                <w:szCs w:val="21"/>
                <w:highlight w:val="none"/>
                <w:lang w:eastAsia="zh-CN"/>
              </w:rPr>
              <w:t>企业</w:t>
            </w:r>
            <w:r>
              <w:rPr>
                <w:rFonts w:hint="eastAsia" w:ascii="Times New Roman" w:hAnsi="Times New Roman" w:eastAsia="宋体" w:cs="Times New Roman"/>
                <w:szCs w:val="21"/>
                <w:highlight w:val="none"/>
              </w:rPr>
              <w:t>名称是否与营业执照一致</w:t>
            </w:r>
            <w:r>
              <w:rPr>
                <w:rFonts w:hint="eastAsia" w:ascii="Times New Roman" w:hAnsi="Times New Roman" w:eastAsia="宋体" w:cs="Times New Roman"/>
                <w:szCs w:val="21"/>
                <w:highlight w:val="none"/>
                <w:lang w:eastAsia="zh-CN"/>
              </w:rPr>
              <w:t>。</w:t>
            </w:r>
          </w:p>
        </w:tc>
      </w:tr>
      <w:tr w14:paraId="74B9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18" w:type="dxa"/>
            <w:vAlign w:val="center"/>
          </w:tcPr>
          <w:p w14:paraId="05A254F4">
            <w:pPr>
              <w:spacing w:line="400" w:lineRule="exact"/>
              <w:ind w:firstLine="308" w:firstLineChars="147"/>
              <w:rPr>
                <w:rFonts w:hint="eastAsia" w:ascii="Times New Roman" w:hAnsi="Times New Roman" w:eastAsia="宋体" w:cs="Times New Roman"/>
                <w:szCs w:val="21"/>
                <w:highlight w:val="none"/>
                <w:lang w:eastAsia="zh-CN"/>
              </w:rPr>
            </w:pPr>
            <w:r>
              <w:rPr>
                <w:rFonts w:hint="eastAsia" w:ascii="Times New Roman" w:hAnsi="Times New Roman" w:eastAsia="宋体" w:cs="Times New Roman"/>
                <w:szCs w:val="21"/>
                <w:highlight w:val="none"/>
                <w:lang w:val="en-US" w:eastAsia="zh-CN"/>
              </w:rPr>
              <w:t>3</w:t>
            </w:r>
          </w:p>
        </w:tc>
        <w:tc>
          <w:tcPr>
            <w:tcW w:w="8322" w:type="dxa"/>
            <w:vAlign w:val="center"/>
          </w:tcPr>
          <w:p w14:paraId="7241DC91">
            <w:pPr>
              <w:spacing w:line="400" w:lineRule="exact"/>
              <w:ind w:firstLine="308" w:firstLineChars="147"/>
              <w:rPr>
                <w:rFonts w:hint="eastAsia" w:ascii="Times New Roman" w:hAnsi="Times New Roman" w:eastAsia="宋体" w:cs="Times New Roman"/>
                <w:szCs w:val="21"/>
                <w:highlight w:val="none"/>
                <w:lang w:eastAsia="zh-CN"/>
              </w:rPr>
            </w:pPr>
            <w:r>
              <w:rPr>
                <w:rFonts w:hint="eastAsia" w:ascii="Times New Roman" w:hAnsi="Times New Roman" w:eastAsia="宋体" w:cs="Times New Roman"/>
                <w:szCs w:val="21"/>
                <w:highlight w:val="none"/>
                <w:lang w:eastAsia="zh-CN"/>
              </w:rPr>
              <w:t>响应文件</w:t>
            </w:r>
            <w:r>
              <w:rPr>
                <w:rFonts w:hint="eastAsia" w:ascii="Times New Roman" w:hAnsi="Times New Roman" w:eastAsia="宋体" w:cs="Times New Roman"/>
                <w:szCs w:val="21"/>
                <w:highlight w:val="none"/>
              </w:rPr>
              <w:t>是否按</w:t>
            </w:r>
            <w:r>
              <w:rPr>
                <w:rFonts w:hint="eastAsia" w:ascii="Times New Roman" w:hAnsi="Times New Roman" w:eastAsia="宋体" w:cs="Times New Roman"/>
                <w:szCs w:val="21"/>
                <w:highlight w:val="none"/>
                <w:lang w:eastAsia="zh-CN"/>
              </w:rPr>
              <w:t>磋商文件</w:t>
            </w:r>
            <w:r>
              <w:rPr>
                <w:rFonts w:hint="eastAsia" w:ascii="Times New Roman" w:hAnsi="Times New Roman" w:eastAsia="宋体" w:cs="Times New Roman"/>
                <w:szCs w:val="21"/>
                <w:highlight w:val="none"/>
              </w:rPr>
              <w:t>的格式提供或按规定签章的</w:t>
            </w:r>
            <w:r>
              <w:rPr>
                <w:rFonts w:hint="eastAsia" w:ascii="Times New Roman" w:hAnsi="Times New Roman" w:eastAsia="宋体" w:cs="Times New Roman"/>
                <w:szCs w:val="21"/>
                <w:highlight w:val="none"/>
                <w:lang w:eastAsia="zh-CN"/>
              </w:rPr>
              <w:t>。</w:t>
            </w:r>
          </w:p>
        </w:tc>
      </w:tr>
      <w:tr w14:paraId="78A6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14:paraId="2A2C810E">
            <w:pPr>
              <w:spacing w:line="400" w:lineRule="exact"/>
              <w:ind w:firstLine="308" w:firstLineChars="147"/>
              <w:rPr>
                <w:rFonts w:hint="eastAsia" w:ascii="Times New Roman" w:hAnsi="Times New Roman" w:eastAsia="宋体" w:cs="Times New Roman"/>
                <w:szCs w:val="21"/>
                <w:highlight w:val="none"/>
                <w:lang w:eastAsia="zh-CN"/>
              </w:rPr>
            </w:pPr>
            <w:r>
              <w:rPr>
                <w:rFonts w:hint="eastAsia" w:ascii="Times New Roman" w:hAnsi="Times New Roman" w:eastAsia="宋体" w:cs="Times New Roman"/>
                <w:szCs w:val="21"/>
                <w:highlight w:val="none"/>
                <w:lang w:val="en-US" w:eastAsia="zh-CN"/>
              </w:rPr>
              <w:t>4</w:t>
            </w:r>
          </w:p>
        </w:tc>
        <w:tc>
          <w:tcPr>
            <w:tcW w:w="8322" w:type="dxa"/>
            <w:vAlign w:val="center"/>
          </w:tcPr>
          <w:p w14:paraId="654397D7">
            <w:pPr>
              <w:spacing w:line="400" w:lineRule="exact"/>
              <w:ind w:firstLine="308" w:firstLineChars="147"/>
              <w:rPr>
                <w:rFonts w:hint="eastAsia" w:ascii="Times New Roman" w:hAnsi="Times New Roman" w:eastAsia="宋体" w:cs="Times New Roman"/>
                <w:szCs w:val="21"/>
                <w:highlight w:val="none"/>
                <w:lang w:eastAsia="zh-CN"/>
              </w:rPr>
            </w:pPr>
            <w:r>
              <w:rPr>
                <w:rFonts w:hint="eastAsia" w:ascii="Times New Roman" w:hAnsi="Times New Roman" w:eastAsia="宋体" w:cs="Times New Roman"/>
                <w:szCs w:val="21"/>
                <w:highlight w:val="none"/>
              </w:rPr>
              <w:t>服务期限是否符合</w:t>
            </w:r>
            <w:r>
              <w:rPr>
                <w:rFonts w:hint="eastAsia" w:ascii="Times New Roman" w:hAnsi="Times New Roman" w:eastAsia="宋体" w:cs="Times New Roman"/>
                <w:szCs w:val="21"/>
                <w:highlight w:val="none"/>
                <w:lang w:eastAsia="zh-CN"/>
              </w:rPr>
              <w:t>磋商文件</w:t>
            </w:r>
            <w:r>
              <w:rPr>
                <w:rFonts w:hint="eastAsia" w:ascii="Times New Roman" w:hAnsi="Times New Roman" w:eastAsia="宋体" w:cs="Times New Roman"/>
                <w:szCs w:val="21"/>
                <w:highlight w:val="none"/>
              </w:rPr>
              <w:t>要求。</w:t>
            </w:r>
          </w:p>
        </w:tc>
      </w:tr>
      <w:tr w14:paraId="7981F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718" w:type="dxa"/>
            <w:vAlign w:val="center"/>
          </w:tcPr>
          <w:p w14:paraId="1BC7A7F2">
            <w:pPr>
              <w:spacing w:line="400" w:lineRule="exact"/>
              <w:ind w:firstLine="308" w:firstLineChars="147"/>
              <w:rPr>
                <w:rFonts w:hint="eastAsia" w:ascii="Times New Roman" w:hAnsi="Times New Roman" w:eastAsia="宋体" w:cs="Times New Roman"/>
                <w:szCs w:val="21"/>
                <w:highlight w:val="none"/>
                <w:lang w:eastAsia="zh-CN"/>
              </w:rPr>
            </w:pPr>
            <w:r>
              <w:rPr>
                <w:rFonts w:hint="eastAsia" w:ascii="Times New Roman" w:hAnsi="Times New Roman" w:eastAsia="宋体" w:cs="Times New Roman"/>
                <w:szCs w:val="21"/>
                <w:highlight w:val="none"/>
                <w:lang w:val="en-US" w:eastAsia="zh-CN"/>
              </w:rPr>
              <w:t>5</w:t>
            </w:r>
          </w:p>
        </w:tc>
        <w:tc>
          <w:tcPr>
            <w:tcW w:w="8322" w:type="dxa"/>
            <w:vAlign w:val="center"/>
          </w:tcPr>
          <w:p w14:paraId="57A56857">
            <w:pPr>
              <w:spacing w:line="400" w:lineRule="exact"/>
              <w:ind w:firstLine="308" w:firstLineChars="147"/>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eastAsia="zh-CN"/>
              </w:rPr>
              <w:t>响应文件</w:t>
            </w:r>
            <w:r>
              <w:rPr>
                <w:rFonts w:hint="eastAsia" w:ascii="Times New Roman" w:hAnsi="Times New Roman" w:eastAsia="宋体" w:cs="Times New Roman"/>
                <w:szCs w:val="21"/>
                <w:highlight w:val="none"/>
              </w:rPr>
              <w:t>内容齐全、无遗漏。</w:t>
            </w:r>
          </w:p>
        </w:tc>
      </w:tr>
      <w:tr w14:paraId="0334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18" w:type="dxa"/>
            <w:vAlign w:val="center"/>
          </w:tcPr>
          <w:p w14:paraId="597491D7">
            <w:pPr>
              <w:spacing w:line="400" w:lineRule="exact"/>
              <w:ind w:firstLine="308" w:firstLineChars="147"/>
              <w:rPr>
                <w:rFonts w:hint="eastAsia" w:ascii="Times New Roman" w:hAnsi="Times New Roman" w:eastAsia="宋体" w:cs="Times New Roman"/>
                <w:szCs w:val="21"/>
                <w:highlight w:val="none"/>
                <w:lang w:eastAsia="zh-CN"/>
              </w:rPr>
            </w:pPr>
            <w:r>
              <w:rPr>
                <w:rFonts w:hint="eastAsia" w:ascii="Times New Roman" w:hAnsi="Times New Roman" w:eastAsia="宋体" w:cs="Times New Roman"/>
                <w:szCs w:val="21"/>
                <w:highlight w:val="none"/>
                <w:lang w:val="en-US" w:eastAsia="zh-CN"/>
              </w:rPr>
              <w:t>6</w:t>
            </w:r>
          </w:p>
        </w:tc>
        <w:tc>
          <w:tcPr>
            <w:tcW w:w="8322" w:type="dxa"/>
            <w:vAlign w:val="center"/>
          </w:tcPr>
          <w:p w14:paraId="432F26BB">
            <w:pPr>
              <w:spacing w:line="400" w:lineRule="exact"/>
              <w:ind w:firstLine="308" w:firstLineChars="147"/>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未附有</w:t>
            </w:r>
            <w:r>
              <w:rPr>
                <w:rFonts w:hint="eastAsia" w:ascii="Times New Roman" w:hAnsi="Times New Roman" w:eastAsia="宋体" w:cs="Times New Roman"/>
                <w:szCs w:val="21"/>
                <w:highlight w:val="none"/>
                <w:lang w:eastAsia="zh-CN"/>
              </w:rPr>
              <w:t>采购</w:t>
            </w:r>
            <w:r>
              <w:rPr>
                <w:rFonts w:hint="eastAsia" w:ascii="Times New Roman" w:hAnsi="Times New Roman" w:eastAsia="宋体" w:cs="Times New Roman"/>
                <w:szCs w:val="21"/>
                <w:highlight w:val="none"/>
              </w:rPr>
              <w:t>人不能接受的附加条件及法律、法规和</w:t>
            </w:r>
            <w:r>
              <w:rPr>
                <w:rFonts w:hint="eastAsia" w:ascii="Times New Roman" w:hAnsi="Times New Roman" w:eastAsia="宋体" w:cs="Times New Roman"/>
                <w:szCs w:val="21"/>
                <w:highlight w:val="none"/>
                <w:lang w:eastAsia="zh-CN"/>
              </w:rPr>
              <w:t>磋商文件</w:t>
            </w:r>
            <w:r>
              <w:rPr>
                <w:rFonts w:hint="eastAsia" w:ascii="Times New Roman" w:hAnsi="Times New Roman" w:eastAsia="宋体" w:cs="Times New Roman"/>
                <w:szCs w:val="21"/>
                <w:highlight w:val="none"/>
              </w:rPr>
              <w:t>规定的其他无效情形。</w:t>
            </w:r>
          </w:p>
        </w:tc>
      </w:tr>
      <w:tr w14:paraId="674C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9040" w:type="dxa"/>
            <w:gridSpan w:val="2"/>
            <w:vAlign w:val="center"/>
          </w:tcPr>
          <w:p w14:paraId="33F1EC96">
            <w:pPr>
              <w:spacing w:line="400" w:lineRule="exact"/>
              <w:ind w:firstLine="308" w:firstLineChars="147"/>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（符合通过打“√”，不通过打“×”；评审专家对响应文件进行审查，审查不通过的将投标无效。）</w:t>
            </w:r>
          </w:p>
        </w:tc>
      </w:tr>
    </w:tbl>
    <w:p w14:paraId="1A734D8D">
      <w:pPr>
        <w:rPr>
          <w:highlight w:val="none"/>
        </w:rPr>
      </w:pPr>
    </w:p>
    <w:p w14:paraId="1C735E2E">
      <w:pPr>
        <w:spacing w:line="400" w:lineRule="exact"/>
        <w:ind w:firstLine="506" w:firstLineChars="241"/>
        <w:rPr>
          <w:rFonts w:ascii="宋体"/>
          <w:szCs w:val="21"/>
          <w:highlight w:val="none"/>
        </w:rPr>
      </w:pPr>
      <w:r>
        <w:rPr>
          <w:rFonts w:hint="eastAsia" w:ascii="宋体"/>
          <w:szCs w:val="21"/>
          <w:highlight w:val="none"/>
        </w:rPr>
        <w:t>7.2评委会判定投标文件的响应性只根据投标文件本身的内容，而不寻求外部的证据，但投标有不真实不正确的内容时除外。</w:t>
      </w:r>
    </w:p>
    <w:p w14:paraId="79A661BC">
      <w:pPr>
        <w:spacing w:line="400" w:lineRule="exact"/>
        <w:ind w:firstLine="506" w:firstLineChars="241"/>
        <w:rPr>
          <w:rFonts w:ascii="宋体"/>
          <w:szCs w:val="21"/>
          <w:highlight w:val="none"/>
        </w:rPr>
      </w:pPr>
      <w:r>
        <w:rPr>
          <w:rFonts w:hint="eastAsia" w:ascii="宋体"/>
          <w:szCs w:val="21"/>
          <w:highlight w:val="none"/>
        </w:rPr>
        <w:t>7.3如果投标文件实质上没有响应采购文件的要求，评委会将予以拒绝，投标人不得通过修正或撤销不符合要求的偏离或保留，而使其投标成为实质上响应的投标。</w:t>
      </w:r>
    </w:p>
    <w:p w14:paraId="24743FB4">
      <w:pPr>
        <w:spacing w:line="400" w:lineRule="exact"/>
        <w:ind w:firstLine="420" w:firstLineChars="200"/>
        <w:rPr>
          <w:rFonts w:ascii="宋体"/>
          <w:szCs w:val="21"/>
          <w:highlight w:val="none"/>
        </w:rPr>
      </w:pPr>
      <w:r>
        <w:rPr>
          <w:rFonts w:hint="eastAsia" w:ascii="宋体"/>
          <w:szCs w:val="21"/>
          <w:highlight w:val="none"/>
        </w:rPr>
        <w:t xml:space="preserve"> 7.4投标人可在现场20分钟内对评标委员会的评审结论提出异议，评标委员会根据采购文件及有关规定对投标人的异议进行复议</w:t>
      </w:r>
    </w:p>
    <w:p w14:paraId="31C1A50B">
      <w:pPr>
        <w:spacing w:line="400" w:lineRule="exact"/>
        <w:ind w:firstLine="525" w:firstLineChars="250"/>
        <w:rPr>
          <w:rFonts w:ascii="宋体"/>
          <w:szCs w:val="21"/>
          <w:highlight w:val="none"/>
        </w:rPr>
      </w:pPr>
      <w:r>
        <w:rPr>
          <w:rFonts w:hint="eastAsia" w:ascii="宋体"/>
          <w:szCs w:val="21"/>
          <w:highlight w:val="none"/>
        </w:rPr>
        <w:t>7.5只有通过初审的投标人才能进入下一步评标程序。</w:t>
      </w:r>
    </w:p>
    <w:p w14:paraId="4A1C4DCE">
      <w:pPr>
        <w:spacing w:line="400" w:lineRule="exact"/>
        <w:ind w:firstLine="420" w:firstLineChars="200"/>
        <w:rPr>
          <w:rFonts w:ascii="宋体"/>
          <w:szCs w:val="21"/>
          <w:highlight w:val="none"/>
        </w:rPr>
      </w:pPr>
      <w:r>
        <w:rPr>
          <w:rFonts w:hint="eastAsia" w:ascii="宋体" w:hAnsi="宋体"/>
          <w:b/>
          <w:szCs w:val="21"/>
          <w:highlight w:val="none"/>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14:paraId="064C2992">
      <w:pPr>
        <w:spacing w:before="156" w:beforeLines="50" w:line="400" w:lineRule="exact"/>
        <w:jc w:val="center"/>
        <w:outlineLvl w:val="1"/>
        <w:rPr>
          <w:rFonts w:ascii="宋体"/>
          <w:b/>
          <w:sz w:val="24"/>
          <w:highlight w:val="none"/>
        </w:rPr>
      </w:pPr>
      <w:bookmarkStart w:id="83" w:name="_Toc19366"/>
      <w:bookmarkStart w:id="84" w:name="_Toc362983803"/>
      <w:r>
        <w:rPr>
          <w:rFonts w:hint="eastAsia" w:ascii="宋体"/>
          <w:b/>
          <w:sz w:val="28"/>
          <w:szCs w:val="28"/>
          <w:highlight w:val="none"/>
        </w:rPr>
        <w:t xml:space="preserve">三  </w:t>
      </w:r>
      <w:r>
        <w:rPr>
          <w:rFonts w:hint="eastAsia" w:ascii="宋体"/>
          <w:b/>
          <w:sz w:val="24"/>
          <w:highlight w:val="none"/>
        </w:rPr>
        <w:t>投标文件的澄清和补正</w:t>
      </w:r>
      <w:bookmarkEnd w:id="83"/>
      <w:bookmarkEnd w:id="84"/>
    </w:p>
    <w:p w14:paraId="1A03D327">
      <w:pPr>
        <w:spacing w:line="440" w:lineRule="exact"/>
        <w:ind w:firstLine="210" w:firstLineChars="100"/>
        <w:jc w:val="left"/>
        <w:rPr>
          <w:rFonts w:ascii="宋体"/>
          <w:szCs w:val="21"/>
          <w:highlight w:val="none"/>
        </w:rPr>
      </w:pPr>
      <w:r>
        <w:rPr>
          <w:rFonts w:hint="eastAsia" w:ascii="宋体"/>
          <w:szCs w:val="21"/>
          <w:highlight w:val="none"/>
        </w:rPr>
        <w:t>8．澄清、说明或补正的形式</w:t>
      </w:r>
    </w:p>
    <w:p w14:paraId="515AA318">
      <w:pPr>
        <w:spacing w:line="440" w:lineRule="exact"/>
        <w:ind w:firstLine="210" w:firstLineChars="100"/>
        <w:jc w:val="left"/>
        <w:rPr>
          <w:rFonts w:ascii="宋体"/>
          <w:szCs w:val="21"/>
          <w:highlight w:val="none"/>
        </w:rPr>
      </w:pPr>
      <w:r>
        <w:rPr>
          <w:rFonts w:hint="eastAsia" w:ascii="宋体"/>
          <w:szCs w:val="21"/>
          <w:highlight w:val="none"/>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14:paraId="1B045C30">
      <w:pPr>
        <w:spacing w:line="440" w:lineRule="exact"/>
        <w:ind w:firstLine="210" w:firstLineChars="100"/>
        <w:jc w:val="left"/>
        <w:rPr>
          <w:rFonts w:ascii="宋体"/>
          <w:szCs w:val="21"/>
          <w:highlight w:val="none"/>
        </w:rPr>
      </w:pPr>
      <w:r>
        <w:rPr>
          <w:rFonts w:hint="eastAsia" w:ascii="宋体"/>
          <w:szCs w:val="21"/>
          <w:highlight w:val="none"/>
        </w:rPr>
        <w:t>8.2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14:paraId="365097AE">
      <w:pPr>
        <w:spacing w:line="440" w:lineRule="exact"/>
        <w:ind w:firstLine="210" w:firstLineChars="100"/>
        <w:jc w:val="left"/>
        <w:rPr>
          <w:rFonts w:ascii="宋体"/>
          <w:szCs w:val="21"/>
          <w:highlight w:val="none"/>
        </w:rPr>
      </w:pPr>
      <w:r>
        <w:rPr>
          <w:rFonts w:hint="eastAsia" w:ascii="宋体"/>
          <w:szCs w:val="21"/>
          <w:highlight w:val="none"/>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35654A49">
      <w:pPr>
        <w:spacing w:line="440" w:lineRule="exact"/>
        <w:ind w:firstLine="210" w:firstLineChars="100"/>
        <w:jc w:val="left"/>
        <w:rPr>
          <w:rFonts w:ascii="宋体"/>
          <w:szCs w:val="21"/>
          <w:highlight w:val="none"/>
        </w:rPr>
      </w:pPr>
      <w:r>
        <w:rPr>
          <w:rFonts w:hint="eastAsia" w:ascii="宋体"/>
          <w:szCs w:val="21"/>
          <w:highlight w:val="none"/>
        </w:rPr>
        <w:t>9．错误修正的原则</w:t>
      </w:r>
    </w:p>
    <w:p w14:paraId="1E4DEB2C">
      <w:pPr>
        <w:spacing w:line="440" w:lineRule="exact"/>
        <w:ind w:firstLine="210" w:firstLineChars="100"/>
        <w:jc w:val="left"/>
        <w:rPr>
          <w:rFonts w:ascii="宋体"/>
          <w:szCs w:val="21"/>
          <w:highlight w:val="none"/>
        </w:rPr>
      </w:pPr>
      <w:r>
        <w:rPr>
          <w:rFonts w:hint="eastAsia" w:ascii="宋体"/>
          <w:szCs w:val="21"/>
          <w:highlight w:val="none"/>
        </w:rPr>
        <w:t>电子交易平台客户端里开标一览表录入的投标报价或优惠率与扫描上传的报价文件信息不一致的，以扫描上传的报价文件信息为准进行修正。</w:t>
      </w:r>
    </w:p>
    <w:p w14:paraId="26F85DCE">
      <w:pPr>
        <w:spacing w:line="440" w:lineRule="exact"/>
        <w:ind w:firstLine="210" w:firstLineChars="100"/>
        <w:jc w:val="left"/>
        <w:rPr>
          <w:rFonts w:ascii="宋体"/>
          <w:szCs w:val="21"/>
          <w:highlight w:val="none"/>
        </w:rPr>
      </w:pPr>
      <w:r>
        <w:rPr>
          <w:rFonts w:hint="eastAsia" w:ascii="宋体"/>
          <w:szCs w:val="21"/>
          <w:highlight w:val="none"/>
        </w:rPr>
        <w:t>投标文件报价出现前后不一致的，除采购文件另有规定外，按照下列规定修正：</w:t>
      </w:r>
    </w:p>
    <w:p w14:paraId="4E5E144E">
      <w:pPr>
        <w:spacing w:line="440" w:lineRule="exact"/>
        <w:ind w:firstLine="210" w:firstLineChars="100"/>
        <w:jc w:val="left"/>
        <w:rPr>
          <w:rFonts w:ascii="宋体"/>
          <w:szCs w:val="21"/>
          <w:highlight w:val="none"/>
        </w:rPr>
      </w:pPr>
      <w:r>
        <w:rPr>
          <w:rFonts w:hint="eastAsia" w:ascii="宋体"/>
          <w:szCs w:val="21"/>
          <w:highlight w:val="none"/>
        </w:rPr>
        <w:t>9.1 投标函中表述的内容与报价表中不一致的，以报价表为准；报价表中的内容与报价明细表不一致的，以报价表为准；</w:t>
      </w:r>
    </w:p>
    <w:p w14:paraId="494C7D94">
      <w:pPr>
        <w:spacing w:line="440" w:lineRule="exact"/>
        <w:ind w:firstLine="210" w:firstLineChars="100"/>
        <w:jc w:val="left"/>
        <w:rPr>
          <w:rFonts w:ascii="宋体"/>
          <w:szCs w:val="21"/>
          <w:highlight w:val="none"/>
        </w:rPr>
      </w:pPr>
      <w:r>
        <w:rPr>
          <w:rFonts w:hint="eastAsia" w:ascii="宋体"/>
          <w:szCs w:val="21"/>
          <w:highlight w:val="none"/>
        </w:rPr>
        <w:t>9.2 投标文件中的大写金额和小写金额不一致的，以大写金额为准；</w:t>
      </w:r>
    </w:p>
    <w:p w14:paraId="733D5F36">
      <w:pPr>
        <w:spacing w:line="440" w:lineRule="exact"/>
        <w:ind w:firstLine="210" w:firstLineChars="100"/>
        <w:jc w:val="left"/>
        <w:rPr>
          <w:rFonts w:ascii="宋体"/>
          <w:szCs w:val="21"/>
          <w:highlight w:val="none"/>
        </w:rPr>
      </w:pPr>
      <w:r>
        <w:rPr>
          <w:rFonts w:hint="eastAsia" w:ascii="宋体"/>
          <w:szCs w:val="21"/>
          <w:highlight w:val="none"/>
        </w:rPr>
        <w:t>9.3 单价金额小数点或者百分比有明显错位的，以开标一览表的总价为准，并修改单价；</w:t>
      </w:r>
    </w:p>
    <w:p w14:paraId="25577D37">
      <w:pPr>
        <w:spacing w:line="440" w:lineRule="exact"/>
        <w:ind w:firstLine="210" w:firstLineChars="100"/>
        <w:jc w:val="left"/>
        <w:rPr>
          <w:rFonts w:ascii="宋体"/>
          <w:szCs w:val="21"/>
          <w:highlight w:val="none"/>
        </w:rPr>
      </w:pPr>
      <w:r>
        <w:rPr>
          <w:rFonts w:hint="eastAsia" w:ascii="宋体"/>
          <w:szCs w:val="21"/>
          <w:highlight w:val="none"/>
        </w:rPr>
        <w:t>9.4 总价金额与按单价汇总金额不一致的，以单价金额计算结果为准；</w:t>
      </w:r>
    </w:p>
    <w:p w14:paraId="2E71D9E0">
      <w:pPr>
        <w:spacing w:line="440" w:lineRule="exact"/>
        <w:ind w:firstLine="210" w:firstLineChars="100"/>
        <w:jc w:val="left"/>
        <w:rPr>
          <w:rFonts w:ascii="宋体"/>
          <w:szCs w:val="21"/>
          <w:highlight w:val="none"/>
        </w:rPr>
      </w:pPr>
      <w:r>
        <w:rPr>
          <w:rFonts w:hint="eastAsia" w:ascii="宋体"/>
          <w:szCs w:val="21"/>
          <w:highlight w:val="none"/>
        </w:rPr>
        <w:t>9.5 若用文字表示的数值与用数字表示的数值不一致，以文字表示的数值为准；</w:t>
      </w:r>
    </w:p>
    <w:p w14:paraId="24C20BB5">
      <w:pPr>
        <w:spacing w:line="440" w:lineRule="exact"/>
        <w:ind w:firstLine="210" w:firstLineChars="100"/>
        <w:jc w:val="left"/>
        <w:rPr>
          <w:rFonts w:ascii="宋体"/>
          <w:szCs w:val="21"/>
          <w:highlight w:val="none"/>
        </w:rPr>
      </w:pPr>
      <w:r>
        <w:rPr>
          <w:rFonts w:hint="eastAsia" w:ascii="宋体"/>
          <w:szCs w:val="21"/>
          <w:highlight w:val="none"/>
        </w:rPr>
        <w:t>9.6 如有多报（指数量超出采购文件需求）、重报（指同一货物重复报价），其投标总价在评标过程中不予调整，如其中标，其合同价按其投标单价予以调整；</w:t>
      </w:r>
    </w:p>
    <w:p w14:paraId="0F870C0B">
      <w:pPr>
        <w:spacing w:line="440" w:lineRule="exact"/>
        <w:ind w:firstLine="210" w:firstLineChars="100"/>
        <w:jc w:val="left"/>
        <w:rPr>
          <w:rFonts w:ascii="宋体"/>
          <w:szCs w:val="21"/>
          <w:highlight w:val="none"/>
        </w:rPr>
      </w:pPr>
      <w:r>
        <w:rPr>
          <w:rFonts w:hint="eastAsia" w:ascii="宋体"/>
          <w:szCs w:val="21"/>
          <w:highlight w:val="none"/>
        </w:rPr>
        <w:t>9.7 对不同文字文本投标文件的解释发生异议的，以中文文本为准；</w:t>
      </w:r>
    </w:p>
    <w:p w14:paraId="5B9D20C3">
      <w:pPr>
        <w:spacing w:line="440" w:lineRule="exact"/>
        <w:ind w:firstLine="210" w:firstLineChars="100"/>
        <w:jc w:val="left"/>
        <w:rPr>
          <w:rFonts w:ascii="宋体"/>
          <w:szCs w:val="21"/>
          <w:highlight w:val="none"/>
        </w:rPr>
      </w:pPr>
      <w:r>
        <w:rPr>
          <w:rFonts w:hint="eastAsia" w:ascii="宋体"/>
          <w:szCs w:val="21"/>
          <w:highlight w:val="none"/>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14:paraId="46B127F9">
      <w:pPr>
        <w:spacing w:line="400" w:lineRule="exact"/>
        <w:jc w:val="center"/>
        <w:outlineLvl w:val="1"/>
        <w:rPr>
          <w:rFonts w:ascii="宋体"/>
          <w:b/>
          <w:sz w:val="24"/>
          <w:highlight w:val="none"/>
        </w:rPr>
      </w:pPr>
      <w:bookmarkStart w:id="85" w:name="_Toc18469"/>
      <w:r>
        <w:rPr>
          <w:rFonts w:hint="eastAsia" w:ascii="宋体"/>
          <w:b/>
          <w:sz w:val="24"/>
          <w:highlight w:val="none"/>
        </w:rPr>
        <w:t>四 比较与评价</w:t>
      </w:r>
      <w:bookmarkEnd w:id="85"/>
    </w:p>
    <w:p w14:paraId="0F61BCA5">
      <w:pPr>
        <w:tabs>
          <w:tab w:val="left" w:pos="720"/>
        </w:tabs>
        <w:spacing w:line="440" w:lineRule="exact"/>
        <w:ind w:firstLine="535" w:firstLineChars="255"/>
        <w:rPr>
          <w:rFonts w:ascii="宋体" w:hAnsi="宋体" w:cs="宋体"/>
          <w:szCs w:val="21"/>
          <w:highlight w:val="none"/>
        </w:rPr>
      </w:pPr>
      <w:bookmarkStart w:id="86" w:name="_Toc362983805"/>
      <w:r>
        <w:rPr>
          <w:rFonts w:hint="eastAsia" w:ascii="宋体" w:hAnsi="宋体" w:cs="宋体"/>
          <w:szCs w:val="21"/>
          <w:highlight w:val="none"/>
        </w:rPr>
        <w:t>10.1评标委员会按磋商文件中规定的评标方法和标准，对资格性检查和符合性检查合格的投标文件进行商务和技术评估、综合比较与评价。</w:t>
      </w:r>
    </w:p>
    <w:p w14:paraId="5E57959C">
      <w:pPr>
        <w:spacing w:line="440" w:lineRule="exact"/>
        <w:ind w:firstLine="539" w:firstLineChars="257"/>
        <w:rPr>
          <w:rFonts w:ascii="宋体" w:hAnsi="宋体" w:cs="宋体"/>
          <w:szCs w:val="21"/>
          <w:highlight w:val="none"/>
        </w:rPr>
      </w:pPr>
      <w:r>
        <w:rPr>
          <w:rFonts w:hint="eastAsia" w:ascii="宋体" w:hAnsi="宋体" w:cs="宋体"/>
          <w:szCs w:val="21"/>
          <w:highlight w:val="none"/>
        </w:rPr>
        <w:t>10.2评标委员会根据商务和技术评估的结果，采用综合评分法，分别对投标文件的商务、技术、价格等内容进行打分。其中，商务评估、技术评估、价格评估的评分权值（详见附件1）。</w:t>
      </w:r>
    </w:p>
    <w:p w14:paraId="01C79267">
      <w:pPr>
        <w:spacing w:line="440" w:lineRule="exact"/>
        <w:ind w:firstLine="539" w:firstLineChars="257"/>
        <w:rPr>
          <w:rFonts w:ascii="宋体" w:hAnsi="宋体" w:cs="宋体"/>
          <w:bCs/>
          <w:szCs w:val="21"/>
          <w:highlight w:val="none"/>
        </w:rPr>
      </w:pPr>
      <w:r>
        <w:rPr>
          <w:rFonts w:hint="eastAsia" w:ascii="宋体" w:hAnsi="宋体" w:cs="宋体"/>
          <w:szCs w:val="21"/>
          <w:highlight w:val="none"/>
        </w:rPr>
        <w:t>10.</w:t>
      </w:r>
      <w:r>
        <w:rPr>
          <w:rFonts w:hint="eastAsia" w:ascii="宋体" w:hAnsi="宋体" w:cs="宋体"/>
          <w:bCs/>
          <w:szCs w:val="21"/>
          <w:highlight w:val="none"/>
        </w:rPr>
        <w:t>2.1评委打分办法</w:t>
      </w:r>
    </w:p>
    <w:p w14:paraId="227E7D95">
      <w:pPr>
        <w:spacing w:line="440" w:lineRule="exact"/>
        <w:ind w:firstLine="539" w:firstLineChars="257"/>
        <w:rPr>
          <w:rFonts w:ascii="宋体" w:hAnsi="宋体" w:cs="宋体"/>
          <w:szCs w:val="21"/>
          <w:highlight w:val="none"/>
        </w:rPr>
      </w:pPr>
      <w:r>
        <w:rPr>
          <w:rFonts w:hint="eastAsia" w:ascii="宋体" w:hAnsi="宋体" w:cs="宋体"/>
          <w:bCs/>
          <w:szCs w:val="21"/>
          <w:highlight w:val="none"/>
        </w:rPr>
        <w:t>（1）</w:t>
      </w:r>
      <w:r>
        <w:rPr>
          <w:rFonts w:hint="eastAsia" w:ascii="宋体" w:hAnsi="宋体" w:cs="宋体"/>
          <w:szCs w:val="21"/>
          <w:highlight w:val="none"/>
        </w:rPr>
        <w:t>参加评分的评委应尽力体现客观、实事求是，避免学派偏见和个人偏好。</w:t>
      </w:r>
    </w:p>
    <w:p w14:paraId="15831E63">
      <w:pPr>
        <w:spacing w:line="440" w:lineRule="exact"/>
        <w:ind w:firstLine="539" w:firstLineChars="257"/>
        <w:rPr>
          <w:rFonts w:ascii="宋体" w:hAnsi="宋体" w:cs="宋体"/>
          <w:szCs w:val="21"/>
          <w:highlight w:val="none"/>
        </w:rPr>
      </w:pPr>
      <w:r>
        <w:rPr>
          <w:rFonts w:hint="eastAsia" w:ascii="宋体" w:hAnsi="宋体" w:cs="宋体"/>
          <w:szCs w:val="21"/>
          <w:highlight w:val="none"/>
        </w:rPr>
        <w:t>（2）衡量、对比的依据，应以磋商文件、投标文件、提供的正式试验数据、质询澄清中的文字为准，口头回答和收集的资料只作为参考。</w:t>
      </w:r>
    </w:p>
    <w:p w14:paraId="3343B868">
      <w:pPr>
        <w:spacing w:line="440" w:lineRule="exact"/>
        <w:ind w:firstLine="539" w:firstLineChars="257"/>
        <w:rPr>
          <w:rFonts w:ascii="宋体" w:hAnsi="宋体" w:cs="宋体"/>
          <w:szCs w:val="21"/>
          <w:highlight w:val="none"/>
        </w:rPr>
      </w:pPr>
      <w:r>
        <w:rPr>
          <w:rFonts w:hint="eastAsia" w:ascii="宋体" w:hAnsi="宋体" w:cs="宋体"/>
          <w:szCs w:val="21"/>
          <w:highlight w:val="none"/>
        </w:rPr>
        <w:t>（3）评分主要是为比较各投标人的价格、商务和技术综合排序。</w:t>
      </w:r>
    </w:p>
    <w:p w14:paraId="708931DC">
      <w:pPr>
        <w:spacing w:line="440" w:lineRule="exact"/>
        <w:ind w:firstLine="539" w:firstLineChars="257"/>
        <w:rPr>
          <w:rFonts w:ascii="宋体" w:hAnsi="宋体" w:cs="宋体"/>
          <w:szCs w:val="21"/>
          <w:highlight w:val="none"/>
        </w:rPr>
      </w:pPr>
      <w:r>
        <w:rPr>
          <w:rFonts w:hint="eastAsia" w:ascii="宋体" w:hAnsi="宋体" w:cs="宋体"/>
          <w:szCs w:val="21"/>
          <w:highlight w:val="none"/>
        </w:rPr>
        <w:t>（4）评委打分采取记名形式。</w:t>
      </w:r>
    </w:p>
    <w:p w14:paraId="11B94B64">
      <w:pPr>
        <w:spacing w:line="440" w:lineRule="exact"/>
        <w:ind w:firstLine="539" w:firstLineChars="257"/>
        <w:rPr>
          <w:rFonts w:ascii="宋体" w:hAnsi="宋体" w:cs="宋体"/>
          <w:szCs w:val="21"/>
          <w:highlight w:val="none"/>
        </w:rPr>
      </w:pPr>
      <w:r>
        <w:rPr>
          <w:rFonts w:hint="eastAsia" w:ascii="宋体" w:hAnsi="宋体" w:cs="宋体"/>
          <w:szCs w:val="21"/>
          <w:highlight w:val="none"/>
        </w:rPr>
        <w:t>（5）各评委根据提供的技术打分表独立自主打分，任何人不得要求评委统一打分或统一确定等次顺序。</w:t>
      </w:r>
    </w:p>
    <w:p w14:paraId="16510661">
      <w:pPr>
        <w:spacing w:line="440" w:lineRule="exact"/>
        <w:ind w:firstLine="539" w:firstLineChars="257"/>
        <w:rPr>
          <w:rFonts w:ascii="宋体" w:hAnsi="宋体" w:cs="宋体"/>
          <w:szCs w:val="21"/>
          <w:highlight w:val="none"/>
        </w:rPr>
      </w:pPr>
      <w:r>
        <w:rPr>
          <w:rFonts w:hint="eastAsia" w:ascii="宋体" w:hAnsi="宋体" w:cs="宋体"/>
          <w:szCs w:val="21"/>
          <w:highlight w:val="none"/>
        </w:rPr>
        <w:t>（6）对打分表中的每项条款，各评委应根据投标文件、澄清材料、磋商文件要求，按满足的程度给投标人打分。</w:t>
      </w:r>
    </w:p>
    <w:p w14:paraId="3458FCAD">
      <w:pPr>
        <w:spacing w:line="440" w:lineRule="exact"/>
        <w:ind w:firstLine="539" w:firstLineChars="257"/>
        <w:rPr>
          <w:rFonts w:ascii="宋体" w:hAnsi="宋体" w:cs="宋体"/>
          <w:szCs w:val="21"/>
          <w:highlight w:val="none"/>
        </w:rPr>
      </w:pPr>
      <w:r>
        <w:rPr>
          <w:rFonts w:hint="eastAsia" w:ascii="宋体" w:hAnsi="宋体" w:cs="宋体"/>
          <w:szCs w:val="21"/>
          <w:highlight w:val="none"/>
        </w:rPr>
        <w:t>（7）评分程序</w:t>
      </w:r>
    </w:p>
    <w:p w14:paraId="6A92CC57">
      <w:pPr>
        <w:spacing w:line="440" w:lineRule="exact"/>
        <w:ind w:firstLine="539" w:firstLineChars="257"/>
        <w:rPr>
          <w:rFonts w:ascii="宋体" w:hAnsi="宋体" w:cs="宋体"/>
          <w:szCs w:val="21"/>
          <w:highlight w:val="none"/>
        </w:rPr>
      </w:pPr>
      <w:r>
        <w:rPr>
          <w:rFonts w:hint="eastAsia" w:ascii="宋体" w:hAnsi="宋体" w:cs="宋体"/>
          <w:szCs w:val="21"/>
          <w:highlight w:val="none"/>
        </w:rPr>
        <w:t>1)就投标人的投标文件对照整理出商务、技术评标因素对比表、偏差表，并在经过校核的基础上逐项打分。</w:t>
      </w:r>
    </w:p>
    <w:p w14:paraId="4E493AC0">
      <w:pPr>
        <w:spacing w:line="440" w:lineRule="exact"/>
        <w:ind w:firstLine="539" w:firstLineChars="257"/>
        <w:rPr>
          <w:rFonts w:ascii="宋体" w:hAnsi="宋体" w:cs="宋体"/>
          <w:szCs w:val="21"/>
          <w:highlight w:val="none"/>
        </w:rPr>
      </w:pPr>
      <w:r>
        <w:rPr>
          <w:rFonts w:hint="eastAsia" w:ascii="宋体" w:hAnsi="宋体" w:cs="宋体"/>
          <w:szCs w:val="21"/>
          <w:highlight w:val="none"/>
        </w:rPr>
        <w:t>2)各评委独立完成打分后，将评分表交给代理机构，由代理机构组织进行分数统计。</w:t>
      </w:r>
    </w:p>
    <w:p w14:paraId="06C9574F">
      <w:pPr>
        <w:spacing w:line="440" w:lineRule="exact"/>
        <w:ind w:firstLine="539" w:firstLineChars="257"/>
        <w:rPr>
          <w:rFonts w:ascii="宋体" w:hAnsi="宋体" w:cs="宋体"/>
          <w:szCs w:val="21"/>
          <w:highlight w:val="none"/>
        </w:rPr>
      </w:pPr>
      <w:r>
        <w:rPr>
          <w:rFonts w:hint="eastAsia" w:ascii="宋体" w:hAnsi="宋体" w:cs="宋体"/>
          <w:szCs w:val="21"/>
          <w:highlight w:val="none"/>
        </w:rPr>
        <w:t>3)最终汇总表中各投标人得分应为评委打分的算术平均值。</w:t>
      </w:r>
    </w:p>
    <w:p w14:paraId="09766BBD">
      <w:pPr>
        <w:rPr>
          <w:rFonts w:hint="eastAsia" w:ascii="宋体" w:hAnsi="宋体" w:cs="宋体"/>
          <w:szCs w:val="21"/>
          <w:highlight w:val="none"/>
        </w:rPr>
      </w:pPr>
    </w:p>
    <w:p w14:paraId="613B4EC3">
      <w:pPr>
        <w:rPr>
          <w:rFonts w:hint="eastAsia" w:ascii="宋体" w:hAnsi="宋体" w:cs="宋体"/>
          <w:szCs w:val="21"/>
          <w:highlight w:val="none"/>
        </w:rPr>
      </w:pPr>
    </w:p>
    <w:p w14:paraId="2D58A87E">
      <w:pPr>
        <w:rPr>
          <w:rFonts w:hint="eastAsia" w:ascii="宋体" w:hAnsi="宋体" w:cs="宋体"/>
          <w:szCs w:val="21"/>
          <w:highlight w:val="none"/>
        </w:rPr>
      </w:pPr>
    </w:p>
    <w:p w14:paraId="456A5149">
      <w:pPr>
        <w:rPr>
          <w:rFonts w:hint="eastAsia" w:ascii="宋体" w:hAnsi="宋体" w:cs="宋体"/>
          <w:szCs w:val="21"/>
          <w:highlight w:val="none"/>
        </w:rPr>
      </w:pPr>
    </w:p>
    <w:p w14:paraId="4C4BF34D">
      <w:pPr>
        <w:rPr>
          <w:rFonts w:hint="eastAsia" w:ascii="宋体" w:hAnsi="宋体" w:cs="宋体"/>
          <w:szCs w:val="21"/>
          <w:highlight w:val="none"/>
        </w:rPr>
      </w:pPr>
    </w:p>
    <w:p w14:paraId="4A850BAA">
      <w:pPr>
        <w:rPr>
          <w:rFonts w:hint="eastAsia" w:ascii="宋体" w:hAnsi="宋体" w:cs="宋体"/>
          <w:szCs w:val="21"/>
          <w:highlight w:val="none"/>
        </w:rPr>
      </w:pPr>
    </w:p>
    <w:p w14:paraId="430A12F1">
      <w:pPr>
        <w:rPr>
          <w:rFonts w:hint="eastAsia" w:ascii="宋体" w:hAnsi="宋体" w:cs="宋体"/>
          <w:szCs w:val="21"/>
          <w:highlight w:val="none"/>
        </w:rPr>
      </w:pPr>
    </w:p>
    <w:p w14:paraId="486EC0B3">
      <w:pPr>
        <w:rPr>
          <w:rFonts w:hint="eastAsia" w:ascii="宋体" w:hAnsi="宋体" w:cs="宋体"/>
          <w:szCs w:val="21"/>
          <w:highlight w:val="none"/>
        </w:rPr>
      </w:pPr>
    </w:p>
    <w:p w14:paraId="4AD12D98">
      <w:pPr>
        <w:rPr>
          <w:rFonts w:hint="eastAsia" w:ascii="宋体" w:hAnsi="宋体" w:cs="宋体"/>
          <w:szCs w:val="21"/>
          <w:highlight w:val="none"/>
        </w:rPr>
      </w:pPr>
    </w:p>
    <w:p w14:paraId="6978C345">
      <w:pPr>
        <w:rPr>
          <w:rFonts w:hint="eastAsia" w:ascii="宋体" w:hAnsi="宋体" w:cs="宋体"/>
          <w:szCs w:val="21"/>
          <w:highlight w:val="none"/>
        </w:rPr>
      </w:pPr>
    </w:p>
    <w:p w14:paraId="329890CF">
      <w:pPr>
        <w:rPr>
          <w:rFonts w:hint="eastAsia" w:ascii="宋体" w:hAnsi="宋体" w:cs="宋体"/>
          <w:szCs w:val="21"/>
          <w:highlight w:val="none"/>
        </w:rPr>
      </w:pPr>
    </w:p>
    <w:p w14:paraId="4F08F185">
      <w:pPr>
        <w:rPr>
          <w:rFonts w:hint="eastAsia" w:ascii="宋体" w:hAnsi="宋体" w:cs="宋体"/>
          <w:szCs w:val="21"/>
          <w:highlight w:val="none"/>
        </w:rPr>
      </w:pPr>
    </w:p>
    <w:p w14:paraId="4FB46FA5">
      <w:pPr>
        <w:rPr>
          <w:rFonts w:hint="eastAsia" w:ascii="宋体" w:hAnsi="宋体" w:cs="宋体"/>
          <w:szCs w:val="21"/>
          <w:highlight w:val="none"/>
        </w:rPr>
      </w:pPr>
    </w:p>
    <w:p w14:paraId="4B1DA29F">
      <w:pPr>
        <w:rPr>
          <w:rFonts w:hint="eastAsia" w:ascii="宋体" w:hAnsi="宋体" w:cs="宋体"/>
          <w:szCs w:val="21"/>
          <w:highlight w:val="none"/>
        </w:rPr>
      </w:pPr>
    </w:p>
    <w:p w14:paraId="16976940">
      <w:pPr>
        <w:pStyle w:val="2"/>
        <w:spacing w:before="0" w:after="0" w:line="240" w:lineRule="auto"/>
        <w:rPr>
          <w:rFonts w:hint="eastAsia"/>
        </w:rPr>
      </w:pPr>
    </w:p>
    <w:p w14:paraId="06125608">
      <w:pPr>
        <w:spacing w:line="240" w:lineRule="auto"/>
        <w:rPr>
          <w:rFonts w:hint="eastAsia" w:ascii="宋体" w:hAnsi="宋体" w:cs="宋体"/>
          <w:szCs w:val="21"/>
          <w:highlight w:val="none"/>
        </w:rPr>
      </w:pPr>
    </w:p>
    <w:p w14:paraId="2AD4C043">
      <w:pPr>
        <w:spacing w:line="240" w:lineRule="auto"/>
        <w:rPr>
          <w:rFonts w:hint="eastAsia" w:ascii="宋体" w:hAnsi="宋体" w:cs="宋体"/>
          <w:szCs w:val="21"/>
          <w:highlight w:val="none"/>
        </w:rPr>
      </w:pPr>
    </w:p>
    <w:p w14:paraId="2658F5A4">
      <w:pPr>
        <w:rPr>
          <w:rFonts w:ascii="宋体" w:hAnsi="宋体" w:cs="宋体"/>
          <w:b/>
          <w:sz w:val="22"/>
          <w:szCs w:val="22"/>
          <w:highlight w:val="none"/>
        </w:rPr>
      </w:pPr>
      <w:r>
        <w:rPr>
          <w:rFonts w:hint="eastAsia" w:ascii="宋体" w:hAnsi="宋体" w:cs="宋体"/>
          <w:szCs w:val="21"/>
          <w:highlight w:val="none"/>
        </w:rPr>
        <w:t>（8）评分标准和细则（综合评分法评分标准）</w:t>
      </w:r>
    </w:p>
    <w:tbl>
      <w:tblPr>
        <w:tblStyle w:val="24"/>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373"/>
        <w:gridCol w:w="466"/>
        <w:gridCol w:w="828"/>
        <w:gridCol w:w="733"/>
        <w:gridCol w:w="7724"/>
      </w:tblGrid>
      <w:tr w14:paraId="6E321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61" w:hRule="atLeast"/>
        </w:trPr>
        <w:tc>
          <w:tcPr>
            <w:tcW w:w="184" w:type="pct"/>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7BB61F7">
            <w:pPr>
              <w:pStyle w:val="67"/>
              <w:pageBreakBefore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zh-TW" w:eastAsia="zh-TW" w:bidi="ar-SA"/>
              </w:rPr>
              <w:t>序号</w:t>
            </w:r>
          </w:p>
        </w:tc>
        <w:tc>
          <w:tcPr>
            <w:tcW w:w="230" w:type="pct"/>
            <w:tcBorders>
              <w:top w:val="single" w:color="000000" w:sz="4" w:space="0"/>
              <w:left w:val="single" w:color="000000" w:sz="4" w:space="0"/>
              <w:bottom w:val="single" w:color="000000" w:sz="4" w:space="0"/>
              <w:right w:val="single" w:color="auto" w:sz="4" w:space="0"/>
            </w:tcBorders>
            <w:noWrap w:val="0"/>
            <w:tcMar>
              <w:top w:w="80" w:type="dxa"/>
              <w:left w:w="80" w:type="dxa"/>
              <w:bottom w:w="80" w:type="dxa"/>
              <w:right w:w="80" w:type="dxa"/>
            </w:tcMar>
            <w:vAlign w:val="center"/>
          </w:tcPr>
          <w:p w14:paraId="4EAD8A00">
            <w:pPr>
              <w:pStyle w:val="67"/>
              <w:pageBreakBefore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hint="eastAsia" w:ascii="宋体" w:hAnsi="宋体" w:eastAsia="宋体" w:cs="宋体"/>
                <w:color w:val="auto"/>
                <w:kern w:val="2"/>
                <w:sz w:val="21"/>
                <w:szCs w:val="21"/>
                <w:highlight w:val="none"/>
                <w:lang w:val="zh-TW" w:eastAsia="zh-CN" w:bidi="ar-SA"/>
              </w:rPr>
            </w:pPr>
            <w:r>
              <w:rPr>
                <w:rFonts w:hint="eastAsia" w:ascii="宋体" w:hAnsi="宋体" w:eastAsia="宋体" w:cs="宋体"/>
                <w:color w:val="auto"/>
                <w:kern w:val="2"/>
                <w:sz w:val="21"/>
                <w:szCs w:val="21"/>
                <w:highlight w:val="none"/>
                <w:lang w:val="zh-TW" w:eastAsia="zh-CN" w:bidi="ar-SA"/>
              </w:rPr>
              <w:t>内容</w:t>
            </w:r>
          </w:p>
        </w:tc>
        <w:tc>
          <w:tcPr>
            <w:tcW w:w="409" w:type="pct"/>
            <w:tcBorders>
              <w:top w:val="single" w:color="000000" w:sz="4" w:space="0"/>
              <w:left w:val="single" w:color="auto" w:sz="4" w:space="0"/>
              <w:bottom w:val="single" w:color="000000" w:sz="4" w:space="0"/>
              <w:right w:val="single" w:color="000000" w:sz="4" w:space="0"/>
            </w:tcBorders>
            <w:noWrap w:val="0"/>
            <w:tcMar>
              <w:top w:w="80" w:type="dxa"/>
              <w:left w:w="80" w:type="dxa"/>
              <w:bottom w:w="80" w:type="dxa"/>
              <w:right w:w="80" w:type="dxa"/>
            </w:tcMar>
            <w:vAlign w:val="center"/>
          </w:tcPr>
          <w:p w14:paraId="24D0FA60">
            <w:pPr>
              <w:pStyle w:val="67"/>
              <w:pageBreakBefore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zh-TW" w:eastAsia="zh-TW" w:bidi="ar-SA"/>
              </w:rPr>
              <w:t>评分项目</w:t>
            </w:r>
          </w:p>
        </w:tc>
        <w:tc>
          <w:tcPr>
            <w:tcW w:w="362" w:type="pct"/>
            <w:tcBorders>
              <w:top w:val="single" w:color="000000" w:sz="4" w:space="0"/>
              <w:left w:val="single" w:color="000000" w:sz="4" w:space="0"/>
              <w:bottom w:val="single" w:color="000000" w:sz="4" w:space="0"/>
              <w:right w:val="single" w:color="000000" w:sz="4" w:space="0"/>
            </w:tcBorders>
            <w:noWrap w:val="0"/>
            <w:tcMar>
              <w:top w:w="80" w:type="dxa"/>
              <w:left w:w="443" w:type="dxa"/>
              <w:bottom w:w="80" w:type="dxa"/>
              <w:right w:w="80" w:type="dxa"/>
            </w:tcMar>
            <w:vAlign w:val="center"/>
          </w:tcPr>
          <w:p w14:paraId="720399A4">
            <w:pPr>
              <w:spacing w:line="36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zh-TW" w:eastAsia="zh-TW" w:bidi="ar-SA"/>
              </w:rPr>
              <w:t>分值</w:t>
            </w:r>
          </w:p>
        </w:tc>
        <w:tc>
          <w:tcPr>
            <w:tcW w:w="3813" w:type="pct"/>
            <w:tcBorders>
              <w:top w:val="single" w:color="000000" w:sz="4" w:space="0"/>
              <w:left w:val="single" w:color="000000" w:sz="4" w:space="0"/>
              <w:bottom w:val="single" w:color="000000" w:sz="4" w:space="0"/>
              <w:right w:val="single" w:color="auto" w:sz="4" w:space="0"/>
            </w:tcBorders>
            <w:noWrap w:val="0"/>
            <w:tcMar>
              <w:top w:w="80" w:type="dxa"/>
              <w:left w:w="80" w:type="dxa"/>
              <w:bottom w:w="80" w:type="dxa"/>
              <w:right w:w="80" w:type="dxa"/>
            </w:tcMar>
            <w:vAlign w:val="center"/>
          </w:tcPr>
          <w:p w14:paraId="02961ABA">
            <w:pPr>
              <w:pStyle w:val="67"/>
              <w:pageBreakBefore w:val="0"/>
              <w:pBdr>
                <w:top w:val="none" w:color="auto" w:sz="0" w:space="0"/>
                <w:left w:val="none" w:color="auto" w:sz="0" w:space="0"/>
                <w:bottom w:val="none" w:color="auto" w:sz="0" w:space="0"/>
                <w:right w:val="none" w:color="auto" w:sz="0" w:space="0"/>
              </w:pBdr>
              <w:tabs>
                <w:tab w:val="left" w:pos="520"/>
                <w:tab w:val="center" w:pos="3614"/>
              </w:tabs>
              <w:kinsoku/>
              <w:wordWrap/>
              <w:overflowPunct/>
              <w:topLinePunct w:val="0"/>
              <w:bidi w:val="0"/>
              <w:spacing w:line="360" w:lineRule="auto"/>
              <w:jc w:val="center"/>
              <w:rPr>
                <w:rFonts w:hint="eastAsia" w:ascii="宋体" w:hAnsi="宋体" w:eastAsia="宋体" w:cs="宋体"/>
                <w:color w:val="auto"/>
                <w:kern w:val="2"/>
                <w:sz w:val="21"/>
                <w:szCs w:val="21"/>
                <w:highlight w:val="none"/>
                <w:lang w:val="zh-TW" w:eastAsia="zh-TW" w:bidi="ar-SA"/>
              </w:rPr>
            </w:pPr>
            <w:r>
              <w:rPr>
                <w:rFonts w:hint="eastAsia" w:ascii="宋体" w:hAnsi="宋体" w:eastAsia="宋体" w:cs="宋体"/>
                <w:color w:val="auto"/>
                <w:kern w:val="2"/>
                <w:sz w:val="21"/>
                <w:szCs w:val="21"/>
                <w:highlight w:val="none"/>
                <w:lang w:val="zh-TW" w:eastAsia="zh-TW" w:bidi="ar-SA"/>
              </w:rPr>
              <w:t>评分标准</w:t>
            </w:r>
          </w:p>
        </w:tc>
      </w:tr>
      <w:tr w14:paraId="38C5F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trPr>
        <w:tc>
          <w:tcPr>
            <w:tcW w:w="184" w:type="pct"/>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730E1B9C">
            <w:pPr>
              <w:pStyle w:val="67"/>
              <w:pageBreakBefore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230" w:type="pct"/>
            <w:vMerge w:val="restart"/>
            <w:tcBorders>
              <w:top w:val="single" w:color="000000" w:sz="4" w:space="0"/>
              <w:left w:val="single" w:color="000000" w:sz="4" w:space="0"/>
              <w:right w:val="single" w:color="000000" w:sz="4" w:space="0"/>
            </w:tcBorders>
            <w:noWrap w:val="0"/>
            <w:tcMar>
              <w:top w:w="80" w:type="dxa"/>
              <w:left w:w="80" w:type="dxa"/>
              <w:bottom w:w="80" w:type="dxa"/>
              <w:right w:w="80" w:type="dxa"/>
            </w:tcMar>
            <w:vAlign w:val="center"/>
          </w:tcPr>
          <w:p w14:paraId="187E242C">
            <w:pPr>
              <w:pStyle w:val="67"/>
              <w:pageBreakBefore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商务部分</w:t>
            </w:r>
          </w:p>
        </w:tc>
        <w:tc>
          <w:tcPr>
            <w:tcW w:w="409" w:type="pct"/>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343C4D7">
            <w:pPr>
              <w:pStyle w:val="67"/>
              <w:pageBreakBefore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企业 实力</w:t>
            </w:r>
          </w:p>
        </w:tc>
        <w:tc>
          <w:tcPr>
            <w:tcW w:w="362" w:type="pct"/>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F2AE169">
            <w:pPr>
              <w:pStyle w:val="67"/>
              <w:pageBreakBefore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hint="eastAsia" w:ascii="宋体" w:hAnsi="宋体" w:eastAsia="宋体" w:cs="宋体"/>
                <w:color w:val="auto"/>
                <w:kern w:val="2"/>
                <w:sz w:val="21"/>
                <w:szCs w:val="21"/>
                <w:highlight w:val="none"/>
                <w:lang w:val="zh-TW" w:eastAsia="zh-TW" w:bidi="ar-SA"/>
              </w:rPr>
            </w:pPr>
            <w:r>
              <w:rPr>
                <w:rFonts w:hint="eastAsia" w:ascii="宋体" w:hAnsi="宋体" w:eastAsia="宋体" w:cs="宋体"/>
                <w:color w:val="auto"/>
                <w:kern w:val="2"/>
                <w:sz w:val="21"/>
                <w:szCs w:val="21"/>
                <w:highlight w:val="none"/>
                <w:lang w:val="zh-TW" w:eastAsia="zh-TW" w:bidi="ar-SA"/>
              </w:rPr>
              <w:t>满分</w:t>
            </w:r>
          </w:p>
          <w:p w14:paraId="022B486D">
            <w:pPr>
              <w:pStyle w:val="67"/>
              <w:pageBreakBefore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25</w:t>
            </w:r>
            <w:r>
              <w:rPr>
                <w:rFonts w:hint="eastAsia" w:ascii="宋体" w:hAnsi="宋体" w:eastAsia="宋体" w:cs="宋体"/>
                <w:color w:val="auto"/>
                <w:kern w:val="2"/>
                <w:sz w:val="21"/>
                <w:szCs w:val="21"/>
                <w:highlight w:val="none"/>
                <w:lang w:val="zh-TW" w:eastAsia="zh-TW" w:bidi="ar-SA"/>
              </w:rPr>
              <w:t>分</w:t>
            </w:r>
          </w:p>
        </w:tc>
        <w:tc>
          <w:tcPr>
            <w:tcW w:w="3813" w:type="pct"/>
            <w:tcBorders>
              <w:top w:val="single" w:color="000000" w:sz="4" w:space="0"/>
              <w:left w:val="single" w:color="000000" w:sz="4" w:space="0"/>
              <w:bottom w:val="single" w:color="000000" w:sz="4" w:space="0"/>
              <w:right w:val="single" w:color="auto" w:sz="4" w:space="0"/>
            </w:tcBorders>
            <w:noWrap w:val="0"/>
            <w:tcMar>
              <w:top w:w="80" w:type="dxa"/>
              <w:left w:w="80" w:type="dxa"/>
              <w:bottom w:w="80" w:type="dxa"/>
              <w:right w:w="80" w:type="dxa"/>
            </w:tcMar>
            <w:vAlign w:val="center"/>
          </w:tcPr>
          <w:p w14:paraId="3F3681AD">
            <w:pPr>
              <w:pStyle w:val="67"/>
              <w:pageBreakBefore w:val="0"/>
              <w:pBdr>
                <w:top w:val="none" w:color="auto" w:sz="0" w:space="0"/>
                <w:left w:val="none" w:color="auto" w:sz="0" w:space="0"/>
                <w:bottom w:val="none" w:color="auto" w:sz="0" w:space="0"/>
                <w:right w:val="none" w:color="auto" w:sz="0" w:space="0"/>
              </w:pBdr>
              <w:kinsoku/>
              <w:wordWrap/>
              <w:overflowPunct/>
              <w:topLinePunct w:val="0"/>
              <w:bidi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1、服务银行在</w:t>
            </w:r>
            <w:r>
              <w:rPr>
                <w:rFonts w:hint="eastAsia" w:ascii="宋体" w:hAnsi="宋体" w:cs="宋体"/>
                <w:color w:val="auto"/>
                <w:kern w:val="2"/>
                <w:sz w:val="21"/>
                <w:szCs w:val="21"/>
                <w:highlight w:val="none"/>
                <w:lang w:val="en-US" w:eastAsia="zh-CN" w:bidi="ar-SA"/>
              </w:rPr>
              <w:t>市域内或新城区内</w:t>
            </w:r>
            <w:r>
              <w:rPr>
                <w:rFonts w:hint="eastAsia" w:ascii="宋体" w:hAnsi="宋体" w:eastAsia="宋体" w:cs="宋体"/>
                <w:color w:val="auto"/>
                <w:kern w:val="2"/>
                <w:sz w:val="21"/>
                <w:szCs w:val="21"/>
                <w:highlight w:val="none"/>
                <w:lang w:val="en-US" w:eastAsia="zh-CN" w:bidi="ar-SA"/>
              </w:rPr>
              <w:t>的营业网点，提供证明材料的每提供1份，得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分，最高得1</w:t>
            </w:r>
            <w:r>
              <w:rPr>
                <w:rFonts w:hint="eastAsia" w:ascii="宋体" w:hAnsi="宋体" w:cs="宋体"/>
                <w:color w:val="auto"/>
                <w:kern w:val="2"/>
                <w:sz w:val="21"/>
                <w:szCs w:val="21"/>
                <w:highlight w:val="none"/>
                <w:lang w:val="en-US" w:eastAsia="zh-CN" w:bidi="ar-SA"/>
              </w:rPr>
              <w:t>0</w:t>
            </w:r>
            <w:r>
              <w:rPr>
                <w:rFonts w:hint="eastAsia" w:ascii="宋体" w:hAnsi="宋体" w:eastAsia="宋体" w:cs="宋体"/>
                <w:color w:val="auto"/>
                <w:kern w:val="2"/>
                <w:sz w:val="21"/>
                <w:szCs w:val="21"/>
                <w:highlight w:val="none"/>
                <w:lang w:val="en-US" w:eastAsia="zh-CN" w:bidi="ar-SA"/>
              </w:rPr>
              <w:t>分（以各营业网点经营执照为依据，提供一项为3 分）</w:t>
            </w:r>
          </w:p>
          <w:p w14:paraId="6FFAA5FD">
            <w:pPr>
              <w:pStyle w:val="67"/>
              <w:pageBreakBefore w:val="0"/>
              <w:pBdr>
                <w:top w:val="none" w:color="auto" w:sz="0" w:space="0"/>
                <w:left w:val="none" w:color="auto" w:sz="0" w:space="0"/>
                <w:bottom w:val="none" w:color="auto" w:sz="0" w:space="0"/>
                <w:right w:val="none" w:color="auto" w:sz="0" w:space="0"/>
              </w:pBdr>
              <w:kinsoku/>
              <w:wordWrap/>
              <w:overflowPunct/>
              <w:topLinePunct w:val="0"/>
              <w:bidi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zh-TW" w:eastAsia="zh-CN" w:bidi="ar-SA"/>
              </w:rPr>
              <w:t>在</w:t>
            </w:r>
            <w:r>
              <w:rPr>
                <w:rFonts w:hint="eastAsia" w:ascii="宋体" w:hAnsi="宋体" w:cs="宋体"/>
                <w:color w:val="auto"/>
                <w:kern w:val="2"/>
                <w:sz w:val="21"/>
                <w:szCs w:val="21"/>
                <w:highlight w:val="none"/>
                <w:lang w:val="en-US" w:eastAsia="zh-CN" w:bidi="ar-SA"/>
              </w:rPr>
              <w:t>市域内或新城区内</w:t>
            </w:r>
            <w:r>
              <w:rPr>
                <w:rFonts w:hint="eastAsia" w:ascii="宋体" w:hAnsi="宋体" w:eastAsia="宋体" w:cs="宋体"/>
                <w:color w:val="auto"/>
                <w:kern w:val="2"/>
                <w:sz w:val="21"/>
                <w:szCs w:val="21"/>
                <w:highlight w:val="none"/>
                <w:lang w:val="en-US" w:eastAsia="zh-CN" w:bidi="ar-SA"/>
              </w:rPr>
              <w:t>营业网点有2个及两个以上柜台或有自动取款设备的得</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分最多加</w:t>
            </w:r>
            <w:r>
              <w:rPr>
                <w:rFonts w:hint="eastAsia" w:ascii="宋体" w:hAnsi="宋体"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en-US" w:eastAsia="zh-CN" w:bidi="ar-SA"/>
              </w:rPr>
              <w:t>分</w:t>
            </w:r>
          </w:p>
          <w:p w14:paraId="77148D77">
            <w:pPr>
              <w:pStyle w:val="67"/>
              <w:pageBreakBefore w:val="0"/>
              <w:pBdr>
                <w:top w:val="none" w:color="auto" w:sz="0" w:space="0"/>
                <w:left w:val="none" w:color="auto" w:sz="0" w:space="0"/>
                <w:bottom w:val="none" w:color="auto" w:sz="0" w:space="0"/>
                <w:right w:val="none" w:color="auto" w:sz="0" w:space="0"/>
              </w:pBdr>
              <w:kinsoku/>
              <w:wordWrap/>
              <w:overflowPunct/>
              <w:topLinePunct w:val="0"/>
              <w:bidi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zh-TW" w:eastAsia="zh-CN" w:bidi="ar-SA"/>
              </w:rPr>
              <w:t>在</w:t>
            </w:r>
            <w:r>
              <w:rPr>
                <w:rFonts w:hint="eastAsia" w:ascii="宋体" w:hAnsi="宋体" w:cs="宋体"/>
                <w:color w:val="auto"/>
                <w:kern w:val="2"/>
                <w:sz w:val="21"/>
                <w:szCs w:val="21"/>
                <w:highlight w:val="none"/>
                <w:lang w:val="en-US" w:eastAsia="zh-CN" w:bidi="ar-SA"/>
              </w:rPr>
              <w:t>市域内或新城区内营</w:t>
            </w:r>
            <w:r>
              <w:rPr>
                <w:rFonts w:hint="eastAsia" w:ascii="宋体" w:hAnsi="宋体" w:eastAsia="宋体" w:cs="宋体"/>
                <w:color w:val="auto"/>
                <w:kern w:val="2"/>
                <w:sz w:val="21"/>
                <w:szCs w:val="21"/>
                <w:highlight w:val="none"/>
                <w:lang w:val="en-US" w:eastAsia="zh-CN" w:bidi="ar-SA"/>
              </w:rPr>
              <w:t>业网点面积达到80平方米可以办理农户转账、存取款业务得1分最多得</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分（以各营业网点经营执照为依据）</w:t>
            </w:r>
          </w:p>
        </w:tc>
      </w:tr>
      <w:tr w14:paraId="19469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47" w:hRule="atLeast"/>
        </w:trPr>
        <w:tc>
          <w:tcPr>
            <w:tcW w:w="184" w:type="pct"/>
            <w:tcBorders>
              <w:top w:val="single" w:color="000000" w:sz="4" w:space="0"/>
              <w:left w:val="single" w:color="000000" w:sz="4" w:space="0"/>
              <w:bottom w:val="single" w:color="auto" w:sz="4" w:space="0"/>
              <w:right w:val="single" w:color="000000" w:sz="4" w:space="0"/>
            </w:tcBorders>
            <w:noWrap w:val="0"/>
            <w:tcMar>
              <w:top w:w="80" w:type="dxa"/>
              <w:left w:w="80" w:type="dxa"/>
              <w:bottom w:w="80" w:type="dxa"/>
              <w:right w:w="80" w:type="dxa"/>
            </w:tcMar>
            <w:vAlign w:val="center"/>
          </w:tcPr>
          <w:p w14:paraId="578716EC">
            <w:pPr>
              <w:pStyle w:val="67"/>
              <w:pageBreakBefore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230" w:type="pct"/>
            <w:vMerge w:val="continue"/>
            <w:tcBorders>
              <w:left w:val="single" w:color="000000" w:sz="4" w:space="0"/>
              <w:bottom w:val="single" w:color="auto" w:sz="4" w:space="0"/>
              <w:right w:val="single" w:color="000000" w:sz="4" w:space="0"/>
            </w:tcBorders>
            <w:noWrap w:val="0"/>
            <w:tcMar>
              <w:top w:w="80" w:type="dxa"/>
              <w:left w:w="80" w:type="dxa"/>
              <w:bottom w:w="80" w:type="dxa"/>
              <w:right w:w="80" w:type="dxa"/>
            </w:tcMar>
            <w:vAlign w:val="center"/>
          </w:tcPr>
          <w:p w14:paraId="4FAA9300">
            <w:pPr>
              <w:pStyle w:val="67"/>
              <w:pageBreakBefore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hint="eastAsia" w:ascii="宋体" w:hAnsi="宋体" w:eastAsia="宋体" w:cs="宋体"/>
                <w:color w:val="auto"/>
                <w:kern w:val="2"/>
                <w:sz w:val="21"/>
                <w:szCs w:val="21"/>
                <w:highlight w:val="none"/>
                <w:lang w:val="en-US" w:eastAsia="zh-CN" w:bidi="ar-SA"/>
              </w:rPr>
            </w:pPr>
          </w:p>
        </w:tc>
        <w:tc>
          <w:tcPr>
            <w:tcW w:w="409" w:type="pct"/>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4E7EB89">
            <w:pPr>
              <w:pStyle w:val="67"/>
              <w:pageBreakBefore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金融</w:t>
            </w:r>
          </w:p>
          <w:p w14:paraId="1AA4550D">
            <w:pPr>
              <w:pStyle w:val="67"/>
              <w:pageBreakBefore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考核</w:t>
            </w:r>
          </w:p>
        </w:tc>
        <w:tc>
          <w:tcPr>
            <w:tcW w:w="362" w:type="pct"/>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789D77D6">
            <w:pPr>
              <w:pStyle w:val="67"/>
              <w:pageBreakBefore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hint="eastAsia" w:ascii="宋体" w:hAnsi="宋体" w:eastAsia="宋体" w:cs="宋体"/>
                <w:color w:val="auto"/>
                <w:kern w:val="2"/>
                <w:sz w:val="21"/>
                <w:szCs w:val="21"/>
                <w:highlight w:val="none"/>
                <w:lang w:val="zh-TW" w:eastAsia="zh-CN" w:bidi="ar-SA"/>
              </w:rPr>
            </w:pPr>
            <w:r>
              <w:rPr>
                <w:rFonts w:hint="eastAsia" w:ascii="宋体" w:hAnsi="宋体" w:eastAsia="宋体" w:cs="宋体"/>
                <w:color w:val="auto"/>
                <w:kern w:val="2"/>
                <w:sz w:val="21"/>
                <w:szCs w:val="21"/>
                <w:highlight w:val="none"/>
                <w:lang w:val="zh-TW" w:eastAsia="zh-CN" w:bidi="ar-SA"/>
              </w:rPr>
              <w:t>满分</w:t>
            </w:r>
          </w:p>
          <w:p w14:paraId="6E32A413">
            <w:pPr>
              <w:pStyle w:val="67"/>
              <w:pageBreakBefore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hint="eastAsia" w:ascii="宋体" w:hAnsi="宋体" w:eastAsia="宋体" w:cs="宋体"/>
                <w:color w:val="auto"/>
                <w:kern w:val="2"/>
                <w:sz w:val="21"/>
                <w:szCs w:val="21"/>
                <w:highlight w:val="none"/>
                <w:lang w:val="zh-TW" w:eastAsia="zh-TW" w:bidi="ar-SA"/>
              </w:rPr>
            </w:pPr>
            <w:r>
              <w:rPr>
                <w:rFonts w:hint="eastAsia" w:ascii="宋体" w:hAnsi="宋体" w:cs="宋体"/>
                <w:color w:val="auto"/>
                <w:kern w:val="2"/>
                <w:sz w:val="21"/>
                <w:szCs w:val="21"/>
                <w:highlight w:val="none"/>
                <w:lang w:val="en-US" w:eastAsia="zh-CN" w:bidi="ar-SA"/>
              </w:rPr>
              <w:t>30</w:t>
            </w:r>
            <w:r>
              <w:rPr>
                <w:rFonts w:hint="eastAsia" w:ascii="宋体" w:hAnsi="宋体" w:eastAsia="宋体" w:cs="宋体"/>
                <w:color w:val="auto"/>
                <w:kern w:val="2"/>
                <w:sz w:val="21"/>
                <w:szCs w:val="21"/>
                <w:highlight w:val="none"/>
                <w:lang w:val="en-US" w:eastAsia="zh-CN" w:bidi="ar-SA"/>
              </w:rPr>
              <w:t>分</w:t>
            </w:r>
          </w:p>
        </w:tc>
        <w:tc>
          <w:tcPr>
            <w:tcW w:w="3813" w:type="pct"/>
            <w:tcBorders>
              <w:top w:val="single" w:color="000000" w:sz="4" w:space="0"/>
              <w:left w:val="single" w:color="000000" w:sz="4" w:space="0"/>
              <w:bottom w:val="single" w:color="000000" w:sz="4" w:space="0"/>
              <w:right w:val="single" w:color="auto" w:sz="4" w:space="0"/>
            </w:tcBorders>
            <w:noWrap w:val="0"/>
            <w:tcMar>
              <w:top w:w="80" w:type="dxa"/>
              <w:left w:w="80" w:type="dxa"/>
              <w:bottom w:w="80" w:type="dxa"/>
              <w:right w:w="80" w:type="dxa"/>
            </w:tcMar>
            <w:vAlign w:val="center"/>
          </w:tcPr>
          <w:p w14:paraId="0B796CD6">
            <w:pPr>
              <w:pStyle w:val="67"/>
              <w:pageBreakBefore w:val="0"/>
              <w:pBdr>
                <w:top w:val="none" w:color="auto" w:sz="0" w:space="0"/>
                <w:left w:val="none" w:color="auto" w:sz="0" w:space="0"/>
                <w:bottom w:val="none" w:color="auto" w:sz="0" w:space="0"/>
                <w:right w:val="none" w:color="auto" w:sz="0" w:space="0"/>
              </w:pBdr>
              <w:kinsoku/>
              <w:wordWrap/>
              <w:overflowPunct/>
              <w:topLinePunct w:val="0"/>
              <w:bidi w:val="0"/>
              <w:spacing w:line="360" w:lineRule="auto"/>
              <w:rPr>
                <w:rFonts w:hint="eastAsia" w:ascii="宋体" w:hAnsi="宋体" w:eastAsia="宋体" w:cs="宋体"/>
                <w:color w:val="auto"/>
                <w:kern w:val="2"/>
                <w:sz w:val="21"/>
                <w:szCs w:val="21"/>
                <w:highlight w:val="none"/>
                <w:lang w:val="en-US" w:eastAsia="zh-TW" w:bidi="ar-SA"/>
              </w:rPr>
            </w:pPr>
            <w:r>
              <w:rPr>
                <w:rFonts w:hint="default" w:ascii="宋体" w:hAnsi="宋体" w:cs="宋体"/>
                <w:szCs w:val="21"/>
                <w:highlight w:val="none"/>
                <w:lang w:val="en-US"/>
              </w:rPr>
              <w:t>1、以克州</w:t>
            </w:r>
            <w:r>
              <w:rPr>
                <w:rFonts w:hint="eastAsia" w:ascii="宋体" w:hAnsi="宋体" w:cs="宋体"/>
                <w:szCs w:val="21"/>
                <w:highlight w:val="none"/>
                <w:lang w:val="en-US" w:eastAsia="zh-CN"/>
              </w:rPr>
              <w:t>“</w:t>
            </w:r>
            <w:r>
              <w:rPr>
                <w:rFonts w:hint="default" w:ascii="宋体" w:hAnsi="宋体" w:cs="宋体"/>
                <w:szCs w:val="21"/>
                <w:highlight w:val="none"/>
                <w:lang w:val="en-US"/>
              </w:rPr>
              <w:t>202</w:t>
            </w:r>
            <w:r>
              <w:rPr>
                <w:rFonts w:hint="eastAsia" w:ascii="宋体" w:hAnsi="宋体" w:cs="宋体"/>
                <w:szCs w:val="21"/>
                <w:highlight w:val="none"/>
                <w:lang w:val="en-US" w:eastAsia="zh-CN"/>
              </w:rPr>
              <w:t>4</w:t>
            </w:r>
            <w:r>
              <w:rPr>
                <w:rFonts w:hint="default" w:ascii="宋体" w:hAnsi="宋体" w:cs="宋体"/>
                <w:szCs w:val="21"/>
                <w:highlight w:val="none"/>
                <w:lang w:val="en-US"/>
              </w:rPr>
              <w:t>年</w:t>
            </w:r>
            <w:r>
              <w:rPr>
                <w:rFonts w:hint="eastAsia" w:ascii="宋体" w:hAnsi="宋体" w:cs="宋体"/>
                <w:szCs w:val="21"/>
                <w:highlight w:val="none"/>
                <w:lang w:val="en-US" w:eastAsia="zh-CN"/>
              </w:rPr>
              <w:t>最新季</w:t>
            </w:r>
            <w:r>
              <w:rPr>
                <w:rFonts w:hint="default" w:ascii="宋体" w:hAnsi="宋体" w:cs="宋体"/>
                <w:szCs w:val="21"/>
                <w:highlight w:val="none"/>
                <w:lang w:val="en-US"/>
              </w:rPr>
              <w:t>度银行业金融机构支持地方经济发展工作的通报</w:t>
            </w:r>
            <w:r>
              <w:rPr>
                <w:rFonts w:hint="eastAsia" w:ascii="宋体" w:hAnsi="宋体" w:cs="宋体"/>
                <w:szCs w:val="21"/>
                <w:highlight w:val="none"/>
                <w:lang w:val="en-US" w:eastAsia="zh-CN"/>
              </w:rPr>
              <w:t>”</w:t>
            </w:r>
            <w:r>
              <w:rPr>
                <w:rFonts w:hint="default" w:ascii="宋体" w:hAnsi="宋体" w:cs="宋体"/>
                <w:szCs w:val="21"/>
                <w:highlight w:val="none"/>
                <w:lang w:val="en-US"/>
              </w:rPr>
              <w:t>为打分依据，排名第一得</w:t>
            </w:r>
            <w:r>
              <w:rPr>
                <w:rFonts w:hint="eastAsia" w:ascii="宋体" w:hAnsi="宋体" w:cs="宋体"/>
                <w:szCs w:val="21"/>
                <w:highlight w:val="none"/>
                <w:lang w:val="en-US" w:eastAsia="zh-CN"/>
              </w:rPr>
              <w:t>30</w:t>
            </w:r>
            <w:r>
              <w:rPr>
                <w:rFonts w:hint="default" w:ascii="宋体" w:hAnsi="宋体" w:cs="宋体"/>
                <w:szCs w:val="21"/>
                <w:highlight w:val="none"/>
                <w:lang w:val="en-US"/>
              </w:rPr>
              <w:t>分，从第二名开始依次递减</w:t>
            </w:r>
            <w:r>
              <w:rPr>
                <w:rFonts w:hint="eastAsia" w:ascii="宋体" w:hAnsi="宋体" w:cs="宋体"/>
                <w:szCs w:val="21"/>
                <w:highlight w:val="none"/>
                <w:lang w:val="en-US" w:eastAsia="zh-CN"/>
              </w:rPr>
              <w:t>5</w:t>
            </w:r>
            <w:r>
              <w:rPr>
                <w:rFonts w:hint="default" w:ascii="宋体" w:hAnsi="宋体" w:cs="宋体"/>
                <w:szCs w:val="21"/>
                <w:highlight w:val="none"/>
                <w:lang w:val="en-US"/>
              </w:rPr>
              <w:t>分，排名相同，按同档计分。</w:t>
            </w:r>
          </w:p>
        </w:tc>
      </w:tr>
      <w:tr w14:paraId="5B6F5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24" w:hRule="atLeast"/>
        </w:trPr>
        <w:tc>
          <w:tcPr>
            <w:tcW w:w="184" w:type="pct"/>
            <w:tcBorders>
              <w:top w:val="single" w:color="auto"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F2FEC8B">
            <w:pPr>
              <w:pStyle w:val="67"/>
              <w:pageBreakBefore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230" w:type="pct"/>
            <w:vMerge w:val="restart"/>
            <w:tcBorders>
              <w:top w:val="single" w:color="auto" w:sz="4" w:space="0"/>
              <w:left w:val="single" w:color="000000" w:sz="4" w:space="0"/>
              <w:right w:val="single" w:color="000000" w:sz="4" w:space="0"/>
            </w:tcBorders>
            <w:noWrap w:val="0"/>
            <w:tcMar>
              <w:top w:w="80" w:type="dxa"/>
              <w:left w:w="80" w:type="dxa"/>
              <w:bottom w:w="80" w:type="dxa"/>
              <w:right w:w="80" w:type="dxa"/>
            </w:tcMar>
            <w:vAlign w:val="center"/>
          </w:tcPr>
          <w:p w14:paraId="08F75D74">
            <w:pPr>
              <w:pStyle w:val="67"/>
              <w:pageBreakBefore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技术部分</w:t>
            </w:r>
          </w:p>
        </w:tc>
        <w:tc>
          <w:tcPr>
            <w:tcW w:w="409" w:type="pct"/>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425A320">
            <w:pPr>
              <w:pStyle w:val="67"/>
              <w:pageBreakBefore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人员配备管理与规章</w:t>
            </w:r>
          </w:p>
        </w:tc>
        <w:tc>
          <w:tcPr>
            <w:tcW w:w="362" w:type="pct"/>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1333656">
            <w:pPr>
              <w:pStyle w:val="67"/>
              <w:pageBreakBefore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hint="eastAsia" w:ascii="宋体" w:hAnsi="宋体" w:eastAsia="宋体" w:cs="宋体"/>
                <w:color w:val="auto"/>
                <w:kern w:val="2"/>
                <w:sz w:val="21"/>
                <w:szCs w:val="21"/>
                <w:highlight w:val="none"/>
                <w:lang w:val="zh-TW" w:eastAsia="zh-TW" w:bidi="ar-SA"/>
              </w:rPr>
            </w:pPr>
            <w:r>
              <w:rPr>
                <w:rFonts w:hint="eastAsia" w:ascii="宋体" w:hAnsi="宋体" w:eastAsia="宋体" w:cs="宋体"/>
                <w:color w:val="auto"/>
                <w:kern w:val="2"/>
                <w:sz w:val="21"/>
                <w:szCs w:val="21"/>
                <w:highlight w:val="none"/>
                <w:lang w:val="zh-TW" w:eastAsia="zh-TW" w:bidi="ar-SA"/>
              </w:rPr>
              <w:t>满分</w:t>
            </w:r>
          </w:p>
          <w:p w14:paraId="0E81198A">
            <w:pPr>
              <w:pStyle w:val="67"/>
              <w:pageBreakBefore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w:t>
            </w:r>
            <w:r>
              <w:rPr>
                <w:rFonts w:hint="eastAsia" w:ascii="宋体" w:hAnsi="宋体" w:eastAsia="宋体" w:cs="宋体"/>
                <w:color w:val="auto"/>
                <w:kern w:val="2"/>
                <w:sz w:val="21"/>
                <w:szCs w:val="21"/>
                <w:highlight w:val="none"/>
                <w:lang w:val="zh-TW" w:eastAsia="zh-TW" w:bidi="ar-SA"/>
              </w:rPr>
              <w:t>分</w:t>
            </w:r>
          </w:p>
        </w:tc>
        <w:tc>
          <w:tcPr>
            <w:tcW w:w="3813" w:type="pct"/>
            <w:tcBorders>
              <w:top w:val="single" w:color="000000" w:sz="4" w:space="0"/>
              <w:left w:val="single" w:color="000000" w:sz="4" w:space="0"/>
              <w:bottom w:val="single" w:color="000000" w:sz="4" w:space="0"/>
              <w:right w:val="single" w:color="auto" w:sz="4" w:space="0"/>
            </w:tcBorders>
            <w:noWrap w:val="0"/>
            <w:tcMar>
              <w:top w:w="80" w:type="dxa"/>
              <w:left w:w="80" w:type="dxa"/>
              <w:bottom w:w="80" w:type="dxa"/>
              <w:right w:w="80" w:type="dxa"/>
            </w:tcMar>
            <w:vAlign w:val="center"/>
          </w:tcPr>
          <w:p w14:paraId="71958BDA">
            <w:pPr>
              <w:pStyle w:val="67"/>
              <w:pageBreakBefore w:val="0"/>
              <w:numPr>
                <w:ilvl w:val="0"/>
                <w:numId w:val="6"/>
              </w:numPr>
              <w:pBdr>
                <w:top w:val="none" w:color="auto" w:sz="0" w:space="0"/>
                <w:left w:val="none" w:color="auto" w:sz="0" w:space="0"/>
                <w:bottom w:val="none" w:color="auto" w:sz="0" w:space="0"/>
                <w:right w:val="none" w:color="auto" w:sz="0" w:space="0"/>
              </w:pBdr>
              <w:kinsoku/>
              <w:wordWrap/>
              <w:overflowPunct/>
              <w:topLinePunct w:val="0"/>
              <w:bidi w:val="0"/>
              <w:spacing w:line="360" w:lineRule="auto"/>
              <w:rPr>
                <w:rFonts w:hint="eastAsia" w:ascii="宋体" w:hAnsi="宋体" w:eastAsia="宋体" w:cs="宋体"/>
                <w:color w:val="auto"/>
                <w:kern w:val="2"/>
                <w:sz w:val="21"/>
                <w:szCs w:val="21"/>
                <w:highlight w:val="none"/>
                <w:lang w:val="zh-TW" w:eastAsia="zh-TW" w:bidi="ar-SA"/>
              </w:rPr>
            </w:pPr>
            <w:r>
              <w:rPr>
                <w:rFonts w:hint="eastAsia" w:ascii="宋体" w:hAnsi="宋体" w:eastAsia="宋体" w:cs="宋体"/>
                <w:color w:val="auto"/>
                <w:kern w:val="2"/>
                <w:sz w:val="21"/>
                <w:szCs w:val="21"/>
                <w:highlight w:val="none"/>
                <w:lang w:val="en-US" w:eastAsia="zh-CN" w:bidi="ar-SA"/>
              </w:rPr>
              <w:t>具备综合素质较高、熟悉代理财政业务、人员稳定的专业服务团队，且能定期组织开展财政业务代理服务专业培训并作出完整详细方案的优得</w:t>
            </w:r>
            <w:r>
              <w:rPr>
                <w:rFonts w:hint="eastAsia" w:ascii="宋体" w:hAnsi="宋体" w:eastAsia="宋体" w:cs="宋体"/>
                <w:color w:val="auto"/>
                <w:kern w:val="2"/>
                <w:sz w:val="21"/>
                <w:szCs w:val="21"/>
                <w:highlight w:val="none"/>
                <w:lang w:val="zh-TW" w:eastAsia="zh-TW" w:bidi="ar-SA"/>
              </w:rPr>
              <w:t xml:space="preserve"> </w:t>
            </w:r>
            <w:r>
              <w:rPr>
                <w:rFonts w:hint="eastAsia" w:ascii="宋体" w:hAnsi="宋体" w:eastAsia="宋体" w:cs="宋体"/>
                <w:color w:val="auto"/>
                <w:kern w:val="2"/>
                <w:sz w:val="21"/>
                <w:szCs w:val="21"/>
                <w:highlight w:val="none"/>
                <w:lang w:val="en-US" w:eastAsia="zh-CN" w:bidi="ar-SA"/>
              </w:rPr>
              <w:t>15</w:t>
            </w:r>
            <w:r>
              <w:rPr>
                <w:rFonts w:hint="eastAsia" w:ascii="宋体" w:hAnsi="宋体" w:eastAsia="宋体" w:cs="宋体"/>
                <w:color w:val="auto"/>
                <w:kern w:val="2"/>
                <w:sz w:val="21"/>
                <w:szCs w:val="21"/>
                <w:highlight w:val="none"/>
                <w:lang w:val="zh-TW" w:eastAsia="zh-TW" w:bidi="ar-SA"/>
              </w:rPr>
              <w:t xml:space="preserve"> 分，良得</w:t>
            </w: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zh-TW" w:eastAsia="zh-TW" w:bidi="ar-SA"/>
              </w:rPr>
              <w:t xml:space="preserve"> 分，一般得 </w:t>
            </w: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zh-TW" w:eastAsia="zh-TW" w:bidi="ar-SA"/>
              </w:rPr>
              <w:t xml:space="preserve"> 分（满分 1</w:t>
            </w: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zh-TW" w:eastAsia="zh-TW" w:bidi="ar-SA"/>
              </w:rPr>
              <w:t xml:space="preserve"> 分）。</w:t>
            </w:r>
          </w:p>
          <w:p w14:paraId="1544A299">
            <w:pPr>
              <w:pStyle w:val="67"/>
              <w:pageBreakBefore w:val="0"/>
              <w:numPr>
                <w:ilvl w:val="0"/>
                <w:numId w:val="6"/>
              </w:numPr>
              <w:pBdr>
                <w:top w:val="none" w:color="auto" w:sz="0" w:space="0"/>
                <w:left w:val="none" w:color="auto" w:sz="0" w:space="0"/>
                <w:bottom w:val="none" w:color="auto" w:sz="0" w:space="0"/>
                <w:right w:val="none" w:color="auto" w:sz="0" w:space="0"/>
              </w:pBdr>
              <w:kinsoku/>
              <w:wordWrap/>
              <w:overflowPunct/>
              <w:topLinePunct w:val="0"/>
              <w:bidi w:val="0"/>
              <w:spacing w:line="360" w:lineRule="auto"/>
              <w:rPr>
                <w:rFonts w:hint="eastAsia" w:ascii="宋体" w:hAnsi="宋体" w:eastAsia="宋体" w:cs="宋体"/>
                <w:color w:val="auto"/>
                <w:kern w:val="2"/>
                <w:sz w:val="21"/>
                <w:szCs w:val="21"/>
                <w:highlight w:val="none"/>
                <w:lang w:val="zh-TW" w:eastAsia="zh-TW" w:bidi="ar-SA"/>
              </w:rPr>
            </w:pPr>
            <w:r>
              <w:rPr>
                <w:rFonts w:hint="eastAsia" w:ascii="宋体" w:hAnsi="宋体" w:eastAsia="宋体" w:cs="宋体"/>
                <w:color w:val="auto"/>
                <w:kern w:val="2"/>
                <w:sz w:val="21"/>
                <w:szCs w:val="21"/>
                <w:highlight w:val="none"/>
                <w:lang w:val="zh-TW" w:eastAsia="zh-TW" w:bidi="ar-SA"/>
              </w:rPr>
              <w:t>各供应商组织机构健全、合理，规章制度完善，管理方案齐全等，优秀得</w:t>
            </w: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zh-TW" w:eastAsia="zh-TW" w:bidi="ar-SA"/>
              </w:rPr>
              <w:t>分，良好得</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zh-TW" w:eastAsia="zh-TW" w:bidi="ar-SA"/>
              </w:rPr>
              <w:t>分，一般得1分，不提供不得分。</w:t>
            </w:r>
          </w:p>
        </w:tc>
      </w:tr>
      <w:tr w14:paraId="50751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98" w:hRule="atLeast"/>
        </w:trPr>
        <w:tc>
          <w:tcPr>
            <w:tcW w:w="184" w:type="pct"/>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EE32B55">
            <w:pPr>
              <w:pStyle w:val="67"/>
              <w:pageBreakBefore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230" w:type="pct"/>
            <w:vMerge w:val="continue"/>
            <w:tcBorders>
              <w:left w:val="single" w:color="000000" w:sz="4" w:space="0"/>
              <w:right w:val="single" w:color="000000" w:sz="4" w:space="0"/>
            </w:tcBorders>
            <w:noWrap w:val="0"/>
            <w:tcMar>
              <w:top w:w="80" w:type="dxa"/>
              <w:left w:w="80" w:type="dxa"/>
              <w:bottom w:w="80" w:type="dxa"/>
              <w:right w:w="80" w:type="dxa"/>
            </w:tcMar>
            <w:vAlign w:val="center"/>
          </w:tcPr>
          <w:p w14:paraId="26E9DF32">
            <w:pPr>
              <w:pStyle w:val="67"/>
              <w:pageBreakBefore w:val="0"/>
              <w:pBdr>
                <w:top w:val="none" w:color="auto" w:sz="0" w:space="0"/>
                <w:left w:val="none" w:color="auto" w:sz="0" w:space="0"/>
                <w:bottom w:val="none" w:color="auto" w:sz="0" w:space="0"/>
                <w:right w:val="none" w:color="auto" w:sz="0" w:space="0"/>
              </w:pBdr>
              <w:kinsoku/>
              <w:wordWrap/>
              <w:overflowPunct/>
              <w:topLinePunct w:val="0"/>
              <w:bidi w:val="0"/>
              <w:spacing w:line="360" w:lineRule="auto"/>
              <w:rPr>
                <w:rFonts w:hint="eastAsia" w:ascii="宋体" w:hAnsi="宋体" w:eastAsia="宋体" w:cs="宋体"/>
                <w:color w:val="auto"/>
                <w:kern w:val="2"/>
                <w:sz w:val="21"/>
                <w:szCs w:val="21"/>
                <w:highlight w:val="none"/>
                <w:lang w:val="en-US" w:eastAsia="zh-CN" w:bidi="ar-SA"/>
              </w:rPr>
            </w:pPr>
          </w:p>
        </w:tc>
        <w:tc>
          <w:tcPr>
            <w:tcW w:w="409" w:type="pct"/>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72A70A0">
            <w:pPr>
              <w:pStyle w:val="67"/>
              <w:pageBreakBefore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hint="eastAsia" w:ascii="宋体" w:hAnsi="宋体" w:eastAsia="宋体" w:cs="宋体"/>
                <w:color w:val="auto"/>
                <w:kern w:val="2"/>
                <w:sz w:val="21"/>
                <w:szCs w:val="21"/>
                <w:highlight w:val="none"/>
                <w:lang w:val="zh-TW" w:eastAsia="zh-CN" w:bidi="ar-SA"/>
              </w:rPr>
            </w:pPr>
            <w:r>
              <w:rPr>
                <w:rFonts w:hint="eastAsia" w:ascii="宋体" w:hAnsi="宋体" w:eastAsia="宋体" w:cs="宋体"/>
                <w:color w:val="auto"/>
                <w:kern w:val="2"/>
                <w:sz w:val="21"/>
                <w:szCs w:val="21"/>
                <w:highlight w:val="none"/>
                <w:lang w:val="zh-TW" w:eastAsia="zh-CN" w:bidi="ar-SA"/>
              </w:rPr>
              <w:t>项目综合办理能力</w:t>
            </w:r>
            <w:r>
              <w:rPr>
                <w:rFonts w:hint="eastAsia" w:ascii="宋体" w:hAnsi="宋体" w:cs="宋体"/>
                <w:color w:val="auto"/>
                <w:kern w:val="2"/>
                <w:sz w:val="21"/>
                <w:szCs w:val="21"/>
                <w:highlight w:val="none"/>
                <w:lang w:val="zh-TW" w:eastAsia="zh-CN" w:bidi="ar-SA"/>
              </w:rPr>
              <w:t>及承诺</w:t>
            </w:r>
          </w:p>
        </w:tc>
        <w:tc>
          <w:tcPr>
            <w:tcW w:w="362" w:type="pct"/>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771FF59">
            <w:pPr>
              <w:pStyle w:val="67"/>
              <w:pageBreakBefore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hint="eastAsia" w:ascii="宋体" w:hAnsi="宋体" w:eastAsia="宋体" w:cs="宋体"/>
                <w:color w:val="auto"/>
                <w:kern w:val="2"/>
                <w:sz w:val="21"/>
                <w:szCs w:val="21"/>
                <w:highlight w:val="none"/>
                <w:lang w:val="zh-TW" w:eastAsia="zh-TW" w:bidi="ar-SA"/>
              </w:rPr>
            </w:pPr>
            <w:r>
              <w:rPr>
                <w:rFonts w:hint="eastAsia" w:ascii="宋体" w:hAnsi="宋体" w:eastAsia="宋体" w:cs="宋体"/>
                <w:color w:val="auto"/>
                <w:kern w:val="2"/>
                <w:sz w:val="21"/>
                <w:szCs w:val="21"/>
                <w:highlight w:val="none"/>
                <w:lang w:val="zh-TW" w:eastAsia="zh-TW" w:bidi="ar-SA"/>
              </w:rPr>
              <w:t>满分</w:t>
            </w:r>
          </w:p>
          <w:p w14:paraId="0911CB00">
            <w:pPr>
              <w:pStyle w:val="67"/>
              <w:pageBreakBefore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hint="eastAsia" w:ascii="宋体" w:hAnsi="宋体" w:eastAsia="宋体" w:cs="宋体"/>
                <w:color w:val="auto"/>
                <w:kern w:val="2"/>
                <w:sz w:val="21"/>
                <w:szCs w:val="21"/>
                <w:highlight w:val="none"/>
                <w:lang w:val="zh-TW" w:eastAsia="zh-TW" w:bidi="ar-SA"/>
              </w:rPr>
            </w:pPr>
            <w:r>
              <w:rPr>
                <w:rFonts w:hint="eastAsia" w:ascii="宋体" w:hAnsi="宋体" w:cs="宋体"/>
                <w:color w:val="auto"/>
                <w:kern w:val="2"/>
                <w:sz w:val="21"/>
                <w:szCs w:val="21"/>
                <w:highlight w:val="none"/>
                <w:lang w:val="en-US" w:eastAsia="zh-CN" w:bidi="ar-SA"/>
              </w:rPr>
              <w:t>15</w:t>
            </w:r>
            <w:r>
              <w:rPr>
                <w:rFonts w:hint="eastAsia" w:ascii="宋体" w:hAnsi="宋体" w:eastAsia="宋体" w:cs="宋体"/>
                <w:color w:val="auto"/>
                <w:kern w:val="2"/>
                <w:sz w:val="21"/>
                <w:szCs w:val="21"/>
                <w:highlight w:val="none"/>
                <w:lang w:val="zh-TW" w:eastAsia="zh-TW" w:bidi="ar-SA"/>
              </w:rPr>
              <w:t>分</w:t>
            </w:r>
          </w:p>
        </w:tc>
        <w:tc>
          <w:tcPr>
            <w:tcW w:w="3813" w:type="pct"/>
            <w:tcBorders>
              <w:top w:val="single" w:color="000000" w:sz="4" w:space="0"/>
              <w:left w:val="single" w:color="000000" w:sz="4" w:space="0"/>
              <w:bottom w:val="single" w:color="000000" w:sz="4" w:space="0"/>
              <w:right w:val="single" w:color="auto" w:sz="4" w:space="0"/>
            </w:tcBorders>
            <w:noWrap w:val="0"/>
            <w:tcMar>
              <w:top w:w="80" w:type="dxa"/>
              <w:left w:w="80" w:type="dxa"/>
              <w:bottom w:w="80" w:type="dxa"/>
              <w:right w:w="80" w:type="dxa"/>
            </w:tcMar>
            <w:vAlign w:val="center"/>
          </w:tcPr>
          <w:p w14:paraId="1CE02B80">
            <w:pPr>
              <w:keepNext w:val="0"/>
              <w:keepLines w:val="0"/>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1.具备先进的资金汇划清算系统,保证同城转账实时到账,异地转账两小时内到账,跨行支付 24 小时内到账。满足得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分,否则不得分。</w:t>
            </w:r>
          </w:p>
          <w:p w14:paraId="127CD31D">
            <w:pPr>
              <w:keepNext w:val="0"/>
              <w:keepLines w:val="0"/>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2.对服务的预算单位是否提供免费账户查询等服务，出具承诺函；满足得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w:t>
            </w:r>
          </w:p>
          <w:p w14:paraId="22966653">
            <w:pPr>
              <w:keepNext w:val="0"/>
              <w:keepLines w:val="0"/>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3.对服务的预算单位的同城跨行转账取消手续费，出具明文、制度等证明材料；满足得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w:t>
            </w:r>
          </w:p>
          <w:p w14:paraId="62B1C133">
            <w:pPr>
              <w:keepNext w:val="0"/>
              <w:keepLines w:val="0"/>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4.对服务的预算单位减免账户管理费、服务费等，出具明文、制度等证明材料；满足得2分</w:t>
            </w:r>
          </w:p>
          <w:p w14:paraId="24AEA426">
            <w:pPr>
              <w:keepNext w:val="0"/>
              <w:keepLines w:val="0"/>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5.每月能及时准确向服务的预算。单位提供对账单送达业务等，出具明文、制度、合作协议等证明材料；满足得2分</w:t>
            </w:r>
          </w:p>
          <w:p w14:paraId="3D812C5D">
            <w:pPr>
              <w:keepNext w:val="0"/>
              <w:keepLines w:val="0"/>
              <w:suppressLineNumbers w:val="0"/>
              <w:spacing w:before="0" w:beforeAutospacing="0" w:after="0" w:afterAutospacing="0" w:line="360" w:lineRule="auto"/>
              <w:ind w:left="0" w:righ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6.正常工作日,无特殊因素,不得推脱业务办理，出具承诺函。满足得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w:t>
            </w:r>
          </w:p>
          <w:p w14:paraId="1DC36294">
            <w:pPr>
              <w:keepNext w:val="0"/>
              <w:keepLines w:val="0"/>
              <w:suppressLineNumbers w:val="0"/>
              <w:spacing w:before="0" w:beforeAutospacing="0" w:after="0" w:afterAutospacing="0" w:line="360" w:lineRule="auto"/>
              <w:ind w:left="0" w:right="0"/>
              <w:jc w:val="left"/>
              <w:textAlignment w:val="center"/>
              <w:rPr>
                <w:rFonts w:hint="default"/>
                <w:lang w:val="en-US" w:eastAsia="zh-CN"/>
              </w:rPr>
            </w:pPr>
            <w:r>
              <w:rPr>
                <w:rFonts w:hint="eastAsia" w:ascii="宋体" w:hAnsi="宋体" w:eastAsia="宋体" w:cs="宋体"/>
                <w:b w:val="0"/>
                <w:bCs w:val="0"/>
                <w:color w:val="auto"/>
                <w:kern w:val="2"/>
                <w:sz w:val="21"/>
                <w:szCs w:val="21"/>
                <w:highlight w:val="none"/>
                <w:lang w:val="en-US" w:eastAsia="zh-CN" w:bidi="ar-SA"/>
              </w:rPr>
              <w:t>7.根据供应商所提供的服务承诺详述，承诺保质保量限时完成工作，并做好后期服务保障，对服务的保密承诺、质量承诺和廉政承诺。据供应商的响应程度，承诺态度进行评分。优秀得3分，良好得2分，一般得1分，差不得分。</w:t>
            </w:r>
          </w:p>
        </w:tc>
      </w:tr>
      <w:tr w14:paraId="3BB8D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546" w:hRule="atLeast"/>
        </w:trPr>
        <w:tc>
          <w:tcPr>
            <w:tcW w:w="184" w:type="pct"/>
            <w:tcBorders>
              <w:top w:val="single" w:color="auto" w:sz="4" w:space="0"/>
              <w:left w:val="single" w:color="000000" w:sz="4" w:space="0"/>
              <w:bottom w:val="single" w:color="auto" w:sz="4" w:space="0"/>
              <w:right w:val="single" w:color="000000" w:sz="4" w:space="0"/>
            </w:tcBorders>
            <w:noWrap w:val="0"/>
            <w:tcMar>
              <w:top w:w="80" w:type="dxa"/>
              <w:left w:w="80" w:type="dxa"/>
              <w:bottom w:w="80" w:type="dxa"/>
              <w:right w:w="80" w:type="dxa"/>
            </w:tcMar>
            <w:vAlign w:val="center"/>
          </w:tcPr>
          <w:p w14:paraId="3AEFD8B6">
            <w:pPr>
              <w:pStyle w:val="67"/>
              <w:pageBreakBefore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230" w:type="pct"/>
            <w:vMerge w:val="continue"/>
            <w:tcBorders>
              <w:left w:val="single" w:color="000000" w:sz="4" w:space="0"/>
              <w:right w:val="single" w:color="000000" w:sz="4" w:space="0"/>
            </w:tcBorders>
            <w:noWrap w:val="0"/>
            <w:tcMar>
              <w:top w:w="80" w:type="dxa"/>
              <w:left w:w="80" w:type="dxa"/>
              <w:bottom w:w="80" w:type="dxa"/>
              <w:right w:w="80" w:type="dxa"/>
            </w:tcMar>
            <w:vAlign w:val="center"/>
          </w:tcPr>
          <w:p w14:paraId="2AF2C9F8">
            <w:pPr>
              <w:pStyle w:val="67"/>
              <w:pageBreakBefore w:val="0"/>
              <w:pBdr>
                <w:top w:val="none" w:color="auto" w:sz="0" w:space="0"/>
                <w:left w:val="none" w:color="auto" w:sz="0" w:space="0"/>
                <w:bottom w:val="none" w:color="auto" w:sz="0" w:space="0"/>
                <w:right w:val="none" w:color="auto" w:sz="0" w:space="0"/>
              </w:pBdr>
              <w:kinsoku/>
              <w:wordWrap/>
              <w:overflowPunct/>
              <w:topLinePunct w:val="0"/>
              <w:bidi w:val="0"/>
              <w:spacing w:line="360" w:lineRule="auto"/>
              <w:rPr>
                <w:rFonts w:hint="eastAsia" w:ascii="宋体" w:hAnsi="宋体" w:eastAsia="宋体" w:cs="宋体"/>
                <w:color w:val="auto"/>
                <w:kern w:val="2"/>
                <w:sz w:val="21"/>
                <w:szCs w:val="21"/>
                <w:highlight w:val="none"/>
                <w:lang w:val="zh-TW" w:eastAsia="zh-TW" w:bidi="ar-SA"/>
              </w:rPr>
            </w:pPr>
          </w:p>
        </w:tc>
        <w:tc>
          <w:tcPr>
            <w:tcW w:w="409" w:type="pct"/>
            <w:tcBorders>
              <w:top w:val="single" w:color="auto" w:sz="4" w:space="0"/>
              <w:left w:val="single" w:color="000000" w:sz="4" w:space="0"/>
              <w:bottom w:val="single" w:color="auto" w:sz="4" w:space="0"/>
              <w:right w:val="single" w:color="000000" w:sz="4" w:space="0"/>
            </w:tcBorders>
            <w:noWrap w:val="0"/>
            <w:tcMar>
              <w:top w:w="80" w:type="dxa"/>
              <w:left w:w="80" w:type="dxa"/>
              <w:bottom w:w="80" w:type="dxa"/>
              <w:right w:w="80" w:type="dxa"/>
            </w:tcMar>
            <w:vAlign w:val="center"/>
          </w:tcPr>
          <w:p w14:paraId="1D1B6D1E">
            <w:pPr>
              <w:pStyle w:val="67"/>
              <w:pageBreakBefore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hint="eastAsia" w:ascii="宋体" w:hAnsi="宋体" w:eastAsia="宋体" w:cs="宋体"/>
                <w:color w:val="auto"/>
                <w:kern w:val="2"/>
                <w:sz w:val="21"/>
                <w:szCs w:val="21"/>
                <w:highlight w:val="none"/>
                <w:lang w:val="zh-TW" w:eastAsia="zh-TW" w:bidi="ar-SA"/>
              </w:rPr>
            </w:pPr>
            <w:r>
              <w:rPr>
                <w:rFonts w:hint="eastAsia" w:ascii="宋体" w:hAnsi="宋体" w:eastAsia="宋体" w:cs="宋体"/>
                <w:color w:val="auto"/>
                <w:kern w:val="2"/>
                <w:sz w:val="21"/>
                <w:szCs w:val="21"/>
                <w:highlight w:val="none"/>
                <w:lang w:val="zh-TW" w:eastAsia="zh-TW" w:bidi="ar-SA"/>
              </w:rPr>
              <w:t>项目实施方案</w:t>
            </w:r>
          </w:p>
        </w:tc>
        <w:tc>
          <w:tcPr>
            <w:tcW w:w="362" w:type="pct"/>
            <w:tcBorders>
              <w:top w:val="single" w:color="auto" w:sz="4" w:space="0"/>
              <w:left w:val="single" w:color="000000" w:sz="4" w:space="0"/>
              <w:bottom w:val="single" w:color="auto" w:sz="4" w:space="0"/>
              <w:right w:val="single" w:color="000000" w:sz="4" w:space="0"/>
            </w:tcBorders>
            <w:noWrap w:val="0"/>
            <w:tcMar>
              <w:top w:w="80" w:type="dxa"/>
              <w:left w:w="80" w:type="dxa"/>
              <w:bottom w:w="80" w:type="dxa"/>
              <w:right w:w="80" w:type="dxa"/>
            </w:tcMar>
            <w:vAlign w:val="center"/>
          </w:tcPr>
          <w:p w14:paraId="68933D8F">
            <w:pPr>
              <w:pStyle w:val="67"/>
              <w:pageBreakBefore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hint="eastAsia" w:ascii="宋体" w:hAnsi="宋体" w:eastAsia="宋体" w:cs="宋体"/>
                <w:color w:val="auto"/>
                <w:kern w:val="2"/>
                <w:sz w:val="21"/>
                <w:szCs w:val="21"/>
                <w:highlight w:val="none"/>
                <w:lang w:val="zh-TW" w:eastAsia="zh-TW" w:bidi="ar-SA"/>
              </w:rPr>
            </w:pPr>
            <w:r>
              <w:rPr>
                <w:rFonts w:hint="eastAsia" w:ascii="宋体" w:hAnsi="宋体" w:eastAsia="宋体" w:cs="宋体"/>
                <w:color w:val="auto"/>
                <w:kern w:val="2"/>
                <w:sz w:val="21"/>
                <w:szCs w:val="21"/>
                <w:highlight w:val="none"/>
                <w:lang w:val="zh-TW" w:eastAsia="zh-TW" w:bidi="ar-SA"/>
              </w:rPr>
              <w:t>满分</w:t>
            </w:r>
          </w:p>
          <w:p w14:paraId="3F8D605A">
            <w:pPr>
              <w:pStyle w:val="67"/>
              <w:pageBreakBefore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hint="eastAsia" w:ascii="宋体" w:hAnsi="宋体" w:eastAsia="宋体" w:cs="宋体"/>
                <w:color w:val="auto"/>
                <w:kern w:val="2"/>
                <w:sz w:val="21"/>
                <w:szCs w:val="21"/>
                <w:highlight w:val="none"/>
                <w:lang w:val="zh-TW" w:eastAsia="zh-TW" w:bidi="ar-SA"/>
              </w:rPr>
            </w:pPr>
            <w:r>
              <w:rPr>
                <w:rFonts w:hint="eastAsia" w:ascii="宋体" w:hAnsi="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zh-TW" w:eastAsia="zh-TW" w:bidi="ar-SA"/>
              </w:rPr>
              <w:t>分</w:t>
            </w:r>
          </w:p>
        </w:tc>
        <w:tc>
          <w:tcPr>
            <w:tcW w:w="3813" w:type="pct"/>
            <w:tcBorders>
              <w:top w:val="single" w:color="auto" w:sz="4" w:space="0"/>
              <w:left w:val="single" w:color="000000" w:sz="4" w:space="0"/>
              <w:bottom w:val="single" w:color="auto" w:sz="4" w:space="0"/>
              <w:right w:val="single" w:color="auto" w:sz="4" w:space="0"/>
            </w:tcBorders>
            <w:noWrap w:val="0"/>
            <w:tcMar>
              <w:top w:w="80" w:type="dxa"/>
              <w:left w:w="80" w:type="dxa"/>
              <w:bottom w:w="80" w:type="dxa"/>
              <w:right w:w="80" w:type="dxa"/>
            </w:tcMar>
            <w:vAlign w:val="center"/>
          </w:tcPr>
          <w:p w14:paraId="44803873">
            <w:pPr>
              <w:pStyle w:val="67"/>
              <w:pageBreakBefore w:val="0"/>
              <w:pBdr>
                <w:top w:val="none" w:color="auto" w:sz="0" w:space="0"/>
                <w:left w:val="none" w:color="auto" w:sz="0" w:space="0"/>
                <w:bottom w:val="none" w:color="auto" w:sz="0" w:space="0"/>
                <w:right w:val="none" w:color="auto" w:sz="0" w:space="0"/>
              </w:pBdr>
              <w:kinsoku/>
              <w:wordWrap/>
              <w:overflowPunct/>
              <w:topLinePunct w:val="0"/>
              <w:bidi w:val="0"/>
              <w:spacing w:line="360" w:lineRule="auto"/>
              <w:rPr>
                <w:rFonts w:hint="eastAsia" w:ascii="宋体" w:hAnsi="宋体" w:eastAsia="宋体" w:cs="宋体"/>
                <w:color w:val="auto"/>
                <w:kern w:val="2"/>
                <w:sz w:val="21"/>
                <w:szCs w:val="21"/>
                <w:highlight w:val="none"/>
                <w:lang w:val="zh-TW" w:eastAsia="zh-TW" w:bidi="ar-SA"/>
              </w:rPr>
            </w:pPr>
            <w:r>
              <w:rPr>
                <w:rFonts w:hint="eastAsia" w:ascii="宋体" w:hAnsi="宋体" w:eastAsia="宋体" w:cs="宋体"/>
                <w:color w:val="auto"/>
                <w:kern w:val="2"/>
                <w:sz w:val="21"/>
                <w:szCs w:val="21"/>
                <w:highlight w:val="none"/>
                <w:lang w:val="zh-TW" w:eastAsia="zh-TW" w:bidi="ar-SA"/>
              </w:rPr>
              <w:t>方案</w:t>
            </w:r>
            <w:r>
              <w:rPr>
                <w:rFonts w:hint="eastAsia" w:ascii="宋体" w:hAnsi="宋体" w:eastAsia="宋体" w:cs="宋体"/>
                <w:color w:val="auto"/>
                <w:kern w:val="2"/>
                <w:sz w:val="21"/>
                <w:szCs w:val="21"/>
                <w:highlight w:val="none"/>
                <w:lang w:val="zh-TW" w:eastAsia="zh-CN" w:bidi="ar-SA"/>
              </w:rPr>
              <w:t>结合采购需求</w:t>
            </w:r>
            <w:r>
              <w:rPr>
                <w:rFonts w:hint="eastAsia" w:ascii="宋体" w:hAnsi="宋体" w:eastAsia="宋体" w:cs="宋体"/>
                <w:color w:val="auto"/>
                <w:kern w:val="2"/>
                <w:sz w:val="21"/>
                <w:szCs w:val="21"/>
                <w:highlight w:val="none"/>
                <w:lang w:val="zh-TW" w:eastAsia="zh-TW" w:bidi="ar-SA"/>
              </w:rPr>
              <w:t>涵盖任务、目标、内容和重点全面、对项目所在地情况熟悉了解</w:t>
            </w:r>
            <w:r>
              <w:rPr>
                <w:rFonts w:hint="eastAsia" w:ascii="宋体" w:hAnsi="宋体" w:eastAsia="宋体" w:cs="宋体"/>
                <w:color w:val="auto"/>
                <w:kern w:val="2"/>
                <w:sz w:val="21"/>
                <w:szCs w:val="21"/>
                <w:highlight w:val="none"/>
                <w:lang w:val="zh-TW" w:eastAsia="zh-CN" w:bidi="ar-SA"/>
              </w:rPr>
              <w:t>程度</w:t>
            </w:r>
            <w:r>
              <w:rPr>
                <w:rFonts w:hint="eastAsia" w:ascii="宋体" w:hAnsi="宋体" w:eastAsia="宋体" w:cs="宋体"/>
                <w:color w:val="auto"/>
                <w:kern w:val="2"/>
                <w:sz w:val="21"/>
                <w:szCs w:val="21"/>
                <w:highlight w:val="none"/>
                <w:lang w:val="zh-TW" w:eastAsia="zh-TW" w:bidi="ar-SA"/>
              </w:rPr>
              <w:t>，对本项目的工作重点、难点的理解和认识清晰准确，提出的方案明确合理解决关键问题的方案可操作性强</w:t>
            </w:r>
            <w:r>
              <w:rPr>
                <w:rFonts w:hint="eastAsia" w:ascii="宋体" w:hAnsi="宋体" w:eastAsia="宋体" w:cs="宋体"/>
                <w:color w:val="auto"/>
                <w:kern w:val="2"/>
                <w:sz w:val="21"/>
                <w:szCs w:val="21"/>
                <w:highlight w:val="none"/>
                <w:lang w:val="zh-TW" w:eastAsia="zh-CN" w:bidi="ar-SA"/>
              </w:rPr>
              <w:t>；</w:t>
            </w:r>
            <w:r>
              <w:rPr>
                <w:rFonts w:hint="eastAsia" w:ascii="宋体" w:hAnsi="宋体" w:eastAsia="宋体" w:cs="宋体"/>
                <w:color w:val="auto"/>
                <w:kern w:val="2"/>
                <w:sz w:val="21"/>
                <w:szCs w:val="21"/>
                <w:highlight w:val="none"/>
                <w:lang w:val="zh-TW" w:eastAsia="zh-TW" w:bidi="ar-SA"/>
              </w:rPr>
              <w:t>对项目整体工作阶段及任务划分安排合理、可行，关键时间节点把握科学准确；质量保证体系完备周全，具有针对性，应对措施强；工作思路清晰、科学可行</w:t>
            </w:r>
            <w:r>
              <w:rPr>
                <w:rFonts w:hint="eastAsia" w:ascii="宋体" w:hAnsi="宋体" w:eastAsia="宋体" w:cs="宋体"/>
                <w:color w:val="auto"/>
                <w:kern w:val="2"/>
                <w:sz w:val="21"/>
                <w:szCs w:val="21"/>
                <w:highlight w:val="none"/>
                <w:lang w:val="zh-TW" w:eastAsia="zh-CN" w:bidi="ar-SA"/>
              </w:rPr>
              <w:t>，</w:t>
            </w:r>
            <w:r>
              <w:rPr>
                <w:rFonts w:hint="eastAsia" w:ascii="宋体" w:hAnsi="宋体" w:eastAsia="宋体" w:cs="宋体"/>
                <w:color w:val="auto"/>
                <w:kern w:val="2"/>
                <w:sz w:val="21"/>
                <w:szCs w:val="21"/>
                <w:highlight w:val="none"/>
                <w:lang w:val="en-US" w:eastAsia="zh-CN" w:bidi="ar-SA"/>
              </w:rPr>
              <w:t>满足响应招标文件的要求</w:t>
            </w:r>
            <w:r>
              <w:rPr>
                <w:rFonts w:hint="eastAsia" w:ascii="宋体" w:hAnsi="宋体" w:eastAsia="宋体" w:cs="宋体"/>
                <w:color w:val="auto"/>
                <w:kern w:val="2"/>
                <w:sz w:val="21"/>
                <w:szCs w:val="21"/>
                <w:highlight w:val="none"/>
                <w:lang w:val="zh-TW" w:eastAsia="zh-CN" w:bidi="ar-SA"/>
              </w:rPr>
              <w:t>。</w:t>
            </w:r>
            <w:r>
              <w:rPr>
                <w:rFonts w:hint="eastAsia" w:ascii="宋体" w:hAnsi="宋体" w:cs="宋体"/>
                <w:color w:val="auto"/>
                <w:kern w:val="2"/>
                <w:sz w:val="21"/>
                <w:szCs w:val="21"/>
                <w:highlight w:val="none"/>
                <w:lang w:val="zh-TW" w:eastAsia="zh-CN" w:bidi="ar-SA"/>
              </w:rPr>
              <w:t>内容完整且</w:t>
            </w:r>
            <w:r>
              <w:rPr>
                <w:rFonts w:hint="eastAsia" w:ascii="宋体" w:hAnsi="宋体" w:eastAsia="宋体" w:cs="宋体"/>
                <w:color w:val="auto"/>
                <w:kern w:val="2"/>
                <w:sz w:val="21"/>
                <w:szCs w:val="21"/>
                <w:highlight w:val="none"/>
                <w:lang w:val="zh-TW" w:eastAsia="zh-TW" w:bidi="ar-SA"/>
              </w:rPr>
              <w:t>切实可行</w:t>
            </w:r>
            <w:r>
              <w:rPr>
                <w:rFonts w:hint="eastAsia" w:ascii="宋体" w:hAnsi="宋体" w:cs="宋体"/>
                <w:color w:val="auto"/>
                <w:kern w:val="2"/>
                <w:sz w:val="21"/>
                <w:szCs w:val="21"/>
                <w:highlight w:val="none"/>
                <w:lang w:val="zh-TW" w:eastAsia="zh-CN" w:bidi="ar-SA"/>
              </w:rPr>
              <w:t>得</w:t>
            </w:r>
            <w:r>
              <w:rPr>
                <w:rFonts w:hint="eastAsia" w:ascii="宋体" w:hAnsi="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zh-TW" w:eastAsia="zh-TW" w:bidi="ar-SA"/>
              </w:rPr>
              <w:t>分</w:t>
            </w:r>
            <w:r>
              <w:rPr>
                <w:rFonts w:hint="eastAsia" w:ascii="宋体" w:hAnsi="宋体" w:eastAsia="宋体" w:cs="宋体"/>
                <w:color w:val="auto"/>
                <w:kern w:val="2"/>
                <w:sz w:val="21"/>
                <w:szCs w:val="21"/>
                <w:highlight w:val="none"/>
                <w:lang w:val="zh-TW" w:eastAsia="zh-CN" w:bidi="ar-SA"/>
              </w:rPr>
              <w:t>，</w:t>
            </w:r>
            <w:r>
              <w:rPr>
                <w:rFonts w:hint="eastAsia" w:ascii="宋体" w:hAnsi="宋体" w:cs="宋体"/>
                <w:color w:val="auto"/>
                <w:kern w:val="2"/>
                <w:sz w:val="21"/>
                <w:szCs w:val="21"/>
                <w:highlight w:val="none"/>
                <w:lang w:val="zh-TW" w:eastAsia="zh-CN" w:bidi="ar-SA"/>
              </w:rPr>
              <w:t>内容一般等得</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w:t>
            </w:r>
            <w:r>
              <w:rPr>
                <w:rFonts w:hint="eastAsia" w:ascii="宋体" w:hAnsi="宋体" w:cs="宋体"/>
                <w:color w:val="auto"/>
                <w:kern w:val="2"/>
                <w:sz w:val="21"/>
                <w:szCs w:val="21"/>
                <w:highlight w:val="none"/>
                <w:lang w:val="en-US" w:eastAsia="zh-CN" w:bidi="ar-SA"/>
              </w:rPr>
              <w:t>提供的方案</w:t>
            </w:r>
            <w:r>
              <w:rPr>
                <w:rFonts w:hint="eastAsia" w:ascii="宋体" w:hAnsi="宋体" w:eastAsia="宋体" w:cs="宋体"/>
                <w:color w:val="auto"/>
                <w:kern w:val="2"/>
                <w:sz w:val="21"/>
                <w:szCs w:val="21"/>
                <w:highlight w:val="none"/>
                <w:lang w:val="en-US" w:eastAsia="zh-CN" w:bidi="ar-SA"/>
              </w:rPr>
              <w:t>不可行</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w:t>
            </w:r>
            <w:r>
              <w:rPr>
                <w:rFonts w:hint="eastAsia" w:ascii="宋体" w:hAnsi="宋体" w:cs="宋体"/>
                <w:color w:val="auto"/>
                <w:kern w:val="2"/>
                <w:sz w:val="21"/>
                <w:szCs w:val="21"/>
                <w:highlight w:val="none"/>
                <w:lang w:val="en-US" w:eastAsia="zh-CN" w:bidi="ar-SA"/>
              </w:rPr>
              <w:t>，不提供不得分</w:t>
            </w:r>
            <w:r>
              <w:rPr>
                <w:rFonts w:hint="eastAsia" w:ascii="宋体" w:hAnsi="宋体" w:eastAsia="宋体" w:cs="宋体"/>
                <w:color w:val="auto"/>
                <w:kern w:val="2"/>
                <w:sz w:val="21"/>
                <w:szCs w:val="21"/>
                <w:highlight w:val="none"/>
                <w:lang w:val="en-US" w:eastAsia="zh-CN" w:bidi="ar-SA"/>
              </w:rPr>
              <w:t>。</w:t>
            </w:r>
          </w:p>
        </w:tc>
      </w:tr>
      <w:tr w14:paraId="08D00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3" w:hRule="atLeast"/>
        </w:trPr>
        <w:tc>
          <w:tcPr>
            <w:tcW w:w="184" w:type="pct"/>
            <w:tcBorders>
              <w:top w:val="single" w:color="auto" w:sz="4" w:space="0"/>
              <w:left w:val="single" w:color="000000" w:sz="4" w:space="0"/>
              <w:bottom w:val="single" w:color="auto" w:sz="4" w:space="0"/>
              <w:right w:val="single" w:color="000000" w:sz="4" w:space="0"/>
            </w:tcBorders>
            <w:noWrap w:val="0"/>
            <w:tcMar>
              <w:top w:w="80" w:type="dxa"/>
              <w:left w:w="80" w:type="dxa"/>
              <w:bottom w:w="80" w:type="dxa"/>
              <w:right w:w="80" w:type="dxa"/>
            </w:tcMar>
            <w:vAlign w:val="center"/>
          </w:tcPr>
          <w:p w14:paraId="5F79E545">
            <w:pPr>
              <w:pStyle w:val="67"/>
              <w:pageBreakBefore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p>
        </w:tc>
        <w:tc>
          <w:tcPr>
            <w:tcW w:w="230" w:type="pct"/>
            <w:vMerge w:val="continue"/>
            <w:tcBorders>
              <w:left w:val="single" w:color="000000" w:sz="4" w:space="0"/>
              <w:right w:val="single" w:color="000000" w:sz="4" w:space="0"/>
            </w:tcBorders>
            <w:noWrap w:val="0"/>
            <w:tcMar>
              <w:top w:w="80" w:type="dxa"/>
              <w:left w:w="80" w:type="dxa"/>
              <w:bottom w:w="80" w:type="dxa"/>
              <w:right w:w="80" w:type="dxa"/>
            </w:tcMar>
            <w:vAlign w:val="center"/>
          </w:tcPr>
          <w:p w14:paraId="2F571C65">
            <w:pPr>
              <w:pStyle w:val="67"/>
              <w:pageBreakBefore w:val="0"/>
              <w:pBdr>
                <w:top w:val="none" w:color="auto" w:sz="0" w:space="0"/>
                <w:left w:val="none" w:color="auto" w:sz="0" w:space="0"/>
                <w:bottom w:val="none" w:color="auto" w:sz="0" w:space="0"/>
                <w:right w:val="none" w:color="auto" w:sz="0" w:space="0"/>
              </w:pBdr>
              <w:kinsoku/>
              <w:wordWrap/>
              <w:overflowPunct/>
              <w:topLinePunct w:val="0"/>
              <w:bidi w:val="0"/>
              <w:spacing w:line="360" w:lineRule="auto"/>
              <w:rPr>
                <w:rFonts w:hint="eastAsia" w:ascii="宋体" w:hAnsi="宋体" w:eastAsia="宋体" w:cs="宋体"/>
                <w:color w:val="auto"/>
                <w:kern w:val="2"/>
                <w:sz w:val="21"/>
                <w:szCs w:val="21"/>
                <w:highlight w:val="none"/>
                <w:lang w:val="zh-TW" w:eastAsia="zh-TW" w:bidi="ar-SA"/>
              </w:rPr>
            </w:pPr>
          </w:p>
        </w:tc>
        <w:tc>
          <w:tcPr>
            <w:tcW w:w="409" w:type="pct"/>
            <w:tcBorders>
              <w:top w:val="single" w:color="auto" w:sz="4" w:space="0"/>
              <w:left w:val="single" w:color="000000" w:sz="4" w:space="0"/>
              <w:bottom w:val="single" w:color="auto" w:sz="4" w:space="0"/>
              <w:right w:val="single" w:color="000000" w:sz="4" w:space="0"/>
            </w:tcBorders>
            <w:noWrap w:val="0"/>
            <w:tcMar>
              <w:top w:w="80" w:type="dxa"/>
              <w:left w:w="80" w:type="dxa"/>
              <w:bottom w:w="80" w:type="dxa"/>
              <w:right w:w="80" w:type="dxa"/>
            </w:tcMar>
            <w:vAlign w:val="center"/>
          </w:tcPr>
          <w:p w14:paraId="12C832F2">
            <w:pPr>
              <w:pStyle w:val="67"/>
              <w:pageBreakBefore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hint="eastAsia" w:ascii="宋体" w:hAnsi="宋体" w:eastAsia="宋体" w:cs="宋体"/>
                <w:color w:val="auto"/>
                <w:kern w:val="2"/>
                <w:sz w:val="21"/>
                <w:szCs w:val="21"/>
                <w:highlight w:val="none"/>
                <w:lang w:val="zh-TW" w:eastAsia="zh-TW" w:bidi="ar-SA"/>
              </w:rPr>
            </w:pPr>
            <w:r>
              <w:rPr>
                <w:rFonts w:hint="eastAsia" w:ascii="宋体" w:hAnsi="宋体" w:eastAsia="宋体" w:cs="宋体"/>
                <w:color w:val="auto"/>
                <w:kern w:val="2"/>
                <w:sz w:val="21"/>
                <w:szCs w:val="21"/>
                <w:highlight w:val="none"/>
                <w:lang w:val="en-US" w:eastAsia="zh-CN" w:bidi="ar-SA"/>
              </w:rPr>
              <w:t>应急及突发事件的处理措施</w:t>
            </w:r>
          </w:p>
        </w:tc>
        <w:tc>
          <w:tcPr>
            <w:tcW w:w="362" w:type="pct"/>
            <w:tcBorders>
              <w:top w:val="single" w:color="auto" w:sz="4" w:space="0"/>
              <w:left w:val="single" w:color="000000" w:sz="4" w:space="0"/>
              <w:bottom w:val="single" w:color="auto" w:sz="4" w:space="0"/>
              <w:right w:val="single" w:color="000000" w:sz="4" w:space="0"/>
            </w:tcBorders>
            <w:noWrap w:val="0"/>
            <w:tcMar>
              <w:top w:w="80" w:type="dxa"/>
              <w:left w:w="80" w:type="dxa"/>
              <w:bottom w:w="80" w:type="dxa"/>
              <w:right w:w="80" w:type="dxa"/>
            </w:tcMar>
            <w:vAlign w:val="center"/>
          </w:tcPr>
          <w:p w14:paraId="0A7A857A">
            <w:pPr>
              <w:pStyle w:val="67"/>
              <w:pageBreakBefore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hint="eastAsia" w:ascii="宋体" w:hAnsi="宋体" w:eastAsia="宋体" w:cs="宋体"/>
                <w:color w:val="auto"/>
                <w:kern w:val="2"/>
                <w:sz w:val="21"/>
                <w:szCs w:val="21"/>
                <w:highlight w:val="none"/>
                <w:lang w:val="zh-TW" w:eastAsia="zh-TW" w:bidi="ar-SA"/>
              </w:rPr>
            </w:pPr>
            <w:r>
              <w:rPr>
                <w:rFonts w:hint="eastAsia" w:ascii="宋体" w:hAnsi="宋体" w:eastAsia="宋体" w:cs="宋体"/>
                <w:color w:val="auto"/>
                <w:kern w:val="2"/>
                <w:sz w:val="21"/>
                <w:szCs w:val="21"/>
                <w:highlight w:val="none"/>
                <w:lang w:val="zh-TW" w:eastAsia="zh-TW" w:bidi="ar-SA"/>
              </w:rPr>
              <w:t>满分</w:t>
            </w:r>
          </w:p>
          <w:p w14:paraId="2C809387">
            <w:pPr>
              <w:pStyle w:val="67"/>
              <w:pageBreakBefore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hint="eastAsia" w:ascii="宋体" w:hAnsi="宋体" w:eastAsia="宋体" w:cs="宋体"/>
                <w:color w:val="auto"/>
                <w:kern w:val="2"/>
                <w:sz w:val="21"/>
                <w:szCs w:val="21"/>
                <w:highlight w:val="none"/>
                <w:lang w:val="zh-TW" w:eastAsia="zh-TW" w:bidi="ar-SA"/>
              </w:rPr>
            </w:pP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分</w:t>
            </w:r>
          </w:p>
        </w:tc>
        <w:tc>
          <w:tcPr>
            <w:tcW w:w="3813" w:type="pct"/>
            <w:tcBorders>
              <w:top w:val="single" w:color="auto" w:sz="4" w:space="0"/>
              <w:left w:val="single" w:color="000000" w:sz="4" w:space="0"/>
              <w:bottom w:val="single" w:color="auto" w:sz="4" w:space="0"/>
              <w:right w:val="single" w:color="auto" w:sz="4" w:space="0"/>
            </w:tcBorders>
            <w:noWrap w:val="0"/>
            <w:tcMar>
              <w:top w:w="80" w:type="dxa"/>
              <w:left w:w="80" w:type="dxa"/>
              <w:bottom w:w="80" w:type="dxa"/>
              <w:right w:w="80" w:type="dxa"/>
            </w:tcMar>
            <w:vAlign w:val="center"/>
          </w:tcPr>
          <w:p w14:paraId="772FAA76">
            <w:pPr>
              <w:pStyle w:val="67"/>
              <w:pageBreakBefore w:val="0"/>
              <w:pBdr>
                <w:top w:val="none" w:color="auto" w:sz="0" w:space="0"/>
                <w:left w:val="none" w:color="auto" w:sz="0" w:space="0"/>
                <w:bottom w:val="none" w:color="auto" w:sz="0" w:space="0"/>
                <w:right w:val="none" w:color="auto" w:sz="0" w:space="0"/>
              </w:pBdr>
              <w:kinsoku/>
              <w:wordWrap/>
              <w:overflowPunct/>
              <w:topLinePunct w:val="0"/>
              <w:bidi w:val="0"/>
              <w:spacing w:line="360" w:lineRule="auto"/>
              <w:rPr>
                <w:rFonts w:hint="eastAsia" w:ascii="宋体" w:hAnsi="宋体" w:eastAsia="宋体" w:cs="宋体"/>
                <w:color w:val="auto"/>
                <w:kern w:val="2"/>
                <w:sz w:val="21"/>
                <w:szCs w:val="21"/>
                <w:highlight w:val="none"/>
                <w:lang w:val="zh-TW" w:eastAsia="zh-TW" w:bidi="ar-SA"/>
              </w:rPr>
            </w:pPr>
            <w:r>
              <w:rPr>
                <w:rFonts w:hint="eastAsia" w:ascii="宋体" w:hAnsi="宋体" w:eastAsia="宋体" w:cs="宋体"/>
                <w:color w:val="auto"/>
                <w:kern w:val="2"/>
                <w:sz w:val="21"/>
                <w:szCs w:val="21"/>
                <w:highlight w:val="none"/>
                <w:lang w:val="en-US" w:eastAsia="zh-CN" w:bidi="ar-SA"/>
              </w:rPr>
              <w:t>针对应急及突发事件处理“急难险重”工作任务应急措施方案描述科学、合理程度，优秀得</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分，良好得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分，一般得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w:t>
            </w:r>
            <w:r>
              <w:rPr>
                <w:rFonts w:hint="eastAsia" w:ascii="宋体" w:hAnsi="宋体" w:cs="宋体"/>
                <w:color w:val="auto"/>
                <w:kern w:val="2"/>
                <w:sz w:val="21"/>
                <w:szCs w:val="21"/>
                <w:highlight w:val="none"/>
                <w:lang w:val="en-US" w:eastAsia="zh-CN" w:bidi="ar-SA"/>
              </w:rPr>
              <w:t>没有</w:t>
            </w:r>
            <w:r>
              <w:rPr>
                <w:rFonts w:hint="eastAsia" w:ascii="宋体" w:hAnsi="宋体" w:eastAsia="宋体" w:cs="宋体"/>
                <w:color w:val="auto"/>
                <w:kern w:val="2"/>
                <w:sz w:val="21"/>
                <w:szCs w:val="21"/>
                <w:highlight w:val="none"/>
                <w:lang w:val="en-US" w:eastAsia="zh-CN" w:bidi="ar-SA"/>
              </w:rPr>
              <w:t>不得分。</w:t>
            </w:r>
          </w:p>
        </w:tc>
      </w:tr>
    </w:tbl>
    <w:p w14:paraId="6E4E9386">
      <w:pPr>
        <w:spacing w:line="440" w:lineRule="exact"/>
        <w:ind w:firstLine="210" w:firstLineChars="100"/>
        <w:rPr>
          <w:rFonts w:ascii="宋体" w:hAnsi="宋体" w:cs="宋体"/>
          <w:szCs w:val="21"/>
          <w:highlight w:val="none"/>
        </w:rPr>
      </w:pPr>
      <w:r>
        <w:rPr>
          <w:rFonts w:hint="eastAsia" w:ascii="宋体" w:hAnsi="宋体" w:eastAsia="宋体" w:cs="宋体"/>
          <w:color w:val="auto"/>
          <w:kern w:val="2"/>
          <w:sz w:val="21"/>
          <w:szCs w:val="21"/>
          <w:highlight w:val="none"/>
          <w:lang w:val="en-US" w:eastAsia="zh-CN" w:bidi="ar-SA"/>
        </w:rPr>
        <w:t>备注:1、根据《政府采购服务和服务招投标管理办法》第87号令第六十</w:t>
      </w:r>
      <w:r>
        <w:rPr>
          <w:rFonts w:hint="eastAsia" w:ascii="宋体" w:hAnsi="宋体" w:cs="宋体"/>
          <w:szCs w:val="21"/>
          <w:highlight w:val="none"/>
        </w:rPr>
        <w:t>条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F151AF2">
      <w:pPr>
        <w:spacing w:line="440" w:lineRule="exact"/>
        <w:ind w:firstLine="539" w:firstLineChars="257"/>
        <w:rPr>
          <w:rFonts w:ascii="宋体" w:hAnsi="宋体" w:cs="宋体"/>
          <w:szCs w:val="21"/>
          <w:highlight w:val="none"/>
        </w:rPr>
      </w:pPr>
      <w:r>
        <w:rPr>
          <w:rFonts w:hint="eastAsia" w:ascii="宋体" w:hAnsi="宋体" w:cs="宋体"/>
          <w:szCs w:val="21"/>
          <w:highlight w:val="none"/>
        </w:rPr>
        <w:t>2、供应商在评标过程中，所进行的力图影响评标结果的不符合招标规则的活动，可能导致其被取消中标资格。</w:t>
      </w:r>
    </w:p>
    <w:p w14:paraId="2600B1E4">
      <w:pPr>
        <w:spacing w:line="440" w:lineRule="exact"/>
        <w:ind w:firstLine="539" w:firstLineChars="257"/>
        <w:rPr>
          <w:rFonts w:ascii="宋体" w:hAnsi="宋体" w:cs="宋体"/>
          <w:szCs w:val="21"/>
          <w:highlight w:val="none"/>
        </w:rPr>
      </w:pPr>
      <w:r>
        <w:rPr>
          <w:rFonts w:hint="eastAsia" w:ascii="宋体" w:hAnsi="宋体" w:cs="宋体"/>
          <w:szCs w:val="21"/>
          <w:highlight w:val="none"/>
        </w:rPr>
        <w:t>3、与磋商文件有重大偏离的投标文件将被拒绝。</w:t>
      </w:r>
    </w:p>
    <w:p w14:paraId="1971FC10">
      <w:pPr>
        <w:spacing w:line="440" w:lineRule="exact"/>
        <w:ind w:firstLine="539" w:firstLineChars="257"/>
        <w:rPr>
          <w:rFonts w:ascii="宋体" w:hAnsi="宋体" w:cs="宋体"/>
          <w:szCs w:val="21"/>
          <w:highlight w:val="none"/>
        </w:rPr>
      </w:pPr>
      <w:r>
        <w:rPr>
          <w:rFonts w:hint="eastAsia" w:ascii="宋体" w:hAnsi="宋体" w:cs="宋体"/>
          <w:szCs w:val="21"/>
          <w:highlight w:val="none"/>
        </w:rPr>
        <w:t>附：对于商务部分（投标报价）的评分，按以下方法进行：价格分统一采用</w:t>
      </w:r>
      <w:r>
        <w:rPr>
          <w:rFonts w:hint="eastAsia" w:ascii="宋体" w:hAnsi="宋体" w:cs="宋体"/>
          <w:szCs w:val="21"/>
          <w:highlight w:val="none"/>
          <w:lang w:eastAsia="zh-CN"/>
        </w:rPr>
        <w:t>高</w:t>
      </w:r>
      <w:r>
        <w:rPr>
          <w:rFonts w:hint="eastAsia" w:ascii="宋体" w:hAnsi="宋体" w:cs="宋体"/>
          <w:szCs w:val="21"/>
          <w:highlight w:val="none"/>
        </w:rPr>
        <w:t>价优先法计算，即满足磋商文件要求且评标价格最</w:t>
      </w:r>
      <w:r>
        <w:rPr>
          <w:rFonts w:hint="eastAsia" w:ascii="宋体" w:hAnsi="宋体" w:cs="宋体"/>
          <w:szCs w:val="21"/>
          <w:highlight w:val="none"/>
          <w:lang w:eastAsia="zh-CN"/>
        </w:rPr>
        <w:t>高</w:t>
      </w:r>
      <w:r>
        <w:rPr>
          <w:rFonts w:hint="eastAsia" w:ascii="宋体" w:hAnsi="宋体" w:cs="宋体"/>
          <w:szCs w:val="21"/>
          <w:highlight w:val="none"/>
        </w:rPr>
        <w:t>的报价为评标基准价，其价格分为满分。其他投标人的价格分统一按照下列公式计算：报价得分=(评标基准价／评标价格)×</w:t>
      </w:r>
      <w:r>
        <w:rPr>
          <w:rFonts w:hint="eastAsia" w:ascii="宋体" w:hAnsi="宋体" w:cs="宋体"/>
          <w:szCs w:val="21"/>
          <w:highlight w:val="none"/>
          <w:lang w:val="en-US" w:eastAsia="zh-CN"/>
        </w:rPr>
        <w:t>0</w:t>
      </w:r>
      <w:r>
        <w:rPr>
          <w:rFonts w:hint="eastAsia" w:ascii="宋体" w:hAnsi="宋体" w:cs="宋体"/>
          <w:szCs w:val="21"/>
          <w:highlight w:val="none"/>
        </w:rPr>
        <w:t>%×100</w:t>
      </w:r>
    </w:p>
    <w:bookmarkEnd w:id="86"/>
    <w:p w14:paraId="2A20406A">
      <w:pPr>
        <w:spacing w:line="440" w:lineRule="exact"/>
        <w:ind w:firstLine="539" w:firstLineChars="257"/>
        <w:rPr>
          <w:rFonts w:ascii="宋体" w:hAnsi="宋体" w:cs="宋体"/>
          <w:szCs w:val="21"/>
          <w:highlight w:val="none"/>
        </w:rPr>
      </w:pPr>
      <w:r>
        <w:rPr>
          <w:rFonts w:hint="eastAsia" w:ascii="宋体" w:hAnsi="宋体" w:cs="宋体"/>
          <w:szCs w:val="21"/>
          <w:highlight w:val="none"/>
        </w:rPr>
        <w:t>4、各评标委员会成员对每个投标人的上述指标的打分（除报价外）的算术平均分，加上经计算的报价得分，即为该投标人的最终综合评估分。评标委员会将按投标人得分顺序由高到低依次排名，得分相同的，按投标报价由低到高顺序排列。得分及报价相同的，按技术指标优劣顺序排列。得分最高投标人将成为</w:t>
      </w:r>
      <w:r>
        <w:rPr>
          <w:rFonts w:hint="eastAsia" w:ascii="宋体" w:hAnsi="宋体" w:cs="宋体"/>
          <w:szCs w:val="21"/>
          <w:highlight w:val="none"/>
          <w:lang w:eastAsia="zh-CN"/>
        </w:rPr>
        <w:t>第一</w:t>
      </w:r>
      <w:r>
        <w:rPr>
          <w:rFonts w:hint="eastAsia" w:ascii="宋体" w:hAnsi="宋体" w:cs="宋体"/>
          <w:szCs w:val="21"/>
          <w:highlight w:val="none"/>
        </w:rPr>
        <w:t>成交候选人。</w:t>
      </w:r>
    </w:p>
    <w:p w14:paraId="2CF05A03">
      <w:pPr>
        <w:spacing w:line="440" w:lineRule="exact"/>
        <w:ind w:firstLine="539" w:firstLineChars="257"/>
        <w:rPr>
          <w:rFonts w:ascii="宋体" w:hAnsi="宋体" w:cs="宋体"/>
          <w:szCs w:val="21"/>
          <w:highlight w:val="none"/>
        </w:rPr>
      </w:pPr>
      <w:r>
        <w:rPr>
          <w:rFonts w:hint="eastAsia" w:ascii="宋体" w:hAnsi="宋体" w:cs="宋体"/>
          <w:szCs w:val="21"/>
          <w:highlight w:val="none"/>
        </w:rPr>
        <w:t>5、报价不作为评标的唯一依据。</w:t>
      </w:r>
    </w:p>
    <w:bookmarkEnd w:id="80"/>
    <w:p w14:paraId="386A6526">
      <w:pPr>
        <w:snapToGrid w:val="0"/>
        <w:spacing w:line="400" w:lineRule="exact"/>
        <w:ind w:firstLine="420" w:firstLineChars="200"/>
        <w:rPr>
          <w:rFonts w:ascii="宋体" w:hAnsi="宋体"/>
          <w:b/>
          <w:szCs w:val="21"/>
          <w:highlight w:val="none"/>
        </w:rPr>
      </w:pPr>
      <w:r>
        <w:rPr>
          <w:rFonts w:hint="eastAsia" w:ascii="宋体" w:hAnsi="宋体"/>
          <w:b/>
          <w:szCs w:val="21"/>
          <w:highlight w:val="none"/>
        </w:rPr>
        <w:t>12.无效投标条款</w:t>
      </w:r>
    </w:p>
    <w:p w14:paraId="65D9A918">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12.1投标文件有下列情形之一的,其投标文件拒收:</w:t>
      </w:r>
    </w:p>
    <w:p w14:paraId="35ADD661">
      <w:pPr>
        <w:snapToGrid w:val="0"/>
        <w:spacing w:line="400" w:lineRule="exact"/>
        <w:rPr>
          <w:rFonts w:ascii="宋体" w:hAnsi="宋体" w:cs="宋体"/>
          <w:b/>
          <w:bCs/>
          <w:szCs w:val="21"/>
          <w:highlight w:val="none"/>
        </w:rPr>
      </w:pPr>
      <w:r>
        <w:rPr>
          <w:rFonts w:hint="eastAsia" w:ascii="宋体" w:hAnsi="宋体" w:cs="宋体"/>
          <w:szCs w:val="21"/>
          <w:highlight w:val="none"/>
        </w:rPr>
        <w:t xml:space="preserve">   </w:t>
      </w:r>
      <w:r>
        <w:rPr>
          <w:rFonts w:hint="eastAsia" w:ascii="宋体" w:hAnsi="宋体" w:cs="宋体"/>
          <w:b/>
          <w:bCs/>
          <w:szCs w:val="21"/>
          <w:highlight w:val="none"/>
        </w:rPr>
        <w:t xml:space="preserve"> (1) 未在开标截止时间前通过网上招标投标系统递交有效电子投标文件的，开标系统不予接收。</w:t>
      </w:r>
    </w:p>
    <w:p w14:paraId="154DBC28">
      <w:pPr>
        <w:snapToGrid w:val="0"/>
        <w:spacing w:line="400" w:lineRule="exact"/>
        <w:ind w:firstLine="420" w:firstLineChars="200"/>
        <w:rPr>
          <w:rFonts w:ascii="宋体" w:hAnsi="宋体" w:cs="宋体"/>
          <w:b/>
          <w:bCs/>
          <w:szCs w:val="21"/>
          <w:highlight w:val="none"/>
        </w:rPr>
      </w:pPr>
      <w:r>
        <w:rPr>
          <w:rFonts w:hint="eastAsia" w:ascii="宋体" w:hAnsi="宋体" w:cs="宋体"/>
          <w:b/>
          <w:bCs/>
          <w:szCs w:val="21"/>
          <w:highlight w:val="none"/>
        </w:rPr>
        <w:t>（2）</w:t>
      </w:r>
      <w:r>
        <w:rPr>
          <w:rFonts w:hint="eastAsia" w:ascii="宋体" w:hAnsi="宋体"/>
          <w:b/>
          <w:szCs w:val="21"/>
          <w:highlight w:val="none"/>
        </w:rPr>
        <w:t>所有投标人应在规定时间里完成投标文件的解密工作</w:t>
      </w:r>
      <w:r>
        <w:rPr>
          <w:rFonts w:hint="eastAsia" w:ascii="宋体" w:hAnsi="宋体"/>
          <w:b/>
          <w:bCs/>
          <w:szCs w:val="21"/>
          <w:highlight w:val="none"/>
        </w:rPr>
        <w:t>【投标人使用其有效加密锁（CA锁）进行解密（因投标人原因未能提供有效CA锁对其投标文件进行解密的，其投标文件按无效标处理），以网上招投标系统解密倒计时为准】</w:t>
      </w:r>
      <w:r>
        <w:rPr>
          <w:rFonts w:hint="eastAsia" w:ascii="宋体" w:hAnsi="宋体"/>
          <w:b/>
          <w:szCs w:val="21"/>
          <w:highlight w:val="none"/>
        </w:rPr>
        <w:t>，因系统原因未能成功解密的投标文件，可导入备份投标文件。备份投标文件也无法导入的，则投标文件被否决。</w:t>
      </w:r>
    </w:p>
    <w:p w14:paraId="741AD301">
      <w:pPr>
        <w:snapToGrid w:val="0"/>
        <w:spacing w:line="400" w:lineRule="exact"/>
        <w:rPr>
          <w:rFonts w:ascii="宋体" w:hAnsi="宋体" w:cs="宋体"/>
          <w:szCs w:val="21"/>
          <w:highlight w:val="none"/>
        </w:rPr>
      </w:pPr>
      <w:r>
        <w:rPr>
          <w:rFonts w:hint="eastAsia" w:ascii="宋体" w:hAnsi="宋体" w:cs="宋体"/>
          <w:szCs w:val="21"/>
          <w:highlight w:val="none"/>
        </w:rPr>
        <w:t xml:space="preserve">  12.2投标人有下列情形之一的,资格审查后其投标作无效投标处理：</w:t>
      </w:r>
    </w:p>
    <w:p w14:paraId="7DEBF761">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(1)法定代表人参加开标会议未携带有效的法定代表人身份证明原件和本人身份证的；委托代理人参加开标会议未携带有效的法定代表人授权书和本人身份证；</w:t>
      </w:r>
    </w:p>
    <w:p w14:paraId="67086682">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(2)投标人为本项目提供招标代理服务的；</w:t>
      </w:r>
    </w:p>
    <w:p w14:paraId="32FEA1FF">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(3)投标人与在本项目代理机构存在相互任职或工作的；</w:t>
      </w:r>
    </w:p>
    <w:p w14:paraId="1286A1F6">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(4)投标保证金未按规定要求缴纳的；</w:t>
      </w:r>
    </w:p>
    <w:p w14:paraId="02A1711E">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(5)</w:t>
      </w:r>
      <w:r>
        <w:rPr>
          <w:rFonts w:hint="eastAsia" w:ascii="宋体" w:hAnsi="宋体"/>
          <w:b/>
          <w:bCs/>
          <w:szCs w:val="21"/>
          <w:highlight w:val="none"/>
        </w:rPr>
        <w:t>评标专家无法查看并检验电子标书中相关资料的；</w:t>
      </w:r>
    </w:p>
    <w:p w14:paraId="660B64E7">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(6)联合体投标未提交联合体协议的；</w:t>
      </w:r>
    </w:p>
    <w:p w14:paraId="4059A679">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(7)被暂停营业的；</w:t>
      </w:r>
    </w:p>
    <w:p w14:paraId="53AA133F">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(8)被暂停或取消投标资格的；</w:t>
      </w:r>
    </w:p>
    <w:p w14:paraId="69978FEF">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(9)财产被接管或冻结的；</w:t>
      </w:r>
    </w:p>
    <w:p w14:paraId="7620D75B">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(10)投标人单位负责人为同一人或者存在控股、管理关系的不同单位的；</w:t>
      </w:r>
    </w:p>
    <w:p w14:paraId="409461E2">
      <w:pPr>
        <w:snapToGrid w:val="0"/>
        <w:spacing w:line="400" w:lineRule="exact"/>
        <w:ind w:firstLine="315" w:firstLineChars="150"/>
        <w:rPr>
          <w:rFonts w:ascii="宋体" w:hAnsi="宋体" w:cs="宋体"/>
          <w:szCs w:val="21"/>
          <w:highlight w:val="none"/>
        </w:rPr>
      </w:pPr>
      <w:r>
        <w:rPr>
          <w:rFonts w:hint="eastAsia" w:ascii="宋体" w:hAnsi="宋体" w:cs="宋体"/>
          <w:szCs w:val="21"/>
          <w:highlight w:val="none"/>
        </w:rPr>
        <w:t>（11）投标人基本资格条件和特定资格条件中有一项及以上不符合要求的；</w:t>
      </w:r>
    </w:p>
    <w:p w14:paraId="046E61DF">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（12）投标人使用相同的MAC地址进行报名的；</w:t>
      </w:r>
    </w:p>
    <w:p w14:paraId="71272B81">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（13）其它情形，经评标委员会委提出按无效投标处理，并经公共资源交易监督部门核准的；</w:t>
      </w:r>
    </w:p>
    <w:p w14:paraId="00B70954">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（14）投标人使用相同IP地址报名的，一经发现，监管部门将进一步核实，查实后按串通投标处理；</w:t>
      </w:r>
    </w:p>
    <w:p w14:paraId="48BDD7D1">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（15）采购文件规定的其它无效投标情形。</w:t>
      </w:r>
    </w:p>
    <w:p w14:paraId="36867643">
      <w:pPr>
        <w:snapToGrid w:val="0"/>
        <w:spacing w:line="400" w:lineRule="exact"/>
        <w:rPr>
          <w:rFonts w:ascii="宋体" w:hAnsi="宋体" w:cs="宋体"/>
          <w:szCs w:val="21"/>
          <w:highlight w:val="none"/>
        </w:rPr>
      </w:pPr>
      <w:r>
        <w:rPr>
          <w:rFonts w:hint="eastAsia" w:ascii="宋体" w:hAnsi="宋体" w:cs="宋体"/>
          <w:szCs w:val="21"/>
          <w:highlight w:val="none"/>
        </w:rPr>
        <w:t xml:space="preserve">   12.3 投标人有下列情形之一的,符合性审查后其投标按无效投标处理：</w:t>
      </w:r>
    </w:p>
    <w:p w14:paraId="0464830B">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(1) 投标文件签字、盖章不全，经评标委员会一致认定对开评标内容有实质性影响并经监督部门核准的；</w:t>
      </w:r>
    </w:p>
    <w:p w14:paraId="3E69D2D9">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(2)未按规定的格式填写，实质性内容不全或关键字迹模糊、无法辨认; 经监督部门核准的；</w:t>
      </w:r>
    </w:p>
    <w:p w14:paraId="2A289EF0">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(4)同一投标人提交两个以上不同的投标文件或者投标报价，但采购文件规定提交备选方案的除外；</w:t>
      </w:r>
    </w:p>
    <w:p w14:paraId="1AE5DED2">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(3)投标文件没有对采购文件的实质性要求和条件作出响应;</w:t>
      </w:r>
    </w:p>
    <w:p w14:paraId="4330F0D9">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(4)投标报价超出规定的投标限价或公布的采购预算的；注：投标人的投标报价各项单价均不得高于磋商文件给定的单价最高限价，否则，其投标文件将按无效投标处理。</w:t>
      </w:r>
    </w:p>
    <w:p w14:paraId="66B2BE8C">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(5)不按评标委员会要求澄清、说明或补正的，或者评标委员会根据采购文件的规定对采购文件的计算错误进行修正后，投标人不接受修正的投标报价的。</w:t>
      </w:r>
    </w:p>
    <w:p w14:paraId="79F4C707">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（6）其它情形，经评标委员会委提出按无效投标处理，并经公共资源交易监督部门核准的；</w:t>
      </w:r>
    </w:p>
    <w:p w14:paraId="73F5AA7C">
      <w:pPr>
        <w:widowControl/>
        <w:spacing w:line="500" w:lineRule="exact"/>
        <w:ind w:firstLine="420" w:firstLineChars="200"/>
        <w:jc w:val="left"/>
        <w:rPr>
          <w:rFonts w:ascii="Tahoma" w:hAnsi="Tahoma" w:eastAsia="Tahoma" w:cs="Tahoma"/>
          <w:szCs w:val="21"/>
          <w:highlight w:val="none"/>
        </w:rPr>
      </w:pPr>
      <w:r>
        <w:rPr>
          <w:rFonts w:hint="eastAsia" w:ascii="宋体" w:hAnsi="宋体" w:cs="宋体"/>
          <w:szCs w:val="21"/>
          <w:highlight w:val="none"/>
        </w:rPr>
        <w:t>（7）</w:t>
      </w:r>
      <w:r>
        <w:rPr>
          <w:rFonts w:ascii="Tahoma" w:hAnsi="Tahoma" w:eastAsia="Tahoma" w:cs="Tahoma"/>
          <w:kern w:val="0"/>
          <w:szCs w:val="21"/>
          <w:highlight w:val="none"/>
          <w:shd w:val="clear" w:color="auto" w:fill="FFFFFF"/>
          <w:lang w:bidi="ar"/>
        </w:rPr>
        <w:t>未按照</w:t>
      </w:r>
      <w:r>
        <w:rPr>
          <w:rFonts w:hint="eastAsia" w:ascii="Tahoma" w:hAnsi="Tahoma" w:cs="Tahoma"/>
          <w:kern w:val="0"/>
          <w:szCs w:val="21"/>
          <w:highlight w:val="none"/>
          <w:shd w:val="clear" w:color="auto" w:fill="FFFFFF"/>
          <w:lang w:bidi="ar"/>
        </w:rPr>
        <w:t>磋商文件</w:t>
      </w:r>
      <w:r>
        <w:rPr>
          <w:rFonts w:ascii="Tahoma" w:hAnsi="Tahoma" w:eastAsia="Tahoma" w:cs="Tahoma"/>
          <w:kern w:val="0"/>
          <w:szCs w:val="21"/>
          <w:highlight w:val="none"/>
          <w:shd w:val="clear" w:color="auto" w:fill="FFFFFF"/>
          <w:lang w:bidi="ar"/>
        </w:rPr>
        <w:t>的规定提交投标保证金的；</w:t>
      </w:r>
    </w:p>
    <w:p w14:paraId="18C8583C">
      <w:pPr>
        <w:widowControl/>
        <w:spacing w:line="500" w:lineRule="exact"/>
        <w:ind w:firstLine="420" w:firstLineChars="200"/>
        <w:jc w:val="left"/>
        <w:rPr>
          <w:rFonts w:ascii="Tahoma" w:hAnsi="Tahoma" w:eastAsia="Tahoma" w:cs="Tahoma"/>
          <w:szCs w:val="21"/>
          <w:highlight w:val="none"/>
        </w:rPr>
      </w:pPr>
      <w:r>
        <w:rPr>
          <w:rFonts w:hint="eastAsia" w:ascii="宋体" w:hAnsi="宋体" w:cs="宋体"/>
          <w:szCs w:val="21"/>
          <w:highlight w:val="none"/>
        </w:rPr>
        <w:t>（8）</w:t>
      </w:r>
      <w:r>
        <w:rPr>
          <w:rFonts w:ascii="Tahoma" w:hAnsi="Tahoma" w:eastAsia="Tahoma" w:cs="Tahoma"/>
          <w:kern w:val="0"/>
          <w:szCs w:val="21"/>
          <w:highlight w:val="none"/>
          <w:shd w:val="clear" w:color="auto" w:fill="FFFFFF"/>
          <w:lang w:bidi="ar"/>
        </w:rPr>
        <w:t>投标文件含有采购人不能接受的附加条件的;</w:t>
      </w:r>
    </w:p>
    <w:p w14:paraId="09424CAD">
      <w:pPr>
        <w:tabs>
          <w:tab w:val="left" w:pos="1123"/>
        </w:tabs>
        <w:snapToGrid w:val="0"/>
        <w:spacing w:line="500" w:lineRule="exact"/>
        <w:ind w:firstLine="420" w:firstLineChars="200"/>
        <w:rPr>
          <w:rFonts w:ascii="宋体" w:hAnsi="宋体" w:cs="宋体"/>
          <w:szCs w:val="21"/>
          <w:highlight w:val="none"/>
        </w:rPr>
      </w:pPr>
      <w:r>
        <w:rPr>
          <w:rFonts w:hint="eastAsia" w:ascii="宋体" w:hAnsi="宋体" w:cs="宋体"/>
          <w:szCs w:val="21"/>
          <w:highlight w:val="none"/>
        </w:rPr>
        <w:t>（9）采购文件规定的其它无效投标情形。</w:t>
      </w:r>
    </w:p>
    <w:p w14:paraId="30691F2B">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12.4 投标人有下列情形之一的, 详细评审后其投标按无效投标处理：</w:t>
      </w:r>
    </w:p>
    <w:p w14:paraId="269504B5">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(1)投标产品不符合必须强制执行的国家标准的；</w:t>
      </w:r>
    </w:p>
    <w:p w14:paraId="06C11607">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(2)投标人有串通投标、弄虚作假、行贿等违法行为；</w:t>
      </w:r>
    </w:p>
    <w:p w14:paraId="5E1B6C4E">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(3)投标文件含有违反国家法律、法规的内容，或附有招标人不能接受的条件的；</w:t>
      </w:r>
    </w:p>
    <w:p w14:paraId="598883A7">
      <w:pPr>
        <w:spacing w:line="360" w:lineRule="auto"/>
        <w:ind w:firstLine="315" w:firstLineChars="150"/>
        <w:rPr>
          <w:rFonts w:ascii="宋体" w:hAnsi="宋体" w:cs="宋体"/>
          <w:szCs w:val="21"/>
          <w:highlight w:val="none"/>
        </w:rPr>
      </w:pPr>
      <w:r>
        <w:rPr>
          <w:rFonts w:hint="eastAsia" w:ascii="宋体" w:hAnsi="宋体" w:cs="宋体"/>
          <w:szCs w:val="21"/>
          <w:highlight w:val="none"/>
        </w:rPr>
        <w:t>（4）在同一项目（或同一标段）中有多个投标人有效投标报价接近最高限价，且评标委员会认为报价出现异常的，可以宣布其投标无效；</w:t>
      </w:r>
    </w:p>
    <w:p w14:paraId="40CC0EA2">
      <w:pPr>
        <w:spacing w:line="360" w:lineRule="auto"/>
        <w:ind w:firstLine="315" w:firstLineChars="150"/>
        <w:rPr>
          <w:rFonts w:ascii="宋体" w:hAnsi="宋体" w:cs="宋体"/>
          <w:szCs w:val="21"/>
          <w:highlight w:val="none"/>
        </w:rPr>
      </w:pPr>
      <w:r>
        <w:rPr>
          <w:rFonts w:hint="eastAsia" w:ascii="宋体" w:hAnsi="宋体" w:cs="宋体"/>
          <w:szCs w:val="21"/>
          <w:highlight w:val="none"/>
        </w:rPr>
        <w:t>（5）</w:t>
      </w:r>
      <w:r>
        <w:rPr>
          <w:rFonts w:ascii="宋体" w:hAnsi="宋体" w:cs="宋体"/>
          <w:szCs w:val="21"/>
          <w:highlight w:val="none"/>
        </w:rPr>
        <w:t>报价明显低于其他投标人，且不能证明报价合理性的投标无效</w:t>
      </w:r>
      <w:r>
        <w:rPr>
          <w:rFonts w:hint="eastAsia" w:ascii="宋体" w:hAnsi="宋体" w:cs="宋体"/>
          <w:szCs w:val="21"/>
          <w:highlight w:val="none"/>
        </w:rPr>
        <w:t>；</w:t>
      </w:r>
    </w:p>
    <w:p w14:paraId="316A6CCF">
      <w:pPr>
        <w:spacing w:line="360" w:lineRule="auto"/>
        <w:ind w:firstLine="315" w:firstLineChars="150"/>
        <w:rPr>
          <w:rFonts w:ascii="宋体" w:hAnsi="宋体" w:cs="宋体"/>
          <w:szCs w:val="21"/>
          <w:highlight w:val="none"/>
        </w:rPr>
      </w:pPr>
      <w:r>
        <w:rPr>
          <w:rFonts w:hint="eastAsia" w:ascii="宋体" w:hAnsi="宋体" w:cs="宋体"/>
          <w:szCs w:val="21"/>
          <w:highlight w:val="none"/>
        </w:rPr>
        <w:t>（6）</w:t>
      </w:r>
      <w:r>
        <w:rPr>
          <w:rFonts w:ascii="宋体" w:hAnsi="宋体" w:cs="宋体"/>
          <w:szCs w:val="21"/>
          <w:highlight w:val="none"/>
        </w:rPr>
        <w:t>拒不确认评标委员会评审修正的投标无效</w:t>
      </w:r>
      <w:r>
        <w:rPr>
          <w:rFonts w:hint="eastAsia" w:ascii="宋体" w:hAnsi="宋体" w:cs="宋体"/>
          <w:szCs w:val="21"/>
          <w:highlight w:val="none"/>
        </w:rPr>
        <w:t>；</w:t>
      </w:r>
    </w:p>
    <w:p w14:paraId="0B516E79">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（7）其它情形，经评标委员会委提出按无效投标处理，并经公共资源交易监督部门核准的；</w:t>
      </w:r>
    </w:p>
    <w:p w14:paraId="69948ED7">
      <w:pPr>
        <w:snapToGrid w:val="0"/>
        <w:spacing w:line="400" w:lineRule="exact"/>
        <w:ind w:firstLine="420" w:firstLineChars="200"/>
        <w:rPr>
          <w:rFonts w:ascii="宋体"/>
          <w:szCs w:val="21"/>
          <w:highlight w:val="none"/>
        </w:rPr>
      </w:pPr>
      <w:r>
        <w:rPr>
          <w:rFonts w:hint="eastAsia" w:ascii="宋体" w:hAnsi="宋体" w:cs="宋体"/>
          <w:szCs w:val="21"/>
          <w:highlight w:val="none"/>
        </w:rPr>
        <w:t>（8）采购文件规定的其它无效投标情形。</w:t>
      </w:r>
    </w:p>
    <w:p w14:paraId="6098411E">
      <w:pPr>
        <w:pageBreakBefore/>
        <w:spacing w:line="360" w:lineRule="auto"/>
        <w:jc w:val="center"/>
        <w:outlineLvl w:val="0"/>
        <w:rPr>
          <w:rFonts w:ascii="宋体"/>
          <w:b/>
          <w:sz w:val="32"/>
          <w:szCs w:val="32"/>
          <w:highlight w:val="none"/>
        </w:rPr>
        <w:sectPr>
          <w:headerReference r:id="rId3" w:type="default"/>
          <w:footerReference r:id="rId4" w:type="default"/>
          <w:pgSz w:w="11906" w:h="16838"/>
          <w:pgMar w:top="1157" w:right="969" w:bottom="1157" w:left="969" w:header="851" w:footer="992" w:gutter="0"/>
          <w:pgNumType w:start="1"/>
          <w:cols w:space="720" w:num="1"/>
          <w:docGrid w:type="linesAndChars" w:linePitch="312" w:charSpace="0"/>
        </w:sectPr>
      </w:pPr>
      <w:bookmarkStart w:id="87" w:name="OLE_LINK4"/>
    </w:p>
    <w:p w14:paraId="6D6C1C4E">
      <w:pPr>
        <w:pageBreakBefore/>
        <w:numPr>
          <w:ilvl w:val="0"/>
          <w:numId w:val="7"/>
        </w:numPr>
        <w:spacing w:line="360" w:lineRule="auto"/>
        <w:jc w:val="center"/>
        <w:outlineLvl w:val="0"/>
        <w:rPr>
          <w:rFonts w:hAnsi="宋体"/>
          <w:b/>
          <w:sz w:val="28"/>
          <w:szCs w:val="28"/>
          <w:highlight w:val="none"/>
        </w:rPr>
      </w:pPr>
      <w:r>
        <w:rPr>
          <w:rFonts w:hint="eastAsia" w:ascii="宋体"/>
          <w:b/>
          <w:sz w:val="32"/>
          <w:szCs w:val="32"/>
          <w:highlight w:val="none"/>
        </w:rPr>
        <w:t xml:space="preserve"> </w:t>
      </w:r>
      <w:bookmarkEnd w:id="81"/>
      <w:r>
        <w:rPr>
          <w:rFonts w:hint="eastAsia" w:ascii="宋体"/>
          <w:b/>
          <w:sz w:val="32"/>
          <w:szCs w:val="32"/>
          <w:highlight w:val="none"/>
        </w:rPr>
        <w:t>招标项目技术要求及服务内容</w:t>
      </w:r>
    </w:p>
    <w:p w14:paraId="64A12CF6">
      <w:pPr>
        <w:rPr>
          <w:rFonts w:hint="eastAsia"/>
          <w:b/>
          <w:bCs/>
        </w:rPr>
      </w:pPr>
      <w:r>
        <w:rPr>
          <w:rFonts w:hint="eastAsia" w:eastAsia="宋体"/>
          <w:b/>
          <w:bCs/>
          <w:lang w:eastAsia="zh-CN"/>
        </w:rPr>
        <w:t>一、</w:t>
      </w:r>
      <w:r>
        <w:rPr>
          <w:rFonts w:hint="eastAsia"/>
          <w:b/>
          <w:bCs/>
        </w:rPr>
        <w:t>发放项目</w:t>
      </w:r>
    </w:p>
    <w:p w14:paraId="7C9BD09C">
      <w:pPr>
        <w:ind w:firstLine="486" w:firstLineChars="200"/>
        <w:rPr>
          <w:rFonts w:hint="eastAsia" w:ascii="宋体" w:hAnsi="Arial" w:eastAsia="Arial" w:cs="Arial"/>
          <w:snapToGrid w:val="0"/>
          <w:color w:val="000000"/>
          <w:kern w:val="0"/>
          <w:sz w:val="24"/>
          <w:szCs w:val="21"/>
          <w:highlight w:val="none"/>
          <w:lang w:val="en-US" w:eastAsia="zh-CN" w:bidi="ar-SA"/>
        </w:rPr>
      </w:pPr>
      <w:r>
        <w:rPr>
          <w:rFonts w:hint="eastAsia" w:ascii="宋体" w:hAnsi="Arial" w:eastAsia="Arial" w:cs="Arial"/>
          <w:snapToGrid w:val="0"/>
          <w:color w:val="000000"/>
          <w:kern w:val="0"/>
          <w:sz w:val="24"/>
          <w:szCs w:val="21"/>
          <w:highlight w:val="none"/>
          <w:lang w:val="en-US" w:eastAsia="zh-CN" w:bidi="ar-SA"/>
        </w:rPr>
        <w:t>教育领域学生资助纳入惠民惠农“一卡通”发放范围，具体为：负责本专科生国家奖学金和助学金、本专科生国家励志奖学金、服兵役高等学校学生国家教育资助、基层就业学费补偿国家助学贷款代偿、普通高中资助一国家助学金、城乡义务教育家庭经济困难学生活补助、中等职业学校资助一国家奖学金、中等职业学校资助一国家助学金等其他需要代发的惠民惠农补贴。</w:t>
      </w:r>
    </w:p>
    <w:p w14:paraId="300E9130">
      <w:pPr>
        <w:rPr>
          <w:rFonts w:hint="eastAsia"/>
          <w:b/>
          <w:bCs/>
        </w:rPr>
      </w:pPr>
      <w:r>
        <w:rPr>
          <w:rFonts w:hint="eastAsia"/>
          <w:b/>
          <w:bCs/>
        </w:rPr>
        <w:t>二、发放时间</w:t>
      </w:r>
    </w:p>
    <w:p w14:paraId="4EC79A83">
      <w:pPr>
        <w:ind w:firstLine="486" w:firstLineChars="200"/>
        <w:rPr>
          <w:rFonts w:hint="eastAsia" w:ascii="宋体" w:hAnsi="Arial" w:eastAsia="Arial" w:cs="Arial"/>
          <w:snapToGrid w:val="0"/>
          <w:color w:val="000000"/>
          <w:kern w:val="0"/>
          <w:sz w:val="24"/>
          <w:szCs w:val="21"/>
          <w:highlight w:val="none"/>
          <w:lang w:val="en-US" w:eastAsia="zh-CN" w:bidi="ar-SA"/>
        </w:rPr>
      </w:pPr>
      <w:r>
        <w:rPr>
          <w:rFonts w:hint="eastAsia" w:ascii="宋体" w:hAnsi="Arial" w:eastAsia="Arial" w:cs="Arial"/>
          <w:snapToGrid w:val="0"/>
          <w:color w:val="000000"/>
          <w:kern w:val="0"/>
          <w:sz w:val="24"/>
          <w:szCs w:val="21"/>
          <w:highlight w:val="none"/>
          <w:lang w:val="en-US" w:eastAsia="zh-CN" w:bidi="ar-SA"/>
        </w:rPr>
        <w:t>每次按甲方规定完成发放工作。</w:t>
      </w:r>
    </w:p>
    <w:p w14:paraId="1DDE413F">
      <w:pPr>
        <w:pStyle w:val="39"/>
        <w:ind w:left="0" w:leftChars="0" w:firstLine="0" w:firstLineChars="0"/>
        <w:rPr>
          <w:rFonts w:hint="eastAsia" w:ascii="宋体"/>
          <w:b/>
          <w:bCs/>
          <w:szCs w:val="21"/>
          <w:highlight w:val="none"/>
          <w:lang w:eastAsia="zh-CN"/>
        </w:rPr>
      </w:pPr>
      <w:r>
        <w:rPr>
          <w:rFonts w:hint="eastAsia" w:ascii="宋体"/>
          <w:b/>
          <w:bCs/>
          <w:szCs w:val="21"/>
          <w:highlight w:val="none"/>
          <w:lang w:eastAsia="zh-CN"/>
        </w:rPr>
        <w:t>三、发放惠民惠农财政补贴资金的工作要求</w:t>
      </w:r>
    </w:p>
    <w:p w14:paraId="60B20DDA">
      <w:pPr>
        <w:pStyle w:val="39"/>
        <w:rPr>
          <w:rFonts w:hint="eastAsia" w:ascii="宋体"/>
          <w:szCs w:val="21"/>
          <w:highlight w:val="none"/>
          <w:lang w:eastAsia="zh-CN"/>
        </w:rPr>
      </w:pPr>
      <w:r>
        <w:rPr>
          <w:rFonts w:hint="eastAsia" w:ascii="宋体"/>
          <w:szCs w:val="21"/>
          <w:highlight w:val="none"/>
          <w:lang w:eastAsia="zh-CN"/>
        </w:rPr>
        <w:t>银行作为惠民惠农财政补贴资金个人社保卡发放代理银行，确保向补贴对象提供高效、优质的金融服务。一是根据财政部门通过“一卡通”系统发送的补贴资金发放数据，在3个工作日内统一将补贴资金划拨至补贴对象社会保障卡金融账户 ;二是及时向财政部门和业务主管部门反馈发放信息，并将发放失败的补贴资金原渠道退回;三是按照有关规定为补贴对象免费新办，补办社保卡,提供便捷的查询服务;四是免费提供补贴信息告知服务,告知补贴对象补贴项目名称、发放金额，发放时间等内容。</w:t>
      </w:r>
    </w:p>
    <w:p w14:paraId="46B211AE">
      <w:pPr>
        <w:pStyle w:val="39"/>
        <w:rPr>
          <w:rFonts w:hint="eastAsia" w:ascii="宋体"/>
          <w:szCs w:val="21"/>
          <w:highlight w:val="none"/>
          <w:lang w:eastAsia="zh-CN"/>
        </w:rPr>
      </w:pPr>
      <w:r>
        <w:rPr>
          <w:rFonts w:hint="eastAsia" w:ascii="宋体"/>
          <w:szCs w:val="21"/>
          <w:highlight w:val="none"/>
          <w:lang w:eastAsia="zh-CN"/>
        </w:rPr>
        <w:t>(一)严格按政策发放。银行每月(次)按财政局、业务主管部门提供的实名制发放表，及时、精准、足额发放到人到户，为补贴对象提供便捷的补换卡和取款服务。为补贴对象补换社保卡、支取补贴资金等提供便利服务，不得在补贴发放业务中额外收取费用。</w:t>
      </w:r>
    </w:p>
    <w:p w14:paraId="7E98E272">
      <w:pPr>
        <w:pStyle w:val="39"/>
        <w:rPr>
          <w:rFonts w:hint="eastAsia" w:ascii="宋体"/>
          <w:color w:val="auto"/>
          <w:szCs w:val="21"/>
          <w:highlight w:val="none"/>
          <w:lang w:eastAsia="zh-CN"/>
        </w:rPr>
      </w:pPr>
      <w:r>
        <w:rPr>
          <w:rFonts w:hint="eastAsia" w:ascii="宋体"/>
          <w:color w:val="auto"/>
          <w:szCs w:val="21"/>
          <w:highlight w:val="none"/>
          <w:lang w:eastAsia="zh-CN"/>
        </w:rPr>
        <w:t>(二)严格发放时间。银行每月(次)在收到财政补贴资金和实名制发放表后的3日内，将补贴资金发放到补贴对象的社保卡中，完成发放工作(包括跨行发放补贴业务)。</w:t>
      </w:r>
    </w:p>
    <w:p w14:paraId="1FF7053D">
      <w:pPr>
        <w:pStyle w:val="39"/>
        <w:rPr>
          <w:rFonts w:hint="eastAsia" w:ascii="宋体"/>
          <w:szCs w:val="21"/>
          <w:highlight w:val="none"/>
          <w:lang w:eastAsia="zh-CN"/>
        </w:rPr>
      </w:pPr>
      <w:r>
        <w:rPr>
          <w:rFonts w:hint="eastAsia" w:ascii="宋体"/>
          <w:szCs w:val="21"/>
          <w:highlight w:val="none"/>
          <w:lang w:eastAsia="zh-CN"/>
        </w:rPr>
        <w:t>(三)严格发送到账信息。银行每月(次)发放补贴资金的同时，免费向补贴对象发送短信，让发放对象及时知晓资金到账情况。发送到账信息内容包含补贴项目名称、享受补贴月份(季度、年)、金额等内容。</w:t>
      </w:r>
    </w:p>
    <w:p w14:paraId="56EFEB5F">
      <w:pPr>
        <w:pStyle w:val="39"/>
        <w:rPr>
          <w:rFonts w:hint="eastAsia" w:ascii="宋体"/>
          <w:szCs w:val="21"/>
          <w:highlight w:val="none"/>
          <w:lang w:eastAsia="zh-CN"/>
        </w:rPr>
      </w:pPr>
      <w:r>
        <w:rPr>
          <w:rFonts w:hint="eastAsia" w:ascii="宋体"/>
          <w:szCs w:val="21"/>
          <w:highlight w:val="none"/>
          <w:lang w:eastAsia="zh-CN"/>
        </w:rPr>
        <w:t>(四)严格反馈发放情况。银行每月(次)发放补贴资金完毕后2日内，要将发放情况向财政局、业务主管部门报告，并提供实名制发放清单，按时相关部门打印提供发放成功流水账。</w:t>
      </w:r>
    </w:p>
    <w:p w14:paraId="5EAAE3AC">
      <w:pPr>
        <w:pStyle w:val="39"/>
        <w:rPr>
          <w:rFonts w:hint="eastAsia" w:ascii="宋体"/>
          <w:szCs w:val="21"/>
          <w:highlight w:val="none"/>
          <w:lang w:eastAsia="zh-CN"/>
        </w:rPr>
      </w:pPr>
      <w:r>
        <w:rPr>
          <w:rFonts w:hint="eastAsia" w:ascii="宋体"/>
          <w:szCs w:val="21"/>
          <w:highlight w:val="none"/>
          <w:lang w:eastAsia="zh-CN"/>
        </w:rPr>
        <w:t>(五)认真做好群众服务。在市域内公告每项惠民惠农财政补贴政策、发放形式，同时公布财政局局长、业务主管部门和银行的行长(主任)，以及各部门业务证办人员的姓名、电话，主动接受补贴对象的政策咨询和问询。</w:t>
      </w:r>
    </w:p>
    <w:p w14:paraId="74800616">
      <w:pPr>
        <w:pStyle w:val="39"/>
        <w:rPr>
          <w:rFonts w:hint="eastAsia" w:ascii="宋体"/>
          <w:szCs w:val="21"/>
          <w:highlight w:val="none"/>
          <w:lang w:eastAsia="zh-CN"/>
        </w:rPr>
      </w:pPr>
      <w:r>
        <w:rPr>
          <w:rFonts w:hint="eastAsia" w:ascii="宋体"/>
          <w:szCs w:val="21"/>
          <w:highlight w:val="none"/>
          <w:lang w:eastAsia="zh-CN"/>
        </w:rPr>
        <w:t>四、工作具体内容</w:t>
      </w:r>
    </w:p>
    <w:p w14:paraId="20287833">
      <w:pPr>
        <w:pStyle w:val="39"/>
        <w:rPr>
          <w:rFonts w:hint="eastAsia" w:ascii="宋体"/>
          <w:szCs w:val="21"/>
          <w:highlight w:val="none"/>
          <w:lang w:eastAsia="zh-CN"/>
        </w:rPr>
      </w:pPr>
      <w:r>
        <w:rPr>
          <w:rFonts w:hint="eastAsia" w:ascii="宋体"/>
          <w:szCs w:val="21"/>
          <w:highlight w:val="none"/>
          <w:lang w:eastAsia="zh-CN"/>
        </w:rPr>
        <w:t>1．服务代理银行须在本市区域内或新城区域内至少有1家营业网点；</w:t>
      </w:r>
    </w:p>
    <w:p w14:paraId="24644185">
      <w:pPr>
        <w:pStyle w:val="39"/>
        <w:rPr>
          <w:rFonts w:hint="eastAsia" w:ascii="宋体"/>
          <w:szCs w:val="21"/>
          <w:highlight w:val="none"/>
          <w:lang w:eastAsia="zh-CN"/>
        </w:rPr>
      </w:pPr>
      <w:r>
        <w:rPr>
          <w:rFonts w:hint="eastAsia" w:ascii="宋体"/>
          <w:szCs w:val="21"/>
          <w:highlight w:val="none"/>
          <w:lang w:eastAsia="zh-CN"/>
        </w:rPr>
        <w:t>2．服务代理银行需具备长期服务基层广大人民群众、服务态度好、服务质量优、群众反响好的条件；</w:t>
      </w:r>
    </w:p>
    <w:p w14:paraId="0C27465D">
      <w:pPr>
        <w:pStyle w:val="39"/>
        <w:rPr>
          <w:rFonts w:hint="eastAsia" w:ascii="宋体"/>
          <w:szCs w:val="21"/>
          <w:highlight w:val="none"/>
          <w:lang w:eastAsia="zh-CN"/>
        </w:rPr>
      </w:pPr>
      <w:r>
        <w:rPr>
          <w:rFonts w:hint="eastAsia" w:ascii="宋体"/>
          <w:szCs w:val="21"/>
          <w:highlight w:val="none"/>
          <w:lang w:eastAsia="zh-CN"/>
        </w:rPr>
        <w:t>3．服务代理银行支付系统需实现与预算管理一体化系统，以及财政惠民惠农补贴“一卡通”管理系统无缝对接，能够提供惠民惠农财政补贴“一卡通”管理系统硬件、软件购置费、系统维护费和相关配套业务费，保证补贴资金的正常发放。</w:t>
      </w:r>
    </w:p>
    <w:p w14:paraId="6917E911">
      <w:pPr>
        <w:pStyle w:val="39"/>
        <w:rPr>
          <w:rFonts w:hint="eastAsia" w:ascii="宋体"/>
          <w:szCs w:val="21"/>
          <w:highlight w:val="none"/>
          <w:lang w:eastAsia="zh-CN"/>
        </w:rPr>
      </w:pPr>
      <w:r>
        <w:rPr>
          <w:rFonts w:hint="eastAsia" w:ascii="宋体"/>
          <w:szCs w:val="21"/>
          <w:highlight w:val="none"/>
          <w:lang w:eastAsia="zh-CN"/>
        </w:rPr>
        <w:t>4．服务代理银行需具备综合素质高、熟练代理财政业务、人员稳定的专业服务团队，能够满足3人以上专人负责办理惠民惠农财政补贴资金代发业务，全力保障财政及行业主管部门的各项业务对接。</w:t>
      </w:r>
    </w:p>
    <w:p w14:paraId="0E7772C6">
      <w:pPr>
        <w:pStyle w:val="39"/>
        <w:rPr>
          <w:rFonts w:hint="eastAsia" w:ascii="宋体"/>
          <w:szCs w:val="21"/>
          <w:highlight w:val="none"/>
          <w:lang w:eastAsia="zh-CN"/>
        </w:rPr>
      </w:pPr>
      <w:r>
        <w:rPr>
          <w:rFonts w:hint="eastAsia" w:ascii="宋体"/>
          <w:szCs w:val="21"/>
          <w:highlight w:val="none"/>
          <w:lang w:eastAsia="zh-CN"/>
        </w:rPr>
        <w:t>5．服务代理银行需按照行业主管部门提供的实名制代发数据，先进行模拟打卡，模拟打卡无误后再进行实际打卡发放，保证支付成功率；</w:t>
      </w:r>
    </w:p>
    <w:p w14:paraId="7B3CEC34">
      <w:pPr>
        <w:pStyle w:val="39"/>
        <w:rPr>
          <w:rFonts w:hint="eastAsia" w:ascii="宋体"/>
          <w:szCs w:val="21"/>
          <w:highlight w:val="none"/>
          <w:lang w:eastAsia="zh-CN"/>
        </w:rPr>
      </w:pPr>
      <w:r>
        <w:rPr>
          <w:rFonts w:hint="eastAsia" w:ascii="宋体"/>
          <w:szCs w:val="21"/>
          <w:highlight w:val="none"/>
          <w:lang w:eastAsia="zh-CN"/>
        </w:rPr>
        <w:t>6．服务代理银行按月（次）在收到补贴资金和实名制发放表后，需在3个工作日内，将补贴资金发放到补贴对象社保卡中；</w:t>
      </w:r>
    </w:p>
    <w:p w14:paraId="5F34B1EF">
      <w:pPr>
        <w:pStyle w:val="39"/>
        <w:rPr>
          <w:rFonts w:hint="eastAsia" w:ascii="宋体"/>
          <w:szCs w:val="21"/>
          <w:highlight w:val="none"/>
          <w:lang w:eastAsia="zh-CN"/>
        </w:rPr>
      </w:pPr>
      <w:r>
        <w:rPr>
          <w:rFonts w:hint="eastAsia" w:ascii="宋体"/>
          <w:szCs w:val="21"/>
          <w:highlight w:val="none"/>
          <w:lang w:eastAsia="zh-CN"/>
        </w:rPr>
        <w:t>7．服务代理银行在发放补贴的同时，需向补贴对象免费发送短信，具体告知补贴项目名称、金额，让补贴对象及时知晓资金到账情况；无短信告知的资金项目，需向行业主管部门提供纸质版进行告知；</w:t>
      </w:r>
    </w:p>
    <w:p w14:paraId="4AFABDF2">
      <w:pPr>
        <w:pStyle w:val="39"/>
        <w:rPr>
          <w:rFonts w:hint="eastAsia" w:ascii="宋体"/>
          <w:szCs w:val="21"/>
          <w:highlight w:val="none"/>
          <w:lang w:eastAsia="zh-CN"/>
        </w:rPr>
      </w:pPr>
      <w:r>
        <w:rPr>
          <w:rFonts w:hint="eastAsia" w:ascii="宋体"/>
          <w:szCs w:val="21"/>
          <w:highlight w:val="none"/>
          <w:lang w:eastAsia="zh-CN"/>
        </w:rPr>
        <w:t>8．服务代理银行向补贴对象打卡发放后，需在2个工作日内向财政、行业主管部门反馈打卡发放情况，提供一式3联打卡发放流水清单（包含成功和未成功明细两部分笔数、内容及金额，未成功应标注原因）；</w:t>
      </w:r>
    </w:p>
    <w:p w14:paraId="02DA4166">
      <w:pPr>
        <w:pStyle w:val="39"/>
        <w:rPr>
          <w:rFonts w:hint="eastAsia" w:ascii="宋体"/>
          <w:szCs w:val="21"/>
          <w:highlight w:val="none"/>
          <w:lang w:eastAsia="zh-CN"/>
        </w:rPr>
      </w:pPr>
      <w:r>
        <w:rPr>
          <w:rFonts w:hint="eastAsia" w:ascii="宋体"/>
          <w:szCs w:val="21"/>
          <w:highlight w:val="none"/>
          <w:lang w:eastAsia="zh-CN"/>
        </w:rPr>
        <w:t>9．服务代理银行对发放失败的补贴资金，需主动配合行业主管部门查明原因，需在3个工作日内，由行业主管部门重新核实后，服务代理银行进行二次打卡发放，直至发放成功，同时并向财政、行业主管部门提供一式3联成功打卡发放明细清单；</w:t>
      </w:r>
    </w:p>
    <w:p w14:paraId="22F95C94">
      <w:pPr>
        <w:pStyle w:val="39"/>
        <w:rPr>
          <w:rFonts w:hint="eastAsia" w:ascii="宋体"/>
          <w:szCs w:val="21"/>
          <w:highlight w:val="none"/>
          <w:lang w:eastAsia="zh-CN"/>
        </w:rPr>
      </w:pPr>
      <w:r>
        <w:rPr>
          <w:rFonts w:hint="eastAsia" w:ascii="宋体"/>
          <w:szCs w:val="21"/>
          <w:highlight w:val="none"/>
          <w:lang w:eastAsia="zh-CN"/>
        </w:rPr>
        <w:t>10．服务代理银行需按照财政部门和行业主管部门的要求，在月末、季度和年终做好资金清算及对账工作；</w:t>
      </w:r>
    </w:p>
    <w:p w14:paraId="219BA1D6">
      <w:pPr>
        <w:pStyle w:val="39"/>
        <w:rPr>
          <w:rFonts w:hint="eastAsia" w:ascii="宋体"/>
          <w:szCs w:val="21"/>
          <w:highlight w:val="none"/>
          <w:lang w:eastAsia="zh-CN"/>
        </w:rPr>
      </w:pPr>
      <w:r>
        <w:rPr>
          <w:rFonts w:hint="eastAsia" w:ascii="宋体"/>
          <w:szCs w:val="21"/>
          <w:highlight w:val="none"/>
          <w:lang w:eastAsia="zh-CN"/>
        </w:rPr>
        <w:t>11．服务代理银行需免费提供行内或跨行补贴资金代发业务，减免账户管理费、服务费等；按照“一户一卡”的要求，免费、及时为补贴对象新办、补办“一卡通”社保卡、免收年审费、手续费，免费开通手机短信告知业务。同时不得从代发的惠民惠农补贴资金中扣划贷款；</w:t>
      </w:r>
    </w:p>
    <w:p w14:paraId="52293FEB">
      <w:pPr>
        <w:pStyle w:val="39"/>
        <w:rPr>
          <w:rFonts w:hint="eastAsia" w:ascii="宋体"/>
          <w:szCs w:val="21"/>
          <w:highlight w:val="none"/>
          <w:lang w:eastAsia="zh-CN"/>
        </w:rPr>
      </w:pPr>
      <w:r>
        <w:rPr>
          <w:rFonts w:hint="eastAsia" w:ascii="宋体"/>
          <w:szCs w:val="21"/>
          <w:highlight w:val="none"/>
          <w:lang w:eastAsia="zh-CN"/>
        </w:rPr>
        <w:t>12．服务代理银行需按月向财政、行业主管部门提供代理服务问卷调查汇总评分表；</w:t>
      </w:r>
    </w:p>
    <w:p w14:paraId="15B8F96F">
      <w:pPr>
        <w:pStyle w:val="39"/>
        <w:rPr>
          <w:rFonts w:hint="eastAsia" w:ascii="宋体"/>
          <w:szCs w:val="21"/>
          <w:highlight w:val="none"/>
          <w:lang w:eastAsia="zh-CN"/>
        </w:rPr>
      </w:pPr>
      <w:r>
        <w:rPr>
          <w:rFonts w:hint="eastAsia" w:ascii="宋体"/>
          <w:szCs w:val="21"/>
          <w:highlight w:val="none"/>
          <w:lang w:eastAsia="zh-CN"/>
        </w:rPr>
        <w:t>13．服务代理银行需在各大营业厅及网点设置惠民惠农财政补贴资金专用“绿色通道”窗口，方便补贴对象支取，能够保证补贴对象随时取款用款，不得以库款不足、系统不稳定、业务人员外出等任何理由和借口阻碍服务对象提现取款，对行动不便等特殊人群提供上门服务，最大程度满足人民群众需求；</w:t>
      </w:r>
    </w:p>
    <w:p w14:paraId="04D75B69">
      <w:pPr>
        <w:pStyle w:val="39"/>
        <w:rPr>
          <w:rFonts w:hint="eastAsia" w:ascii="宋体"/>
          <w:szCs w:val="21"/>
          <w:highlight w:val="none"/>
          <w:lang w:eastAsia="zh-CN"/>
        </w:rPr>
      </w:pPr>
      <w:r>
        <w:rPr>
          <w:rFonts w:hint="eastAsia" w:ascii="宋体"/>
          <w:szCs w:val="21"/>
          <w:highlight w:val="none"/>
          <w:lang w:eastAsia="zh-CN"/>
        </w:rPr>
        <w:t>14．服务代理银行需积极配合州财政惠民惠农财政补贴“一卡通”管理系统建设要求，在每个基层网点最少配置一台以上查询机，方便补贴对象实时查询补贴数据；</w:t>
      </w:r>
    </w:p>
    <w:p w14:paraId="4996B5E1">
      <w:pPr>
        <w:pStyle w:val="39"/>
        <w:rPr>
          <w:rFonts w:hint="eastAsia" w:ascii="宋体"/>
          <w:szCs w:val="21"/>
          <w:highlight w:val="none"/>
          <w:lang w:eastAsia="zh-CN"/>
        </w:rPr>
      </w:pPr>
      <w:r>
        <w:rPr>
          <w:rFonts w:hint="eastAsia" w:ascii="宋体"/>
          <w:szCs w:val="21"/>
          <w:highlight w:val="none"/>
          <w:lang w:eastAsia="zh-CN"/>
        </w:rPr>
        <w:t>15．服务代理银行需加强对广大人民群众社保卡使用常识和相关金融法规宣传，做到家喻户晓；</w:t>
      </w:r>
    </w:p>
    <w:p w14:paraId="3BFF8037">
      <w:pPr>
        <w:pStyle w:val="39"/>
        <w:rPr>
          <w:rFonts w:hint="eastAsia" w:ascii="宋体"/>
          <w:szCs w:val="21"/>
          <w:highlight w:val="none"/>
          <w:lang w:eastAsia="zh-CN"/>
        </w:rPr>
      </w:pPr>
      <w:r>
        <w:rPr>
          <w:rFonts w:hint="eastAsia" w:ascii="宋体"/>
          <w:szCs w:val="21"/>
          <w:highlight w:val="none"/>
          <w:lang w:eastAsia="zh-CN"/>
        </w:rPr>
        <w:t>16．服务代理银行务必做好代发信息及保密工作，未经批准不得向任何第三方提供补贴对象数据和资料，如有失泄密发生，承担相应的法律责任。</w:t>
      </w:r>
    </w:p>
    <w:p w14:paraId="163A88D1">
      <w:pPr>
        <w:pStyle w:val="39"/>
        <w:rPr>
          <w:rFonts w:hint="eastAsia" w:ascii="宋体"/>
          <w:szCs w:val="21"/>
          <w:highlight w:val="none"/>
          <w:lang w:eastAsia="zh-CN"/>
        </w:rPr>
      </w:pPr>
      <w:r>
        <w:rPr>
          <w:rFonts w:hint="eastAsia" w:ascii="宋体"/>
          <w:szCs w:val="21"/>
          <w:highlight w:val="none"/>
          <w:lang w:eastAsia="zh-CN"/>
        </w:rPr>
        <w:t>17、开展财政资金监督检查工作，并出具检查报告。</w:t>
      </w:r>
    </w:p>
    <w:p w14:paraId="610CF41A">
      <w:pPr>
        <w:pStyle w:val="39"/>
        <w:rPr>
          <w:rFonts w:hint="eastAsia" w:ascii="宋体"/>
          <w:szCs w:val="21"/>
          <w:highlight w:val="none"/>
        </w:rPr>
      </w:pPr>
      <w:r>
        <w:rPr>
          <w:rFonts w:hint="eastAsia" w:ascii="宋体"/>
          <w:szCs w:val="21"/>
          <w:highlight w:val="none"/>
          <w:lang w:eastAsia="zh-CN"/>
        </w:rPr>
        <w:t>四</w:t>
      </w:r>
      <w:r>
        <w:rPr>
          <w:rFonts w:hint="eastAsia" w:ascii="宋体"/>
          <w:szCs w:val="21"/>
          <w:highlight w:val="none"/>
        </w:rPr>
        <w:t>、项目类型：本项目属于其他未列明行业项目。</w:t>
      </w:r>
    </w:p>
    <w:p w14:paraId="2245456B">
      <w:pPr>
        <w:pStyle w:val="39"/>
        <w:rPr>
          <w:rFonts w:hint="eastAsia" w:ascii="宋体"/>
          <w:szCs w:val="21"/>
          <w:highlight w:val="none"/>
        </w:rPr>
      </w:pPr>
      <w:r>
        <w:rPr>
          <w:rFonts w:hint="eastAsia" w:ascii="宋体"/>
          <w:szCs w:val="21"/>
          <w:highlight w:val="none"/>
          <w:lang w:eastAsia="zh-CN"/>
        </w:rPr>
        <w:t>五</w:t>
      </w:r>
      <w:r>
        <w:rPr>
          <w:rFonts w:hint="eastAsia" w:ascii="宋体"/>
          <w:szCs w:val="21"/>
          <w:highlight w:val="none"/>
        </w:rPr>
        <w:t xml:space="preserve"> 、合同签订时间及地点：</w:t>
      </w:r>
    </w:p>
    <w:p w14:paraId="01592505">
      <w:pPr>
        <w:pStyle w:val="39"/>
        <w:rPr>
          <w:rFonts w:hint="eastAsia" w:ascii="宋体"/>
          <w:szCs w:val="21"/>
          <w:highlight w:val="none"/>
        </w:rPr>
      </w:pPr>
      <w:r>
        <w:rPr>
          <w:rFonts w:hint="eastAsia" w:ascii="宋体"/>
          <w:szCs w:val="21"/>
          <w:highlight w:val="none"/>
        </w:rPr>
        <w:t>时间：采购人应当自中标通知书发出之日起30日内，按照招标文件和中标人投标文件的规定，与中标人签订书面合同。所签订的合同不得对招标文件确定的事项和中标人投标文件作实质性修改。</w:t>
      </w:r>
    </w:p>
    <w:p w14:paraId="668FC763">
      <w:pPr>
        <w:pStyle w:val="39"/>
        <w:rPr>
          <w:rFonts w:hint="eastAsia" w:ascii="宋体" w:eastAsia="宋体"/>
          <w:szCs w:val="21"/>
          <w:highlight w:val="none"/>
          <w:lang w:eastAsia="zh-CN"/>
        </w:rPr>
      </w:pPr>
      <w:r>
        <w:rPr>
          <w:rFonts w:hint="eastAsia" w:ascii="宋体"/>
          <w:szCs w:val="21"/>
          <w:highlight w:val="none"/>
        </w:rPr>
        <w:t>地点：</w:t>
      </w:r>
      <w:r>
        <w:rPr>
          <w:rFonts w:hint="eastAsia" w:ascii="宋体"/>
          <w:szCs w:val="21"/>
          <w:highlight w:val="none"/>
          <w:lang w:eastAsia="zh-CN"/>
        </w:rPr>
        <w:t>克州财政局</w:t>
      </w:r>
      <w:r>
        <w:rPr>
          <w:rFonts w:hint="eastAsia" w:ascii="宋体" w:eastAsia="宋体"/>
          <w:szCs w:val="21"/>
          <w:highlight w:val="none"/>
          <w:lang w:eastAsia="zh-CN"/>
        </w:rPr>
        <w:t>乡财科</w:t>
      </w:r>
    </w:p>
    <w:p w14:paraId="57D70306">
      <w:pPr>
        <w:pStyle w:val="39"/>
        <w:rPr>
          <w:rFonts w:hint="eastAsia" w:ascii="宋体" w:eastAsia="宋体"/>
          <w:szCs w:val="21"/>
          <w:highlight w:val="none"/>
          <w:lang w:eastAsia="zh-CN"/>
        </w:rPr>
      </w:pPr>
    </w:p>
    <w:p w14:paraId="0830FF43">
      <w:pPr>
        <w:ind w:firstLine="426" w:firstLineChars="200"/>
      </w:pPr>
    </w:p>
    <w:p w14:paraId="0C7C461C">
      <w:pPr>
        <w:pStyle w:val="39"/>
        <w:rPr>
          <w:rFonts w:ascii="宋体"/>
          <w:color w:val="FF0000"/>
          <w:szCs w:val="21"/>
          <w:highlight w:val="none"/>
        </w:rPr>
      </w:pPr>
    </w:p>
    <w:p w14:paraId="500197D8">
      <w:pPr>
        <w:pStyle w:val="39"/>
        <w:rPr>
          <w:rFonts w:ascii="宋体"/>
          <w:szCs w:val="21"/>
          <w:highlight w:val="none"/>
        </w:rPr>
      </w:pPr>
    </w:p>
    <w:bookmarkEnd w:id="87"/>
    <w:p w14:paraId="58F7A0CE">
      <w:pPr>
        <w:rPr>
          <w:rFonts w:hint="eastAsia" w:ascii="宋体"/>
          <w:b/>
          <w:sz w:val="30"/>
          <w:szCs w:val="30"/>
          <w:highlight w:val="none"/>
        </w:rPr>
      </w:pPr>
      <w:r>
        <w:rPr>
          <w:rFonts w:hint="eastAsia" w:ascii="宋体"/>
          <w:b/>
          <w:sz w:val="30"/>
          <w:szCs w:val="30"/>
          <w:highlight w:val="none"/>
        </w:rPr>
        <w:br w:type="page"/>
      </w:r>
    </w:p>
    <w:p w14:paraId="26D7AA27">
      <w:pPr>
        <w:pStyle w:val="18"/>
        <w:keepNext w:val="0"/>
        <w:keepLines w:val="0"/>
        <w:pageBreakBefore w:val="0"/>
        <w:kinsoku/>
        <w:wordWrap/>
        <w:overflowPunct/>
        <w:topLinePunct w:val="0"/>
        <w:autoSpaceDN/>
        <w:bidi w:val="0"/>
        <w:snapToGrid/>
        <w:spacing w:line="440" w:lineRule="atLeast"/>
        <w:ind w:firstLine="726" w:firstLineChars="200"/>
        <w:jc w:val="center"/>
        <w:rPr>
          <w:rFonts w:hint="eastAsia" w:ascii="仿宋" w:hAnsi="仿宋" w:eastAsia="仿宋" w:cs="仿宋"/>
          <w:b/>
          <w:sz w:val="28"/>
          <w:szCs w:val="28"/>
        </w:rPr>
      </w:pPr>
      <w:r>
        <w:rPr>
          <w:rFonts w:hint="eastAsia" w:ascii="仿宋" w:hAnsi="仿宋" w:eastAsia="仿宋" w:cs="仿宋"/>
          <w:b/>
          <w:bCs/>
          <w:sz w:val="36"/>
          <w:lang w:eastAsia="zh-CN"/>
        </w:rPr>
        <w:t>第五章</w:t>
      </w:r>
      <w:r>
        <w:rPr>
          <w:rFonts w:hint="eastAsia" w:ascii="仿宋" w:hAnsi="仿宋" w:eastAsia="仿宋" w:cs="仿宋"/>
          <w:b/>
          <w:bCs/>
          <w:sz w:val="36"/>
        </w:rPr>
        <w:t xml:space="preserve"> 合同条款及格式（仅供参考）</w:t>
      </w:r>
    </w:p>
    <w:p w14:paraId="7BDFCC67">
      <w:pPr>
        <w:pStyle w:val="3"/>
        <w:keepNext/>
        <w:keepLines/>
        <w:pageBreakBefore w:val="0"/>
        <w:widowControl w:val="0"/>
        <w:numPr>
          <w:ilvl w:val="0"/>
          <w:numId w:val="0"/>
        </w:numPr>
        <w:tabs>
          <w:tab w:val="left" w:pos="0"/>
        </w:tabs>
        <w:kinsoku/>
        <w:wordWrap/>
        <w:overflowPunct/>
        <w:topLinePunct w:val="0"/>
        <w:autoSpaceDE/>
        <w:autoSpaceDN/>
        <w:bidi w:val="0"/>
        <w:adjustRightInd/>
        <w:snapToGrid/>
        <w:spacing w:before="0" w:after="0" w:line="240" w:lineRule="auto"/>
        <w:ind w:left="-17" w:leftChars="0"/>
        <w:jc w:val="center"/>
        <w:textAlignment w:val="auto"/>
        <w:rPr>
          <w:rFonts w:hint="eastAsia" w:ascii="仿宋" w:hAnsi="仿宋" w:eastAsia="仿宋" w:cs="仿宋"/>
          <w:b/>
          <w:bCs/>
          <w:sz w:val="32"/>
          <w:szCs w:val="32"/>
          <w:highlight w:val="none"/>
          <w:lang w:eastAsia="zh-CN"/>
        </w:rPr>
      </w:pPr>
      <w:bookmarkStart w:id="88" w:name="_Toc1332"/>
    </w:p>
    <w:p w14:paraId="74575EC0">
      <w:pPr>
        <w:pStyle w:val="3"/>
        <w:keepNext/>
        <w:keepLines/>
        <w:pageBreakBefore w:val="0"/>
        <w:widowControl w:val="0"/>
        <w:numPr>
          <w:ilvl w:val="0"/>
          <w:numId w:val="0"/>
        </w:numPr>
        <w:tabs>
          <w:tab w:val="left" w:pos="0"/>
        </w:tabs>
        <w:kinsoku/>
        <w:wordWrap/>
        <w:overflowPunct/>
        <w:topLinePunct w:val="0"/>
        <w:autoSpaceDE/>
        <w:autoSpaceDN/>
        <w:bidi w:val="0"/>
        <w:adjustRightInd/>
        <w:snapToGrid/>
        <w:spacing w:before="0" w:after="0" w:line="240" w:lineRule="auto"/>
        <w:ind w:left="-17" w:leftChars="0"/>
        <w:jc w:val="center"/>
        <w:textAlignment w:val="auto"/>
        <w:rPr>
          <w:rFonts w:hint="eastAsia" w:ascii="仿宋" w:hAnsi="仿宋" w:eastAsia="仿宋" w:cs="仿宋"/>
          <w:b/>
          <w:bCs/>
          <w:szCs w:val="32"/>
          <w:highlight w:val="none"/>
        </w:rPr>
      </w:pPr>
      <w:r>
        <w:rPr>
          <w:rFonts w:hint="eastAsia" w:ascii="仿宋" w:hAnsi="仿宋" w:eastAsia="仿宋" w:cs="仿宋"/>
          <w:b/>
          <w:bCs/>
          <w:sz w:val="32"/>
          <w:szCs w:val="32"/>
          <w:highlight w:val="none"/>
          <w:lang w:eastAsia="zh-CN"/>
        </w:rPr>
        <w:t>一</w:t>
      </w:r>
      <w:r>
        <w:rPr>
          <w:rFonts w:hint="eastAsia" w:ascii="仿宋" w:hAnsi="仿宋" w:eastAsia="仿宋" w:cs="仿宋"/>
          <w:b/>
          <w:bCs/>
          <w:sz w:val="32"/>
          <w:szCs w:val="32"/>
          <w:highlight w:val="none"/>
        </w:rPr>
        <w:t>、</w:t>
      </w:r>
      <w:bookmarkStart w:id="89" w:name="_Toc518923128"/>
      <w:bookmarkStart w:id="90" w:name="_Toc23018"/>
      <w:r>
        <w:rPr>
          <w:rFonts w:hint="eastAsia" w:ascii="仿宋" w:hAnsi="仿宋" w:eastAsia="仿宋" w:cs="仿宋"/>
          <w:b/>
          <w:bCs/>
          <w:szCs w:val="32"/>
          <w:highlight w:val="none"/>
        </w:rPr>
        <w:t>政府采购合同</w:t>
      </w:r>
      <w:bookmarkEnd w:id="88"/>
      <w:bookmarkEnd w:id="89"/>
      <w:bookmarkEnd w:id="90"/>
    </w:p>
    <w:p w14:paraId="1E7431E8">
      <w:pPr>
        <w:pStyle w:val="5"/>
        <w:spacing w:line="340" w:lineRule="exact"/>
        <w:ind w:left="1087" w:leftChars="257" w:hanging="540"/>
        <w:rPr>
          <w:rFonts w:hint="eastAsia" w:ascii="仿宋" w:hAnsi="仿宋" w:eastAsia="仿宋" w:cs="仿宋"/>
          <w:b/>
          <w:bCs/>
          <w:szCs w:val="24"/>
          <w:highlight w:val="none"/>
        </w:rPr>
      </w:pPr>
    </w:p>
    <w:p w14:paraId="71BC8313">
      <w:pPr>
        <w:spacing w:line="340" w:lineRule="exact"/>
        <w:rPr>
          <w:rFonts w:hint="eastAsia" w:ascii="仿宋" w:hAnsi="仿宋" w:eastAsia="仿宋" w:cs="仿宋"/>
          <w:sz w:val="24"/>
          <w:highlight w:val="none"/>
        </w:rPr>
      </w:pPr>
    </w:p>
    <w:p w14:paraId="174B78C9">
      <w:pPr>
        <w:spacing w:line="340" w:lineRule="exact"/>
        <w:rPr>
          <w:rFonts w:hint="eastAsia" w:ascii="仿宋" w:hAnsi="仿宋" w:eastAsia="仿宋" w:cs="仿宋"/>
          <w:sz w:val="24"/>
          <w:highlight w:val="none"/>
        </w:rPr>
      </w:pPr>
    </w:p>
    <w:p w14:paraId="7461FC7A">
      <w:pPr>
        <w:spacing w:line="340" w:lineRule="exact"/>
        <w:rPr>
          <w:rFonts w:hint="eastAsia" w:ascii="仿宋" w:hAnsi="仿宋" w:eastAsia="仿宋" w:cs="仿宋"/>
          <w:sz w:val="24"/>
          <w:highlight w:val="none"/>
          <w:u w:val="single"/>
        </w:rPr>
      </w:pPr>
      <w:r>
        <w:rPr>
          <w:rFonts w:hint="eastAsia" w:ascii="仿宋" w:hAnsi="仿宋" w:eastAsia="仿宋" w:cs="仿宋"/>
          <w:sz w:val="24"/>
          <w:highlight w:val="none"/>
        </w:rPr>
        <w:t xml:space="preserve">合同编号：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14:paraId="10AC8997">
      <w:pPr>
        <w:spacing w:line="340" w:lineRule="exact"/>
        <w:jc w:val="center"/>
        <w:rPr>
          <w:rFonts w:hint="eastAsia" w:ascii="仿宋" w:hAnsi="仿宋" w:eastAsia="仿宋" w:cs="仿宋"/>
          <w:b/>
          <w:sz w:val="24"/>
          <w:highlight w:val="none"/>
        </w:rPr>
      </w:pPr>
    </w:p>
    <w:p w14:paraId="7B85D605">
      <w:pPr>
        <w:spacing w:line="340" w:lineRule="exact"/>
        <w:jc w:val="center"/>
        <w:rPr>
          <w:rFonts w:hint="eastAsia" w:ascii="仿宋" w:hAnsi="仿宋" w:eastAsia="仿宋" w:cs="仿宋"/>
          <w:b/>
          <w:sz w:val="24"/>
          <w:highlight w:val="none"/>
        </w:rPr>
      </w:pPr>
    </w:p>
    <w:p w14:paraId="57117794">
      <w:pPr>
        <w:spacing w:line="340" w:lineRule="exact"/>
        <w:jc w:val="center"/>
        <w:rPr>
          <w:rFonts w:hint="eastAsia" w:ascii="仿宋" w:hAnsi="仿宋" w:eastAsia="仿宋" w:cs="仿宋"/>
          <w:b/>
          <w:sz w:val="24"/>
          <w:highlight w:val="none"/>
        </w:rPr>
      </w:pPr>
    </w:p>
    <w:p w14:paraId="75BDCF04">
      <w:pPr>
        <w:spacing w:line="340" w:lineRule="exact"/>
        <w:jc w:val="center"/>
        <w:rPr>
          <w:rFonts w:hint="eastAsia" w:ascii="仿宋" w:hAnsi="仿宋" w:eastAsia="仿宋" w:cs="仿宋"/>
          <w:b/>
          <w:sz w:val="24"/>
          <w:highlight w:val="none"/>
          <w:lang w:eastAsia="zh-CN"/>
        </w:rPr>
      </w:pPr>
      <w:r>
        <w:rPr>
          <w:rFonts w:hint="eastAsia" w:ascii="仿宋" w:hAnsi="仿宋" w:eastAsia="仿宋" w:cs="仿宋"/>
          <w:b/>
          <w:sz w:val="24"/>
          <w:highlight w:val="none"/>
        </w:rPr>
        <w:t>政府采购合同参考范本</w:t>
      </w:r>
      <w:r>
        <w:rPr>
          <w:rFonts w:hint="eastAsia" w:ascii="仿宋" w:hAnsi="仿宋" w:eastAsia="仿宋" w:cs="仿宋"/>
          <w:b/>
          <w:sz w:val="24"/>
          <w:highlight w:val="none"/>
          <w:lang w:eastAsia="zh-CN"/>
        </w:rPr>
        <w:t>（仅供参考）</w:t>
      </w:r>
    </w:p>
    <w:p w14:paraId="74ACA828">
      <w:pPr>
        <w:spacing w:line="340" w:lineRule="exact"/>
        <w:jc w:val="center"/>
        <w:rPr>
          <w:rFonts w:hint="eastAsia" w:ascii="仿宋" w:hAnsi="仿宋" w:eastAsia="仿宋" w:cs="仿宋"/>
          <w:b/>
          <w:sz w:val="24"/>
          <w:highlight w:val="none"/>
        </w:rPr>
      </w:pPr>
    </w:p>
    <w:p w14:paraId="344FA1A4">
      <w:pPr>
        <w:spacing w:line="340" w:lineRule="exact"/>
        <w:jc w:val="center"/>
        <w:rPr>
          <w:rFonts w:hint="eastAsia" w:ascii="仿宋" w:hAnsi="仿宋" w:eastAsia="仿宋" w:cs="仿宋"/>
          <w:b/>
          <w:sz w:val="24"/>
          <w:highlight w:val="none"/>
        </w:rPr>
      </w:pPr>
    </w:p>
    <w:p w14:paraId="6590F060">
      <w:pPr>
        <w:spacing w:line="340" w:lineRule="exact"/>
        <w:jc w:val="center"/>
        <w:rPr>
          <w:rFonts w:hint="eastAsia" w:ascii="仿宋" w:hAnsi="仿宋" w:eastAsia="仿宋" w:cs="仿宋"/>
          <w:b/>
          <w:sz w:val="24"/>
          <w:highlight w:val="none"/>
        </w:rPr>
      </w:pPr>
      <w:r>
        <w:rPr>
          <w:rFonts w:hint="eastAsia" w:ascii="仿宋" w:hAnsi="仿宋" w:eastAsia="仿宋" w:cs="仿宋"/>
          <w:b/>
          <w:sz w:val="24"/>
          <w:highlight w:val="none"/>
        </w:rPr>
        <w:t>（服务类）</w:t>
      </w:r>
    </w:p>
    <w:p w14:paraId="59C97946">
      <w:pPr>
        <w:pStyle w:val="76"/>
        <w:spacing w:line="340" w:lineRule="exact"/>
        <w:ind w:firstLine="0"/>
        <w:rPr>
          <w:rFonts w:hint="eastAsia" w:ascii="仿宋" w:hAnsi="仿宋" w:eastAsia="仿宋" w:cs="仿宋"/>
          <w:szCs w:val="24"/>
          <w:highlight w:val="none"/>
        </w:rPr>
      </w:pPr>
    </w:p>
    <w:p w14:paraId="224795F9">
      <w:pPr>
        <w:pStyle w:val="76"/>
        <w:spacing w:line="340" w:lineRule="exact"/>
        <w:ind w:firstLine="0"/>
        <w:rPr>
          <w:rFonts w:hint="eastAsia" w:ascii="仿宋" w:hAnsi="仿宋" w:eastAsia="仿宋" w:cs="仿宋"/>
          <w:szCs w:val="24"/>
          <w:highlight w:val="none"/>
        </w:rPr>
      </w:pPr>
    </w:p>
    <w:p w14:paraId="0A98C845">
      <w:pPr>
        <w:pStyle w:val="76"/>
        <w:spacing w:line="340" w:lineRule="exact"/>
        <w:ind w:firstLine="0"/>
        <w:rPr>
          <w:rFonts w:hint="eastAsia" w:ascii="仿宋" w:hAnsi="仿宋" w:eastAsia="仿宋" w:cs="仿宋"/>
          <w:szCs w:val="24"/>
          <w:highlight w:val="none"/>
        </w:rPr>
      </w:pPr>
    </w:p>
    <w:p w14:paraId="3375C9F1">
      <w:pPr>
        <w:pStyle w:val="76"/>
        <w:spacing w:line="340" w:lineRule="exact"/>
        <w:ind w:firstLine="0"/>
        <w:jc w:val="center"/>
        <w:rPr>
          <w:rFonts w:hint="eastAsia" w:ascii="仿宋" w:hAnsi="仿宋" w:eastAsia="仿宋" w:cs="仿宋"/>
          <w:b/>
          <w:szCs w:val="24"/>
          <w:highlight w:val="none"/>
        </w:rPr>
      </w:pPr>
    </w:p>
    <w:p w14:paraId="2EE938BF">
      <w:pPr>
        <w:pStyle w:val="76"/>
        <w:spacing w:line="340" w:lineRule="exact"/>
        <w:ind w:firstLine="0"/>
        <w:jc w:val="center"/>
        <w:rPr>
          <w:rFonts w:hint="eastAsia" w:ascii="仿宋" w:hAnsi="仿宋" w:eastAsia="仿宋" w:cs="仿宋"/>
          <w:b/>
          <w:szCs w:val="24"/>
          <w:highlight w:val="none"/>
        </w:rPr>
      </w:pPr>
      <w:r>
        <w:rPr>
          <w:rFonts w:hint="eastAsia" w:ascii="仿宋" w:hAnsi="仿宋" w:eastAsia="仿宋" w:cs="仿宋"/>
          <w:b/>
          <w:szCs w:val="24"/>
          <w:highlight w:val="none"/>
        </w:rPr>
        <w:t>第一部分 合同书</w:t>
      </w:r>
    </w:p>
    <w:p w14:paraId="0E429DE2">
      <w:pPr>
        <w:pStyle w:val="76"/>
        <w:spacing w:line="340" w:lineRule="exact"/>
        <w:ind w:firstLine="0"/>
        <w:rPr>
          <w:rFonts w:hint="eastAsia" w:ascii="仿宋" w:hAnsi="仿宋" w:eastAsia="仿宋" w:cs="仿宋"/>
          <w:szCs w:val="24"/>
          <w:highlight w:val="none"/>
        </w:rPr>
      </w:pPr>
    </w:p>
    <w:p w14:paraId="349BBD72">
      <w:pPr>
        <w:pStyle w:val="76"/>
        <w:spacing w:line="340" w:lineRule="exact"/>
        <w:ind w:firstLine="0"/>
        <w:rPr>
          <w:rFonts w:hint="eastAsia" w:ascii="仿宋" w:hAnsi="仿宋" w:eastAsia="仿宋" w:cs="仿宋"/>
          <w:szCs w:val="24"/>
          <w:highlight w:val="none"/>
        </w:rPr>
      </w:pPr>
    </w:p>
    <w:p w14:paraId="7F0DDC99">
      <w:pPr>
        <w:spacing w:before="120" w:line="340" w:lineRule="exact"/>
        <w:rPr>
          <w:rFonts w:hint="eastAsia" w:ascii="仿宋" w:hAnsi="仿宋" w:eastAsia="仿宋" w:cs="仿宋"/>
          <w:sz w:val="24"/>
          <w:highlight w:val="none"/>
        </w:rPr>
      </w:pPr>
    </w:p>
    <w:p w14:paraId="29A10C3F">
      <w:pPr>
        <w:spacing w:before="120" w:line="340" w:lineRule="exact"/>
        <w:ind w:left="960"/>
        <w:rPr>
          <w:rFonts w:hint="eastAsia" w:ascii="仿宋" w:hAnsi="仿宋" w:eastAsia="仿宋" w:cs="仿宋"/>
          <w:sz w:val="24"/>
          <w:highlight w:val="none"/>
          <w:u w:val="single"/>
        </w:rPr>
      </w:pPr>
      <w:r>
        <w:rPr>
          <w:rFonts w:hint="eastAsia" w:ascii="仿宋" w:hAnsi="仿宋" w:eastAsia="仿宋" w:cs="仿宋"/>
          <w:sz w:val="24"/>
          <w:highlight w:val="none"/>
        </w:rPr>
        <w:t>项目名称：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ab/>
      </w:r>
      <w:r>
        <w:rPr>
          <w:rFonts w:hint="eastAsia" w:ascii="仿宋" w:hAnsi="仿宋" w:eastAsia="仿宋" w:cs="仿宋"/>
          <w:sz w:val="24"/>
          <w:highlight w:val="none"/>
          <w:u w:val="single"/>
          <w:lang w:val="en-US" w:eastAsia="zh-CN"/>
        </w:rPr>
        <w:tab/>
      </w:r>
      <w:r>
        <w:rPr>
          <w:rFonts w:hint="eastAsia" w:ascii="仿宋" w:hAnsi="仿宋" w:eastAsia="仿宋" w:cs="仿宋"/>
          <w:sz w:val="24"/>
          <w:highlight w:val="none"/>
          <w:u w:val="single"/>
          <w:lang w:val="en-US" w:eastAsia="zh-CN"/>
        </w:rPr>
        <w:tab/>
      </w:r>
      <w:r>
        <w:rPr>
          <w:rFonts w:hint="eastAsia" w:ascii="仿宋" w:hAnsi="仿宋" w:eastAsia="仿宋" w:cs="仿宋"/>
          <w:sz w:val="24"/>
          <w:highlight w:val="none"/>
          <w:u w:val="single"/>
          <w:lang w:val="en-US" w:eastAsia="zh-CN"/>
        </w:rPr>
        <w:tab/>
      </w:r>
      <w:r>
        <w:rPr>
          <w:rFonts w:hint="eastAsia" w:ascii="仿宋" w:hAnsi="仿宋" w:eastAsia="仿宋" w:cs="仿宋"/>
          <w:sz w:val="24"/>
          <w:highlight w:val="none"/>
          <w:u w:val="single"/>
          <w:lang w:val="en-US" w:eastAsia="zh-CN"/>
        </w:rPr>
        <w:tab/>
      </w:r>
      <w:r>
        <w:rPr>
          <w:rFonts w:hint="eastAsia" w:ascii="仿宋" w:hAnsi="仿宋" w:eastAsia="仿宋" w:cs="仿宋"/>
          <w:sz w:val="24"/>
          <w:highlight w:val="none"/>
          <w:u w:val="single"/>
          <w:lang w:val="en-US" w:eastAsia="zh-CN"/>
        </w:rPr>
        <w:tab/>
      </w:r>
      <w:r>
        <w:rPr>
          <w:rFonts w:hint="eastAsia" w:ascii="仿宋" w:hAnsi="仿宋" w:eastAsia="仿宋" w:cs="仿宋"/>
          <w:sz w:val="24"/>
          <w:highlight w:val="none"/>
          <w:u w:val="single"/>
          <w:lang w:val="en-US" w:eastAsia="zh-CN"/>
        </w:rPr>
        <w:tab/>
      </w:r>
      <w:r>
        <w:rPr>
          <w:rFonts w:hint="eastAsia" w:ascii="仿宋" w:hAnsi="仿宋" w:eastAsia="仿宋" w:cs="仿宋"/>
          <w:sz w:val="24"/>
          <w:highlight w:val="none"/>
          <w:u w:val="single"/>
          <w:lang w:val="en-US" w:eastAsia="zh-CN"/>
        </w:rPr>
        <w:tab/>
      </w:r>
      <w:r>
        <w:rPr>
          <w:rFonts w:hint="eastAsia" w:ascii="仿宋" w:hAnsi="仿宋" w:eastAsia="仿宋" w:cs="仿宋"/>
          <w:sz w:val="24"/>
          <w:highlight w:val="none"/>
          <w:u w:val="single"/>
          <w:lang w:val="en-US" w:eastAsia="zh-CN"/>
        </w:rPr>
        <w:tab/>
      </w:r>
      <w:r>
        <w:rPr>
          <w:rFonts w:hint="eastAsia" w:ascii="仿宋" w:hAnsi="仿宋" w:eastAsia="仿宋" w:cs="仿宋"/>
          <w:sz w:val="24"/>
          <w:highlight w:val="none"/>
          <w:u w:val="single"/>
          <w:lang w:val="en-US" w:eastAsia="zh-CN"/>
        </w:rPr>
        <w:tab/>
      </w:r>
      <w:r>
        <w:rPr>
          <w:rFonts w:hint="eastAsia" w:ascii="仿宋" w:hAnsi="仿宋" w:eastAsia="仿宋" w:cs="仿宋"/>
          <w:sz w:val="24"/>
          <w:highlight w:val="none"/>
          <w:u w:val="single"/>
          <w:lang w:val="en-US" w:eastAsia="zh-CN"/>
        </w:rPr>
        <w:tab/>
      </w:r>
    </w:p>
    <w:p w14:paraId="16201C2B">
      <w:pPr>
        <w:pStyle w:val="23"/>
        <w:rPr>
          <w:rFonts w:hint="eastAsia"/>
        </w:rPr>
      </w:pPr>
    </w:p>
    <w:p w14:paraId="38EE406D">
      <w:pPr>
        <w:spacing w:before="120" w:line="340" w:lineRule="exact"/>
        <w:ind w:left="960"/>
        <w:rPr>
          <w:rFonts w:hint="eastAsia" w:ascii="仿宋" w:hAnsi="仿宋" w:eastAsia="仿宋" w:cs="仿宋"/>
          <w:sz w:val="24"/>
          <w:highlight w:val="none"/>
          <w:u w:val="single"/>
        </w:rPr>
      </w:pPr>
      <w:r>
        <w:rPr>
          <w:rFonts w:hint="eastAsia" w:ascii="仿宋" w:hAnsi="仿宋" w:eastAsia="仿宋" w:cs="仿宋"/>
          <w:sz w:val="24"/>
          <w:highlight w:val="none"/>
        </w:rPr>
        <w:t>甲方：</w:t>
      </w:r>
      <w:r>
        <w:rPr>
          <w:rFonts w:hint="eastAsia" w:ascii="仿宋" w:hAnsi="仿宋" w:eastAsia="仿宋" w:cs="仿宋"/>
          <w:sz w:val="24"/>
          <w:highlight w:val="none"/>
          <w:u w:val="single"/>
          <w:lang w:val="en-US" w:eastAsia="zh-CN"/>
        </w:rPr>
        <w:tab/>
      </w:r>
      <w:r>
        <w:rPr>
          <w:rFonts w:hint="eastAsia" w:ascii="仿宋" w:hAnsi="仿宋" w:eastAsia="仿宋" w:cs="仿宋"/>
          <w:sz w:val="24"/>
          <w:highlight w:val="none"/>
          <w:u w:val="single"/>
          <w:lang w:val="en-US" w:eastAsia="zh-CN"/>
        </w:rPr>
        <w:tab/>
      </w:r>
      <w:r>
        <w:rPr>
          <w:rFonts w:hint="eastAsia" w:ascii="仿宋" w:hAnsi="仿宋" w:eastAsia="仿宋" w:cs="仿宋"/>
          <w:sz w:val="24"/>
          <w:highlight w:val="none"/>
          <w:u w:val="single"/>
          <w:lang w:val="en-US" w:eastAsia="zh-CN"/>
        </w:rPr>
        <w:tab/>
      </w:r>
      <w:r>
        <w:rPr>
          <w:rFonts w:hint="eastAsia" w:ascii="仿宋" w:hAnsi="仿宋" w:eastAsia="仿宋" w:cs="仿宋"/>
          <w:sz w:val="24"/>
          <w:highlight w:val="none"/>
          <w:u w:val="single"/>
          <w:lang w:val="en-US" w:eastAsia="zh-CN"/>
        </w:rPr>
        <w:tab/>
      </w:r>
      <w:r>
        <w:rPr>
          <w:rFonts w:hint="eastAsia" w:ascii="仿宋" w:hAnsi="仿宋" w:eastAsia="仿宋" w:cs="仿宋"/>
          <w:sz w:val="24"/>
          <w:highlight w:val="none"/>
          <w:u w:val="single"/>
          <w:lang w:val="en-US" w:eastAsia="zh-CN"/>
        </w:rPr>
        <w:tab/>
      </w:r>
      <w:r>
        <w:rPr>
          <w:rFonts w:hint="eastAsia" w:ascii="仿宋" w:hAnsi="仿宋" w:eastAsia="仿宋" w:cs="仿宋"/>
          <w:sz w:val="24"/>
          <w:highlight w:val="none"/>
          <w:u w:val="single"/>
          <w:lang w:val="en-US" w:eastAsia="zh-CN"/>
        </w:rPr>
        <w:tab/>
      </w:r>
      <w:r>
        <w:rPr>
          <w:rFonts w:hint="eastAsia" w:ascii="仿宋" w:hAnsi="仿宋" w:eastAsia="仿宋" w:cs="仿宋"/>
          <w:sz w:val="24"/>
          <w:highlight w:val="none"/>
          <w:u w:val="single"/>
          <w:lang w:val="en-US" w:eastAsia="zh-CN"/>
        </w:rPr>
        <w:tab/>
      </w:r>
      <w:r>
        <w:rPr>
          <w:rFonts w:hint="eastAsia" w:ascii="仿宋" w:hAnsi="仿宋" w:eastAsia="仿宋" w:cs="仿宋"/>
          <w:sz w:val="24"/>
          <w:highlight w:val="none"/>
          <w:u w:val="single"/>
          <w:lang w:val="en-US" w:eastAsia="zh-CN"/>
        </w:rPr>
        <w:tab/>
      </w:r>
      <w:r>
        <w:rPr>
          <w:rFonts w:hint="eastAsia" w:ascii="仿宋" w:hAnsi="仿宋" w:eastAsia="仿宋" w:cs="仿宋"/>
          <w:sz w:val="24"/>
          <w:highlight w:val="none"/>
          <w:u w:val="single"/>
          <w:lang w:val="en-US" w:eastAsia="zh-CN"/>
        </w:rPr>
        <w:tab/>
      </w:r>
      <w:r>
        <w:rPr>
          <w:rFonts w:hint="eastAsia" w:ascii="仿宋" w:hAnsi="仿宋" w:eastAsia="仿宋" w:cs="仿宋"/>
          <w:sz w:val="24"/>
          <w:highlight w:val="none"/>
          <w:u w:val="single"/>
          <w:lang w:val="en-US" w:eastAsia="zh-CN"/>
        </w:rPr>
        <w:tab/>
      </w:r>
      <w:r>
        <w:rPr>
          <w:rFonts w:hint="eastAsia" w:ascii="仿宋" w:hAnsi="仿宋" w:eastAsia="仿宋" w:cs="仿宋"/>
          <w:sz w:val="24"/>
          <w:highlight w:val="none"/>
          <w:u w:val="single"/>
          <w:lang w:val="en-US" w:eastAsia="zh-CN"/>
        </w:rPr>
        <w:tab/>
      </w:r>
      <w:r>
        <w:rPr>
          <w:rFonts w:hint="eastAsia" w:ascii="仿宋" w:hAnsi="仿宋" w:eastAsia="仿宋" w:cs="仿宋"/>
          <w:sz w:val="24"/>
          <w:highlight w:val="none"/>
          <w:u w:val="single"/>
          <w:lang w:val="en-US" w:eastAsia="zh-CN"/>
        </w:rPr>
        <w:tab/>
      </w:r>
      <w:r>
        <w:rPr>
          <w:rFonts w:hint="eastAsia" w:ascii="仿宋" w:hAnsi="仿宋" w:eastAsia="仿宋" w:cs="仿宋"/>
          <w:sz w:val="24"/>
          <w:highlight w:val="none"/>
          <w:lang w:val="en-US" w:eastAsia="zh-CN"/>
        </w:rPr>
        <w:tab/>
      </w:r>
      <w:r>
        <w:rPr>
          <w:rFonts w:hint="eastAsia" w:ascii="仿宋" w:hAnsi="仿宋" w:eastAsia="仿宋" w:cs="仿宋"/>
          <w:sz w:val="24"/>
          <w:highlight w:val="none"/>
          <w:u w:val="single"/>
        </w:rPr>
        <w:t xml:space="preserve">                                       </w:t>
      </w:r>
    </w:p>
    <w:p w14:paraId="08DC9B63">
      <w:pPr>
        <w:spacing w:before="120" w:line="340" w:lineRule="exact"/>
        <w:rPr>
          <w:rFonts w:hint="eastAsia" w:ascii="仿宋" w:hAnsi="仿宋" w:eastAsia="仿宋" w:cs="仿宋"/>
          <w:sz w:val="24"/>
          <w:highlight w:val="none"/>
        </w:rPr>
      </w:pPr>
    </w:p>
    <w:p w14:paraId="52BB99ED">
      <w:pPr>
        <w:spacing w:before="120" w:line="340" w:lineRule="exact"/>
        <w:ind w:left="960"/>
        <w:rPr>
          <w:rFonts w:hint="eastAsia" w:ascii="仿宋" w:hAnsi="仿宋" w:eastAsia="仿宋" w:cs="仿宋"/>
          <w:sz w:val="24"/>
          <w:highlight w:val="none"/>
          <w:u w:val="single"/>
        </w:rPr>
      </w:pPr>
      <w:r>
        <w:rPr>
          <w:rFonts w:hint="eastAsia" w:ascii="仿宋" w:hAnsi="仿宋" w:eastAsia="仿宋" w:cs="仿宋"/>
          <w:sz w:val="24"/>
          <w:highlight w:val="none"/>
        </w:rPr>
        <w:t>乙方：</w:t>
      </w:r>
      <w:r>
        <w:rPr>
          <w:rFonts w:hint="eastAsia" w:ascii="仿宋" w:hAnsi="仿宋" w:eastAsia="仿宋" w:cs="仿宋"/>
          <w:sz w:val="24"/>
          <w:highlight w:val="none"/>
          <w:u w:val="single"/>
          <w:lang w:val="en-US" w:eastAsia="zh-CN"/>
        </w:rPr>
        <w:tab/>
      </w:r>
      <w:r>
        <w:rPr>
          <w:rFonts w:hint="eastAsia" w:ascii="仿宋" w:hAnsi="仿宋" w:eastAsia="仿宋" w:cs="仿宋"/>
          <w:sz w:val="24"/>
          <w:highlight w:val="none"/>
          <w:u w:val="single"/>
          <w:lang w:val="en-US" w:eastAsia="zh-CN"/>
        </w:rPr>
        <w:tab/>
      </w:r>
      <w:r>
        <w:rPr>
          <w:rFonts w:hint="eastAsia" w:ascii="仿宋" w:hAnsi="仿宋" w:eastAsia="仿宋" w:cs="仿宋"/>
          <w:sz w:val="24"/>
          <w:highlight w:val="none"/>
          <w:u w:val="single"/>
          <w:lang w:val="en-US" w:eastAsia="zh-CN"/>
        </w:rPr>
        <w:tab/>
      </w:r>
      <w:r>
        <w:rPr>
          <w:rFonts w:hint="eastAsia" w:ascii="仿宋" w:hAnsi="仿宋" w:eastAsia="仿宋" w:cs="仿宋"/>
          <w:sz w:val="24"/>
          <w:highlight w:val="none"/>
          <w:u w:val="single"/>
          <w:lang w:val="en-US" w:eastAsia="zh-CN"/>
        </w:rPr>
        <w:tab/>
      </w:r>
      <w:r>
        <w:rPr>
          <w:rFonts w:hint="eastAsia" w:ascii="仿宋" w:hAnsi="仿宋" w:eastAsia="仿宋" w:cs="仿宋"/>
          <w:sz w:val="24"/>
          <w:highlight w:val="none"/>
          <w:u w:val="single"/>
          <w:lang w:val="en-US" w:eastAsia="zh-CN"/>
        </w:rPr>
        <w:tab/>
      </w:r>
      <w:r>
        <w:rPr>
          <w:rFonts w:hint="eastAsia" w:ascii="仿宋" w:hAnsi="仿宋" w:eastAsia="仿宋" w:cs="仿宋"/>
          <w:sz w:val="24"/>
          <w:highlight w:val="none"/>
          <w:u w:val="single"/>
          <w:lang w:val="en-US" w:eastAsia="zh-CN"/>
        </w:rPr>
        <w:tab/>
      </w:r>
      <w:r>
        <w:rPr>
          <w:rFonts w:hint="eastAsia" w:ascii="仿宋" w:hAnsi="仿宋" w:eastAsia="仿宋" w:cs="仿宋"/>
          <w:sz w:val="24"/>
          <w:highlight w:val="none"/>
          <w:u w:val="single"/>
          <w:lang w:val="en-US" w:eastAsia="zh-CN"/>
        </w:rPr>
        <w:tab/>
      </w:r>
      <w:r>
        <w:rPr>
          <w:rFonts w:hint="eastAsia" w:ascii="仿宋" w:hAnsi="仿宋" w:eastAsia="仿宋" w:cs="仿宋"/>
          <w:sz w:val="24"/>
          <w:highlight w:val="none"/>
          <w:u w:val="single"/>
          <w:lang w:val="en-US" w:eastAsia="zh-CN"/>
        </w:rPr>
        <w:tab/>
      </w:r>
      <w:r>
        <w:rPr>
          <w:rFonts w:hint="eastAsia" w:ascii="仿宋" w:hAnsi="仿宋" w:eastAsia="仿宋" w:cs="仿宋"/>
          <w:sz w:val="24"/>
          <w:highlight w:val="none"/>
          <w:u w:val="single"/>
          <w:lang w:val="en-US" w:eastAsia="zh-CN"/>
        </w:rPr>
        <w:tab/>
      </w:r>
      <w:r>
        <w:rPr>
          <w:rFonts w:hint="eastAsia" w:ascii="仿宋" w:hAnsi="仿宋" w:eastAsia="仿宋" w:cs="仿宋"/>
          <w:sz w:val="24"/>
          <w:highlight w:val="none"/>
          <w:u w:val="single"/>
          <w:lang w:val="en-US" w:eastAsia="zh-CN"/>
        </w:rPr>
        <w:tab/>
      </w:r>
      <w:r>
        <w:rPr>
          <w:rFonts w:hint="eastAsia" w:ascii="仿宋" w:hAnsi="仿宋" w:eastAsia="仿宋" w:cs="仿宋"/>
          <w:sz w:val="24"/>
          <w:highlight w:val="none"/>
          <w:u w:val="single"/>
          <w:lang w:val="en-US" w:eastAsia="zh-CN"/>
        </w:rPr>
        <w:tab/>
      </w:r>
      <w:r>
        <w:rPr>
          <w:rFonts w:hint="eastAsia" w:ascii="仿宋" w:hAnsi="仿宋" w:eastAsia="仿宋" w:cs="仿宋"/>
          <w:sz w:val="24"/>
          <w:highlight w:val="none"/>
          <w:u w:val="single"/>
          <w:lang w:val="en-US" w:eastAsia="zh-CN"/>
        </w:rPr>
        <w:tab/>
      </w:r>
      <w:r>
        <w:rPr>
          <w:rFonts w:hint="eastAsia" w:ascii="仿宋" w:hAnsi="仿宋" w:eastAsia="仿宋" w:cs="仿宋"/>
          <w:sz w:val="24"/>
          <w:highlight w:val="none"/>
          <w:u w:val="single"/>
        </w:rPr>
        <w:t xml:space="preserve">                        </w:t>
      </w:r>
    </w:p>
    <w:p w14:paraId="0858E9CF">
      <w:pPr>
        <w:spacing w:before="120" w:line="340" w:lineRule="exact"/>
        <w:rPr>
          <w:rFonts w:hint="eastAsia" w:ascii="仿宋" w:hAnsi="仿宋" w:eastAsia="仿宋" w:cs="仿宋"/>
          <w:sz w:val="24"/>
          <w:highlight w:val="none"/>
        </w:rPr>
      </w:pPr>
    </w:p>
    <w:p w14:paraId="4884D5EC">
      <w:pPr>
        <w:spacing w:before="120" w:line="340" w:lineRule="exact"/>
        <w:ind w:firstLine="972" w:firstLineChars="400"/>
        <w:rPr>
          <w:rFonts w:hint="default" w:ascii="仿宋" w:hAnsi="仿宋" w:eastAsia="仿宋" w:cs="仿宋"/>
          <w:sz w:val="24"/>
          <w:highlight w:val="none"/>
          <w:u w:val="single"/>
          <w:lang w:val="en-US"/>
        </w:rPr>
      </w:pPr>
      <w:r>
        <w:rPr>
          <w:rFonts w:hint="eastAsia" w:ascii="仿宋" w:hAnsi="仿宋" w:eastAsia="仿宋" w:cs="仿宋"/>
          <w:sz w:val="24"/>
          <w:highlight w:val="none"/>
        </w:rPr>
        <w:t>签订地：</w:t>
      </w:r>
      <w:r>
        <w:rPr>
          <w:rFonts w:hint="eastAsia" w:ascii="仿宋" w:hAnsi="仿宋" w:eastAsia="仿宋" w:cs="仿宋"/>
          <w:sz w:val="24"/>
          <w:highlight w:val="none"/>
          <w:u w:val="single"/>
          <w:lang w:val="en-US" w:eastAsia="zh-CN"/>
        </w:rPr>
        <w:tab/>
      </w:r>
      <w:r>
        <w:rPr>
          <w:rFonts w:hint="eastAsia" w:ascii="仿宋" w:hAnsi="仿宋" w:eastAsia="仿宋" w:cs="仿宋"/>
          <w:sz w:val="24"/>
          <w:highlight w:val="none"/>
          <w:u w:val="single"/>
          <w:lang w:val="en-US" w:eastAsia="zh-CN"/>
        </w:rPr>
        <w:tab/>
      </w:r>
      <w:r>
        <w:rPr>
          <w:rFonts w:hint="eastAsia" w:ascii="仿宋" w:hAnsi="仿宋" w:eastAsia="仿宋" w:cs="仿宋"/>
          <w:sz w:val="24"/>
          <w:highlight w:val="none"/>
          <w:u w:val="single"/>
          <w:lang w:val="en-US" w:eastAsia="zh-CN"/>
        </w:rPr>
        <w:tab/>
      </w:r>
      <w:r>
        <w:rPr>
          <w:rFonts w:hint="eastAsia" w:ascii="仿宋" w:hAnsi="仿宋" w:eastAsia="仿宋" w:cs="仿宋"/>
          <w:sz w:val="24"/>
          <w:highlight w:val="none"/>
          <w:u w:val="single"/>
          <w:lang w:val="en-US" w:eastAsia="zh-CN"/>
        </w:rPr>
        <w:tab/>
      </w:r>
      <w:r>
        <w:rPr>
          <w:rFonts w:hint="eastAsia" w:ascii="仿宋" w:hAnsi="仿宋" w:eastAsia="仿宋" w:cs="仿宋"/>
          <w:sz w:val="24"/>
          <w:highlight w:val="none"/>
          <w:u w:val="single"/>
          <w:lang w:val="en-US" w:eastAsia="zh-CN"/>
        </w:rPr>
        <w:tab/>
      </w:r>
      <w:r>
        <w:rPr>
          <w:rFonts w:hint="eastAsia" w:ascii="仿宋" w:hAnsi="仿宋" w:eastAsia="仿宋" w:cs="仿宋"/>
          <w:sz w:val="24"/>
          <w:highlight w:val="none"/>
          <w:u w:val="single"/>
          <w:lang w:val="en-US" w:eastAsia="zh-CN"/>
        </w:rPr>
        <w:tab/>
      </w:r>
      <w:r>
        <w:rPr>
          <w:rFonts w:hint="eastAsia" w:ascii="仿宋" w:hAnsi="仿宋" w:eastAsia="仿宋" w:cs="仿宋"/>
          <w:sz w:val="24"/>
          <w:highlight w:val="none"/>
          <w:u w:val="single"/>
          <w:lang w:val="en-US" w:eastAsia="zh-CN"/>
        </w:rPr>
        <w:tab/>
      </w:r>
      <w:r>
        <w:rPr>
          <w:rFonts w:hint="eastAsia" w:ascii="仿宋" w:hAnsi="仿宋" w:eastAsia="仿宋" w:cs="仿宋"/>
          <w:sz w:val="24"/>
          <w:highlight w:val="none"/>
          <w:u w:val="single"/>
          <w:lang w:val="en-US" w:eastAsia="zh-CN"/>
        </w:rPr>
        <w:tab/>
      </w:r>
      <w:r>
        <w:rPr>
          <w:rFonts w:hint="eastAsia" w:ascii="仿宋" w:hAnsi="仿宋" w:eastAsia="仿宋" w:cs="仿宋"/>
          <w:sz w:val="24"/>
          <w:highlight w:val="none"/>
          <w:u w:val="single"/>
          <w:lang w:val="en-US" w:eastAsia="zh-CN"/>
        </w:rPr>
        <w:tab/>
      </w:r>
      <w:r>
        <w:rPr>
          <w:rFonts w:hint="eastAsia" w:ascii="仿宋" w:hAnsi="仿宋" w:eastAsia="仿宋" w:cs="仿宋"/>
          <w:sz w:val="24"/>
          <w:highlight w:val="none"/>
          <w:u w:val="single"/>
          <w:lang w:val="en-US" w:eastAsia="zh-CN"/>
        </w:rPr>
        <w:tab/>
      </w:r>
      <w:r>
        <w:rPr>
          <w:rFonts w:hint="eastAsia" w:ascii="仿宋" w:hAnsi="仿宋" w:eastAsia="仿宋" w:cs="仿宋"/>
          <w:sz w:val="24"/>
          <w:highlight w:val="none"/>
          <w:u w:val="single"/>
          <w:lang w:val="en-US" w:eastAsia="zh-CN"/>
        </w:rPr>
        <w:tab/>
      </w:r>
      <w:r>
        <w:rPr>
          <w:rFonts w:hint="eastAsia" w:ascii="仿宋" w:hAnsi="仿宋" w:eastAsia="仿宋" w:cs="仿宋"/>
          <w:sz w:val="24"/>
          <w:highlight w:val="none"/>
          <w:u w:val="single"/>
          <w:lang w:val="en-US" w:eastAsia="zh-CN"/>
        </w:rPr>
        <w:tab/>
      </w:r>
    </w:p>
    <w:p w14:paraId="6F903B8C">
      <w:pPr>
        <w:spacing w:before="120" w:line="340" w:lineRule="exact"/>
        <w:ind w:left="420" w:leftChars="0" w:firstLine="420" w:firstLineChars="0"/>
        <w:rPr>
          <w:rFonts w:hint="eastAsia" w:ascii="仿宋" w:hAnsi="仿宋" w:eastAsia="仿宋" w:cs="仿宋"/>
          <w:sz w:val="24"/>
          <w:highlight w:val="none"/>
        </w:rPr>
      </w:pPr>
    </w:p>
    <w:p w14:paraId="47C04176">
      <w:pPr>
        <w:spacing w:before="120" w:line="340" w:lineRule="exact"/>
        <w:ind w:firstLine="972" w:firstLineChars="400"/>
        <w:rPr>
          <w:rFonts w:hint="eastAsia" w:ascii="仿宋" w:hAnsi="仿宋" w:eastAsia="仿宋" w:cs="仿宋"/>
          <w:sz w:val="32"/>
          <w:szCs w:val="32"/>
          <w:highlight w:val="none"/>
        </w:rPr>
      </w:pPr>
      <w:r>
        <w:rPr>
          <w:rFonts w:hint="eastAsia" w:ascii="仿宋" w:hAnsi="仿宋" w:eastAsia="仿宋" w:cs="仿宋"/>
          <w:sz w:val="24"/>
          <w:highlight w:val="none"/>
        </w:rPr>
        <w:t>签订日期：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31539003">
      <w:pPr>
        <w:pStyle w:val="2"/>
        <w:spacing w:before="0" w:after="0" w:line="240" w:lineRule="auto"/>
        <w:rPr>
          <w:rFonts w:hint="eastAsia"/>
        </w:rPr>
      </w:pPr>
    </w:p>
    <w:p w14:paraId="0692D0E8">
      <w:pPr>
        <w:spacing w:line="360" w:lineRule="auto"/>
        <w:ind w:firstLine="486" w:firstLineChars="200"/>
        <w:rPr>
          <w:rFonts w:hint="eastAsia" w:ascii="仿宋" w:hAnsi="仿宋" w:eastAsia="仿宋" w:cs="仿宋"/>
          <w:sz w:val="24"/>
          <w:highlight w:val="none"/>
          <w:u w:val="single"/>
          <w:lang w:val="zh-CN"/>
        </w:rPr>
      </w:pPr>
    </w:p>
    <w:p w14:paraId="36F7F6AF">
      <w:pPr>
        <w:pageBreakBefore w:val="0"/>
        <w:widowControl w:val="0"/>
        <w:kinsoku/>
        <w:wordWrap/>
        <w:overflowPunct/>
        <w:topLinePunct w:val="0"/>
        <w:bidi w:val="0"/>
        <w:snapToGrid/>
        <w:spacing w:line="400" w:lineRule="exact"/>
        <w:ind w:firstLine="486" w:firstLineChars="200"/>
        <w:rPr>
          <w:rFonts w:hint="eastAsia" w:ascii="仿宋" w:hAnsi="仿宋" w:eastAsia="仿宋" w:cs="仿宋"/>
          <w:sz w:val="24"/>
          <w:highlight w:val="none"/>
        </w:rPr>
      </w:pP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年</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月</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日</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（采购人名称）   </w:t>
      </w:r>
      <w:r>
        <w:rPr>
          <w:rFonts w:hint="eastAsia" w:ascii="仿宋" w:hAnsi="仿宋" w:eastAsia="仿宋" w:cs="仿宋"/>
          <w:sz w:val="24"/>
          <w:highlight w:val="none"/>
        </w:rPr>
        <w:t>以</w:t>
      </w:r>
      <w:r>
        <w:rPr>
          <w:rFonts w:hint="eastAsia" w:ascii="仿宋" w:hAnsi="仿宋" w:eastAsia="仿宋" w:cs="仿宋"/>
          <w:sz w:val="24"/>
          <w:highlight w:val="none"/>
          <w:u w:val="single"/>
        </w:rPr>
        <w:t xml:space="preserve">   （政府采购方式）  </w:t>
      </w:r>
      <w:r>
        <w:rPr>
          <w:rFonts w:hint="eastAsia" w:ascii="仿宋" w:hAnsi="仿宋" w:eastAsia="仿宋" w:cs="仿宋"/>
          <w:sz w:val="24"/>
          <w:highlight w:val="none"/>
        </w:rPr>
        <w:t>对</w:t>
      </w:r>
      <w:r>
        <w:rPr>
          <w:rFonts w:hint="eastAsia" w:ascii="仿宋" w:hAnsi="仿宋" w:eastAsia="仿宋" w:cs="仿宋"/>
          <w:sz w:val="24"/>
          <w:highlight w:val="none"/>
          <w:u w:val="single"/>
        </w:rPr>
        <w:t xml:space="preserve">   （同前页项目名称）   </w:t>
      </w:r>
      <w:r>
        <w:rPr>
          <w:rFonts w:hint="eastAsia" w:ascii="仿宋" w:hAnsi="仿宋" w:eastAsia="仿宋" w:cs="仿宋"/>
          <w:sz w:val="24"/>
          <w:highlight w:val="none"/>
        </w:rPr>
        <w:t>项目进行了采购。经</w:t>
      </w:r>
      <w:r>
        <w:rPr>
          <w:rFonts w:hint="eastAsia" w:ascii="仿宋" w:hAnsi="仿宋" w:eastAsia="仿宋" w:cs="仿宋"/>
          <w:sz w:val="24"/>
          <w:highlight w:val="none"/>
          <w:u w:val="single"/>
        </w:rPr>
        <w:t xml:space="preserve">   （相关评定主体名称）   </w:t>
      </w:r>
      <w:r>
        <w:rPr>
          <w:rFonts w:hint="eastAsia" w:ascii="仿宋" w:hAnsi="仿宋" w:eastAsia="仿宋" w:cs="仿宋"/>
          <w:sz w:val="24"/>
          <w:highlight w:val="none"/>
        </w:rPr>
        <w:t>评定，</w:t>
      </w:r>
      <w:r>
        <w:rPr>
          <w:rFonts w:hint="eastAsia" w:ascii="仿宋" w:hAnsi="仿宋" w:eastAsia="仿宋" w:cs="仿宋"/>
          <w:sz w:val="24"/>
          <w:highlight w:val="none"/>
          <w:u w:val="single"/>
        </w:rPr>
        <w:t xml:space="preserve">   （中标供应商名称） </w:t>
      </w:r>
      <w:r>
        <w:rPr>
          <w:rFonts w:hint="eastAsia" w:ascii="仿宋" w:hAnsi="仿宋" w:eastAsia="仿宋" w:cs="仿宋"/>
          <w:sz w:val="24"/>
          <w:highlight w:val="none"/>
        </w:rPr>
        <w:t>为该项目中标供应商。现于中标通知书发出之日起三十日内，按照采购文件确定的事项签订本合同。</w:t>
      </w:r>
    </w:p>
    <w:p w14:paraId="50C498D6">
      <w:pPr>
        <w:pageBreakBefore w:val="0"/>
        <w:widowControl w:val="0"/>
        <w:kinsoku/>
        <w:wordWrap/>
        <w:overflowPunct/>
        <w:topLinePunct w:val="0"/>
        <w:bidi w:val="0"/>
        <w:snapToGrid/>
        <w:spacing w:line="400" w:lineRule="exact"/>
        <w:ind w:firstLine="486" w:firstLineChars="200"/>
        <w:rPr>
          <w:rFonts w:hint="eastAsia" w:ascii="仿宋" w:hAnsi="仿宋" w:eastAsia="仿宋" w:cs="仿宋"/>
          <w:sz w:val="24"/>
          <w:highlight w:val="none"/>
        </w:rPr>
      </w:pPr>
      <w:r>
        <w:rPr>
          <w:rFonts w:hint="eastAsia" w:ascii="仿宋" w:hAnsi="仿宋" w:eastAsia="仿宋" w:cs="仿宋"/>
          <w:sz w:val="24"/>
          <w:highlight w:val="none"/>
          <w:lang w:val="zh-CN"/>
        </w:rPr>
        <w:t>根据《中华人民共和国合同法》、《中华人民共和国政府采购法》等相关法律法规之规定，按照平等、自愿、公平和诚实信用的原则，经</w:t>
      </w:r>
      <w:r>
        <w:rPr>
          <w:rFonts w:hint="eastAsia" w:ascii="仿宋" w:hAnsi="仿宋" w:eastAsia="仿宋" w:cs="仿宋"/>
          <w:sz w:val="24"/>
          <w:highlight w:val="none"/>
          <w:u w:val="single"/>
        </w:rPr>
        <w:t xml:space="preserve">   （采购人名称）   </w:t>
      </w:r>
      <w:r>
        <w:rPr>
          <w:rFonts w:hint="eastAsia" w:ascii="仿宋" w:hAnsi="仿宋" w:eastAsia="仿宋" w:cs="仿宋"/>
          <w:sz w:val="24"/>
          <w:highlight w:val="none"/>
          <w:lang w:val="zh-CN"/>
        </w:rPr>
        <w:t>(以下简称：甲方)和</w:t>
      </w:r>
      <w:r>
        <w:rPr>
          <w:rFonts w:hint="eastAsia" w:ascii="仿宋" w:hAnsi="仿宋" w:eastAsia="仿宋" w:cs="仿宋"/>
          <w:sz w:val="24"/>
          <w:highlight w:val="none"/>
          <w:u w:val="single"/>
        </w:rPr>
        <w:t xml:space="preserve">   （中标供应商名称）   </w:t>
      </w:r>
      <w:r>
        <w:rPr>
          <w:rFonts w:hint="eastAsia" w:ascii="仿宋" w:hAnsi="仿宋" w:eastAsia="仿宋" w:cs="仿宋"/>
          <w:sz w:val="24"/>
          <w:highlight w:val="none"/>
          <w:lang w:val="zh-CN"/>
        </w:rPr>
        <w:t>(以下简称：乙方)协商一致，约定以下合同</w:t>
      </w:r>
      <w:r>
        <w:rPr>
          <w:rFonts w:hint="eastAsia" w:ascii="仿宋" w:hAnsi="仿宋" w:eastAsia="仿宋" w:cs="仿宋"/>
          <w:sz w:val="24"/>
          <w:highlight w:val="none"/>
        </w:rPr>
        <w:t>条款，以兹共同遵守、全面履行。</w:t>
      </w:r>
    </w:p>
    <w:p w14:paraId="47875A99">
      <w:pPr>
        <w:pageBreakBefore w:val="0"/>
        <w:widowControl w:val="0"/>
        <w:kinsoku/>
        <w:wordWrap/>
        <w:overflowPunct/>
        <w:topLinePunct w:val="0"/>
        <w:bidi w:val="0"/>
        <w:snapToGrid/>
        <w:spacing w:line="400" w:lineRule="exact"/>
        <w:ind w:firstLine="486" w:firstLineChars="200"/>
        <w:outlineLvl w:val="0"/>
        <w:rPr>
          <w:rFonts w:hint="eastAsia" w:ascii="仿宋" w:hAnsi="仿宋" w:eastAsia="仿宋" w:cs="仿宋"/>
          <w:sz w:val="24"/>
          <w:highlight w:val="none"/>
        </w:rPr>
      </w:pPr>
      <w:bookmarkStart w:id="91" w:name="_Toc28855"/>
      <w:bookmarkStart w:id="92" w:name="_Toc30842"/>
      <w:bookmarkStart w:id="93" w:name="_Toc27046"/>
      <w:bookmarkStart w:id="94" w:name="_Toc15367"/>
      <w:bookmarkStart w:id="95" w:name="_Toc20421"/>
      <w:bookmarkStart w:id="96" w:name="_Toc19273"/>
      <w:r>
        <w:rPr>
          <w:rFonts w:hint="eastAsia" w:ascii="仿宋" w:hAnsi="仿宋" w:eastAsia="仿宋" w:cs="仿宋"/>
          <w:b/>
          <w:sz w:val="24"/>
          <w:highlight w:val="none"/>
        </w:rPr>
        <w:t>1.1 合同组成部分</w:t>
      </w:r>
      <w:bookmarkEnd w:id="91"/>
      <w:bookmarkEnd w:id="92"/>
      <w:bookmarkEnd w:id="93"/>
      <w:bookmarkEnd w:id="94"/>
      <w:bookmarkEnd w:id="95"/>
      <w:bookmarkEnd w:id="96"/>
    </w:p>
    <w:p w14:paraId="4CAB5558">
      <w:pPr>
        <w:pageBreakBefore w:val="0"/>
        <w:widowControl w:val="0"/>
        <w:kinsoku/>
        <w:wordWrap/>
        <w:overflowPunct/>
        <w:topLinePunct w:val="0"/>
        <w:bidi w:val="0"/>
        <w:snapToGrid/>
        <w:spacing w:line="400" w:lineRule="exact"/>
        <w:ind w:firstLine="486" w:firstLineChars="200"/>
        <w:rPr>
          <w:rFonts w:hint="eastAsia" w:ascii="仿宋" w:hAnsi="仿宋" w:eastAsia="仿宋" w:cs="仿宋"/>
          <w:sz w:val="24"/>
          <w:highlight w:val="none"/>
        </w:rPr>
      </w:pPr>
      <w:r>
        <w:rPr>
          <w:rFonts w:hint="eastAsia" w:ascii="仿宋" w:hAnsi="仿宋" w:eastAsia="仿宋" w:cs="仿宋"/>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E3E7346">
      <w:pPr>
        <w:pageBreakBefore w:val="0"/>
        <w:widowControl w:val="0"/>
        <w:kinsoku/>
        <w:wordWrap/>
        <w:overflowPunct/>
        <w:topLinePunct w:val="0"/>
        <w:bidi w:val="0"/>
        <w:snapToGrid/>
        <w:spacing w:line="400" w:lineRule="exact"/>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1.1.1 本合同及其补充合同、变更协议；</w:t>
      </w:r>
    </w:p>
    <w:p w14:paraId="06B8D524">
      <w:pPr>
        <w:pageBreakBefore w:val="0"/>
        <w:widowControl w:val="0"/>
        <w:kinsoku/>
        <w:wordWrap/>
        <w:overflowPunct/>
        <w:topLinePunct w:val="0"/>
        <w:bidi w:val="0"/>
        <w:snapToGrid/>
        <w:spacing w:line="400" w:lineRule="exact"/>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1.1.2 中标通知书；</w:t>
      </w:r>
    </w:p>
    <w:p w14:paraId="1CB2D10D">
      <w:pPr>
        <w:pageBreakBefore w:val="0"/>
        <w:widowControl w:val="0"/>
        <w:kinsoku/>
        <w:wordWrap/>
        <w:overflowPunct/>
        <w:topLinePunct w:val="0"/>
        <w:bidi w:val="0"/>
        <w:snapToGrid/>
        <w:spacing w:line="400" w:lineRule="exact"/>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1.1.3 投标文件（含澄清或者说明文件）；</w:t>
      </w:r>
    </w:p>
    <w:p w14:paraId="40CFF5BF">
      <w:pPr>
        <w:pageBreakBefore w:val="0"/>
        <w:widowControl w:val="0"/>
        <w:kinsoku/>
        <w:wordWrap/>
        <w:overflowPunct/>
        <w:topLinePunct w:val="0"/>
        <w:bidi w:val="0"/>
        <w:snapToGrid/>
        <w:spacing w:line="400" w:lineRule="exact"/>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1.1.4 招标文件（含澄清或者修改文件）；</w:t>
      </w:r>
    </w:p>
    <w:p w14:paraId="2B9B9EAE">
      <w:pPr>
        <w:pageBreakBefore w:val="0"/>
        <w:widowControl w:val="0"/>
        <w:kinsoku/>
        <w:wordWrap/>
        <w:overflowPunct/>
        <w:topLinePunct w:val="0"/>
        <w:bidi w:val="0"/>
        <w:snapToGrid/>
        <w:spacing w:line="400" w:lineRule="exact"/>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1.1.5 其他相关采购文件。</w:t>
      </w:r>
    </w:p>
    <w:p w14:paraId="236F7FAA">
      <w:pPr>
        <w:pageBreakBefore w:val="0"/>
        <w:widowControl w:val="0"/>
        <w:kinsoku/>
        <w:wordWrap/>
        <w:overflowPunct/>
        <w:topLinePunct w:val="0"/>
        <w:bidi w:val="0"/>
        <w:snapToGrid/>
        <w:spacing w:line="400" w:lineRule="exact"/>
        <w:ind w:firstLine="486" w:firstLineChars="200"/>
        <w:outlineLvl w:val="0"/>
        <w:rPr>
          <w:rFonts w:hint="eastAsia" w:ascii="仿宋" w:hAnsi="仿宋" w:eastAsia="仿宋" w:cs="仿宋"/>
          <w:b/>
          <w:sz w:val="24"/>
          <w:highlight w:val="none"/>
        </w:rPr>
      </w:pPr>
      <w:bookmarkStart w:id="97" w:name="_Toc22185"/>
      <w:bookmarkStart w:id="98" w:name="_Toc6773"/>
      <w:bookmarkStart w:id="99" w:name="_Toc26950"/>
      <w:bookmarkStart w:id="100" w:name="_Toc6311"/>
      <w:bookmarkStart w:id="101" w:name="_Toc2918"/>
      <w:bookmarkStart w:id="102" w:name="_Toc18585"/>
      <w:bookmarkStart w:id="103" w:name="_Toc6509"/>
      <w:r>
        <w:rPr>
          <w:rFonts w:hint="eastAsia" w:ascii="仿宋" w:hAnsi="仿宋" w:eastAsia="仿宋" w:cs="仿宋"/>
          <w:b/>
          <w:sz w:val="24"/>
          <w:highlight w:val="none"/>
        </w:rPr>
        <w:t>1.2 标的</w:t>
      </w:r>
      <w:bookmarkEnd w:id="97"/>
      <w:bookmarkEnd w:id="98"/>
      <w:bookmarkEnd w:id="99"/>
      <w:bookmarkEnd w:id="100"/>
      <w:bookmarkEnd w:id="101"/>
      <w:bookmarkEnd w:id="102"/>
      <w:bookmarkEnd w:id="103"/>
    </w:p>
    <w:p w14:paraId="17A55A18">
      <w:pPr>
        <w:pageBreakBefore w:val="0"/>
        <w:widowControl w:val="0"/>
        <w:kinsoku/>
        <w:wordWrap/>
        <w:overflowPunct/>
        <w:topLinePunct w:val="0"/>
        <w:bidi w:val="0"/>
        <w:snapToGrid/>
        <w:spacing w:line="400" w:lineRule="exact"/>
        <w:ind w:firstLine="486" w:firstLineChars="200"/>
        <w:rPr>
          <w:rFonts w:hint="eastAsia" w:ascii="仿宋" w:hAnsi="仿宋" w:eastAsia="仿宋" w:cs="仿宋"/>
          <w:sz w:val="24"/>
          <w:highlight w:val="none"/>
          <w:u w:val="single"/>
        </w:rPr>
      </w:pPr>
      <w:r>
        <w:rPr>
          <w:rFonts w:hint="eastAsia" w:ascii="仿宋" w:hAnsi="仿宋" w:eastAsia="仿宋" w:cs="仿宋"/>
          <w:sz w:val="24"/>
          <w:highlight w:val="none"/>
        </w:rPr>
        <w:t>1.2.1 标的名称：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0D63EA6F">
      <w:pPr>
        <w:pageBreakBefore w:val="0"/>
        <w:widowControl w:val="0"/>
        <w:kinsoku/>
        <w:wordWrap/>
        <w:overflowPunct/>
        <w:topLinePunct w:val="0"/>
        <w:bidi w:val="0"/>
        <w:snapToGrid/>
        <w:spacing w:line="400" w:lineRule="exact"/>
        <w:ind w:firstLine="486" w:firstLineChars="200"/>
        <w:rPr>
          <w:rFonts w:hint="eastAsia" w:ascii="仿宋" w:hAnsi="仿宋" w:eastAsia="仿宋" w:cs="仿宋"/>
          <w:sz w:val="24"/>
          <w:highlight w:val="none"/>
          <w:u w:val="single"/>
        </w:rPr>
      </w:pPr>
      <w:r>
        <w:rPr>
          <w:rFonts w:hint="eastAsia" w:ascii="仿宋" w:hAnsi="仿宋" w:eastAsia="仿宋" w:cs="仿宋"/>
          <w:sz w:val="24"/>
          <w:highlight w:val="none"/>
        </w:rPr>
        <w:t>1.2.2 标的数量：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560F62EB">
      <w:pPr>
        <w:pageBreakBefore w:val="0"/>
        <w:widowControl w:val="0"/>
        <w:kinsoku/>
        <w:wordWrap/>
        <w:overflowPunct/>
        <w:topLinePunct w:val="0"/>
        <w:bidi w:val="0"/>
        <w:snapToGrid/>
        <w:spacing w:line="400" w:lineRule="exact"/>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1.2.3 标的质量：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66E132B8">
      <w:pPr>
        <w:pageBreakBefore w:val="0"/>
        <w:widowControl w:val="0"/>
        <w:kinsoku/>
        <w:wordWrap/>
        <w:overflowPunct/>
        <w:topLinePunct w:val="0"/>
        <w:bidi w:val="0"/>
        <w:snapToGrid/>
        <w:spacing w:line="400" w:lineRule="exact"/>
        <w:ind w:firstLine="486" w:firstLineChars="200"/>
        <w:outlineLvl w:val="0"/>
        <w:rPr>
          <w:rFonts w:hint="eastAsia" w:ascii="仿宋" w:hAnsi="仿宋" w:eastAsia="仿宋" w:cs="仿宋"/>
          <w:b/>
          <w:sz w:val="24"/>
          <w:highlight w:val="none"/>
        </w:rPr>
      </w:pPr>
      <w:bookmarkStart w:id="104" w:name="_Toc5635"/>
      <w:bookmarkStart w:id="105" w:name="_Toc19183"/>
      <w:bookmarkStart w:id="106" w:name="_Toc50"/>
      <w:bookmarkStart w:id="107" w:name="_Toc1386"/>
      <w:bookmarkStart w:id="108" w:name="_Toc4929"/>
      <w:bookmarkStart w:id="109" w:name="_Toc21124"/>
      <w:bookmarkStart w:id="110" w:name="_Toc13918"/>
      <w:r>
        <w:rPr>
          <w:rFonts w:hint="eastAsia" w:ascii="仿宋" w:hAnsi="仿宋" w:eastAsia="仿宋" w:cs="仿宋"/>
          <w:b/>
          <w:sz w:val="24"/>
          <w:highlight w:val="none"/>
        </w:rPr>
        <w:t>1.3 价款</w:t>
      </w:r>
      <w:bookmarkEnd w:id="104"/>
      <w:bookmarkEnd w:id="105"/>
      <w:bookmarkEnd w:id="106"/>
      <w:bookmarkEnd w:id="107"/>
      <w:bookmarkEnd w:id="108"/>
      <w:bookmarkEnd w:id="109"/>
      <w:bookmarkEnd w:id="110"/>
    </w:p>
    <w:p w14:paraId="33774786">
      <w:pPr>
        <w:pageBreakBefore w:val="0"/>
        <w:widowControl w:val="0"/>
        <w:kinsoku/>
        <w:wordWrap/>
        <w:overflowPunct/>
        <w:topLinePunct w:val="0"/>
        <w:bidi w:val="0"/>
        <w:snapToGrid/>
        <w:spacing w:line="400" w:lineRule="exact"/>
        <w:ind w:firstLine="486" w:firstLineChars="200"/>
        <w:rPr>
          <w:rFonts w:hint="eastAsia" w:ascii="仿宋" w:hAnsi="仿宋" w:eastAsia="仿宋" w:cs="仿宋"/>
          <w:sz w:val="24"/>
          <w:highlight w:val="none"/>
        </w:rPr>
      </w:pPr>
      <w:r>
        <w:rPr>
          <w:rFonts w:hint="eastAsia" w:ascii="仿宋" w:hAnsi="仿宋" w:eastAsia="仿宋" w:cs="仿宋"/>
          <w:sz w:val="24"/>
          <w:highlight w:val="none"/>
        </w:rPr>
        <w:t>本合同总价为：￥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元（大写：</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元人民币）。</w:t>
      </w:r>
    </w:p>
    <w:p w14:paraId="31C7365F">
      <w:pPr>
        <w:pageBreakBefore w:val="0"/>
        <w:widowControl w:val="0"/>
        <w:kinsoku/>
        <w:wordWrap/>
        <w:overflowPunct/>
        <w:topLinePunct w:val="0"/>
        <w:bidi w:val="0"/>
        <w:snapToGrid/>
        <w:spacing w:line="400" w:lineRule="exact"/>
        <w:ind w:firstLine="486" w:firstLineChars="200"/>
        <w:rPr>
          <w:rFonts w:hint="eastAsia" w:ascii="仿宋" w:hAnsi="仿宋" w:eastAsia="仿宋" w:cs="仿宋"/>
          <w:sz w:val="24"/>
          <w:highlight w:val="none"/>
          <w:u w:val="single"/>
        </w:rPr>
      </w:pPr>
      <w:r>
        <w:rPr>
          <w:rFonts w:hint="eastAsia" w:ascii="仿宋" w:hAnsi="仿宋" w:eastAsia="仿宋" w:cs="仿宋"/>
          <w:sz w:val="24"/>
          <w:highlight w:val="none"/>
        </w:rPr>
        <w:t>分项价格：</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ED66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01B4C742">
            <w:pPr>
              <w:pStyle w:val="77"/>
              <w:pageBreakBefore w:val="0"/>
              <w:widowControl w:val="0"/>
              <w:kinsoku/>
              <w:wordWrap/>
              <w:overflowPunct/>
              <w:topLinePunct w:val="0"/>
              <w:bidi w:val="0"/>
              <w:snapToGrid/>
              <w:spacing w:line="400" w:lineRule="exact"/>
              <w:jc w:val="center"/>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序号</w:t>
            </w:r>
          </w:p>
        </w:tc>
        <w:tc>
          <w:tcPr>
            <w:tcW w:w="3402" w:type="dxa"/>
            <w:noWrap w:val="0"/>
            <w:vAlign w:val="center"/>
          </w:tcPr>
          <w:p w14:paraId="76DF836F">
            <w:pPr>
              <w:pStyle w:val="77"/>
              <w:pageBreakBefore w:val="0"/>
              <w:widowControl w:val="0"/>
              <w:kinsoku/>
              <w:wordWrap/>
              <w:overflowPunct/>
              <w:topLinePunct w:val="0"/>
              <w:bidi w:val="0"/>
              <w:snapToGrid/>
              <w:spacing w:line="400" w:lineRule="exact"/>
              <w:ind w:firstLine="200"/>
              <w:jc w:val="center"/>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分项名称</w:t>
            </w:r>
          </w:p>
        </w:tc>
        <w:tc>
          <w:tcPr>
            <w:tcW w:w="2552" w:type="dxa"/>
            <w:noWrap w:val="0"/>
            <w:vAlign w:val="center"/>
          </w:tcPr>
          <w:p w14:paraId="4EB4FA75">
            <w:pPr>
              <w:pStyle w:val="77"/>
              <w:pageBreakBefore w:val="0"/>
              <w:widowControl w:val="0"/>
              <w:kinsoku/>
              <w:wordWrap/>
              <w:overflowPunct/>
              <w:topLinePunct w:val="0"/>
              <w:bidi w:val="0"/>
              <w:snapToGrid/>
              <w:spacing w:line="400" w:lineRule="exact"/>
              <w:jc w:val="center"/>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分项价格</w:t>
            </w:r>
          </w:p>
        </w:tc>
      </w:tr>
      <w:tr w14:paraId="1709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EC5F58D">
            <w:pPr>
              <w:pStyle w:val="77"/>
              <w:pageBreakBefore w:val="0"/>
              <w:widowControl w:val="0"/>
              <w:kinsoku/>
              <w:wordWrap/>
              <w:overflowPunct/>
              <w:topLinePunct w:val="0"/>
              <w:bidi w:val="0"/>
              <w:snapToGrid/>
              <w:spacing w:line="400" w:lineRule="exact"/>
              <w:ind w:firstLine="200"/>
              <w:jc w:val="center"/>
              <w:rPr>
                <w:rFonts w:hint="eastAsia" w:ascii="仿宋" w:hAnsi="仿宋" w:eastAsia="仿宋" w:cs="仿宋"/>
                <w:kern w:val="2"/>
                <w:sz w:val="24"/>
                <w:szCs w:val="24"/>
                <w:highlight w:val="none"/>
                <w:lang w:val="en-US" w:eastAsia="zh-CN"/>
              </w:rPr>
            </w:pPr>
          </w:p>
        </w:tc>
        <w:tc>
          <w:tcPr>
            <w:tcW w:w="3402" w:type="dxa"/>
            <w:noWrap w:val="0"/>
            <w:vAlign w:val="center"/>
          </w:tcPr>
          <w:p w14:paraId="1EDB5EAE">
            <w:pPr>
              <w:pStyle w:val="77"/>
              <w:pageBreakBefore w:val="0"/>
              <w:widowControl w:val="0"/>
              <w:kinsoku/>
              <w:wordWrap/>
              <w:overflowPunct/>
              <w:topLinePunct w:val="0"/>
              <w:bidi w:val="0"/>
              <w:snapToGrid/>
              <w:spacing w:line="400" w:lineRule="exact"/>
              <w:ind w:firstLine="200"/>
              <w:jc w:val="center"/>
              <w:rPr>
                <w:rFonts w:hint="eastAsia" w:ascii="仿宋" w:hAnsi="仿宋" w:eastAsia="仿宋" w:cs="仿宋"/>
                <w:kern w:val="2"/>
                <w:sz w:val="24"/>
                <w:szCs w:val="24"/>
                <w:highlight w:val="none"/>
                <w:lang w:val="en-US" w:eastAsia="zh-CN"/>
              </w:rPr>
            </w:pPr>
          </w:p>
        </w:tc>
        <w:tc>
          <w:tcPr>
            <w:tcW w:w="2552" w:type="dxa"/>
            <w:noWrap w:val="0"/>
            <w:vAlign w:val="center"/>
          </w:tcPr>
          <w:p w14:paraId="2D38A2C4">
            <w:pPr>
              <w:pStyle w:val="77"/>
              <w:pageBreakBefore w:val="0"/>
              <w:widowControl w:val="0"/>
              <w:kinsoku/>
              <w:wordWrap/>
              <w:overflowPunct/>
              <w:topLinePunct w:val="0"/>
              <w:bidi w:val="0"/>
              <w:snapToGrid/>
              <w:spacing w:line="400" w:lineRule="exact"/>
              <w:ind w:firstLine="200"/>
              <w:jc w:val="center"/>
              <w:rPr>
                <w:rFonts w:hint="eastAsia" w:ascii="仿宋" w:hAnsi="仿宋" w:eastAsia="仿宋" w:cs="仿宋"/>
                <w:kern w:val="2"/>
                <w:sz w:val="24"/>
                <w:szCs w:val="24"/>
                <w:highlight w:val="none"/>
                <w:lang w:val="en-US" w:eastAsia="zh-CN"/>
              </w:rPr>
            </w:pPr>
          </w:p>
        </w:tc>
      </w:tr>
      <w:tr w14:paraId="38A8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004EC635">
            <w:pPr>
              <w:pStyle w:val="77"/>
              <w:pageBreakBefore w:val="0"/>
              <w:widowControl w:val="0"/>
              <w:kinsoku/>
              <w:wordWrap/>
              <w:overflowPunct/>
              <w:topLinePunct w:val="0"/>
              <w:bidi w:val="0"/>
              <w:snapToGrid/>
              <w:spacing w:line="400" w:lineRule="exact"/>
              <w:ind w:firstLine="200"/>
              <w:jc w:val="center"/>
              <w:rPr>
                <w:rFonts w:hint="eastAsia" w:ascii="仿宋" w:hAnsi="仿宋" w:eastAsia="仿宋" w:cs="仿宋"/>
                <w:kern w:val="2"/>
                <w:sz w:val="24"/>
                <w:szCs w:val="24"/>
                <w:highlight w:val="none"/>
                <w:lang w:val="en-US" w:eastAsia="zh-CN"/>
              </w:rPr>
            </w:pPr>
          </w:p>
        </w:tc>
        <w:tc>
          <w:tcPr>
            <w:tcW w:w="3402" w:type="dxa"/>
            <w:noWrap w:val="0"/>
            <w:vAlign w:val="center"/>
          </w:tcPr>
          <w:p w14:paraId="7B47D81E">
            <w:pPr>
              <w:pStyle w:val="77"/>
              <w:pageBreakBefore w:val="0"/>
              <w:widowControl w:val="0"/>
              <w:kinsoku/>
              <w:wordWrap/>
              <w:overflowPunct/>
              <w:topLinePunct w:val="0"/>
              <w:bidi w:val="0"/>
              <w:snapToGrid/>
              <w:spacing w:line="400" w:lineRule="exact"/>
              <w:ind w:firstLine="200"/>
              <w:jc w:val="center"/>
              <w:rPr>
                <w:rFonts w:hint="eastAsia" w:ascii="仿宋" w:hAnsi="仿宋" w:eastAsia="仿宋" w:cs="仿宋"/>
                <w:kern w:val="2"/>
                <w:sz w:val="24"/>
                <w:szCs w:val="24"/>
                <w:highlight w:val="none"/>
                <w:lang w:val="en-US" w:eastAsia="zh-CN"/>
              </w:rPr>
            </w:pPr>
          </w:p>
        </w:tc>
        <w:tc>
          <w:tcPr>
            <w:tcW w:w="2552" w:type="dxa"/>
            <w:noWrap w:val="0"/>
            <w:vAlign w:val="center"/>
          </w:tcPr>
          <w:p w14:paraId="7CB45EDF">
            <w:pPr>
              <w:pStyle w:val="77"/>
              <w:pageBreakBefore w:val="0"/>
              <w:widowControl w:val="0"/>
              <w:kinsoku/>
              <w:wordWrap/>
              <w:overflowPunct/>
              <w:topLinePunct w:val="0"/>
              <w:bidi w:val="0"/>
              <w:snapToGrid/>
              <w:spacing w:line="400" w:lineRule="exact"/>
              <w:ind w:firstLine="200"/>
              <w:jc w:val="center"/>
              <w:rPr>
                <w:rFonts w:hint="eastAsia" w:ascii="仿宋" w:hAnsi="仿宋" w:eastAsia="仿宋" w:cs="仿宋"/>
                <w:kern w:val="2"/>
                <w:sz w:val="24"/>
                <w:szCs w:val="24"/>
                <w:highlight w:val="none"/>
                <w:lang w:val="en-US" w:eastAsia="zh-CN"/>
              </w:rPr>
            </w:pPr>
          </w:p>
        </w:tc>
      </w:tr>
      <w:tr w14:paraId="7AD94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0FE6E3C">
            <w:pPr>
              <w:pStyle w:val="77"/>
              <w:pageBreakBefore w:val="0"/>
              <w:widowControl w:val="0"/>
              <w:kinsoku/>
              <w:wordWrap/>
              <w:overflowPunct/>
              <w:topLinePunct w:val="0"/>
              <w:bidi w:val="0"/>
              <w:snapToGrid/>
              <w:spacing w:line="400" w:lineRule="exact"/>
              <w:ind w:firstLine="200"/>
              <w:jc w:val="center"/>
              <w:rPr>
                <w:rFonts w:hint="eastAsia" w:ascii="仿宋" w:hAnsi="仿宋" w:eastAsia="仿宋" w:cs="仿宋"/>
                <w:kern w:val="2"/>
                <w:sz w:val="24"/>
                <w:szCs w:val="24"/>
                <w:highlight w:val="none"/>
                <w:lang w:val="en-US" w:eastAsia="zh-CN"/>
              </w:rPr>
            </w:pPr>
          </w:p>
        </w:tc>
        <w:tc>
          <w:tcPr>
            <w:tcW w:w="3402" w:type="dxa"/>
            <w:noWrap w:val="0"/>
            <w:vAlign w:val="center"/>
          </w:tcPr>
          <w:p w14:paraId="6BF37F8B">
            <w:pPr>
              <w:pStyle w:val="77"/>
              <w:pageBreakBefore w:val="0"/>
              <w:widowControl w:val="0"/>
              <w:kinsoku/>
              <w:wordWrap/>
              <w:overflowPunct/>
              <w:topLinePunct w:val="0"/>
              <w:bidi w:val="0"/>
              <w:snapToGrid/>
              <w:spacing w:line="400" w:lineRule="exact"/>
              <w:ind w:firstLine="200"/>
              <w:jc w:val="center"/>
              <w:rPr>
                <w:rFonts w:hint="eastAsia" w:ascii="仿宋" w:hAnsi="仿宋" w:eastAsia="仿宋" w:cs="仿宋"/>
                <w:kern w:val="2"/>
                <w:sz w:val="24"/>
                <w:szCs w:val="24"/>
                <w:highlight w:val="none"/>
                <w:lang w:val="en-US" w:eastAsia="zh-CN"/>
              </w:rPr>
            </w:pPr>
          </w:p>
        </w:tc>
        <w:tc>
          <w:tcPr>
            <w:tcW w:w="2552" w:type="dxa"/>
            <w:noWrap w:val="0"/>
            <w:vAlign w:val="center"/>
          </w:tcPr>
          <w:p w14:paraId="477BDE8E">
            <w:pPr>
              <w:pStyle w:val="77"/>
              <w:pageBreakBefore w:val="0"/>
              <w:widowControl w:val="0"/>
              <w:kinsoku/>
              <w:wordWrap/>
              <w:overflowPunct/>
              <w:topLinePunct w:val="0"/>
              <w:bidi w:val="0"/>
              <w:snapToGrid/>
              <w:spacing w:line="400" w:lineRule="exact"/>
              <w:ind w:firstLine="200"/>
              <w:jc w:val="center"/>
              <w:rPr>
                <w:rFonts w:hint="eastAsia" w:ascii="仿宋" w:hAnsi="仿宋" w:eastAsia="仿宋" w:cs="仿宋"/>
                <w:kern w:val="2"/>
                <w:sz w:val="24"/>
                <w:szCs w:val="24"/>
                <w:highlight w:val="none"/>
                <w:lang w:val="en-US" w:eastAsia="zh-CN"/>
              </w:rPr>
            </w:pPr>
          </w:p>
        </w:tc>
      </w:tr>
      <w:tr w14:paraId="20CB9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306ADB14">
            <w:pPr>
              <w:pStyle w:val="77"/>
              <w:pageBreakBefore w:val="0"/>
              <w:widowControl w:val="0"/>
              <w:kinsoku/>
              <w:wordWrap/>
              <w:overflowPunct/>
              <w:topLinePunct w:val="0"/>
              <w:bidi w:val="0"/>
              <w:snapToGrid/>
              <w:spacing w:line="400" w:lineRule="exact"/>
              <w:ind w:firstLine="200"/>
              <w:jc w:val="center"/>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总价</w:t>
            </w:r>
          </w:p>
        </w:tc>
        <w:tc>
          <w:tcPr>
            <w:tcW w:w="2552" w:type="dxa"/>
            <w:noWrap w:val="0"/>
            <w:vAlign w:val="center"/>
          </w:tcPr>
          <w:p w14:paraId="1E0EE640">
            <w:pPr>
              <w:pStyle w:val="77"/>
              <w:pageBreakBefore w:val="0"/>
              <w:widowControl w:val="0"/>
              <w:kinsoku/>
              <w:wordWrap/>
              <w:overflowPunct/>
              <w:topLinePunct w:val="0"/>
              <w:bidi w:val="0"/>
              <w:snapToGrid/>
              <w:spacing w:line="400" w:lineRule="exact"/>
              <w:ind w:firstLine="200"/>
              <w:jc w:val="center"/>
              <w:rPr>
                <w:rFonts w:hint="eastAsia" w:ascii="仿宋" w:hAnsi="仿宋" w:eastAsia="仿宋" w:cs="仿宋"/>
                <w:kern w:val="2"/>
                <w:sz w:val="24"/>
                <w:szCs w:val="24"/>
                <w:highlight w:val="none"/>
                <w:lang w:val="en-US" w:eastAsia="zh-CN"/>
              </w:rPr>
            </w:pPr>
          </w:p>
        </w:tc>
      </w:tr>
    </w:tbl>
    <w:p w14:paraId="554F28A4">
      <w:pPr>
        <w:pageBreakBefore w:val="0"/>
        <w:widowControl w:val="0"/>
        <w:kinsoku/>
        <w:wordWrap/>
        <w:overflowPunct/>
        <w:topLinePunct w:val="0"/>
        <w:bidi w:val="0"/>
        <w:snapToGrid/>
        <w:spacing w:line="400" w:lineRule="exact"/>
        <w:ind w:firstLine="486" w:firstLineChars="200"/>
        <w:outlineLvl w:val="0"/>
        <w:rPr>
          <w:rFonts w:hint="eastAsia" w:ascii="仿宋" w:hAnsi="仿宋" w:eastAsia="仿宋" w:cs="仿宋"/>
          <w:b/>
          <w:sz w:val="24"/>
          <w:highlight w:val="none"/>
        </w:rPr>
      </w:pPr>
      <w:bookmarkStart w:id="111" w:name="_Toc30158"/>
      <w:bookmarkStart w:id="112" w:name="_Toc30506"/>
      <w:bookmarkStart w:id="113" w:name="_Toc3654"/>
      <w:bookmarkStart w:id="114" w:name="_Toc14993"/>
      <w:bookmarkStart w:id="115" w:name="_Toc26916"/>
      <w:bookmarkStart w:id="116" w:name="_Toc311"/>
      <w:bookmarkStart w:id="117" w:name="_Toc1291"/>
      <w:r>
        <w:rPr>
          <w:rFonts w:hint="eastAsia" w:ascii="仿宋" w:hAnsi="仿宋" w:eastAsia="仿宋" w:cs="仿宋"/>
          <w:b/>
          <w:sz w:val="24"/>
          <w:highlight w:val="none"/>
        </w:rPr>
        <w:t>1.4 付款方式和发票开具方式</w:t>
      </w:r>
      <w:bookmarkEnd w:id="111"/>
      <w:bookmarkEnd w:id="112"/>
      <w:bookmarkEnd w:id="113"/>
      <w:bookmarkEnd w:id="114"/>
      <w:bookmarkEnd w:id="115"/>
      <w:bookmarkEnd w:id="116"/>
      <w:bookmarkEnd w:id="117"/>
    </w:p>
    <w:p w14:paraId="23029DA2">
      <w:pPr>
        <w:pageBreakBefore w:val="0"/>
        <w:widowControl w:val="0"/>
        <w:kinsoku/>
        <w:wordWrap/>
        <w:overflowPunct/>
        <w:topLinePunct w:val="0"/>
        <w:bidi w:val="0"/>
        <w:snapToGrid/>
        <w:spacing w:line="400" w:lineRule="exact"/>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1.4.1付款方式：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042FEF37">
      <w:pPr>
        <w:pageBreakBefore w:val="0"/>
        <w:widowControl w:val="0"/>
        <w:kinsoku/>
        <w:wordWrap/>
        <w:overflowPunct/>
        <w:topLinePunct w:val="0"/>
        <w:bidi w:val="0"/>
        <w:snapToGrid/>
        <w:spacing w:line="400" w:lineRule="exact"/>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1.4.2 发票开具方式：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5EAAC025">
      <w:pPr>
        <w:pageBreakBefore w:val="0"/>
        <w:widowControl w:val="0"/>
        <w:kinsoku/>
        <w:wordWrap/>
        <w:overflowPunct/>
        <w:topLinePunct w:val="0"/>
        <w:bidi w:val="0"/>
        <w:snapToGrid/>
        <w:spacing w:line="400" w:lineRule="exact"/>
        <w:ind w:firstLine="486" w:firstLineChars="200"/>
        <w:outlineLvl w:val="0"/>
        <w:rPr>
          <w:rFonts w:hint="eastAsia" w:ascii="仿宋" w:hAnsi="仿宋" w:eastAsia="仿宋" w:cs="仿宋"/>
          <w:b/>
          <w:sz w:val="24"/>
          <w:highlight w:val="none"/>
        </w:rPr>
      </w:pPr>
      <w:bookmarkStart w:id="118" w:name="_Toc4760"/>
      <w:bookmarkStart w:id="119" w:name="_Toc30563"/>
      <w:bookmarkStart w:id="120" w:name="_Toc8772"/>
      <w:bookmarkStart w:id="121" w:name="_Toc11108"/>
      <w:bookmarkStart w:id="122" w:name="_Toc31421"/>
      <w:bookmarkStart w:id="123" w:name="_Toc3625"/>
      <w:bookmarkStart w:id="124" w:name="_Toc26524"/>
      <w:r>
        <w:rPr>
          <w:rFonts w:hint="eastAsia" w:ascii="仿宋" w:hAnsi="仿宋" w:eastAsia="仿宋" w:cs="仿宋"/>
          <w:b/>
          <w:sz w:val="24"/>
          <w:highlight w:val="none"/>
        </w:rPr>
        <w:t>1.5 履行期限、地点和方式</w:t>
      </w:r>
      <w:bookmarkEnd w:id="118"/>
      <w:bookmarkEnd w:id="119"/>
      <w:bookmarkEnd w:id="120"/>
      <w:bookmarkEnd w:id="121"/>
      <w:bookmarkEnd w:id="122"/>
      <w:bookmarkEnd w:id="123"/>
      <w:bookmarkEnd w:id="124"/>
    </w:p>
    <w:p w14:paraId="280306EA">
      <w:pPr>
        <w:pageBreakBefore w:val="0"/>
        <w:widowControl w:val="0"/>
        <w:kinsoku/>
        <w:wordWrap/>
        <w:overflowPunct/>
        <w:topLinePunct w:val="0"/>
        <w:bidi w:val="0"/>
        <w:snapToGrid/>
        <w:spacing w:line="400" w:lineRule="exact"/>
        <w:ind w:firstLine="486" w:firstLineChars="200"/>
        <w:rPr>
          <w:rFonts w:hint="eastAsia" w:ascii="仿宋" w:hAnsi="仿宋" w:eastAsia="仿宋" w:cs="仿宋"/>
          <w:sz w:val="24"/>
          <w:highlight w:val="none"/>
          <w:u w:val="single"/>
        </w:rPr>
      </w:pPr>
      <w:r>
        <w:rPr>
          <w:rFonts w:hint="eastAsia" w:ascii="仿宋" w:hAnsi="仿宋" w:eastAsia="仿宋" w:cs="仿宋"/>
          <w:sz w:val="24"/>
          <w:highlight w:val="none"/>
        </w:rPr>
        <w:t>1.5.1 履行期限：</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339736A5">
      <w:pPr>
        <w:pageBreakBefore w:val="0"/>
        <w:widowControl w:val="0"/>
        <w:kinsoku/>
        <w:wordWrap/>
        <w:overflowPunct/>
        <w:topLinePunct w:val="0"/>
        <w:bidi w:val="0"/>
        <w:snapToGrid/>
        <w:spacing w:line="400" w:lineRule="exact"/>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1.5.2 履行地点：</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776B2386">
      <w:pPr>
        <w:pageBreakBefore w:val="0"/>
        <w:widowControl w:val="0"/>
        <w:kinsoku/>
        <w:wordWrap/>
        <w:overflowPunct/>
        <w:topLinePunct w:val="0"/>
        <w:bidi w:val="0"/>
        <w:snapToGrid/>
        <w:spacing w:line="400" w:lineRule="exact"/>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1.5.3 履行方式：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35926BF2">
      <w:pPr>
        <w:pageBreakBefore w:val="0"/>
        <w:widowControl w:val="0"/>
        <w:kinsoku/>
        <w:wordWrap/>
        <w:overflowPunct/>
        <w:topLinePunct w:val="0"/>
        <w:bidi w:val="0"/>
        <w:snapToGrid/>
        <w:spacing w:line="400" w:lineRule="exact"/>
        <w:ind w:firstLine="486" w:firstLineChars="200"/>
        <w:outlineLvl w:val="0"/>
        <w:rPr>
          <w:rFonts w:hint="eastAsia" w:ascii="仿宋" w:hAnsi="仿宋" w:eastAsia="仿宋" w:cs="仿宋"/>
          <w:sz w:val="24"/>
          <w:highlight w:val="none"/>
          <w:u w:val="single"/>
        </w:rPr>
      </w:pPr>
      <w:bookmarkStart w:id="125" w:name="_Toc8586"/>
      <w:bookmarkStart w:id="126" w:name="_Toc3079"/>
      <w:bookmarkStart w:id="127" w:name="_Toc7103"/>
      <w:bookmarkStart w:id="128" w:name="_Toc24662"/>
      <w:bookmarkStart w:id="129" w:name="_Toc2375"/>
      <w:bookmarkStart w:id="130" w:name="_Toc17542"/>
      <w:bookmarkStart w:id="131" w:name="_Toc5698"/>
      <w:r>
        <w:rPr>
          <w:rFonts w:hint="eastAsia" w:ascii="仿宋" w:hAnsi="仿宋" w:eastAsia="仿宋" w:cs="仿宋"/>
          <w:b/>
          <w:sz w:val="24"/>
          <w:highlight w:val="none"/>
        </w:rPr>
        <w:t>1.6 违约责任</w:t>
      </w:r>
      <w:bookmarkEnd w:id="125"/>
      <w:bookmarkEnd w:id="126"/>
      <w:bookmarkEnd w:id="127"/>
      <w:bookmarkEnd w:id="128"/>
      <w:bookmarkEnd w:id="129"/>
      <w:bookmarkEnd w:id="130"/>
      <w:bookmarkEnd w:id="131"/>
    </w:p>
    <w:p w14:paraId="580B32FE">
      <w:pPr>
        <w:pageBreakBefore w:val="0"/>
        <w:widowControl w:val="0"/>
        <w:kinsoku/>
        <w:wordWrap/>
        <w:overflowPunct/>
        <w:topLinePunct w:val="0"/>
        <w:bidi w:val="0"/>
        <w:snapToGrid/>
        <w:spacing w:line="400" w:lineRule="exact"/>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1.6.1 除不可抗力外，如果乙方没有按照本合同约定的期限、地点和方式履行，那么</w:t>
      </w:r>
    </w:p>
    <w:p w14:paraId="0262AC76">
      <w:pPr>
        <w:pageBreakBefore w:val="0"/>
        <w:widowControl w:val="0"/>
        <w:kinsoku/>
        <w:wordWrap/>
        <w:overflowPunct/>
        <w:topLinePunct w:val="0"/>
        <w:bidi w:val="0"/>
        <w:snapToGrid/>
        <w:spacing w:line="400" w:lineRule="exact"/>
        <w:rPr>
          <w:rFonts w:hint="eastAsia" w:ascii="仿宋" w:hAnsi="仿宋" w:eastAsia="仿宋" w:cs="仿宋"/>
          <w:sz w:val="24"/>
          <w:highlight w:val="none"/>
        </w:rPr>
      </w:pPr>
      <w:r>
        <w:rPr>
          <w:rFonts w:hint="eastAsia" w:ascii="仿宋" w:hAnsi="仿宋" w:eastAsia="仿宋" w:cs="仿宋"/>
          <w:sz w:val="24"/>
          <w:highlight w:val="none"/>
        </w:rPr>
        <w:t>甲方可要求乙方支付违约金，违约金按每迟延履行一日的应提供而未提供服务价格的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%计算，最高限额为本合同总价的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%；迟延履行的违约金计算数额达到前述最高限额之日起，甲方有权在要求乙方支付违约金的同时，书面通知乙方解除本合同；</w:t>
      </w:r>
    </w:p>
    <w:p w14:paraId="4B13B24E">
      <w:pPr>
        <w:pageBreakBefore w:val="0"/>
        <w:widowControl w:val="0"/>
        <w:kinsoku/>
        <w:wordWrap/>
        <w:overflowPunct/>
        <w:topLinePunct w:val="0"/>
        <w:bidi w:val="0"/>
        <w:snapToGrid/>
        <w:spacing w:line="400" w:lineRule="exact"/>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1.6.2 除不可抗力外，如果甲方没有按照本合同约定的付款方式付款，那么乙方可要求甲方支付违约金，违约金按每迟延付款一日的应付而未付款的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%计算，最高限额为本合同总价的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%；迟延付款的违约金计算数额达到前述最高限额之日起，乙方有权在要求甲方支付违约金的同时，书面通知甲方解除本合同；</w:t>
      </w:r>
    </w:p>
    <w:p w14:paraId="06C53F8D">
      <w:pPr>
        <w:pageBreakBefore w:val="0"/>
        <w:widowControl w:val="0"/>
        <w:kinsoku/>
        <w:wordWrap/>
        <w:overflowPunct/>
        <w:topLinePunct w:val="0"/>
        <w:bidi w:val="0"/>
        <w:snapToGrid/>
        <w:spacing w:line="400" w:lineRule="exact"/>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269620F0">
      <w:pPr>
        <w:pageBreakBefore w:val="0"/>
        <w:widowControl w:val="0"/>
        <w:kinsoku/>
        <w:wordWrap/>
        <w:overflowPunct/>
        <w:topLinePunct w:val="0"/>
        <w:bidi w:val="0"/>
        <w:snapToGrid/>
        <w:spacing w:line="400" w:lineRule="exact"/>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F3D387C">
      <w:pPr>
        <w:pageBreakBefore w:val="0"/>
        <w:widowControl w:val="0"/>
        <w:kinsoku/>
        <w:wordWrap/>
        <w:overflowPunct/>
        <w:topLinePunct w:val="0"/>
        <w:bidi w:val="0"/>
        <w:snapToGrid/>
        <w:spacing w:line="400" w:lineRule="exact"/>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AD75750">
      <w:pPr>
        <w:pageBreakBefore w:val="0"/>
        <w:widowControl w:val="0"/>
        <w:kinsoku/>
        <w:wordWrap/>
        <w:overflowPunct/>
        <w:topLinePunct w:val="0"/>
        <w:bidi w:val="0"/>
        <w:snapToGrid/>
        <w:spacing w:line="400" w:lineRule="exact"/>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0E4F865B">
      <w:pPr>
        <w:pageBreakBefore w:val="0"/>
        <w:widowControl w:val="0"/>
        <w:kinsoku/>
        <w:wordWrap/>
        <w:overflowPunct/>
        <w:topLinePunct w:val="0"/>
        <w:bidi w:val="0"/>
        <w:snapToGrid/>
        <w:spacing w:line="400" w:lineRule="exact"/>
        <w:ind w:firstLine="486" w:firstLineChars="200"/>
        <w:outlineLvl w:val="0"/>
        <w:rPr>
          <w:rFonts w:hint="eastAsia" w:ascii="仿宋" w:hAnsi="仿宋" w:eastAsia="仿宋" w:cs="仿宋"/>
          <w:b/>
          <w:sz w:val="24"/>
          <w:highlight w:val="none"/>
        </w:rPr>
      </w:pPr>
      <w:bookmarkStart w:id="132" w:name="_Toc18683"/>
      <w:bookmarkStart w:id="133" w:name="_Toc9497"/>
      <w:bookmarkStart w:id="134" w:name="_Toc30329"/>
      <w:bookmarkStart w:id="135" w:name="_Toc26807"/>
      <w:bookmarkStart w:id="136" w:name="_Toc7763"/>
      <w:bookmarkStart w:id="137" w:name="_Toc32454"/>
      <w:bookmarkStart w:id="138" w:name="_Toc7687"/>
      <w:r>
        <w:rPr>
          <w:rFonts w:hint="eastAsia" w:ascii="仿宋" w:hAnsi="仿宋" w:eastAsia="仿宋" w:cs="仿宋"/>
          <w:b/>
          <w:sz w:val="24"/>
          <w:highlight w:val="none"/>
        </w:rPr>
        <w:t>1.7 合同争议的解决</w:t>
      </w:r>
      <w:bookmarkEnd w:id="132"/>
      <w:bookmarkEnd w:id="133"/>
      <w:bookmarkEnd w:id="134"/>
      <w:bookmarkEnd w:id="135"/>
      <w:bookmarkEnd w:id="136"/>
      <w:bookmarkEnd w:id="137"/>
      <w:bookmarkEnd w:id="138"/>
    </w:p>
    <w:p w14:paraId="3474105A">
      <w:pPr>
        <w:pageBreakBefore w:val="0"/>
        <w:widowControl w:val="0"/>
        <w:kinsoku/>
        <w:wordWrap/>
        <w:overflowPunct/>
        <w:topLinePunct w:val="0"/>
        <w:bidi w:val="0"/>
        <w:snapToGrid/>
        <w:spacing w:line="400" w:lineRule="exact"/>
        <w:ind w:firstLine="486" w:firstLineChars="200"/>
        <w:rPr>
          <w:rFonts w:hint="eastAsia" w:ascii="仿宋" w:hAnsi="仿宋" w:eastAsia="仿宋" w:cs="仿宋"/>
          <w:sz w:val="24"/>
          <w:highlight w:val="none"/>
        </w:rPr>
      </w:pPr>
      <w:r>
        <w:rPr>
          <w:rFonts w:hint="eastAsia" w:ascii="仿宋" w:hAnsi="仿宋" w:eastAsia="仿宋" w:cs="仿宋"/>
          <w:sz w:val="24"/>
          <w:highlight w:val="none"/>
        </w:rPr>
        <w:t>本合同履行过程中发生的任何争议，双方当事人均可通过和解或者调解解决；不愿和解、调解或者和解、调解不成的，可以选择下列第</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种方式解决：</w:t>
      </w:r>
    </w:p>
    <w:p w14:paraId="16D37FC2">
      <w:pPr>
        <w:pageBreakBefore w:val="0"/>
        <w:widowControl w:val="0"/>
        <w:kinsoku/>
        <w:wordWrap/>
        <w:overflowPunct/>
        <w:topLinePunct w:val="0"/>
        <w:bidi w:val="0"/>
        <w:snapToGrid/>
        <w:spacing w:line="400" w:lineRule="exact"/>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1.7.1 将争议提交</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仲裁委员会依申请仲裁时其现行有效的仲裁规则裁决；</w:t>
      </w:r>
    </w:p>
    <w:p w14:paraId="41BDFE74">
      <w:pPr>
        <w:pageBreakBefore w:val="0"/>
        <w:widowControl w:val="0"/>
        <w:kinsoku/>
        <w:wordWrap/>
        <w:overflowPunct/>
        <w:topLinePunct w:val="0"/>
        <w:bidi w:val="0"/>
        <w:snapToGrid/>
        <w:spacing w:line="400" w:lineRule="exact"/>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1.7.2 向</w:t>
      </w:r>
      <w:r>
        <w:rPr>
          <w:rFonts w:hint="eastAsia" w:ascii="仿宋" w:hAnsi="仿宋" w:eastAsia="仿宋" w:cs="仿宋"/>
          <w:sz w:val="24"/>
          <w:highlight w:val="none"/>
          <w:u w:val="single"/>
        </w:rPr>
        <w:t xml:space="preserve">   （被告住所地、合同履行地、合同签订地、原告住所地、标的物所在地等与争议有实际联系的地点中选出的人民法院名称）    </w:t>
      </w:r>
      <w:r>
        <w:rPr>
          <w:rFonts w:hint="eastAsia" w:ascii="仿宋" w:hAnsi="仿宋" w:eastAsia="仿宋" w:cs="仿宋"/>
          <w:sz w:val="24"/>
          <w:highlight w:val="none"/>
        </w:rPr>
        <w:t>人民法院起诉。</w:t>
      </w:r>
    </w:p>
    <w:p w14:paraId="7A8DC85E">
      <w:pPr>
        <w:pageBreakBefore w:val="0"/>
        <w:widowControl w:val="0"/>
        <w:kinsoku/>
        <w:wordWrap/>
        <w:overflowPunct/>
        <w:topLinePunct w:val="0"/>
        <w:bidi w:val="0"/>
        <w:snapToGrid/>
        <w:spacing w:line="400" w:lineRule="exact"/>
        <w:ind w:firstLine="486" w:firstLineChars="200"/>
        <w:outlineLvl w:val="0"/>
        <w:rPr>
          <w:rFonts w:hint="eastAsia" w:ascii="仿宋" w:hAnsi="仿宋" w:eastAsia="仿宋" w:cs="仿宋"/>
          <w:b/>
          <w:sz w:val="24"/>
          <w:highlight w:val="none"/>
        </w:rPr>
      </w:pPr>
      <w:bookmarkStart w:id="139" w:name="_Toc26227"/>
      <w:bookmarkStart w:id="140" w:name="_Toc23784"/>
      <w:bookmarkStart w:id="141" w:name="_Toc15827"/>
      <w:bookmarkStart w:id="142" w:name="_Toc12273"/>
      <w:bookmarkStart w:id="143" w:name="_Toc31437"/>
      <w:bookmarkStart w:id="144" w:name="_Toc1653"/>
      <w:bookmarkStart w:id="145" w:name="_Toc16417"/>
      <w:r>
        <w:rPr>
          <w:rFonts w:hint="eastAsia" w:ascii="仿宋" w:hAnsi="仿宋" w:eastAsia="仿宋" w:cs="仿宋"/>
          <w:b/>
          <w:sz w:val="24"/>
          <w:highlight w:val="none"/>
        </w:rPr>
        <w:t>1.8 合同生效</w:t>
      </w:r>
      <w:bookmarkEnd w:id="139"/>
      <w:bookmarkEnd w:id="140"/>
      <w:bookmarkEnd w:id="141"/>
      <w:bookmarkEnd w:id="142"/>
      <w:bookmarkEnd w:id="143"/>
      <w:bookmarkEnd w:id="144"/>
      <w:bookmarkEnd w:id="145"/>
    </w:p>
    <w:p w14:paraId="6C8411EB">
      <w:pPr>
        <w:pageBreakBefore w:val="0"/>
        <w:widowControl w:val="0"/>
        <w:kinsoku/>
        <w:wordWrap/>
        <w:overflowPunct/>
        <w:topLinePunct w:val="0"/>
        <w:bidi w:val="0"/>
        <w:snapToGrid/>
        <w:spacing w:line="400" w:lineRule="exact"/>
        <w:ind w:firstLine="486" w:firstLineChars="200"/>
        <w:rPr>
          <w:rFonts w:hint="eastAsia" w:ascii="仿宋" w:hAnsi="仿宋" w:eastAsia="仿宋" w:cs="仿宋"/>
          <w:sz w:val="24"/>
          <w:highlight w:val="none"/>
          <w:lang w:val="zh-CN"/>
        </w:rPr>
      </w:pPr>
      <w:r>
        <w:rPr>
          <w:rFonts w:hint="eastAsia" w:ascii="仿宋" w:hAnsi="仿宋" w:eastAsia="仿宋" w:cs="仿宋"/>
          <w:sz w:val="24"/>
          <w:highlight w:val="none"/>
        </w:rPr>
        <w:t>本合同自双方当事人盖章或者签字时生效。</w:t>
      </w:r>
    </w:p>
    <w:p w14:paraId="6D891CB1">
      <w:pPr>
        <w:pageBreakBefore w:val="0"/>
        <w:widowControl w:val="0"/>
        <w:kinsoku/>
        <w:wordWrap/>
        <w:overflowPunct/>
        <w:topLinePunct w:val="0"/>
        <w:autoSpaceDE w:val="0"/>
        <w:autoSpaceDN w:val="0"/>
        <w:bidi w:val="0"/>
        <w:adjustRightInd w:val="0"/>
        <w:snapToGrid/>
        <w:spacing w:line="400" w:lineRule="exact"/>
        <w:rPr>
          <w:rFonts w:hint="eastAsia" w:ascii="仿宋" w:hAnsi="仿宋" w:eastAsia="仿宋" w:cs="仿宋"/>
          <w:sz w:val="24"/>
          <w:highlight w:val="none"/>
          <w:lang w:val="zh-CN"/>
        </w:rPr>
      </w:pPr>
      <w:r>
        <w:rPr>
          <w:rFonts w:hint="eastAsia" w:ascii="仿宋" w:hAnsi="仿宋" w:eastAsia="仿宋" w:cs="仿宋"/>
          <w:b/>
          <w:sz w:val="24"/>
          <w:highlight w:val="none"/>
          <w:lang w:val="zh-CN"/>
        </w:rPr>
        <w:t>甲方</w:t>
      </w:r>
      <w:r>
        <w:rPr>
          <w:rFonts w:hint="eastAsia" w:ascii="仿宋" w:hAnsi="仿宋" w:eastAsia="仿宋" w:cs="仿宋"/>
          <w:sz w:val="24"/>
          <w:highlight w:val="none"/>
          <w:lang w:val="zh-CN"/>
        </w:rPr>
        <w:t xml:space="preserve">：                             </w:t>
      </w:r>
      <w:r>
        <w:rPr>
          <w:rFonts w:hint="eastAsia" w:ascii="仿宋" w:hAnsi="仿宋" w:eastAsia="仿宋" w:cs="仿宋"/>
          <w:b/>
          <w:sz w:val="24"/>
          <w:highlight w:val="none"/>
          <w:lang w:val="zh-CN"/>
        </w:rPr>
        <w:t xml:space="preserve">      乙方</w:t>
      </w:r>
      <w:r>
        <w:rPr>
          <w:rFonts w:hint="eastAsia" w:ascii="仿宋" w:hAnsi="仿宋" w:eastAsia="仿宋" w:cs="仿宋"/>
          <w:sz w:val="24"/>
          <w:highlight w:val="none"/>
          <w:lang w:val="zh-CN"/>
        </w:rPr>
        <w:t>：</w:t>
      </w:r>
    </w:p>
    <w:p w14:paraId="2EC0A03F">
      <w:pPr>
        <w:pageBreakBefore w:val="0"/>
        <w:widowControl w:val="0"/>
        <w:kinsoku/>
        <w:wordWrap/>
        <w:overflowPunct/>
        <w:topLinePunct w:val="0"/>
        <w:autoSpaceDE w:val="0"/>
        <w:autoSpaceDN w:val="0"/>
        <w:bidi w:val="0"/>
        <w:adjustRightInd w:val="0"/>
        <w:snapToGrid/>
        <w:spacing w:line="40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统一社会信用代码：                        统一社会信用代码或身份证号码：</w:t>
      </w:r>
    </w:p>
    <w:p w14:paraId="131D62F8">
      <w:pPr>
        <w:pageBreakBefore w:val="0"/>
        <w:widowControl w:val="0"/>
        <w:kinsoku/>
        <w:wordWrap/>
        <w:overflowPunct/>
        <w:topLinePunct w:val="0"/>
        <w:autoSpaceDE w:val="0"/>
        <w:autoSpaceDN w:val="0"/>
        <w:bidi w:val="0"/>
        <w:adjustRightInd w:val="0"/>
        <w:snapToGrid/>
        <w:spacing w:line="40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住所：                                   住所：</w:t>
      </w:r>
    </w:p>
    <w:p w14:paraId="622193C1">
      <w:pPr>
        <w:pageBreakBefore w:val="0"/>
        <w:widowControl w:val="0"/>
        <w:kinsoku/>
        <w:wordWrap/>
        <w:overflowPunct/>
        <w:topLinePunct w:val="0"/>
        <w:autoSpaceDE w:val="0"/>
        <w:autoSpaceDN w:val="0"/>
        <w:bidi w:val="0"/>
        <w:adjustRightInd w:val="0"/>
        <w:snapToGrid/>
        <w:spacing w:line="40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法定代表人或                             法定代表人</w:t>
      </w:r>
    </w:p>
    <w:p w14:paraId="510CE3D8">
      <w:pPr>
        <w:pageBreakBefore w:val="0"/>
        <w:widowControl w:val="0"/>
        <w:kinsoku/>
        <w:wordWrap/>
        <w:overflowPunct/>
        <w:topLinePunct w:val="0"/>
        <w:autoSpaceDE w:val="0"/>
        <w:autoSpaceDN w:val="0"/>
        <w:bidi w:val="0"/>
        <w:adjustRightInd w:val="0"/>
        <w:snapToGrid/>
        <w:spacing w:line="40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 xml:space="preserve">授权代表（签字）：                        或授权代表（签字）: </w:t>
      </w:r>
    </w:p>
    <w:p w14:paraId="7294C383">
      <w:pPr>
        <w:pageBreakBefore w:val="0"/>
        <w:widowControl w:val="0"/>
        <w:kinsoku/>
        <w:wordWrap/>
        <w:overflowPunct/>
        <w:topLinePunct w:val="0"/>
        <w:autoSpaceDE w:val="0"/>
        <w:autoSpaceDN w:val="0"/>
        <w:bidi w:val="0"/>
        <w:adjustRightInd w:val="0"/>
        <w:snapToGrid/>
        <w:spacing w:line="40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联系人：                                 联系人：</w:t>
      </w:r>
    </w:p>
    <w:p w14:paraId="12858FA3">
      <w:pPr>
        <w:pageBreakBefore w:val="0"/>
        <w:widowControl w:val="0"/>
        <w:kinsoku/>
        <w:wordWrap/>
        <w:overflowPunct/>
        <w:topLinePunct w:val="0"/>
        <w:autoSpaceDE w:val="0"/>
        <w:autoSpaceDN w:val="0"/>
        <w:bidi w:val="0"/>
        <w:adjustRightInd w:val="0"/>
        <w:snapToGrid/>
        <w:spacing w:line="40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约定送达地址：                           约定送达地址：</w:t>
      </w:r>
    </w:p>
    <w:p w14:paraId="68E228BF">
      <w:pPr>
        <w:pageBreakBefore w:val="0"/>
        <w:widowControl w:val="0"/>
        <w:kinsoku/>
        <w:wordWrap/>
        <w:overflowPunct/>
        <w:topLinePunct w:val="0"/>
        <w:autoSpaceDE w:val="0"/>
        <w:autoSpaceDN w:val="0"/>
        <w:bidi w:val="0"/>
        <w:adjustRightInd w:val="0"/>
        <w:snapToGrid/>
        <w:spacing w:line="40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邮政编码：                               邮政编码：</w:t>
      </w:r>
    </w:p>
    <w:p w14:paraId="45386CFF">
      <w:pPr>
        <w:pageBreakBefore w:val="0"/>
        <w:widowControl w:val="0"/>
        <w:kinsoku/>
        <w:wordWrap/>
        <w:overflowPunct/>
        <w:topLinePunct w:val="0"/>
        <w:autoSpaceDE w:val="0"/>
        <w:autoSpaceDN w:val="0"/>
        <w:bidi w:val="0"/>
        <w:adjustRightInd w:val="0"/>
        <w:snapToGrid/>
        <w:spacing w:line="40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 xml:space="preserve">电话:                                    电话: </w:t>
      </w:r>
    </w:p>
    <w:p w14:paraId="22EFDD45">
      <w:pPr>
        <w:pageBreakBefore w:val="0"/>
        <w:widowControl w:val="0"/>
        <w:kinsoku/>
        <w:wordWrap/>
        <w:overflowPunct/>
        <w:topLinePunct w:val="0"/>
        <w:autoSpaceDE w:val="0"/>
        <w:autoSpaceDN w:val="0"/>
        <w:bidi w:val="0"/>
        <w:adjustRightInd w:val="0"/>
        <w:snapToGrid/>
        <w:spacing w:line="40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传真:                                    传真:</w:t>
      </w:r>
    </w:p>
    <w:p w14:paraId="5D50AF3D">
      <w:pPr>
        <w:pageBreakBefore w:val="0"/>
        <w:widowControl w:val="0"/>
        <w:kinsoku/>
        <w:wordWrap/>
        <w:overflowPunct/>
        <w:topLinePunct w:val="0"/>
        <w:autoSpaceDE w:val="0"/>
        <w:autoSpaceDN w:val="0"/>
        <w:bidi w:val="0"/>
        <w:adjustRightInd w:val="0"/>
        <w:snapToGrid/>
        <w:spacing w:line="400" w:lineRule="exact"/>
        <w:rPr>
          <w:rFonts w:hint="eastAsia" w:ascii="仿宋" w:hAnsi="仿宋" w:eastAsia="仿宋" w:cs="仿宋"/>
          <w:sz w:val="24"/>
          <w:highlight w:val="none"/>
        </w:rPr>
      </w:pPr>
      <w:r>
        <w:rPr>
          <w:rFonts w:hint="eastAsia" w:ascii="仿宋" w:hAnsi="仿宋" w:eastAsia="仿宋" w:cs="仿宋"/>
          <w:sz w:val="24"/>
          <w:highlight w:val="none"/>
          <w:lang w:val="zh-CN"/>
        </w:rPr>
        <w:t>电子邮箱：                               电子邮箱：</w:t>
      </w:r>
    </w:p>
    <w:p w14:paraId="1FB47F77">
      <w:pPr>
        <w:pageBreakBefore w:val="0"/>
        <w:widowControl w:val="0"/>
        <w:kinsoku/>
        <w:wordWrap/>
        <w:overflowPunct/>
        <w:topLinePunct w:val="0"/>
        <w:autoSpaceDE w:val="0"/>
        <w:autoSpaceDN w:val="0"/>
        <w:bidi w:val="0"/>
        <w:adjustRightInd w:val="0"/>
        <w:snapToGrid/>
        <w:spacing w:line="400" w:lineRule="exact"/>
        <w:rPr>
          <w:rFonts w:hint="eastAsia" w:ascii="仿宋" w:hAnsi="仿宋" w:eastAsia="仿宋" w:cs="仿宋"/>
          <w:sz w:val="24"/>
          <w:highlight w:val="none"/>
        </w:rPr>
      </w:pPr>
      <w:r>
        <w:rPr>
          <w:rFonts w:hint="eastAsia" w:ascii="仿宋" w:hAnsi="仿宋" w:eastAsia="仿宋" w:cs="仿宋"/>
          <w:sz w:val="24"/>
          <w:highlight w:val="none"/>
        </w:rPr>
        <w:t xml:space="preserve">开户银行：                               开户银行： </w:t>
      </w:r>
    </w:p>
    <w:p w14:paraId="34E7DD30">
      <w:pPr>
        <w:pageBreakBefore w:val="0"/>
        <w:widowControl w:val="0"/>
        <w:kinsoku/>
        <w:wordWrap/>
        <w:overflowPunct/>
        <w:topLinePunct w:val="0"/>
        <w:autoSpaceDE w:val="0"/>
        <w:autoSpaceDN w:val="0"/>
        <w:bidi w:val="0"/>
        <w:adjustRightInd w:val="0"/>
        <w:snapToGrid/>
        <w:spacing w:line="400" w:lineRule="exact"/>
        <w:rPr>
          <w:rFonts w:hint="eastAsia" w:ascii="仿宋" w:hAnsi="仿宋" w:eastAsia="仿宋" w:cs="仿宋"/>
          <w:sz w:val="24"/>
          <w:highlight w:val="none"/>
        </w:rPr>
      </w:pPr>
      <w:r>
        <w:rPr>
          <w:rFonts w:hint="eastAsia" w:ascii="仿宋" w:hAnsi="仿宋" w:eastAsia="仿宋" w:cs="仿宋"/>
          <w:sz w:val="24"/>
          <w:highlight w:val="none"/>
        </w:rPr>
        <w:t xml:space="preserve">开户名称：                               开户名称： </w:t>
      </w:r>
    </w:p>
    <w:p w14:paraId="27297F43">
      <w:pPr>
        <w:pageBreakBefore w:val="0"/>
        <w:widowControl w:val="0"/>
        <w:kinsoku/>
        <w:wordWrap/>
        <w:overflowPunct/>
        <w:topLinePunct w:val="0"/>
        <w:autoSpaceDE w:val="0"/>
        <w:autoSpaceDN w:val="0"/>
        <w:bidi w:val="0"/>
        <w:adjustRightInd w:val="0"/>
        <w:snapToGrid/>
        <w:spacing w:line="400" w:lineRule="exac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开户账号：</w:t>
      </w:r>
      <w:r>
        <w:rPr>
          <w:rFonts w:hint="eastAsia" w:ascii="仿宋" w:hAnsi="仿宋" w:eastAsia="仿宋" w:cs="仿宋"/>
          <w:b w:val="0"/>
          <w:bCs w:val="0"/>
          <w:color w:val="auto"/>
          <w:kern w:val="2"/>
          <w:sz w:val="24"/>
          <w:szCs w:val="24"/>
          <w:highlight w:val="none"/>
          <w:lang w:val="zh-CN" w:eastAsia="zh-CN" w:bidi="ar-SA"/>
        </w:rPr>
        <w:t xml:space="preserve">                               </w:t>
      </w:r>
      <w:r>
        <w:rPr>
          <w:rFonts w:hint="eastAsia" w:ascii="仿宋" w:hAnsi="仿宋" w:eastAsia="仿宋" w:cs="仿宋"/>
          <w:b w:val="0"/>
          <w:bCs w:val="0"/>
          <w:color w:val="auto"/>
          <w:kern w:val="2"/>
          <w:sz w:val="24"/>
          <w:szCs w:val="24"/>
          <w:highlight w:val="none"/>
          <w:lang w:val="en-US" w:eastAsia="zh-CN" w:bidi="ar-SA"/>
        </w:rPr>
        <w:t>开户账号：</w:t>
      </w:r>
    </w:p>
    <w:p w14:paraId="3EA0A521">
      <w:pPr>
        <w:adjustRightInd w:val="0"/>
        <w:snapToGrid w:val="0"/>
        <w:spacing w:line="360" w:lineRule="auto"/>
        <w:ind w:left="602" w:right="70" w:hanging="602"/>
        <w:jc w:val="right"/>
        <w:rPr>
          <w:rFonts w:hint="eastAsia" w:ascii="宋体" w:hAnsi="宋体" w:eastAsia="宋体" w:cs="宋体"/>
          <w:b/>
          <w:bCs/>
          <w:color w:val="auto"/>
          <w:sz w:val="28"/>
          <w:szCs w:val="28"/>
          <w:bdr w:val="single" w:color="auto" w:sz="4" w:space="0"/>
        </w:rPr>
      </w:pPr>
    </w:p>
    <w:p w14:paraId="50A62A97">
      <w:pPr>
        <w:adjustRightInd w:val="0"/>
        <w:snapToGrid w:val="0"/>
        <w:spacing w:line="360" w:lineRule="auto"/>
        <w:ind w:left="602" w:right="70" w:hanging="602"/>
        <w:jc w:val="right"/>
        <w:rPr>
          <w:rFonts w:hint="eastAsia" w:ascii="宋体" w:hAnsi="宋体" w:eastAsia="宋体" w:cs="宋体"/>
          <w:b/>
          <w:bCs/>
          <w:color w:val="auto"/>
          <w:sz w:val="28"/>
          <w:szCs w:val="28"/>
          <w:bdr w:val="single" w:color="auto" w:sz="4" w:space="0"/>
        </w:rPr>
      </w:pPr>
    </w:p>
    <w:p w14:paraId="3A861E19">
      <w:pPr>
        <w:adjustRightInd w:val="0"/>
        <w:snapToGrid w:val="0"/>
        <w:spacing w:line="360" w:lineRule="auto"/>
        <w:ind w:left="602" w:right="70" w:hanging="602"/>
        <w:jc w:val="right"/>
        <w:rPr>
          <w:rFonts w:hint="eastAsia" w:ascii="宋体" w:hAnsi="宋体" w:eastAsia="宋体" w:cs="宋体"/>
          <w:b/>
          <w:bCs/>
          <w:color w:val="auto"/>
          <w:sz w:val="28"/>
          <w:szCs w:val="28"/>
          <w:bdr w:val="single" w:color="auto" w:sz="4" w:space="0"/>
        </w:rPr>
      </w:pPr>
    </w:p>
    <w:p w14:paraId="2D6D9439">
      <w:pPr>
        <w:adjustRightInd w:val="0"/>
        <w:snapToGrid w:val="0"/>
        <w:spacing w:line="360" w:lineRule="auto"/>
        <w:ind w:left="602" w:right="70" w:hanging="602"/>
        <w:jc w:val="right"/>
        <w:rPr>
          <w:rFonts w:hint="eastAsia" w:ascii="宋体" w:hAnsi="宋体" w:eastAsia="宋体" w:cs="宋体"/>
          <w:b/>
          <w:bCs/>
          <w:color w:val="auto"/>
          <w:sz w:val="28"/>
          <w:szCs w:val="28"/>
          <w:bdr w:val="single" w:color="auto" w:sz="4" w:space="0"/>
        </w:rPr>
      </w:pPr>
    </w:p>
    <w:p w14:paraId="0A2F210B">
      <w:pPr>
        <w:adjustRightInd w:val="0"/>
        <w:snapToGrid w:val="0"/>
        <w:spacing w:line="360" w:lineRule="auto"/>
        <w:ind w:left="602" w:right="70" w:hanging="602"/>
        <w:jc w:val="right"/>
        <w:rPr>
          <w:rFonts w:hint="eastAsia" w:ascii="宋体" w:hAnsi="宋体" w:eastAsia="宋体" w:cs="宋体"/>
          <w:b/>
          <w:bCs/>
          <w:color w:val="auto"/>
          <w:sz w:val="28"/>
          <w:szCs w:val="28"/>
          <w:bdr w:val="single" w:color="auto" w:sz="4" w:space="0"/>
        </w:rPr>
      </w:pPr>
    </w:p>
    <w:p w14:paraId="3A7B6149">
      <w:pPr>
        <w:adjustRightInd w:val="0"/>
        <w:snapToGrid w:val="0"/>
        <w:spacing w:line="360" w:lineRule="auto"/>
        <w:ind w:left="602" w:right="70" w:hanging="602"/>
        <w:jc w:val="right"/>
        <w:rPr>
          <w:rFonts w:hint="eastAsia" w:ascii="宋体" w:hAnsi="宋体" w:eastAsia="宋体" w:cs="宋体"/>
          <w:b/>
          <w:bCs/>
          <w:color w:val="auto"/>
          <w:sz w:val="28"/>
          <w:szCs w:val="28"/>
          <w:bdr w:val="single" w:color="auto" w:sz="4" w:space="0"/>
        </w:rPr>
      </w:pPr>
    </w:p>
    <w:p w14:paraId="024CC072">
      <w:pPr>
        <w:adjustRightInd w:val="0"/>
        <w:snapToGrid w:val="0"/>
        <w:spacing w:line="360" w:lineRule="auto"/>
        <w:ind w:left="602" w:right="70" w:hanging="602"/>
        <w:jc w:val="right"/>
        <w:rPr>
          <w:rFonts w:hint="eastAsia" w:ascii="宋体" w:hAnsi="宋体" w:eastAsia="宋体" w:cs="宋体"/>
          <w:b/>
          <w:bCs/>
          <w:color w:val="auto"/>
          <w:sz w:val="28"/>
          <w:szCs w:val="28"/>
          <w:bdr w:val="single" w:color="auto" w:sz="4" w:space="0"/>
        </w:rPr>
      </w:pPr>
    </w:p>
    <w:p w14:paraId="17942F24">
      <w:pPr>
        <w:adjustRightInd w:val="0"/>
        <w:snapToGrid w:val="0"/>
        <w:spacing w:line="360" w:lineRule="auto"/>
        <w:ind w:left="602" w:right="70" w:hanging="602"/>
        <w:jc w:val="right"/>
        <w:rPr>
          <w:rFonts w:hint="eastAsia" w:ascii="宋体" w:hAnsi="宋体" w:eastAsia="宋体" w:cs="宋体"/>
          <w:b/>
          <w:bCs/>
          <w:color w:val="auto"/>
          <w:sz w:val="28"/>
          <w:szCs w:val="28"/>
          <w:bdr w:val="single" w:color="auto" w:sz="4" w:space="0"/>
        </w:rPr>
      </w:pPr>
    </w:p>
    <w:p w14:paraId="0770DAC0">
      <w:pPr>
        <w:adjustRightInd w:val="0"/>
        <w:snapToGrid w:val="0"/>
        <w:spacing w:line="360" w:lineRule="auto"/>
        <w:ind w:left="602" w:right="70" w:hanging="602"/>
        <w:jc w:val="right"/>
        <w:rPr>
          <w:rFonts w:hint="eastAsia" w:ascii="宋体" w:hAnsi="宋体" w:eastAsia="宋体" w:cs="宋体"/>
          <w:b/>
          <w:bCs/>
          <w:color w:val="auto"/>
          <w:sz w:val="28"/>
          <w:szCs w:val="28"/>
          <w:bdr w:val="single" w:color="auto" w:sz="4" w:space="0"/>
        </w:rPr>
      </w:pPr>
    </w:p>
    <w:p w14:paraId="6214424F">
      <w:pPr>
        <w:adjustRightInd w:val="0"/>
        <w:snapToGrid w:val="0"/>
        <w:spacing w:line="360" w:lineRule="auto"/>
        <w:ind w:left="602" w:right="70" w:hanging="602"/>
        <w:jc w:val="right"/>
        <w:rPr>
          <w:rFonts w:hint="eastAsia" w:ascii="宋体" w:hAnsi="宋体" w:eastAsia="宋体" w:cs="宋体"/>
          <w:b/>
          <w:bCs/>
          <w:color w:val="auto"/>
          <w:sz w:val="28"/>
          <w:szCs w:val="28"/>
          <w:bdr w:val="single" w:color="auto" w:sz="4" w:space="0"/>
        </w:rPr>
      </w:pPr>
    </w:p>
    <w:p w14:paraId="28DAC5C2">
      <w:pPr>
        <w:adjustRightInd w:val="0"/>
        <w:snapToGrid w:val="0"/>
        <w:spacing w:line="360" w:lineRule="auto"/>
        <w:ind w:left="602" w:right="70" w:hanging="602"/>
        <w:jc w:val="right"/>
        <w:rPr>
          <w:rFonts w:hint="eastAsia" w:ascii="宋体" w:hAnsi="宋体" w:eastAsia="宋体" w:cs="宋体"/>
          <w:b/>
          <w:bCs/>
          <w:color w:val="auto"/>
          <w:sz w:val="28"/>
          <w:szCs w:val="28"/>
          <w:bdr w:val="single" w:color="auto" w:sz="4" w:space="0"/>
        </w:rPr>
      </w:pPr>
    </w:p>
    <w:p w14:paraId="7A675DF7">
      <w:pPr>
        <w:adjustRightInd w:val="0"/>
        <w:snapToGrid w:val="0"/>
        <w:spacing w:line="360" w:lineRule="auto"/>
        <w:ind w:left="602" w:right="70" w:hanging="602"/>
        <w:jc w:val="right"/>
        <w:rPr>
          <w:rFonts w:hint="eastAsia" w:ascii="宋体" w:hAnsi="宋体" w:eastAsia="宋体" w:cs="宋体"/>
          <w:b/>
          <w:bCs/>
          <w:color w:val="auto"/>
          <w:sz w:val="28"/>
          <w:szCs w:val="28"/>
          <w:bdr w:val="single" w:color="auto" w:sz="4" w:space="0"/>
        </w:rPr>
      </w:pPr>
      <w:r>
        <w:rPr>
          <w:rFonts w:hint="eastAsia" w:ascii="宋体" w:hAnsi="宋体" w:eastAsia="宋体" w:cs="宋体"/>
          <w:b/>
          <w:bCs/>
          <w:color w:val="auto"/>
          <w:sz w:val="28"/>
          <w:szCs w:val="28"/>
          <w:bdr w:val="single" w:color="auto" w:sz="4" w:space="0"/>
        </w:rPr>
        <w:t>正/副 本</w:t>
      </w:r>
    </w:p>
    <w:p w14:paraId="2C8E2EDA">
      <w:pPr>
        <w:adjustRightInd w:val="0"/>
        <w:snapToGrid w:val="0"/>
        <w:spacing w:line="360" w:lineRule="auto"/>
        <w:jc w:val="center"/>
        <w:rPr>
          <w:rFonts w:hint="eastAsia" w:ascii="宋体" w:hAnsi="宋体" w:eastAsia="宋体" w:cs="宋体"/>
          <w:b/>
          <w:caps/>
          <w:color w:val="auto"/>
          <w:sz w:val="24"/>
          <w:szCs w:val="24"/>
        </w:rPr>
      </w:pPr>
    </w:p>
    <w:p w14:paraId="702F18CA">
      <w:pPr>
        <w:adjustRightInd w:val="0"/>
        <w:snapToGrid w:val="0"/>
        <w:spacing w:line="360" w:lineRule="auto"/>
        <w:jc w:val="center"/>
        <w:outlineLvl w:val="1"/>
        <w:rPr>
          <w:rFonts w:hint="eastAsia" w:ascii="宋体" w:hAnsi="宋体" w:eastAsia="宋体" w:cs="宋体"/>
          <w:bCs/>
          <w:color w:val="auto"/>
          <w:sz w:val="32"/>
          <w:szCs w:val="32"/>
        </w:rPr>
      </w:pPr>
      <w:bookmarkStart w:id="146" w:name="_Toc4286"/>
      <w:r>
        <w:rPr>
          <w:rFonts w:hint="eastAsia" w:ascii="宋体" w:hAnsi="宋体" w:eastAsia="宋体" w:cs="宋体"/>
          <w:b/>
          <w:caps/>
          <w:color w:val="auto"/>
          <w:sz w:val="32"/>
          <w:szCs w:val="32"/>
        </w:rPr>
        <w:t>（项目名称）</w:t>
      </w:r>
      <w:bookmarkEnd w:id="146"/>
    </w:p>
    <w:p w14:paraId="4AAA28F1">
      <w:pPr>
        <w:adjustRightInd w:val="0"/>
        <w:snapToGrid w:val="0"/>
        <w:spacing w:line="360" w:lineRule="auto"/>
        <w:jc w:val="both"/>
        <w:rPr>
          <w:rFonts w:hint="eastAsia" w:ascii="宋体" w:hAnsi="宋体" w:eastAsia="宋体" w:cs="宋体"/>
          <w:bCs/>
          <w:color w:val="auto"/>
          <w:sz w:val="32"/>
          <w:szCs w:val="32"/>
        </w:rPr>
      </w:pPr>
    </w:p>
    <w:p w14:paraId="56C701FC">
      <w:pPr>
        <w:adjustRightInd w:val="0"/>
        <w:snapToGrid w:val="0"/>
        <w:spacing w:line="360" w:lineRule="auto"/>
        <w:jc w:val="center"/>
        <w:rPr>
          <w:rFonts w:hint="eastAsia" w:ascii="宋体" w:hAnsi="宋体" w:eastAsia="宋体" w:cs="宋体"/>
          <w:bCs/>
          <w:color w:val="auto"/>
          <w:sz w:val="32"/>
          <w:szCs w:val="32"/>
        </w:rPr>
      </w:pPr>
    </w:p>
    <w:p w14:paraId="3EA456CB">
      <w:pPr>
        <w:adjustRightInd w:val="0"/>
        <w:snapToGrid w:val="0"/>
        <w:spacing w:line="360" w:lineRule="auto"/>
        <w:jc w:val="center"/>
        <w:rPr>
          <w:rFonts w:hint="eastAsia" w:ascii="宋体" w:hAnsi="宋体" w:eastAsia="宋体" w:cs="宋体"/>
          <w:bCs/>
          <w:color w:val="auto"/>
          <w:sz w:val="32"/>
          <w:szCs w:val="32"/>
        </w:rPr>
      </w:pPr>
      <w:r>
        <w:rPr>
          <w:rFonts w:hint="eastAsia" w:ascii="宋体" w:hAnsi="宋体" w:eastAsia="宋体" w:cs="宋体"/>
          <w:b/>
          <w:bCs/>
          <w:color w:val="auto"/>
          <w:sz w:val="44"/>
          <w:szCs w:val="44"/>
        </w:rPr>
        <w:t>响应文件</w:t>
      </w:r>
    </w:p>
    <w:p w14:paraId="1603D45B">
      <w:pPr>
        <w:adjustRightInd w:val="0"/>
        <w:snapToGrid w:val="0"/>
        <w:spacing w:line="360" w:lineRule="auto"/>
        <w:jc w:val="center"/>
        <w:rPr>
          <w:rFonts w:hint="eastAsia" w:ascii="宋体" w:hAnsi="宋体" w:eastAsia="宋体" w:cs="宋体"/>
          <w:bCs/>
          <w:color w:val="auto"/>
          <w:sz w:val="32"/>
          <w:szCs w:val="32"/>
        </w:rPr>
      </w:pPr>
    </w:p>
    <w:p w14:paraId="37235474">
      <w:pPr>
        <w:adjustRightInd w:val="0"/>
        <w:snapToGrid w:val="0"/>
        <w:spacing w:line="360" w:lineRule="auto"/>
        <w:jc w:val="both"/>
        <w:rPr>
          <w:rFonts w:hint="eastAsia" w:ascii="宋体" w:hAnsi="宋体" w:eastAsia="宋体" w:cs="宋体"/>
          <w:bCs/>
          <w:color w:val="auto"/>
          <w:sz w:val="32"/>
          <w:szCs w:val="32"/>
        </w:rPr>
      </w:pPr>
    </w:p>
    <w:p w14:paraId="234FEBDB">
      <w:pPr>
        <w:adjustRightInd w:val="0"/>
        <w:snapToGrid w:val="0"/>
        <w:spacing w:line="360" w:lineRule="auto"/>
        <w:ind w:right="-136" w:rightChars="-64"/>
        <w:rPr>
          <w:rFonts w:hint="eastAsia" w:ascii="宋体" w:hAnsi="宋体" w:eastAsia="宋体" w:cs="宋体"/>
          <w:b/>
          <w:caps/>
          <w:color w:val="auto"/>
          <w:sz w:val="28"/>
          <w:szCs w:val="28"/>
        </w:rPr>
      </w:pPr>
      <w:r>
        <w:rPr>
          <w:rFonts w:hint="eastAsia" w:ascii="宋体" w:hAnsi="宋体" w:eastAsia="宋体" w:cs="宋体"/>
          <w:b/>
          <w:caps/>
          <w:color w:val="auto"/>
          <w:spacing w:val="0"/>
          <w:kern w:val="0"/>
          <w:sz w:val="28"/>
          <w:szCs w:val="28"/>
          <w:fitText w:val="2810" w:id="267797527"/>
        </w:rPr>
        <w:t>供应商名称（公章）：</w:t>
      </w:r>
    </w:p>
    <w:p w14:paraId="0D2D21C7">
      <w:pPr>
        <w:adjustRightInd w:val="0"/>
        <w:snapToGrid w:val="0"/>
        <w:spacing w:line="360" w:lineRule="auto"/>
        <w:ind w:right="-136" w:rightChars="-64"/>
        <w:rPr>
          <w:rFonts w:hint="eastAsia" w:ascii="宋体" w:hAnsi="宋体" w:eastAsia="宋体" w:cs="宋体"/>
          <w:b/>
          <w:caps/>
          <w:color w:val="auto"/>
          <w:sz w:val="28"/>
          <w:szCs w:val="28"/>
        </w:rPr>
      </w:pPr>
    </w:p>
    <w:p w14:paraId="5958FAED">
      <w:pPr>
        <w:adjustRightInd w:val="0"/>
        <w:snapToGrid w:val="0"/>
        <w:spacing w:line="360" w:lineRule="auto"/>
        <w:ind w:right="-136" w:rightChars="-64"/>
        <w:rPr>
          <w:rFonts w:hint="eastAsia" w:ascii="宋体" w:hAnsi="宋体" w:eastAsia="宋体" w:cs="宋体"/>
          <w:b/>
          <w:caps/>
          <w:color w:val="auto"/>
          <w:sz w:val="28"/>
          <w:szCs w:val="28"/>
        </w:rPr>
      </w:pPr>
      <w:r>
        <w:rPr>
          <w:rFonts w:hint="eastAsia" w:ascii="宋体" w:hAnsi="宋体" w:eastAsia="宋体" w:cs="宋体"/>
          <w:b/>
          <w:caps/>
          <w:color w:val="auto"/>
          <w:spacing w:val="0"/>
          <w:w w:val="77"/>
          <w:kern w:val="0"/>
          <w:sz w:val="28"/>
          <w:szCs w:val="28"/>
          <w:fitText w:val="2810" w:id="816806805"/>
        </w:rPr>
        <w:t>法定代表人（</w:t>
      </w:r>
      <w:r>
        <w:rPr>
          <w:rFonts w:hint="eastAsia" w:ascii="宋体" w:hAnsi="宋体" w:eastAsia="宋体" w:cs="宋体"/>
          <w:b/>
          <w:caps/>
          <w:color w:val="auto"/>
          <w:spacing w:val="0"/>
          <w:w w:val="77"/>
          <w:kern w:val="0"/>
          <w:sz w:val="28"/>
          <w:szCs w:val="28"/>
          <w:fitText w:val="2810" w:id="816806805"/>
          <w:lang w:eastAsia="zh-CN"/>
        </w:rPr>
        <w:t>签章</w:t>
      </w:r>
      <w:r>
        <w:rPr>
          <w:rFonts w:hint="eastAsia" w:ascii="宋体" w:hAnsi="宋体" w:eastAsia="宋体" w:cs="宋体"/>
          <w:b/>
          <w:caps/>
          <w:color w:val="auto"/>
          <w:spacing w:val="0"/>
          <w:w w:val="77"/>
          <w:kern w:val="0"/>
          <w:sz w:val="28"/>
          <w:szCs w:val="28"/>
          <w:fitText w:val="2810" w:id="816806805"/>
        </w:rPr>
        <w:t>或盖章）</w:t>
      </w:r>
      <w:r>
        <w:rPr>
          <w:rFonts w:hint="eastAsia" w:ascii="宋体" w:hAnsi="宋体" w:eastAsia="宋体" w:cs="宋体"/>
          <w:b/>
          <w:caps/>
          <w:color w:val="auto"/>
          <w:spacing w:val="-1"/>
          <w:w w:val="77"/>
          <w:kern w:val="0"/>
          <w:sz w:val="28"/>
          <w:szCs w:val="28"/>
          <w:fitText w:val="2810" w:id="816806805"/>
        </w:rPr>
        <w:t>：</w:t>
      </w:r>
    </w:p>
    <w:p w14:paraId="403C87A9">
      <w:pPr>
        <w:adjustRightInd w:val="0"/>
        <w:snapToGrid w:val="0"/>
        <w:spacing w:line="360" w:lineRule="auto"/>
        <w:ind w:right="-136" w:rightChars="-64"/>
        <w:rPr>
          <w:rFonts w:hint="eastAsia" w:ascii="宋体" w:hAnsi="宋体" w:eastAsia="宋体" w:cs="宋体"/>
          <w:b/>
          <w:caps/>
          <w:color w:val="auto"/>
          <w:sz w:val="28"/>
          <w:szCs w:val="28"/>
        </w:rPr>
      </w:pPr>
    </w:p>
    <w:p w14:paraId="49B05D22">
      <w:pPr>
        <w:adjustRightInd w:val="0"/>
        <w:snapToGrid w:val="0"/>
        <w:spacing w:line="360" w:lineRule="auto"/>
        <w:ind w:right="-136" w:rightChars="-64"/>
        <w:rPr>
          <w:rFonts w:hint="eastAsia" w:ascii="宋体" w:hAnsi="宋体" w:eastAsia="宋体" w:cs="宋体"/>
          <w:b/>
          <w:caps/>
          <w:color w:val="auto"/>
          <w:sz w:val="28"/>
          <w:szCs w:val="28"/>
        </w:rPr>
      </w:pPr>
      <w:r>
        <w:rPr>
          <w:rFonts w:hint="eastAsia" w:ascii="宋体" w:hAnsi="宋体" w:eastAsia="宋体" w:cs="宋体"/>
          <w:b/>
          <w:caps/>
          <w:color w:val="auto"/>
          <w:spacing w:val="113"/>
          <w:kern w:val="0"/>
          <w:sz w:val="28"/>
          <w:szCs w:val="28"/>
          <w:fitText w:val="2810" w:id="1061107822"/>
        </w:rPr>
        <w:t>供应商地址</w:t>
      </w:r>
      <w:r>
        <w:rPr>
          <w:rFonts w:hint="eastAsia" w:ascii="宋体" w:hAnsi="宋体" w:eastAsia="宋体" w:cs="宋体"/>
          <w:b/>
          <w:caps/>
          <w:color w:val="auto"/>
          <w:spacing w:val="0"/>
          <w:kern w:val="0"/>
          <w:sz w:val="28"/>
          <w:szCs w:val="28"/>
          <w:fitText w:val="2810" w:id="1061107822"/>
        </w:rPr>
        <w:t>：</w:t>
      </w:r>
    </w:p>
    <w:p w14:paraId="0A7D7575">
      <w:pPr>
        <w:adjustRightInd w:val="0"/>
        <w:snapToGrid w:val="0"/>
        <w:spacing w:line="360" w:lineRule="auto"/>
        <w:ind w:right="-136" w:rightChars="-64"/>
        <w:rPr>
          <w:rFonts w:hint="eastAsia" w:ascii="宋体" w:hAnsi="宋体" w:eastAsia="宋体" w:cs="宋体"/>
          <w:b/>
          <w:caps/>
          <w:color w:val="auto"/>
          <w:sz w:val="28"/>
          <w:szCs w:val="28"/>
        </w:rPr>
      </w:pPr>
    </w:p>
    <w:p w14:paraId="138156B7">
      <w:pPr>
        <w:adjustRightInd w:val="0"/>
        <w:snapToGrid w:val="0"/>
        <w:spacing w:line="360" w:lineRule="auto"/>
        <w:ind w:right="-136" w:rightChars="-64"/>
        <w:rPr>
          <w:rFonts w:hint="eastAsia" w:ascii="宋体" w:hAnsi="宋体" w:eastAsia="宋体" w:cs="宋体"/>
          <w:b/>
          <w:caps/>
          <w:color w:val="auto"/>
          <w:sz w:val="28"/>
          <w:szCs w:val="28"/>
        </w:rPr>
      </w:pPr>
      <w:r>
        <w:rPr>
          <w:rFonts w:hint="eastAsia" w:ascii="宋体" w:hAnsi="宋体" w:eastAsia="宋体" w:cs="宋体"/>
          <w:b/>
          <w:caps/>
          <w:color w:val="auto"/>
          <w:spacing w:val="281"/>
          <w:kern w:val="0"/>
          <w:sz w:val="28"/>
          <w:szCs w:val="28"/>
          <w:fitText w:val="2810" w:id="931616526"/>
        </w:rPr>
        <w:t>联系人</w:t>
      </w:r>
      <w:r>
        <w:rPr>
          <w:rFonts w:hint="eastAsia" w:ascii="宋体" w:hAnsi="宋体" w:eastAsia="宋体" w:cs="宋体"/>
          <w:b/>
          <w:caps/>
          <w:color w:val="auto"/>
          <w:spacing w:val="2"/>
          <w:kern w:val="0"/>
          <w:sz w:val="28"/>
          <w:szCs w:val="28"/>
          <w:fitText w:val="2810" w:id="931616526"/>
        </w:rPr>
        <w:t>：</w:t>
      </w:r>
    </w:p>
    <w:p w14:paraId="5F6C8265">
      <w:pPr>
        <w:adjustRightInd w:val="0"/>
        <w:snapToGrid w:val="0"/>
        <w:spacing w:line="360" w:lineRule="auto"/>
        <w:ind w:right="-136" w:rightChars="-64"/>
        <w:rPr>
          <w:rFonts w:hint="eastAsia" w:ascii="宋体" w:hAnsi="宋体" w:eastAsia="宋体" w:cs="宋体"/>
          <w:b/>
          <w:caps/>
          <w:color w:val="auto"/>
          <w:sz w:val="28"/>
          <w:szCs w:val="28"/>
        </w:rPr>
      </w:pPr>
    </w:p>
    <w:p w14:paraId="0FE23395">
      <w:pPr>
        <w:adjustRightInd w:val="0"/>
        <w:snapToGrid w:val="0"/>
        <w:spacing w:line="360" w:lineRule="auto"/>
        <w:ind w:right="-136" w:rightChars="-64"/>
        <w:rPr>
          <w:rFonts w:hint="eastAsia" w:ascii="宋体" w:hAnsi="宋体" w:eastAsia="宋体" w:cs="宋体"/>
          <w:b/>
          <w:caps/>
          <w:color w:val="auto"/>
          <w:sz w:val="28"/>
          <w:szCs w:val="28"/>
        </w:rPr>
      </w:pPr>
      <w:r>
        <w:rPr>
          <w:rFonts w:hint="eastAsia" w:ascii="宋体" w:hAnsi="宋体" w:eastAsia="宋体" w:cs="宋体"/>
          <w:b/>
          <w:caps/>
          <w:color w:val="auto"/>
          <w:spacing w:val="176"/>
          <w:kern w:val="0"/>
          <w:sz w:val="28"/>
          <w:szCs w:val="28"/>
          <w:fitText w:val="2810" w:id="1096046683"/>
        </w:rPr>
        <w:t>联系电话</w:t>
      </w:r>
      <w:r>
        <w:rPr>
          <w:rFonts w:hint="eastAsia" w:ascii="宋体" w:hAnsi="宋体" w:eastAsia="宋体" w:cs="宋体"/>
          <w:b/>
          <w:caps/>
          <w:color w:val="auto"/>
          <w:spacing w:val="1"/>
          <w:kern w:val="0"/>
          <w:sz w:val="28"/>
          <w:szCs w:val="28"/>
          <w:fitText w:val="2810" w:id="1096046683"/>
        </w:rPr>
        <w:t>：</w:t>
      </w:r>
    </w:p>
    <w:p w14:paraId="7B5D7D26">
      <w:pPr>
        <w:adjustRightInd w:val="0"/>
        <w:snapToGrid w:val="0"/>
        <w:spacing w:line="360" w:lineRule="auto"/>
        <w:jc w:val="center"/>
        <w:rPr>
          <w:rFonts w:hint="eastAsia" w:ascii="宋体" w:hAnsi="宋体" w:eastAsia="宋体" w:cs="宋体"/>
          <w:b/>
          <w:caps/>
          <w:color w:val="auto"/>
          <w:sz w:val="28"/>
          <w:szCs w:val="28"/>
        </w:rPr>
      </w:pPr>
    </w:p>
    <w:p w14:paraId="07CB23C6">
      <w:pPr>
        <w:adjustRightInd w:val="0"/>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_</w:t>
      </w:r>
      <w:r>
        <w:rPr>
          <w:rFonts w:hint="eastAsia" w:ascii="宋体" w:hAnsi="宋体" w:eastAsia="宋体" w:cs="宋体"/>
          <w:b/>
          <w:color w:val="auto"/>
          <w:sz w:val="28"/>
          <w:szCs w:val="28"/>
          <w:u w:val="single"/>
        </w:rPr>
        <w:t xml:space="preserve">    </w:t>
      </w:r>
      <w:r>
        <w:rPr>
          <w:rFonts w:hint="eastAsia" w:ascii="宋体" w:hAnsi="宋体" w:eastAsia="宋体" w:cs="宋体"/>
          <w:b/>
          <w:color w:val="auto"/>
          <w:sz w:val="28"/>
          <w:szCs w:val="28"/>
        </w:rPr>
        <w:t>_年__</w:t>
      </w:r>
      <w:r>
        <w:rPr>
          <w:rFonts w:hint="eastAsia" w:ascii="宋体" w:hAnsi="宋体" w:eastAsia="宋体" w:cs="宋体"/>
          <w:b/>
          <w:color w:val="auto"/>
          <w:sz w:val="28"/>
          <w:szCs w:val="28"/>
          <w:u w:val="single"/>
        </w:rPr>
        <w:t xml:space="preserve">   </w:t>
      </w:r>
      <w:r>
        <w:rPr>
          <w:rFonts w:hint="eastAsia" w:ascii="宋体" w:hAnsi="宋体" w:eastAsia="宋体" w:cs="宋体"/>
          <w:b/>
          <w:color w:val="auto"/>
          <w:sz w:val="28"/>
          <w:szCs w:val="28"/>
        </w:rPr>
        <w:t>_月__</w:t>
      </w:r>
      <w:r>
        <w:rPr>
          <w:rFonts w:hint="eastAsia" w:ascii="宋体" w:hAnsi="宋体" w:eastAsia="宋体" w:cs="宋体"/>
          <w:b/>
          <w:color w:val="auto"/>
          <w:sz w:val="28"/>
          <w:szCs w:val="28"/>
          <w:u w:val="single"/>
        </w:rPr>
        <w:t xml:space="preserve">   </w:t>
      </w:r>
      <w:r>
        <w:rPr>
          <w:rFonts w:hint="eastAsia" w:ascii="宋体" w:hAnsi="宋体" w:eastAsia="宋体" w:cs="宋体"/>
          <w:b/>
          <w:color w:val="auto"/>
          <w:sz w:val="28"/>
          <w:szCs w:val="28"/>
        </w:rPr>
        <w:t>_日</w:t>
      </w:r>
    </w:p>
    <w:p w14:paraId="0C43A087">
      <w:pPr>
        <w:pStyle w:val="39"/>
        <w:numPr>
          <w:ilvl w:val="0"/>
          <w:numId w:val="0"/>
        </w:numPr>
        <w:ind w:leftChars="0"/>
      </w:pPr>
    </w:p>
    <w:p w14:paraId="411A2376">
      <w:pPr>
        <w:pStyle w:val="39"/>
        <w:numPr>
          <w:ilvl w:val="0"/>
          <w:numId w:val="0"/>
        </w:numPr>
        <w:ind w:leftChars="0"/>
      </w:pPr>
    </w:p>
    <w:p w14:paraId="7EF97DB0">
      <w:pPr>
        <w:pStyle w:val="39"/>
        <w:numPr>
          <w:ilvl w:val="0"/>
          <w:numId w:val="0"/>
        </w:numPr>
        <w:ind w:leftChars="0"/>
      </w:pPr>
    </w:p>
    <w:p w14:paraId="5B9FF40B">
      <w:pPr>
        <w:pStyle w:val="39"/>
        <w:numPr>
          <w:ilvl w:val="0"/>
          <w:numId w:val="0"/>
        </w:numPr>
        <w:ind w:leftChars="0"/>
      </w:pPr>
    </w:p>
    <w:p w14:paraId="41DD6189">
      <w:pPr>
        <w:pStyle w:val="2"/>
        <w:spacing w:before="0" w:after="0" w:line="240" w:lineRule="auto"/>
      </w:pPr>
    </w:p>
    <w:p w14:paraId="1F2E82FC">
      <w:pPr>
        <w:tabs>
          <w:tab w:val="left" w:pos="5580"/>
        </w:tabs>
        <w:spacing w:line="500" w:lineRule="atLeast"/>
        <w:ind w:left="1" w:firstLine="500" w:firstLineChars="235"/>
        <w:rPr>
          <w:rFonts w:hint="eastAsia" w:ascii="宋体" w:hAnsi="宋体" w:cs="宋体"/>
          <w:b/>
          <w:bCs/>
          <w:highlight w:val="none"/>
        </w:rPr>
      </w:pPr>
    </w:p>
    <w:p w14:paraId="4F9F2617">
      <w:pPr>
        <w:spacing w:line="400" w:lineRule="exact"/>
        <w:ind w:firstLine="422" w:firstLineChars="199"/>
        <w:rPr>
          <w:rFonts w:hint="eastAsia" w:ascii="宋体" w:hAnsi="宋体"/>
          <w:b/>
          <w:bCs/>
          <w:szCs w:val="21"/>
          <w:highlight w:val="none"/>
        </w:rPr>
      </w:pPr>
      <w:r>
        <w:rPr>
          <w:rFonts w:hint="eastAsia" w:ascii="宋体" w:hAnsi="宋体"/>
          <w:b/>
          <w:bCs/>
          <w:szCs w:val="21"/>
          <w:highlight w:val="none"/>
        </w:rPr>
        <w:t>商务部分</w:t>
      </w:r>
    </w:p>
    <w:p w14:paraId="01E87FDB">
      <w:pPr>
        <w:spacing w:line="400" w:lineRule="exact"/>
        <w:ind w:firstLine="422" w:firstLineChars="199"/>
        <w:rPr>
          <w:rFonts w:hint="eastAsia" w:ascii="宋体" w:hAnsi="宋体"/>
          <w:szCs w:val="21"/>
          <w:highlight w:val="none"/>
        </w:rPr>
      </w:pPr>
      <w:r>
        <w:rPr>
          <w:rFonts w:hint="eastAsia" w:ascii="宋体" w:hAnsi="宋体"/>
          <w:szCs w:val="21"/>
          <w:highlight w:val="none"/>
          <w:lang w:eastAsia="zh-CN"/>
        </w:rPr>
        <w:t>一、</w:t>
      </w:r>
      <w:r>
        <w:rPr>
          <w:rFonts w:hint="eastAsia" w:ascii="宋体" w:hAnsi="宋体"/>
          <w:szCs w:val="21"/>
          <w:highlight w:val="none"/>
        </w:rPr>
        <w:t>投标函；</w:t>
      </w:r>
    </w:p>
    <w:p w14:paraId="217C5DB2">
      <w:pPr>
        <w:spacing w:line="400" w:lineRule="exact"/>
        <w:ind w:firstLine="422" w:firstLineChars="199"/>
        <w:rPr>
          <w:rFonts w:hint="eastAsia" w:ascii="宋体" w:hAnsi="宋体"/>
          <w:szCs w:val="21"/>
          <w:highlight w:val="none"/>
        </w:rPr>
      </w:pPr>
      <w:r>
        <w:rPr>
          <w:rFonts w:hint="eastAsia" w:ascii="宋体" w:hAnsi="宋体"/>
          <w:szCs w:val="21"/>
          <w:highlight w:val="none"/>
          <w:lang w:eastAsia="zh-CN"/>
        </w:rPr>
        <w:t>二、</w:t>
      </w:r>
      <w:r>
        <w:rPr>
          <w:rFonts w:hint="eastAsia" w:ascii="宋体" w:hAnsi="宋体"/>
          <w:szCs w:val="21"/>
          <w:highlight w:val="none"/>
        </w:rPr>
        <w:t xml:space="preserve">法定代表人身份证明（附法定代表人身份证复印件）； </w:t>
      </w:r>
    </w:p>
    <w:p w14:paraId="5F96ABEC">
      <w:pPr>
        <w:spacing w:line="400" w:lineRule="exact"/>
        <w:ind w:firstLine="422" w:firstLineChars="199"/>
        <w:rPr>
          <w:rFonts w:hint="eastAsia" w:ascii="宋体" w:hAnsi="宋体"/>
          <w:szCs w:val="21"/>
          <w:highlight w:val="none"/>
        </w:rPr>
      </w:pPr>
      <w:r>
        <w:rPr>
          <w:rFonts w:hint="eastAsia" w:ascii="宋体" w:hAnsi="宋体"/>
          <w:szCs w:val="21"/>
          <w:highlight w:val="none"/>
          <w:lang w:eastAsia="zh-CN"/>
        </w:rPr>
        <w:t>三、</w:t>
      </w:r>
      <w:r>
        <w:rPr>
          <w:rFonts w:hint="eastAsia" w:ascii="宋体" w:hAnsi="宋体"/>
          <w:szCs w:val="21"/>
          <w:highlight w:val="none"/>
        </w:rPr>
        <w:t>授权委托书（附被授权人身份证复印件）；</w:t>
      </w:r>
    </w:p>
    <w:p w14:paraId="7DA862BE">
      <w:pPr>
        <w:spacing w:line="400" w:lineRule="exact"/>
        <w:ind w:firstLine="422" w:firstLineChars="199"/>
        <w:rPr>
          <w:rFonts w:hint="eastAsia" w:ascii="宋体" w:hAnsi="宋体"/>
          <w:szCs w:val="21"/>
          <w:highlight w:val="none"/>
        </w:rPr>
      </w:pPr>
      <w:r>
        <w:rPr>
          <w:rFonts w:hint="eastAsia" w:ascii="宋体" w:hAnsi="宋体"/>
          <w:szCs w:val="21"/>
          <w:highlight w:val="none"/>
          <w:lang w:eastAsia="zh-CN"/>
        </w:rPr>
        <w:t>四、</w:t>
      </w:r>
      <w:r>
        <w:rPr>
          <w:rFonts w:hint="eastAsia" w:ascii="宋体" w:hAnsi="宋体"/>
          <w:szCs w:val="21"/>
          <w:highlight w:val="none"/>
        </w:rPr>
        <w:t xml:space="preserve">投标保证金缴纳凭证或投标担保函 </w:t>
      </w:r>
    </w:p>
    <w:p w14:paraId="1B0F8C94">
      <w:pPr>
        <w:spacing w:line="400" w:lineRule="exact"/>
        <w:ind w:firstLine="422" w:firstLineChars="199"/>
        <w:rPr>
          <w:rFonts w:hint="eastAsia" w:ascii="宋体" w:hAnsi="宋体"/>
          <w:szCs w:val="21"/>
          <w:highlight w:val="none"/>
        </w:rPr>
      </w:pPr>
      <w:r>
        <w:rPr>
          <w:rFonts w:hint="eastAsia" w:ascii="宋体" w:hAnsi="宋体"/>
          <w:szCs w:val="21"/>
          <w:highlight w:val="none"/>
          <w:lang w:eastAsia="zh-CN"/>
        </w:rPr>
        <w:t>五、</w:t>
      </w:r>
      <w:r>
        <w:rPr>
          <w:rFonts w:hint="eastAsia" w:ascii="宋体" w:hAnsi="宋体"/>
          <w:szCs w:val="21"/>
          <w:highlight w:val="none"/>
        </w:rPr>
        <w:t>开标一览表；</w:t>
      </w:r>
    </w:p>
    <w:p w14:paraId="04824DEB">
      <w:pPr>
        <w:spacing w:line="400" w:lineRule="exact"/>
        <w:ind w:firstLine="422" w:firstLineChars="199"/>
        <w:rPr>
          <w:rFonts w:hint="eastAsia" w:ascii="宋体" w:hAnsi="宋体"/>
          <w:szCs w:val="21"/>
          <w:highlight w:val="none"/>
        </w:rPr>
      </w:pPr>
      <w:r>
        <w:rPr>
          <w:rFonts w:hint="eastAsia" w:ascii="宋体" w:hAnsi="宋体"/>
          <w:szCs w:val="21"/>
          <w:highlight w:val="none"/>
          <w:lang w:eastAsia="zh-CN"/>
        </w:rPr>
        <w:t>六、</w:t>
      </w:r>
      <w:r>
        <w:rPr>
          <w:rFonts w:hint="eastAsia" w:ascii="宋体" w:hAnsi="宋体"/>
          <w:szCs w:val="21"/>
          <w:highlight w:val="none"/>
        </w:rPr>
        <w:t>投标人基本情况；</w:t>
      </w:r>
    </w:p>
    <w:p w14:paraId="1ABB5300">
      <w:pPr>
        <w:spacing w:line="400" w:lineRule="exact"/>
        <w:ind w:firstLine="422" w:firstLineChars="199"/>
        <w:rPr>
          <w:rFonts w:hint="eastAsia" w:ascii="宋体" w:hAnsi="宋体"/>
          <w:szCs w:val="21"/>
          <w:highlight w:val="none"/>
        </w:rPr>
      </w:pPr>
      <w:r>
        <w:rPr>
          <w:rFonts w:hint="eastAsia" w:ascii="宋体" w:hAnsi="宋体"/>
          <w:szCs w:val="21"/>
          <w:highlight w:val="none"/>
        </w:rPr>
        <w:t>1）投标人基本情况表；</w:t>
      </w:r>
    </w:p>
    <w:p w14:paraId="4F83FD9A">
      <w:pPr>
        <w:spacing w:line="400" w:lineRule="exact"/>
        <w:ind w:firstLine="422" w:firstLineChars="199"/>
        <w:rPr>
          <w:rFonts w:hint="eastAsia" w:ascii="宋体" w:hAnsi="宋体"/>
          <w:szCs w:val="21"/>
          <w:highlight w:val="none"/>
        </w:rPr>
      </w:pPr>
      <w:r>
        <w:rPr>
          <w:rFonts w:hint="eastAsia" w:ascii="宋体" w:hAnsi="宋体"/>
          <w:szCs w:val="21"/>
          <w:highlight w:val="none"/>
        </w:rPr>
        <w:t>2）三证合一的营业执照</w:t>
      </w:r>
    </w:p>
    <w:p w14:paraId="3FC69C64">
      <w:pPr>
        <w:spacing w:line="400" w:lineRule="exact"/>
        <w:ind w:firstLine="422" w:firstLineChars="199"/>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供应商必须为在中华人民共和国境内依法设立的国有商业银行、股份制商业银行、邮政储蓄银行、城市商业银行等银行机构且具备中国银行保险监督管理委员会核发的《中华人民共和国金融许可证》。</w:t>
      </w:r>
    </w:p>
    <w:p w14:paraId="279C0242">
      <w:pPr>
        <w:pStyle w:val="39"/>
        <w:rPr>
          <w:rFonts w:hint="default" w:ascii="宋体" w:hAnsi="宋体"/>
          <w:szCs w:val="21"/>
          <w:highlight w:val="none"/>
          <w:lang w:val="en-US" w:eastAsia="zh-CN"/>
        </w:rPr>
      </w:pPr>
      <w:r>
        <w:rPr>
          <w:rFonts w:hint="eastAsia" w:ascii="宋体" w:hAnsi="宋体"/>
          <w:szCs w:val="21"/>
          <w:highlight w:val="none"/>
          <w:lang w:val="en-US" w:eastAsia="zh-CN"/>
        </w:rPr>
        <w:t>4）</w:t>
      </w:r>
      <w:r>
        <w:rPr>
          <w:rFonts w:hint="default" w:ascii="宋体" w:hAnsi="宋体"/>
          <w:szCs w:val="21"/>
          <w:highlight w:val="none"/>
          <w:lang w:val="en-US" w:eastAsia="zh-CN"/>
        </w:rPr>
        <w:t>无重大违法记录声明</w:t>
      </w:r>
    </w:p>
    <w:p w14:paraId="06CFCC93">
      <w:pPr>
        <w:pStyle w:val="39"/>
        <w:rPr>
          <w:rFonts w:hint="default" w:ascii="宋体" w:hAnsi="宋体"/>
          <w:szCs w:val="21"/>
          <w:highlight w:val="none"/>
          <w:lang w:val="en-US" w:eastAsia="zh-CN"/>
        </w:rPr>
      </w:pPr>
      <w:r>
        <w:rPr>
          <w:rFonts w:hint="eastAsia" w:ascii="宋体" w:hAnsi="宋体"/>
          <w:szCs w:val="21"/>
          <w:highlight w:val="none"/>
          <w:lang w:val="en-US" w:eastAsia="zh-CN"/>
        </w:rPr>
        <w:t>5）</w:t>
      </w:r>
      <w:r>
        <w:rPr>
          <w:rFonts w:hint="default" w:ascii="宋体" w:hAnsi="宋体"/>
          <w:szCs w:val="21"/>
          <w:highlight w:val="none"/>
          <w:lang w:val="en-US" w:eastAsia="zh-CN"/>
        </w:rPr>
        <w:t>供反商业贿赂承诺书</w:t>
      </w:r>
    </w:p>
    <w:p w14:paraId="40D90937">
      <w:pPr>
        <w:spacing w:line="400" w:lineRule="exact"/>
        <w:ind w:firstLine="422" w:firstLineChars="199"/>
        <w:rPr>
          <w:rFonts w:hint="eastAsia" w:ascii="宋体" w:hAnsi="宋体"/>
          <w:szCs w:val="21"/>
          <w:highlight w:val="none"/>
        </w:rPr>
      </w:pPr>
      <w:r>
        <w:rPr>
          <w:rFonts w:hint="eastAsia" w:ascii="宋体" w:hAnsi="宋体"/>
          <w:szCs w:val="21"/>
          <w:highlight w:val="none"/>
          <w:lang w:eastAsia="zh-CN"/>
        </w:rPr>
        <w:t>七、</w:t>
      </w:r>
      <w:r>
        <w:rPr>
          <w:rFonts w:hint="eastAsia" w:ascii="宋体" w:hAnsi="宋体"/>
          <w:szCs w:val="21"/>
          <w:highlight w:val="none"/>
        </w:rPr>
        <w:t xml:space="preserve">商务条款偏离表；  </w:t>
      </w:r>
    </w:p>
    <w:p w14:paraId="5728EAC5">
      <w:pPr>
        <w:spacing w:line="400" w:lineRule="exact"/>
        <w:ind w:firstLine="422" w:firstLineChars="199"/>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八、近三年类似业绩（如有）</w:t>
      </w:r>
    </w:p>
    <w:p w14:paraId="3E1B3301">
      <w:pPr>
        <w:spacing w:line="400" w:lineRule="exact"/>
        <w:ind w:firstLine="422" w:firstLineChars="199"/>
        <w:rPr>
          <w:rFonts w:hint="eastAsia"/>
        </w:rPr>
      </w:pPr>
      <w:r>
        <w:rPr>
          <w:rFonts w:hint="eastAsia" w:ascii="宋体" w:hAnsi="宋体"/>
          <w:szCs w:val="21"/>
          <w:highlight w:val="none"/>
          <w:lang w:eastAsia="zh-CN"/>
        </w:rPr>
        <w:t>九、</w:t>
      </w:r>
      <w:r>
        <w:rPr>
          <w:rFonts w:hint="eastAsia" w:ascii="宋体" w:hAnsi="宋体"/>
          <w:szCs w:val="21"/>
          <w:highlight w:val="none"/>
        </w:rPr>
        <w:t>其他商务资格证明资料（格式自定）</w:t>
      </w:r>
    </w:p>
    <w:p w14:paraId="45CACEC3">
      <w:pPr>
        <w:spacing w:line="400" w:lineRule="exact"/>
        <w:ind w:firstLine="422" w:firstLineChars="199"/>
        <w:rPr>
          <w:rFonts w:hint="eastAsia" w:ascii="宋体" w:hAnsi="宋体"/>
          <w:b/>
          <w:bCs/>
          <w:szCs w:val="21"/>
          <w:highlight w:val="none"/>
        </w:rPr>
      </w:pPr>
      <w:r>
        <w:rPr>
          <w:rFonts w:hint="eastAsia" w:ascii="宋体" w:hAnsi="宋体"/>
          <w:b/>
          <w:bCs/>
          <w:szCs w:val="21"/>
          <w:highlight w:val="none"/>
        </w:rPr>
        <w:t>技术部分</w:t>
      </w:r>
    </w:p>
    <w:p w14:paraId="72FCBEC0">
      <w:pPr>
        <w:pStyle w:val="39"/>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十、技术参数响应表</w:t>
      </w:r>
    </w:p>
    <w:p w14:paraId="588A9700">
      <w:pPr>
        <w:numPr>
          <w:ilvl w:val="0"/>
          <w:numId w:val="0"/>
        </w:numPr>
        <w:spacing w:line="400" w:lineRule="exact"/>
        <w:ind w:firstLine="426" w:firstLineChars="200"/>
        <w:rPr>
          <w:rFonts w:hint="eastAsia" w:ascii="宋体" w:hAnsi="宋体"/>
          <w:szCs w:val="21"/>
          <w:highlight w:val="none"/>
        </w:rPr>
      </w:pPr>
      <w:r>
        <w:rPr>
          <w:rFonts w:hint="eastAsia" w:ascii="宋体" w:hAnsi="宋体"/>
          <w:szCs w:val="21"/>
          <w:highlight w:val="none"/>
          <w:lang w:eastAsia="zh-CN"/>
        </w:rPr>
        <w:t>十一、</w:t>
      </w:r>
      <w:r>
        <w:rPr>
          <w:rFonts w:hint="eastAsia" w:ascii="宋体" w:hAnsi="宋体"/>
          <w:szCs w:val="21"/>
          <w:highlight w:val="none"/>
        </w:rPr>
        <w:t>技术方案（投标人自行编写的技术文件</w:t>
      </w:r>
      <w:r>
        <w:rPr>
          <w:rFonts w:hint="eastAsia" w:ascii="宋体" w:hAnsi="宋体"/>
          <w:szCs w:val="21"/>
          <w:highlight w:val="none"/>
          <w:lang w:eastAsia="zh-CN"/>
        </w:rPr>
        <w:t>，包括但不限于</w:t>
      </w:r>
      <w:r>
        <w:rPr>
          <w:rFonts w:hint="eastAsia" w:ascii="宋体" w:hAnsi="宋体"/>
          <w:szCs w:val="21"/>
          <w:highlight w:val="none"/>
        </w:rPr>
        <w:t>）</w:t>
      </w:r>
    </w:p>
    <w:p w14:paraId="083328C4">
      <w:pPr>
        <w:pStyle w:val="39"/>
        <w:rPr>
          <w:rFonts w:hint="eastAsia"/>
        </w:rPr>
      </w:pPr>
      <w:r>
        <w:rPr>
          <w:rFonts w:hint="eastAsia"/>
          <w:lang w:eastAsia="zh-CN"/>
        </w:rPr>
        <w:t>（</w:t>
      </w:r>
      <w:r>
        <w:rPr>
          <w:rFonts w:hint="eastAsia"/>
        </w:rPr>
        <w:t>1）针对本次招标内容的实施方案</w:t>
      </w:r>
    </w:p>
    <w:p w14:paraId="0D4497DD">
      <w:pPr>
        <w:pStyle w:val="39"/>
        <w:rPr>
          <w:rFonts w:hint="eastAsia"/>
        </w:rPr>
      </w:pPr>
      <w:r>
        <w:rPr>
          <w:rFonts w:hint="eastAsia"/>
        </w:rPr>
        <w:t>（</w:t>
      </w:r>
      <w:r>
        <w:rPr>
          <w:rFonts w:hint="eastAsia"/>
          <w:lang w:val="en-US" w:eastAsia="zh-CN"/>
        </w:rPr>
        <w:t>2</w:t>
      </w:r>
      <w:r>
        <w:rPr>
          <w:rFonts w:hint="eastAsia"/>
        </w:rPr>
        <w:t>）服务质量保证措施。</w:t>
      </w:r>
      <w:r>
        <w:rPr>
          <w:rFonts w:hint="eastAsia"/>
        </w:rPr>
        <w:softHyphen/>
      </w:r>
    </w:p>
    <w:p w14:paraId="3AF70E70">
      <w:pPr>
        <w:pStyle w:val="39"/>
        <w:rPr>
          <w:rFonts w:hint="eastAsia"/>
        </w:rPr>
      </w:pPr>
      <w:r>
        <w:rPr>
          <w:rFonts w:hint="eastAsia"/>
        </w:rPr>
        <w:t>（</w:t>
      </w:r>
      <w:r>
        <w:rPr>
          <w:rFonts w:hint="eastAsia"/>
          <w:lang w:val="en-US" w:eastAsia="zh-CN"/>
        </w:rPr>
        <w:t>3</w:t>
      </w:r>
      <w:r>
        <w:rPr>
          <w:rFonts w:hint="eastAsia"/>
        </w:rPr>
        <w:t>）售后与承诺（范围、标准及期限等）。</w:t>
      </w:r>
    </w:p>
    <w:p w14:paraId="49BF2BE6">
      <w:pPr>
        <w:pStyle w:val="39"/>
        <w:rPr>
          <w:rFonts w:hint="eastAsia"/>
        </w:rPr>
      </w:pPr>
      <w:r>
        <w:rPr>
          <w:rFonts w:hint="eastAsia"/>
        </w:rPr>
        <w:t>（</w:t>
      </w:r>
      <w:r>
        <w:rPr>
          <w:rFonts w:hint="eastAsia"/>
          <w:lang w:val="en-US" w:eastAsia="zh-CN"/>
        </w:rPr>
        <w:t>4</w:t>
      </w:r>
      <w:r>
        <w:rPr>
          <w:rFonts w:hint="eastAsia"/>
        </w:rPr>
        <w:t>）优惠措施（后期服务费用及方式）。</w:t>
      </w:r>
    </w:p>
    <w:p w14:paraId="46A2F3BE">
      <w:pPr>
        <w:pStyle w:val="39"/>
        <w:rPr>
          <w:rFonts w:hint="eastAsia"/>
        </w:rPr>
      </w:pPr>
      <w:r>
        <w:rPr>
          <w:rFonts w:hint="eastAsia"/>
        </w:rPr>
        <w:t>（</w:t>
      </w:r>
      <w:r>
        <w:rPr>
          <w:rFonts w:hint="eastAsia"/>
          <w:lang w:val="en-US" w:eastAsia="zh-CN"/>
        </w:rPr>
        <w:t>5</w:t>
      </w:r>
      <w:r>
        <w:rPr>
          <w:rFonts w:hint="eastAsia"/>
        </w:rPr>
        <w:t>）投标服务符合竞争性磋商文件规定的其他证明文件及磋商响应人认为需加以说明的其他内容。</w:t>
      </w:r>
    </w:p>
    <w:p w14:paraId="23827D6C">
      <w:pPr>
        <w:pStyle w:val="39"/>
        <w:rPr>
          <w:rFonts w:hint="eastAsia"/>
        </w:rPr>
      </w:pPr>
      <w:r>
        <w:rPr>
          <w:rFonts w:hint="eastAsia"/>
        </w:rPr>
        <w:t>（</w:t>
      </w:r>
      <w:r>
        <w:rPr>
          <w:rFonts w:hint="eastAsia"/>
          <w:lang w:val="en-US" w:eastAsia="zh-CN"/>
        </w:rPr>
        <w:t>6</w:t>
      </w:r>
      <w:r>
        <w:rPr>
          <w:rFonts w:hint="eastAsia"/>
        </w:rPr>
        <w:t>）投标承诺书</w:t>
      </w:r>
    </w:p>
    <w:p w14:paraId="136DEAC4">
      <w:pPr>
        <w:pStyle w:val="39"/>
        <w:rPr>
          <w:rFonts w:hint="eastAsia"/>
        </w:rPr>
      </w:pPr>
      <w:r>
        <w:rPr>
          <w:rFonts w:hint="eastAsia"/>
        </w:rPr>
        <w:t>（</w:t>
      </w:r>
      <w:r>
        <w:rPr>
          <w:rFonts w:hint="eastAsia"/>
          <w:lang w:val="en-US" w:eastAsia="zh-CN"/>
        </w:rPr>
        <w:t>7</w:t>
      </w:r>
      <w:r>
        <w:rPr>
          <w:rFonts w:hint="eastAsia"/>
        </w:rPr>
        <w:t>）评分标准和细则中技术部分证明材料（格式自拟）</w:t>
      </w:r>
    </w:p>
    <w:p w14:paraId="46105D1B">
      <w:pPr>
        <w:pStyle w:val="39"/>
        <w:rPr>
          <w:rFonts w:hint="eastAsia"/>
        </w:rPr>
      </w:pPr>
      <w:r>
        <w:rPr>
          <w:rFonts w:hint="eastAsia"/>
        </w:rPr>
        <w:t>（</w:t>
      </w:r>
      <w:r>
        <w:rPr>
          <w:rFonts w:hint="eastAsia"/>
          <w:lang w:val="en-US" w:eastAsia="zh-CN"/>
        </w:rPr>
        <w:t>8</w:t>
      </w:r>
      <w:r>
        <w:rPr>
          <w:rFonts w:hint="eastAsia"/>
        </w:rPr>
        <w:t>）投标人认为有必要提供的其他证明材料（格式自拟）</w:t>
      </w:r>
    </w:p>
    <w:p w14:paraId="6D4A9B0E">
      <w:pPr>
        <w:spacing w:line="400" w:lineRule="exact"/>
        <w:ind w:firstLine="426" w:firstLineChars="200"/>
        <w:rPr>
          <w:rFonts w:hint="eastAsia" w:ascii="宋体" w:hAnsi="宋体"/>
          <w:szCs w:val="21"/>
          <w:highlight w:val="none"/>
        </w:rPr>
      </w:pPr>
      <w:r>
        <w:rPr>
          <w:rFonts w:hint="eastAsia" w:ascii="宋体" w:hAnsi="宋体"/>
          <w:szCs w:val="21"/>
          <w:highlight w:val="none"/>
          <w:lang w:eastAsia="zh-CN"/>
        </w:rPr>
        <w:t>十二、</w:t>
      </w:r>
      <w:r>
        <w:rPr>
          <w:rFonts w:hint="eastAsia" w:ascii="宋体" w:hAnsi="宋体"/>
          <w:szCs w:val="21"/>
          <w:highlight w:val="none"/>
        </w:rPr>
        <w:t>投标人认为需要提交的技术资料（根据评审标准自行添加）</w:t>
      </w:r>
    </w:p>
    <w:p w14:paraId="3B3D73C5">
      <w:pPr>
        <w:spacing w:line="400" w:lineRule="exact"/>
        <w:ind w:firstLine="422" w:firstLineChars="199"/>
        <w:rPr>
          <w:rFonts w:ascii="宋体"/>
          <w:szCs w:val="21"/>
          <w:highlight w:val="none"/>
        </w:rPr>
      </w:pPr>
      <w:r>
        <w:rPr>
          <w:rFonts w:hint="eastAsia" w:ascii="宋体" w:hAnsi="宋体" w:cs="宋体"/>
          <w:b/>
          <w:kern w:val="0"/>
          <w:szCs w:val="21"/>
          <w:highlight w:val="none"/>
          <w:u w:val="single"/>
        </w:rPr>
        <w:t>注：以上材料须逐页加盖单位公章。</w:t>
      </w:r>
    </w:p>
    <w:p w14:paraId="4C8E141E">
      <w:pPr>
        <w:tabs>
          <w:tab w:val="left" w:pos="5580"/>
        </w:tabs>
        <w:spacing w:line="240" w:lineRule="atLeast"/>
        <w:ind w:left="1" w:firstLine="571" w:firstLineChars="235"/>
        <w:rPr>
          <w:rFonts w:ascii="宋体" w:hAnsi="宋体" w:cs="宋体"/>
          <w:sz w:val="24"/>
          <w:highlight w:val="none"/>
        </w:rPr>
      </w:pPr>
    </w:p>
    <w:p w14:paraId="1D8E9A5D">
      <w:pPr>
        <w:tabs>
          <w:tab w:val="left" w:pos="5580"/>
        </w:tabs>
        <w:spacing w:line="240" w:lineRule="atLeast"/>
        <w:ind w:left="1" w:firstLine="571" w:firstLineChars="235"/>
        <w:rPr>
          <w:rFonts w:ascii="宋体" w:hAnsi="宋体" w:cs="宋体"/>
          <w:sz w:val="24"/>
          <w:highlight w:val="none"/>
        </w:rPr>
      </w:pPr>
    </w:p>
    <w:p w14:paraId="3B810789">
      <w:pPr>
        <w:tabs>
          <w:tab w:val="left" w:pos="5580"/>
        </w:tabs>
        <w:spacing w:line="240" w:lineRule="atLeast"/>
        <w:ind w:left="1" w:firstLine="571" w:firstLineChars="235"/>
        <w:rPr>
          <w:rFonts w:ascii="宋体" w:hAnsi="宋体" w:cs="宋体"/>
          <w:sz w:val="24"/>
          <w:highlight w:val="none"/>
        </w:rPr>
      </w:pPr>
    </w:p>
    <w:p w14:paraId="7BF0D813">
      <w:pPr>
        <w:pStyle w:val="8"/>
        <w:numPr>
          <w:ilvl w:val="0"/>
          <w:numId w:val="0"/>
        </w:numPr>
        <w:kinsoku w:val="0"/>
        <w:overflowPunct w:val="0"/>
        <w:spacing w:before="130" w:line="355" w:lineRule="auto"/>
        <w:ind w:left="480" w:right="7"/>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商务部分</w:t>
      </w:r>
    </w:p>
    <w:p w14:paraId="4B5A0F86">
      <w:pPr>
        <w:pStyle w:val="8"/>
        <w:numPr>
          <w:ilvl w:val="0"/>
          <w:numId w:val="0"/>
        </w:numPr>
        <w:kinsoku w:val="0"/>
        <w:overflowPunct w:val="0"/>
        <w:spacing w:before="130" w:line="355" w:lineRule="auto"/>
        <w:ind w:left="480" w:right="7"/>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lang w:eastAsia="zh-CN"/>
        </w:rPr>
        <w:t>一、</w:t>
      </w:r>
      <w:r>
        <w:rPr>
          <w:rFonts w:hint="eastAsia" w:ascii="仿宋" w:hAnsi="仿宋" w:eastAsia="仿宋" w:cs="仿宋"/>
          <w:b/>
          <w:bCs/>
          <w:color w:val="auto"/>
          <w:sz w:val="36"/>
          <w:szCs w:val="36"/>
          <w:highlight w:val="none"/>
        </w:rPr>
        <w:t>投标函</w:t>
      </w:r>
    </w:p>
    <w:p w14:paraId="6E87A889">
      <w:pPr>
        <w:spacing w:line="440" w:lineRule="exact"/>
        <w:ind w:firstLine="426" w:firstLineChars="200"/>
        <w:jc w:val="both"/>
        <w:rPr>
          <w:rFonts w:ascii="仿宋" w:hAnsi="仿宋" w:eastAsia="仿宋" w:cs="仿宋"/>
          <w:color w:val="auto"/>
          <w:highlight w:val="none"/>
          <w:u w:val="single"/>
        </w:rPr>
      </w:pPr>
      <w:r>
        <w:rPr>
          <w:rFonts w:hint="eastAsia" w:ascii="仿宋" w:hAnsi="仿宋" w:eastAsia="仿宋" w:cs="仿宋"/>
          <w:color w:val="auto"/>
          <w:highlight w:val="none"/>
        </w:rPr>
        <w:t>致：</w:t>
      </w:r>
      <w:r>
        <w:rPr>
          <w:rFonts w:hint="eastAsia" w:ascii="仿宋" w:hAnsi="仿宋" w:eastAsia="仿宋" w:cs="仿宋"/>
          <w:color w:val="auto"/>
          <w:highlight w:val="none"/>
          <w:u w:val="single"/>
        </w:rPr>
        <w:t xml:space="preserve">                     </w:t>
      </w:r>
    </w:p>
    <w:p w14:paraId="65B607E7">
      <w:pPr>
        <w:spacing w:line="440" w:lineRule="exact"/>
        <w:ind w:firstLine="426" w:firstLineChars="200"/>
        <w:jc w:val="both"/>
        <w:rPr>
          <w:rFonts w:ascii="仿宋" w:hAnsi="仿宋" w:eastAsia="仿宋" w:cs="仿宋"/>
          <w:color w:val="auto"/>
          <w:highlight w:val="none"/>
        </w:rPr>
      </w:pPr>
      <w:r>
        <w:rPr>
          <w:rFonts w:hint="eastAsia" w:ascii="仿宋" w:hAnsi="仿宋" w:eastAsia="仿宋" w:cs="仿宋"/>
          <w:color w:val="auto"/>
          <w:highlight w:val="none"/>
        </w:rPr>
        <w:t>为响应你方组织的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项目的招标[项目编号为：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，我方愿参与投标。</w:t>
      </w:r>
    </w:p>
    <w:p w14:paraId="0B28E511">
      <w:pPr>
        <w:spacing w:line="44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我方确认收到贵方提供的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lang w:eastAsia="zh-CN"/>
        </w:rPr>
        <w:t>磋商文件</w:t>
      </w:r>
      <w:r>
        <w:rPr>
          <w:rFonts w:hint="eastAsia" w:ascii="仿宋" w:hAnsi="仿宋" w:eastAsia="仿宋" w:cs="仿宋"/>
          <w:color w:val="auto"/>
          <w:highlight w:val="none"/>
        </w:rPr>
        <w:t>的全部内容。</w:t>
      </w:r>
    </w:p>
    <w:p w14:paraId="3369A457">
      <w:pPr>
        <w:spacing w:line="44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我方在参与投标前已详细研究了</w:t>
      </w:r>
      <w:r>
        <w:rPr>
          <w:rFonts w:hint="eastAsia" w:ascii="仿宋" w:hAnsi="仿宋" w:eastAsia="仿宋" w:cs="仿宋"/>
          <w:color w:val="auto"/>
          <w:highlight w:val="none"/>
          <w:lang w:eastAsia="zh-CN"/>
        </w:rPr>
        <w:t>磋商文件</w:t>
      </w:r>
      <w:r>
        <w:rPr>
          <w:rFonts w:hint="eastAsia" w:ascii="仿宋" w:hAnsi="仿宋" w:eastAsia="仿宋" w:cs="仿宋"/>
          <w:color w:val="auto"/>
          <w:highlight w:val="none"/>
        </w:rPr>
        <w:t>的所有内容，包括澄清、修改文件（如果有）和所有已提供的参考资料以及有关附件，我方完全明白并认为此</w:t>
      </w:r>
      <w:r>
        <w:rPr>
          <w:rFonts w:hint="eastAsia" w:ascii="仿宋" w:hAnsi="仿宋" w:eastAsia="仿宋" w:cs="仿宋"/>
          <w:color w:val="auto"/>
          <w:highlight w:val="none"/>
          <w:lang w:eastAsia="zh-CN"/>
        </w:rPr>
        <w:t>磋商文件</w:t>
      </w:r>
      <w:r>
        <w:rPr>
          <w:rFonts w:hint="eastAsia" w:ascii="仿宋" w:hAnsi="仿宋" w:eastAsia="仿宋" w:cs="仿宋"/>
          <w:color w:val="auto"/>
          <w:highlight w:val="none"/>
        </w:rPr>
        <w:t>没有倾向性，也不存在排斥潜在报价投标人的内容，我方同意</w:t>
      </w:r>
      <w:r>
        <w:rPr>
          <w:rFonts w:hint="eastAsia" w:ascii="仿宋" w:hAnsi="仿宋" w:eastAsia="仿宋" w:cs="仿宋"/>
          <w:color w:val="auto"/>
          <w:highlight w:val="none"/>
          <w:lang w:eastAsia="zh-CN"/>
        </w:rPr>
        <w:t>磋商文件</w:t>
      </w:r>
      <w:r>
        <w:rPr>
          <w:rFonts w:hint="eastAsia" w:ascii="仿宋" w:hAnsi="仿宋" w:eastAsia="仿宋" w:cs="仿宋"/>
          <w:color w:val="auto"/>
          <w:highlight w:val="none"/>
        </w:rPr>
        <w:t>的相关条款，放弃对</w:t>
      </w:r>
      <w:r>
        <w:rPr>
          <w:rFonts w:hint="eastAsia" w:ascii="仿宋" w:hAnsi="仿宋" w:eastAsia="仿宋" w:cs="仿宋"/>
          <w:color w:val="auto"/>
          <w:highlight w:val="none"/>
          <w:lang w:eastAsia="zh-CN"/>
        </w:rPr>
        <w:t>磋商文件</w:t>
      </w:r>
      <w:r>
        <w:rPr>
          <w:rFonts w:hint="eastAsia" w:ascii="仿宋" w:hAnsi="仿宋" w:eastAsia="仿宋" w:cs="仿宋"/>
          <w:color w:val="auto"/>
          <w:highlight w:val="none"/>
        </w:rPr>
        <w:t>提出误解和质疑的一切权力。</w:t>
      </w:r>
    </w:p>
    <w:p w14:paraId="7B554D22">
      <w:pPr>
        <w:spacing w:line="44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u w:val="single"/>
        </w:rPr>
        <w:t xml:space="preserve">      (投标人名称)      </w:t>
      </w:r>
      <w:r>
        <w:rPr>
          <w:rFonts w:hint="eastAsia" w:ascii="仿宋" w:hAnsi="仿宋" w:eastAsia="仿宋" w:cs="仿宋"/>
          <w:color w:val="auto"/>
          <w:highlight w:val="none"/>
        </w:rPr>
        <w:t>作为投标人正式授权</w:t>
      </w:r>
      <w:r>
        <w:rPr>
          <w:rFonts w:hint="eastAsia" w:ascii="仿宋" w:hAnsi="仿宋" w:eastAsia="仿宋" w:cs="仿宋"/>
          <w:color w:val="auto"/>
          <w:highlight w:val="none"/>
          <w:u w:val="single"/>
        </w:rPr>
        <w:t xml:space="preserve">  (授权代表全名, 职务)  </w:t>
      </w:r>
      <w:r>
        <w:rPr>
          <w:rFonts w:hint="eastAsia" w:ascii="仿宋" w:hAnsi="仿宋" w:eastAsia="仿宋" w:cs="仿宋"/>
          <w:color w:val="auto"/>
          <w:highlight w:val="none"/>
        </w:rPr>
        <w:t>代表我方全权处理有关本报价的一切事宜。</w:t>
      </w:r>
    </w:p>
    <w:p w14:paraId="4014C724">
      <w:pPr>
        <w:spacing w:line="44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我方已完全明白</w:t>
      </w:r>
      <w:r>
        <w:rPr>
          <w:rFonts w:hint="eastAsia" w:ascii="仿宋" w:hAnsi="仿宋" w:eastAsia="仿宋" w:cs="仿宋"/>
          <w:color w:val="auto"/>
          <w:highlight w:val="none"/>
          <w:lang w:eastAsia="zh-CN"/>
        </w:rPr>
        <w:t>磋商文件</w:t>
      </w:r>
      <w:r>
        <w:rPr>
          <w:rFonts w:hint="eastAsia" w:ascii="仿宋" w:hAnsi="仿宋" w:eastAsia="仿宋" w:cs="仿宋"/>
          <w:color w:val="auto"/>
          <w:highlight w:val="none"/>
        </w:rPr>
        <w:t>的所有条款要求，并申明如下：</w:t>
      </w:r>
    </w:p>
    <w:p w14:paraId="2FB18DC6">
      <w:pPr>
        <w:spacing w:line="48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（一）按</w:t>
      </w:r>
      <w:r>
        <w:rPr>
          <w:rFonts w:hint="eastAsia" w:ascii="仿宋" w:hAnsi="仿宋" w:eastAsia="仿宋" w:cs="仿宋"/>
          <w:color w:val="auto"/>
          <w:highlight w:val="none"/>
          <w:lang w:eastAsia="zh-CN"/>
        </w:rPr>
        <w:t>磋商文件</w:t>
      </w:r>
      <w:r>
        <w:rPr>
          <w:rFonts w:hint="eastAsia" w:ascii="仿宋" w:hAnsi="仿宋" w:eastAsia="仿宋" w:cs="仿宋"/>
          <w:color w:val="auto"/>
          <w:highlight w:val="none"/>
        </w:rPr>
        <w:t>提供的全部货物与相关服务的投标总价详见《报价一览表》。</w:t>
      </w:r>
    </w:p>
    <w:p w14:paraId="0DE09D1A">
      <w:pPr>
        <w:spacing w:line="48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（二）本</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的有效期为投标截止时间起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7C55DB47">
      <w:pPr>
        <w:spacing w:line="48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（三）我方同意按照贵方可能提出的要求而提供与投标有关的任何其它数据、信息或资料。</w:t>
      </w:r>
    </w:p>
    <w:p w14:paraId="2B4801BB">
      <w:pPr>
        <w:spacing w:line="48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eastAsia="zh-CN"/>
        </w:rPr>
        <w:t>四</w:t>
      </w:r>
      <w:r>
        <w:rPr>
          <w:rFonts w:hint="eastAsia" w:ascii="仿宋" w:hAnsi="仿宋" w:eastAsia="仿宋" w:cs="仿宋"/>
          <w:color w:val="auto"/>
          <w:highlight w:val="none"/>
        </w:rPr>
        <w:t>）我方如果中标，将保证履行</w:t>
      </w:r>
      <w:r>
        <w:rPr>
          <w:rFonts w:hint="eastAsia" w:ascii="仿宋" w:hAnsi="仿宋" w:eastAsia="仿宋" w:cs="仿宋"/>
          <w:color w:val="auto"/>
          <w:highlight w:val="none"/>
          <w:lang w:eastAsia="zh-CN"/>
        </w:rPr>
        <w:t>磋商文件</w:t>
      </w:r>
      <w:r>
        <w:rPr>
          <w:rFonts w:hint="eastAsia" w:ascii="仿宋" w:hAnsi="仿宋" w:eastAsia="仿宋" w:cs="仿宋"/>
          <w:color w:val="auto"/>
          <w:highlight w:val="none"/>
        </w:rPr>
        <w:t>及其澄清、修改文件（如果有）中的全部责任和义务，按质、按量、按期完成《招标内容》及《合同书》中的全部任务。</w:t>
      </w:r>
    </w:p>
    <w:p w14:paraId="53BCC4C3">
      <w:pPr>
        <w:spacing w:line="48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eastAsia="zh-CN"/>
        </w:rPr>
        <w:t>五</w:t>
      </w:r>
      <w:r>
        <w:rPr>
          <w:rFonts w:hint="eastAsia" w:ascii="仿宋" w:hAnsi="仿宋" w:eastAsia="仿宋" w:cs="仿宋"/>
          <w:color w:val="auto"/>
          <w:highlight w:val="none"/>
        </w:rPr>
        <w:t>）如我方被授予合同，我方承诺支付就本次招标应支付或将支付的中标服务费（详见按</w:t>
      </w:r>
      <w:r>
        <w:rPr>
          <w:rFonts w:hint="eastAsia" w:ascii="仿宋" w:hAnsi="仿宋" w:eastAsia="仿宋" w:cs="仿宋"/>
          <w:color w:val="auto"/>
          <w:highlight w:val="none"/>
          <w:lang w:eastAsia="zh-CN"/>
        </w:rPr>
        <w:t>磋商文件</w:t>
      </w:r>
      <w:r>
        <w:rPr>
          <w:rFonts w:hint="eastAsia" w:ascii="仿宋" w:hAnsi="仿宋" w:eastAsia="仿宋" w:cs="仿宋"/>
          <w:color w:val="auto"/>
          <w:highlight w:val="none"/>
        </w:rPr>
        <w:t>要求格式填写的《中标服务费支付承诺书》）。</w:t>
      </w:r>
    </w:p>
    <w:p w14:paraId="2E854321">
      <w:pPr>
        <w:spacing w:line="48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eastAsia="zh-CN"/>
        </w:rPr>
        <w:t>六</w:t>
      </w:r>
      <w:r>
        <w:rPr>
          <w:rFonts w:hint="eastAsia" w:ascii="仿宋" w:hAnsi="仿宋" w:eastAsia="仿宋" w:cs="仿宋"/>
          <w:color w:val="auto"/>
          <w:highlight w:val="none"/>
        </w:rPr>
        <w:t>）我方作为在法律、财务和运作上独立于采购人、招标代理机构的投标人，在此保证所提交的所有文件和全部说明是真实的和正确的。</w:t>
      </w:r>
    </w:p>
    <w:p w14:paraId="48F90EDD">
      <w:pPr>
        <w:spacing w:line="48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eastAsia="zh-CN"/>
        </w:rPr>
        <w:t>七</w:t>
      </w:r>
      <w:r>
        <w:rPr>
          <w:rFonts w:hint="eastAsia" w:ascii="仿宋" w:hAnsi="仿宋" w:eastAsia="仿宋" w:cs="仿宋"/>
          <w:color w:val="auto"/>
          <w:highlight w:val="none"/>
        </w:rPr>
        <w:t>）我方与其他投标人不存在单位负责人为同一人或者存在直接控股、管理关系。</w:t>
      </w:r>
    </w:p>
    <w:p w14:paraId="6DD8837D">
      <w:pPr>
        <w:spacing w:line="48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eastAsia="zh-CN"/>
        </w:rPr>
        <w:t>八</w:t>
      </w:r>
      <w:r>
        <w:rPr>
          <w:rFonts w:hint="eastAsia" w:ascii="仿宋" w:hAnsi="仿宋" w:eastAsia="仿宋" w:cs="仿宋"/>
          <w:color w:val="auto"/>
          <w:highlight w:val="none"/>
        </w:rPr>
        <w:t>）我方具备《政府采购法》第二十二条规定的条件，承诺如下：</w:t>
      </w:r>
    </w:p>
    <w:p w14:paraId="1FD0C1E2">
      <w:pPr>
        <w:spacing w:line="44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（1）我方已依法缴纳了各项税费及社会保险费用，如有需要，可随时向采购人提供近三个月内的相关缴费证明，以便核查。</w:t>
      </w:r>
    </w:p>
    <w:p w14:paraId="66F72C97">
      <w:pPr>
        <w:spacing w:line="44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（2）我方已依法建立健全的财务会计制度，如有需要，可随时向采购人提供相关的证明材料，以便核查。</w:t>
      </w:r>
    </w:p>
    <w:p w14:paraId="79AE1FE7">
      <w:pPr>
        <w:spacing w:line="44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（3）我方参加本项目政府采购活动前3年内在经营活动中没有重大违法记录。</w:t>
      </w:r>
    </w:p>
    <w:p w14:paraId="74DD7F2E">
      <w:pPr>
        <w:spacing w:line="44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（4）我方具备履行合同所必需的设备和专业技术能力。</w:t>
      </w:r>
    </w:p>
    <w:p w14:paraId="0693769C">
      <w:pPr>
        <w:spacing w:line="44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（5）我方符合法律、行政法规规定的其他条件。</w:t>
      </w:r>
    </w:p>
    <w:p w14:paraId="63BD5480">
      <w:pPr>
        <w:spacing w:line="44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以上内容如有虚假或与事实不符的，评审委员会可将我方做无效投标处理，我方愿意承担相应的法律责任。</w:t>
      </w:r>
    </w:p>
    <w:p w14:paraId="55DE964B">
      <w:pPr>
        <w:spacing w:line="44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eastAsia="zh-CN"/>
        </w:rPr>
        <w:t>九</w:t>
      </w:r>
      <w:r>
        <w:rPr>
          <w:rFonts w:hint="eastAsia" w:ascii="仿宋" w:hAnsi="仿宋" w:eastAsia="仿宋" w:cs="仿宋"/>
          <w:color w:val="auto"/>
          <w:highlight w:val="none"/>
        </w:rPr>
        <w:t>）我方对在本函及</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中所作的所有承诺承担法律责任。</w:t>
      </w:r>
    </w:p>
    <w:p w14:paraId="7FA5E897">
      <w:pPr>
        <w:spacing w:line="44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（十）所有与本招标有关的函件请发往下列地址：</w:t>
      </w:r>
    </w:p>
    <w:p w14:paraId="4E27DF21">
      <w:pPr>
        <w:spacing w:line="440" w:lineRule="exact"/>
        <w:rPr>
          <w:rFonts w:ascii="仿宋" w:hAnsi="仿宋" w:eastAsia="仿宋" w:cs="仿宋"/>
          <w:color w:val="auto"/>
          <w:highlight w:val="none"/>
        </w:rPr>
      </w:pPr>
      <w:r>
        <w:rPr>
          <w:rFonts w:hint="eastAsia" w:ascii="仿宋" w:hAnsi="仿宋" w:eastAsia="仿宋" w:cs="仿宋"/>
          <w:color w:val="auto"/>
          <w:highlight w:val="none"/>
        </w:rPr>
        <w:t>地    址：</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.邮政编码：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1FCCE6EF">
      <w:pPr>
        <w:spacing w:line="440" w:lineRule="exact"/>
        <w:rPr>
          <w:rFonts w:ascii="仿宋" w:hAnsi="仿宋" w:eastAsia="仿宋" w:cs="仿宋"/>
          <w:color w:val="auto"/>
          <w:highlight w:val="none"/>
        </w:rPr>
      </w:pPr>
      <w:r>
        <w:rPr>
          <w:rFonts w:hint="eastAsia" w:ascii="仿宋" w:hAnsi="仿宋" w:eastAsia="仿宋" w:cs="仿宋"/>
          <w:color w:val="auto"/>
          <w:highlight w:val="none"/>
        </w:rPr>
        <w:t>电    话：</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.传    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710F6341">
      <w:pPr>
        <w:spacing w:line="440" w:lineRule="exact"/>
        <w:rPr>
          <w:rFonts w:ascii="仿宋" w:hAnsi="仿宋" w:eastAsia="仿宋" w:cs="仿宋"/>
          <w:color w:val="auto"/>
          <w:highlight w:val="none"/>
        </w:rPr>
      </w:pPr>
      <w:r>
        <w:rPr>
          <w:rFonts w:hint="eastAsia" w:ascii="仿宋" w:hAnsi="仿宋" w:eastAsia="仿宋" w:cs="仿宋"/>
          <w:color w:val="auto"/>
          <w:highlight w:val="none"/>
        </w:rPr>
        <w:t>代表姓名：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.职    务：</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47A96984">
      <w:pPr>
        <w:spacing w:line="440" w:lineRule="exact"/>
        <w:ind w:right="480"/>
        <w:jc w:val="right"/>
        <w:rPr>
          <w:rFonts w:ascii="仿宋" w:hAnsi="仿宋" w:eastAsia="仿宋" w:cs="仿宋"/>
          <w:color w:val="auto"/>
          <w:highlight w:val="none"/>
        </w:rPr>
      </w:pPr>
      <w:r>
        <w:rPr>
          <w:rFonts w:hint="eastAsia" w:ascii="仿宋" w:hAnsi="仿宋" w:eastAsia="仿宋" w:cs="仿宋"/>
          <w:color w:val="auto"/>
          <w:highlight w:val="none"/>
        </w:rPr>
        <w:t>投标人：</w:t>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（公章） </w:t>
      </w:r>
    </w:p>
    <w:p w14:paraId="6F4CCBB4">
      <w:pPr>
        <w:wordWrap w:val="0"/>
        <w:spacing w:line="440" w:lineRule="exact"/>
        <w:ind w:firstLine="426" w:firstLineChars="200"/>
        <w:jc w:val="right"/>
        <w:rPr>
          <w:rFonts w:ascii="仿宋" w:hAnsi="仿宋" w:eastAsia="仿宋" w:cs="仿宋"/>
          <w:color w:val="auto"/>
          <w:highlight w:val="none"/>
        </w:rPr>
      </w:pPr>
      <w:r>
        <w:rPr>
          <w:rFonts w:hint="eastAsia" w:ascii="仿宋" w:hAnsi="仿宋" w:eastAsia="仿宋" w:cs="仿宋"/>
          <w:color w:val="auto"/>
          <w:highlight w:val="none"/>
        </w:rPr>
        <w:t>法定代表人或委托人：</w:t>
      </w:r>
      <w:r>
        <w:rPr>
          <w:rFonts w:hint="eastAsia" w:ascii="仿宋" w:hAnsi="仿宋" w:eastAsia="仿宋" w:cs="仿宋"/>
          <w:color w:val="auto"/>
          <w:highlight w:val="none"/>
        </w:rPr>
        <w:tab/>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签章</w:t>
      </w:r>
      <w:r>
        <w:rPr>
          <w:rFonts w:hint="eastAsia" w:ascii="仿宋" w:hAnsi="仿宋" w:eastAsia="仿宋" w:cs="仿宋"/>
          <w:color w:val="auto"/>
          <w:highlight w:val="none"/>
        </w:rPr>
        <w:t xml:space="preserve">）  </w:t>
      </w:r>
    </w:p>
    <w:p w14:paraId="7BD8F4B8">
      <w:pPr>
        <w:wordWrap w:val="0"/>
        <w:spacing w:line="440" w:lineRule="exact"/>
        <w:ind w:firstLine="426" w:firstLineChars="200"/>
        <w:jc w:val="right"/>
        <w:rPr>
          <w:rFonts w:ascii="仿宋" w:hAnsi="仿宋" w:eastAsia="仿宋" w:cs="仿宋"/>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highlight w:val="none"/>
        </w:rPr>
        <w:t>年</w:t>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5CE3726D">
      <w:pPr>
        <w:pStyle w:val="8"/>
        <w:numPr>
          <w:ilvl w:val="0"/>
          <w:numId w:val="0"/>
        </w:numPr>
        <w:kinsoku w:val="0"/>
        <w:overflowPunct w:val="0"/>
        <w:spacing w:before="34" w:line="440" w:lineRule="exact"/>
        <w:ind w:left="480" w:right="126"/>
        <w:jc w:val="center"/>
        <w:rPr>
          <w:rFonts w:ascii="仿宋" w:hAnsi="仿宋" w:eastAsia="仿宋" w:cs="仿宋"/>
          <w:color w:val="auto"/>
          <w:sz w:val="36"/>
          <w:szCs w:val="36"/>
          <w:highlight w:val="none"/>
        </w:rPr>
      </w:pPr>
      <w:r>
        <w:rPr>
          <w:rFonts w:hint="eastAsia" w:ascii="仿宋" w:hAnsi="仿宋" w:eastAsia="仿宋" w:cs="仿宋"/>
          <w:color w:val="auto"/>
          <w:highlight w:val="none"/>
        </w:rPr>
        <w:br w:type="page"/>
      </w:r>
      <w:r>
        <w:rPr>
          <w:rFonts w:hint="eastAsia" w:ascii="仿宋" w:hAnsi="仿宋" w:eastAsia="仿宋" w:cs="仿宋"/>
          <w:b/>
          <w:bCs/>
          <w:color w:val="auto"/>
          <w:sz w:val="36"/>
          <w:szCs w:val="36"/>
          <w:highlight w:val="none"/>
        </w:rPr>
        <w:t>二、法定代表人身份证明</w:t>
      </w:r>
    </w:p>
    <w:p w14:paraId="43A53963">
      <w:pPr>
        <w:spacing w:line="420" w:lineRule="exact"/>
        <w:ind w:firstLine="426" w:firstLineChars="200"/>
        <w:rPr>
          <w:rFonts w:ascii="仿宋" w:hAnsi="仿宋" w:eastAsia="仿宋" w:cs="仿宋"/>
          <w:color w:val="auto"/>
          <w:highlight w:val="none"/>
          <w:u w:val="single"/>
        </w:rPr>
      </w:pPr>
      <w:r>
        <w:rPr>
          <w:rFonts w:hint="eastAsia" w:ascii="仿宋" w:hAnsi="仿宋" w:eastAsia="仿宋" w:cs="仿宋"/>
          <w:color w:val="auto"/>
          <w:highlight w:val="none"/>
        </w:rPr>
        <w:t>投标单位名称：</w:t>
      </w:r>
      <w:r>
        <w:rPr>
          <w:rFonts w:hint="eastAsia" w:ascii="仿宋" w:hAnsi="仿宋" w:eastAsia="仿宋" w:cs="仿宋"/>
          <w:color w:val="auto"/>
          <w:highlight w:val="none"/>
          <w:u w:val="single"/>
        </w:rPr>
        <w:t xml:space="preserve">                       </w:t>
      </w:r>
    </w:p>
    <w:p w14:paraId="55B48B19">
      <w:pPr>
        <w:spacing w:line="420" w:lineRule="exact"/>
        <w:ind w:firstLine="426" w:firstLineChars="200"/>
        <w:rPr>
          <w:rFonts w:ascii="仿宋" w:hAnsi="仿宋" w:eastAsia="仿宋" w:cs="仿宋"/>
          <w:color w:val="auto"/>
          <w:highlight w:val="none"/>
          <w:u w:val="single"/>
        </w:rPr>
      </w:pPr>
      <w:r>
        <w:rPr>
          <w:rFonts w:hint="eastAsia" w:ascii="仿宋" w:hAnsi="仿宋" w:eastAsia="仿宋" w:cs="仿宋"/>
          <w:color w:val="auto"/>
          <w:highlight w:val="none"/>
        </w:rPr>
        <w:t>单位性质：</w:t>
      </w:r>
      <w:r>
        <w:rPr>
          <w:rFonts w:hint="eastAsia" w:ascii="仿宋" w:hAnsi="仿宋" w:eastAsia="仿宋" w:cs="仿宋"/>
          <w:color w:val="auto"/>
          <w:highlight w:val="none"/>
          <w:u w:val="single"/>
        </w:rPr>
        <w:t xml:space="preserve">                           </w:t>
      </w:r>
    </w:p>
    <w:p w14:paraId="1437A932">
      <w:pPr>
        <w:spacing w:line="420" w:lineRule="exact"/>
        <w:ind w:firstLine="426" w:firstLineChars="200"/>
        <w:rPr>
          <w:rFonts w:ascii="仿宋" w:hAnsi="仿宋" w:eastAsia="仿宋" w:cs="仿宋"/>
          <w:color w:val="auto"/>
          <w:highlight w:val="none"/>
          <w:u w:val="single"/>
        </w:rPr>
      </w:pPr>
      <w:r>
        <w:rPr>
          <w:rFonts w:hint="eastAsia" w:ascii="仿宋" w:hAnsi="仿宋" w:eastAsia="仿宋" w:cs="仿宋"/>
          <w:color w:val="auto"/>
          <w:highlight w:val="none"/>
        </w:rPr>
        <w:t>地址：</w:t>
      </w:r>
      <w:r>
        <w:rPr>
          <w:rFonts w:hint="eastAsia" w:ascii="仿宋" w:hAnsi="仿宋" w:eastAsia="仿宋" w:cs="仿宋"/>
          <w:color w:val="auto"/>
          <w:highlight w:val="none"/>
          <w:u w:val="single"/>
        </w:rPr>
        <w:t xml:space="preserve">                               </w:t>
      </w:r>
    </w:p>
    <w:p w14:paraId="3AA833EC">
      <w:pPr>
        <w:spacing w:line="42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成立时间：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39888613">
      <w:pPr>
        <w:spacing w:line="420" w:lineRule="exact"/>
        <w:ind w:firstLine="426" w:firstLineChars="200"/>
        <w:rPr>
          <w:rFonts w:ascii="仿宋" w:hAnsi="仿宋" w:eastAsia="仿宋" w:cs="仿宋"/>
          <w:color w:val="auto"/>
          <w:highlight w:val="none"/>
          <w:u w:val="single"/>
        </w:rPr>
      </w:pPr>
      <w:r>
        <w:rPr>
          <w:rFonts w:hint="eastAsia" w:ascii="仿宋" w:hAnsi="仿宋" w:eastAsia="仿宋" w:cs="仿宋"/>
          <w:color w:val="auto"/>
          <w:highlight w:val="none"/>
        </w:rPr>
        <w:t>经营期限：</w:t>
      </w:r>
      <w:r>
        <w:rPr>
          <w:rFonts w:hint="eastAsia" w:ascii="仿宋" w:hAnsi="仿宋" w:eastAsia="仿宋" w:cs="仿宋"/>
          <w:color w:val="auto"/>
          <w:highlight w:val="none"/>
          <w:u w:val="single"/>
        </w:rPr>
        <w:t xml:space="preserve">             </w:t>
      </w:r>
    </w:p>
    <w:p w14:paraId="21B0551C">
      <w:pPr>
        <w:spacing w:line="420" w:lineRule="exact"/>
        <w:ind w:firstLine="426" w:firstLineChars="200"/>
        <w:rPr>
          <w:rFonts w:ascii="仿宋" w:hAnsi="仿宋" w:eastAsia="仿宋" w:cs="仿宋"/>
          <w:color w:val="auto"/>
          <w:highlight w:val="none"/>
          <w:u w:val="single"/>
        </w:rPr>
      </w:pPr>
      <w:r>
        <w:rPr>
          <w:rFonts w:hint="eastAsia" w:ascii="仿宋" w:hAnsi="仿宋" w:eastAsia="仿宋" w:cs="仿宋"/>
          <w:color w:val="auto"/>
          <w:highlight w:val="none"/>
        </w:rPr>
        <w:t>姓名：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性别：</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年龄：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职务：</w:t>
      </w:r>
      <w:r>
        <w:rPr>
          <w:rFonts w:hint="eastAsia" w:ascii="仿宋" w:hAnsi="仿宋" w:eastAsia="仿宋" w:cs="仿宋"/>
          <w:color w:val="auto"/>
          <w:highlight w:val="none"/>
          <w:u w:val="single"/>
        </w:rPr>
        <w:t xml:space="preserve">           </w:t>
      </w:r>
    </w:p>
    <w:p w14:paraId="234CB2D4">
      <w:pPr>
        <w:spacing w:line="420" w:lineRule="exact"/>
        <w:ind w:firstLine="426" w:firstLineChars="200"/>
        <w:rPr>
          <w:rFonts w:ascii="仿宋" w:hAnsi="仿宋" w:eastAsia="仿宋" w:cs="仿宋"/>
          <w:color w:val="auto"/>
          <w:highlight w:val="none"/>
          <w:u w:val="single"/>
        </w:rPr>
      </w:pPr>
      <w:r>
        <w:rPr>
          <w:rFonts w:hint="eastAsia" w:ascii="仿宋" w:hAnsi="仿宋" w:eastAsia="仿宋" w:cs="仿宋"/>
          <w:color w:val="auto"/>
          <w:highlight w:val="none"/>
        </w:rPr>
        <w:t>身份证号码：</w:t>
      </w:r>
      <w:r>
        <w:rPr>
          <w:rFonts w:hint="eastAsia" w:ascii="仿宋" w:hAnsi="仿宋" w:eastAsia="仿宋" w:cs="仿宋"/>
          <w:color w:val="auto"/>
          <w:highlight w:val="none"/>
          <w:u w:val="single"/>
        </w:rPr>
        <w:t xml:space="preserve">                                  </w:t>
      </w:r>
    </w:p>
    <w:p w14:paraId="0D84B12F">
      <w:pPr>
        <w:spacing w:line="42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系</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（投标单位名称）的法定代表人。</w:t>
      </w:r>
    </w:p>
    <w:p w14:paraId="59DE0BC5">
      <w:pPr>
        <w:spacing w:line="420" w:lineRule="exact"/>
        <w:ind w:firstLine="852" w:firstLineChars="400"/>
        <w:rPr>
          <w:rFonts w:ascii="仿宋" w:hAnsi="仿宋" w:eastAsia="仿宋" w:cs="仿宋"/>
          <w:color w:val="auto"/>
          <w:highlight w:val="none"/>
        </w:rPr>
      </w:pPr>
      <w:r>
        <w:rPr>
          <w:rFonts w:hint="eastAsia" w:ascii="仿宋" w:hAnsi="仿宋" w:eastAsia="仿宋" w:cs="仿宋"/>
          <w:color w:val="auto"/>
          <w:highlight w:val="none"/>
        </w:rPr>
        <w:t>特此证明。</w:t>
      </w:r>
    </w:p>
    <w:p w14:paraId="70C64357">
      <w:pPr>
        <w:pStyle w:val="8"/>
        <w:numPr>
          <w:ilvl w:val="0"/>
          <w:numId w:val="0"/>
        </w:numPr>
        <w:kinsoku w:val="0"/>
        <w:overflowPunct w:val="0"/>
        <w:rPr>
          <w:rFonts w:ascii="仿宋" w:hAnsi="仿宋" w:eastAsia="仿宋" w:cs="仿宋"/>
          <w:color w:val="auto"/>
          <w:sz w:val="20"/>
          <w:szCs w:val="20"/>
          <w:highlight w:val="none"/>
        </w:rPr>
      </w:pPr>
    </w:p>
    <w:p w14:paraId="27F2B4D4">
      <w:pPr>
        <w:pStyle w:val="8"/>
        <w:numPr>
          <w:ilvl w:val="0"/>
          <w:numId w:val="0"/>
        </w:numPr>
        <w:kinsoku w:val="0"/>
        <w:overflowPunct w:val="0"/>
        <w:spacing w:before="7"/>
        <w:ind w:leftChars="0" w:right="0"/>
        <w:rPr>
          <w:rFonts w:hint="eastAsia" w:ascii="仿宋" w:hAnsi="仿宋" w:eastAsia="仿宋" w:cs="仿宋"/>
          <w:color w:val="auto"/>
          <w:sz w:val="25"/>
          <w:szCs w:val="25"/>
          <w:highlight w:val="none"/>
        </w:rPr>
      </w:pPr>
    </w:p>
    <w:p w14:paraId="4A1BA2D3">
      <w:pPr>
        <w:pStyle w:val="8"/>
        <w:numPr>
          <w:ilvl w:val="0"/>
          <w:numId w:val="0"/>
        </w:numPr>
        <w:kinsoku w:val="0"/>
        <w:overflowPunct w:val="0"/>
        <w:spacing w:before="7"/>
        <w:rPr>
          <w:rFonts w:ascii="仿宋" w:hAnsi="仿宋" w:eastAsia="仿宋" w:cs="仿宋"/>
          <w:color w:val="auto"/>
          <w:sz w:val="25"/>
          <w:szCs w:val="25"/>
          <w:highlight w:val="none"/>
        </w:rPr>
      </w:pPr>
      <w:r>
        <w:rPr>
          <w:rFonts w:hint="eastAsia" w:ascii="仿宋" w:hAnsi="仿宋" w:eastAsia="仿宋" w:cs="仿宋"/>
          <w:color w:val="auto"/>
          <w:spacing w:val="0"/>
          <w:w w:val="100"/>
          <w:position w:val="0"/>
          <w:sz w:val="20"/>
          <w:szCs w:val="20"/>
          <w:highlight w:val="none"/>
          <w:shd w:val="clear" w:color="auto" w:fill="auto"/>
          <w:lang w:val="en-US" w:eastAsia="en-US" w:bidi="en-US"/>
        </w:rPr>
        <mc:AlternateContent>
          <mc:Choice Requires="wpg">
            <w:drawing>
              <wp:inline distT="0" distB="0" distL="114300" distR="114300">
                <wp:extent cx="5136515" cy="1458595"/>
                <wp:effectExtent l="1905" t="1905" r="5080" b="6350"/>
                <wp:docPr id="36" name="组合 36"/>
                <wp:cNvGraphicFramePr/>
                <a:graphic xmlns:a="http://schemas.openxmlformats.org/drawingml/2006/main">
                  <a:graphicData uri="http://schemas.microsoft.com/office/word/2010/wordprocessingGroup">
                    <wpg:wgp>
                      <wpg:cNvGrpSpPr/>
                      <wpg:grpSpPr>
                        <a:xfrm>
                          <a:off x="0" y="0"/>
                          <a:ext cx="5136515" cy="1458595"/>
                          <a:chOff x="4" y="4"/>
                          <a:chExt cx="8094" cy="2302"/>
                        </a:xfrm>
                      </wpg:grpSpPr>
                      <wps:wsp>
                        <wps:cNvPr id="24" name="任意多边形 2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25" name="任意多边形 2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26" name="任意多边形 26"/>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27" name="任意多边形 27"/>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28" name="任意多边形 28"/>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29" name="任意多边形 29"/>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30" name="任意多边形 30"/>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31" name="任意多边形 31"/>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32" name="任意多边形 32"/>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33" name="任意多边形 33"/>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34" name="矩形 34"/>
                        <wps:cNvSpPr/>
                        <wps:spPr>
                          <a:xfrm>
                            <a:off x="19" y="19"/>
                            <a:ext cx="4025" cy="2258"/>
                          </a:xfrm>
                          <a:prstGeom prst="rect">
                            <a:avLst/>
                          </a:prstGeom>
                          <a:noFill/>
                          <a:ln>
                            <a:noFill/>
                          </a:ln>
                        </wps:spPr>
                        <wps:txbx>
                          <w:txbxContent>
                            <w:p w14:paraId="0312A250">
                              <w:pPr>
                                <w:pStyle w:val="8"/>
                                <w:numPr>
                                  <w:ilvl w:val="0"/>
                                  <w:numId w:val="0"/>
                                </w:numPr>
                                <w:kinsoku w:val="0"/>
                                <w:overflowPunct w:val="0"/>
                                <w:spacing w:before="13"/>
                                <w:ind w:leftChars="0" w:right="0"/>
                                <w:rPr>
                                  <w:rFonts w:hint="eastAsia"/>
                                  <w:sz w:val="28"/>
                                  <w:szCs w:val="28"/>
                                </w:rPr>
                              </w:pPr>
                            </w:p>
                            <w:p w14:paraId="1E0CC7A2">
                              <w:pPr>
                                <w:pStyle w:val="8"/>
                                <w:numPr>
                                  <w:ilvl w:val="0"/>
                                  <w:numId w:val="0"/>
                                </w:numPr>
                                <w:kinsoku w:val="0"/>
                                <w:overflowPunct w:val="0"/>
                                <w:ind w:right="0"/>
                                <w:jc w:val="center"/>
                              </w:pPr>
                              <w:r>
                                <w:rPr>
                                  <w:rFonts w:hint="eastAsia"/>
                                </w:rPr>
                                <w:t>法定代表人身份证复印件（正面）</w:t>
                              </w:r>
                            </w:p>
                          </w:txbxContent>
                        </wps:txbx>
                        <wps:bodyPr lIns="0" tIns="0" rIns="0" bIns="0" upright="1"/>
                      </wps:wsp>
                      <wps:wsp>
                        <wps:cNvPr id="35" name="矩形 35"/>
                        <wps:cNvSpPr/>
                        <wps:spPr>
                          <a:xfrm>
                            <a:off x="4044" y="19"/>
                            <a:ext cx="4025" cy="2258"/>
                          </a:xfrm>
                          <a:prstGeom prst="rect">
                            <a:avLst/>
                          </a:prstGeom>
                          <a:noFill/>
                          <a:ln>
                            <a:noFill/>
                          </a:ln>
                        </wps:spPr>
                        <wps:txbx>
                          <w:txbxContent>
                            <w:p w14:paraId="34B9BC6C">
                              <w:pPr>
                                <w:pStyle w:val="8"/>
                                <w:numPr>
                                  <w:ilvl w:val="0"/>
                                  <w:numId w:val="0"/>
                                </w:numPr>
                                <w:kinsoku w:val="0"/>
                                <w:overflowPunct w:val="0"/>
                                <w:spacing w:before="13"/>
                                <w:ind w:leftChars="0" w:right="0"/>
                                <w:rPr>
                                  <w:rFonts w:hint="eastAsia"/>
                                  <w:sz w:val="28"/>
                                  <w:szCs w:val="28"/>
                                </w:rPr>
                              </w:pPr>
                            </w:p>
                            <w:p w14:paraId="501ECF8B">
                              <w:pPr>
                                <w:pStyle w:val="8"/>
                                <w:numPr>
                                  <w:ilvl w:val="0"/>
                                  <w:numId w:val="0"/>
                                </w:numPr>
                                <w:kinsoku w:val="0"/>
                                <w:overflowPunct w:val="0"/>
                                <w:ind w:right="0"/>
                              </w:pPr>
                              <w:r>
                                <w:rPr>
                                  <w:rFonts w:hint="eastAsia"/>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origin="4,4" coordsize="8094,2302"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CYHAcyCBAAA4iAAAA4AAABkcnMvZTJvRG9jLnhtbO1azY7b&#10;NhC+F8g7CLp3LUuy1zbWm0M3WRQo2gBJHoCWqB9AEgmS/tl7Dr21514KFL3kEYJF+zTZpo/RmaFk&#10;73pXiF3DqVFoD/aYpDg//Dj6yNmL56uycBZc6VxUU7d/5rkOryIR51U6dd++efn1yHW0YVXMClHx&#10;qXvDtfv88tlXF0s54b7IRBFz5cAklZ4s5dTNjJGTXk9HGS+ZPhOSV9CZCFUyAz9V2osVW8LsZdHz&#10;PW/YWwoVSyUirjW0XtlOt55R7TKhSJI84lcimpe8MnZWxQtmwCWd5VK7l2RtkvDI/JAkmhunmLrg&#10;qaFPUALyDD97lxdskiomszyqTWC7mLDlU8nyCpSup7pihjlzlT+aqswjJbRIzFkkyp51hCICXvS9&#10;rdhcKzGX5Es6WaZyHXRYqK2o/+tpo+8Xr5STx1M3GLpOxUpY8U+37+5+/tGBBojOUqYTGHSt5Gv5&#10;StUNqf2FDq8SVeI3uOKsKK4367jylXEiaBz0g+GgP3CdCPr64WA0GA9s5KMMlgefC10H+sKm9UX9&#10;5MgbQw8+5geej729RmUPLVsbspSARr0JkT4sRK8zJjlFXqP3dYh8sMWG6OPt7V/vfrr7/Ze///xw&#10;98dvDvRQaGj0OlB6oiFmT0TJeju23jZRGnnn49pXwuXaUzaJ5tpcc0GBZovvtAFlgLW4kVjWSNGq&#10;akTJDDbjSBSd5dS1KjKIpkdoLcWCvxE0wmytHmjf9BbV/VEwC+SIZplhoO0GAfXQEq11Q+N94yvx&#10;Mi8Ksr6o0KKhNwbcRQwSSQIbGMRSAhh1lZKBWhR5jI+gjVqls28K5SwYbmb6qxHxYJhU2lwxndlx&#10;1GUDnXEWv6hix9xIQHkF2c1FE0oeu07BIRmiRLYZlhe7jCTfwWFEn11qlGYivgHEzKXK0wwyTp+s&#10;rBGKO+pLQBV2WwtUaeuhEQDsz0MVMY/bb2QjswFr2D86WFHF4WANIdd3YKVtWVSnCdb1q+dRXq3f&#10;QXuC1R+ed3DtciskuaPQgPPW3Eqw2zm31qnVHxHK2WSTXDsm0DEBPE3txetbSCtwtRYmQO/0ndEK&#10;5BReozVFb6AKRNLSc39E2AdG1JwI7vO+Q0grqkAWgBqQBm5oqdyDtFoSAJPQXiPihpwWhI60IgRO&#10;grQCxFqgSmelnaEKbJVIaytYQ5rvmGAFDYeDNaQd2oH1FE9YAWSUp8EKPXCK3BmsoRfURKAVrsHR&#10;4QoaDodr0MEVL0NO8owVwFm6Ba50P7EHXAfBZ7JrB9fu/mrnS+6nWWvgt8KVroF3huvIG1jiGgQP&#10;rwQ2zLWDawfXQ+EKKbEluxLs9oBrfbfebyUDMADoxTG5K2g4nAycN+fBrjoAx6vTqg4g4bRw/fTr&#10;e6xfQcM+lLVvUyp8wVObe6vQ8+sin+8PtlGKZRmsYTkoTF0FpVlCWXM1gCfxegjO+aBS9KCBjkOP&#10;OJZZzVa1C/VRtvi2gus/YOmmEVQjzBrhP63RBOsaTbMK+5VmQi+0B4f/7zpQkRdK35Tv6jI91tbv&#10;/yYobP414fI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QYAAFtDb250ZW50X1R5cGVzXS54bWxQSwECFAAKAAAAAACHTuJAAAAAAAAAAAAAAAAA&#10;BgAAAAAAAAAAABAAAADTBQAAX3JlbHMvUEsBAhQAFAAAAAgAh07iQIoUZjzRAAAAlAEAAAsAAAAA&#10;AAAAAQAgAAAA9wUAAF9yZWxzLy5yZWxzUEsBAhQACgAAAAAAh07iQAAAAAAAAAAAAAAAAAQAAAAA&#10;AAAAAAAQAAAAAAAAAGRycy9QSwECFAAUAAAACACHTuJAl/l9z9YAAAAFAQAADwAAAAAAAAABACAA&#10;AAAiAAAAZHJzL2Rvd25yZXYueG1sUEsBAhQAFAAAAAgAh07iQCYHAcyCBAAA4iAAAA4AAAAAAAAA&#10;AQAgAAAAJQEAAGRycy9lMm9Eb2MueG1sUEsFBgAAAAAGAAYAWQEAABkIAAAAAA==&#10;">
                <o:lock v:ext="edit" aspectratio="f"/>
                <v:shape id="_x0000_s1026" o:spid="_x0000_s1026" o:spt="100" style="position:absolute;left:4;top:9;height:20;width:8079;" filled="f" stroked="t" coordsize="8079,20" o:gfxdata="UEsDBAoAAAAAAIdO4kAAAAAAAAAAAAAAAAAEAAAAZHJzL1BLAwQUAAAACACHTuJARPLueLwAAADb&#10;AAAADwAAAGRycy9kb3ducmV2LnhtbEWPQWsCMRSE74X+h/AK3mriokW2Rg/SqrSnqgePj83bzeLm&#10;ZUlSXf99Iwg9DjPzDbNYDa4TFwqx9axhMlYgiCtvWm40HA+fr3MQMSEb7DyThhtFWC2fnxZYGn/l&#10;H7rsUyMyhGOJGmxKfSllrCw5jGPfE2ev9sFhyjI00gS8ZrjrZKHUm3TYcl6w2NPaUnXe/zoN33Vd&#10;nIMqvmab7QfiMGubk11rPXqZqHcQiYb0H360d0ZDMYX7l/wD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y7ni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TYA+87wAAADb&#10;AAAADwAAAGRycy9kb3ducmV2LnhtbEWPQYvCMBSE7wv+h/AEb2tSQXGr0YMiiIsH6/6AR/NsS5uX&#10;kkSt++s3Cwt7HGbmG2a9HWwnHuRD41hDNlUgiEtnGq40fF0P70sQISIb7ByThhcF2G5Gb2vMjXvy&#10;hR5FrESCcMhRQx1jn0sZyposhqnriZN3c95iTNJX0nh8Jrjt5EyphbTYcFqosaddTWVb3K2GvffX&#10;s+xvxffpc++ySrXzj6HVejLO1ApEpCH+h//aR6NhNoffL+kHyM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2APvO8AAAA&#10;2w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vVKghLwAAADb&#10;AAAADwAAAGRycy9kb3ducmV2LnhtbEWPQYvCMBSE7wv+h/CEva1JBUWr0YMiLMoerP6AR/NsS5uX&#10;kkTt7q83Cwt7HGbmG2a9HWwnHuRD41hDNlEgiEtnGq40XC+HjwWIEJENdo5JwzcF2G5Gb2vMjXvy&#10;mR5FrESCcMhRQx1jn0sZyposhonriZN3c95iTNJX0nh8Jrjt5FSpubTYcFqosaddTWVb3K2GvfeX&#10;L9nfip/jae+ySrWz5dBq/T7O1ApEpCH+h//an0bDdA6/X9IPkJ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1SoIS8AAAA&#10;2w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tCBwD70AAADb&#10;AAAADwAAAGRycy9kb3ducmV2LnhtbEWPT2sCMRTE74V+h/AK3mrigq1sjR6k/qE9VT14fGzebhY3&#10;L0sSdf32plDocZiZ3zDz5eA6caUQW88aJmMFgrjypuVGw/Gwfp2BiAnZYOeZNNwpwnLx/DTH0vgb&#10;/9B1nxqRIRxL1GBT6kspY2XJYRz7njh7tQ8OU5ahkSbgLcNdJwul3qTDlvOCxZ5Wlqrz/uI0fNd1&#10;cQ6q+Jputp+Iw7RtTnal9ehloj5AJBrSf/ivvTMainf4/Z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IHAP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szEw77gAAADb&#10;AAAADwAAAGRycy9kb3ducmV2LnhtbEVPy2oCMRTdF/yHcIVuiiYKyjgaXYgFoSvHdn+ZXCeDk5sx&#10;ic+vbxaFLg/nvdo8XCduFGLrWcNkrEAQ19603Gj4Pn6OChAxIRvsPJOGJ0XYrAdvKyyNv/OBblVq&#10;RA7hWKIGm1JfShlrSw7j2PfEmTv54DBlGBppAt5zuOvkVKm5dNhybrDY09ZSfa6uTsPr9LGf7Szu&#10;qrr4UV/FYnvBUGn9PpyoJYhEj/Qv/nPvjYZpHpu/5B8g17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zEw77gAAADbAAAA&#10;DwAAAAAAAAABACAAAAAiAAAAZHJzL2Rvd25yZXYueG1sUEsBAhQAFAAAAAgAh07iQDMvBZ47AAAA&#10;OQAAABAAAAAAAAAAAQAgAAAABwEAAGRycy9zaGFwZXhtbC54bWxQSwUGAAAAAAYABgBbAQAAsQMA&#10;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Sw69rr4AAADb&#10;AAAADwAAAGRycy9kb3ducmV2LnhtbEWPT4vCMBTE74LfIbwFL7JNFRGtjSK7CB6E9d9hvT2aZ1u3&#10;eSlNtPrtN4LgcZiZ3zDp4m4qcaPGlZYVDKIYBHFmdcm5guNh9TkB4TyyxsoyKXiQg8W820kx0bbl&#10;Hd32PhcBwi5BBYX3dSKlywoy6CJbEwfvbBuDPsgml7rBNsBNJYdxPJYGSw4LBdb0VVD2t78aBe36&#10;W5ZH/5P1893mMJr+LuvLaatU72MQz0B4uvt3+NVeawXDKTy/hB8g5/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69rr4A&#10;AADb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3lvR67cAAADb&#10;AAAADwAAAGRycy9kb3ducmV2LnhtbEVPy4rCMBTdC/MP4Q6407QWRTrGIoUBV8L42F+aO02xuWmT&#10;jI+/N4sBl4fz3lQP24sb+dA5VpDPMxDEjdMdtwrOp+/ZGkSIyBp7x6TgSQGq7cdkg6V2d/6h2zG2&#10;IoVwKFGBiXEopQyNIYth7gbixP06bzEm6FupPd5TuO3lIstW0mLHqcHgQLWh5nr8swp8E2o9FqO5&#10;1OPhwjsc3KpYKjX9zLMvEJEe8S3+d++1giKtT1/SD5Db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eW9HrtwAAANsAAAAP&#10;AAAAAAAAAAEAIAAAACIAAABkcnMvZG93bnJldi54bWxQSwECFAAUAAAACACHTuJAMy8FnjsAAAA5&#10;AAAAEAAAAAAAAAABACAAAAAGAQAAZHJzL3NoYXBleG1sLnhtbFBLBQYAAAAABgAGAFsBAACwAwAA&#10;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sRd0cLsAAADb&#10;AAAADwAAAGRycy9kb3ducmV2LnhtbEWPwWrDMBBE74X+g9hCb43smpjgRgnFUOipUCe5L9bGMrVW&#10;tqTG7t9XgUCOw8y8Ybb7xQ7iQj70jhXkqwwEcet0z52C4+HjZQMiRGSNg2NS8EcB9rvHhy1W2s38&#10;TZcmdiJBOFSowMQ4VlKG1pDFsHIjcfLOzluMSfpOao9zgttBvmZZKS32nBYMjlQban+aX6vAt6HW&#10;UzGZUz19nfgdR1cWa6Wen/LsDUSkJd7Dt/anVlDkcP2SfoDc/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Rd0cL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QcXqB7kAAADb&#10;AAAADwAAAGRycy9kb3ducmV2LnhtbEWPW4vCMBSE3wX/QziCb5pqUaQaZSkI+yR4ez80x6Zsc9Im&#10;8bL/3iws+DjMzDfMZveyrXiQD41jBbNpBoK4crrhWsHlvJ+sQISIrLF1TAp+KcBuOxxssNDuyUd6&#10;nGItEoRDgQpMjF0hZagMWQxT1xEn7+a8xZikr6X2+Exw28p5li2lxYbTgsGOSkPVz+luFfgqlLrP&#10;e3Mt+8OVv7Bzy3yh1Hg0y9YgIr3iJ/zf/tYK8jn8fUk/QG7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HF6ge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uzfikr0AAADb&#10;AAAADwAAAGRycy9kb3ducmV2LnhtbEWPQWvCQBSE74L/YXkFb7qxKUVTV8Gi1ksRY6HXZ/aZDWbf&#10;huwa7b/vCoLHYWa+YWaLm61FR62vHCsYjxIQxIXTFZcKfg7r4QSED8gaa8ek4I88LOb93gwz7a68&#10;py4PpYgQ9hkqMCE0mZS+MGTRj1xDHL2Tay2GKNtS6havEW5r+Zok79JixXHBYEOfhopzfrEKzr4z&#10;y+Pb5muX8vR7kh9Xze9ppdTgZZx8gAh0C8/wo73VCtIU7l/iD5D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N+KSvQAA&#10;ANs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rect id="_x0000_s1026" o:spid="_x0000_s1026" o:spt="1" style="position:absolute;left:19;top:19;height:2258;width:4025;" filled="f" stroked="f" coordsize="21600,21600" o:gfxdata="UEsDBAoAAAAAAIdO4kAAAAAAAAAAAAAAAAAEAAAAZHJzL1BLAwQUAAAACACHTuJAGUH7bL4AAADb&#10;AAAADwAAAGRycy9kb3ducmV2LnhtbEWPT4vCMBTE74LfITzBm6bqIrUaRdxd9Lj+AfX2aJ5tsXkp&#10;Tda6fnqzIHgcZuY3zGxxN6W4Ue0KywoG/QgEcWp1wZmCw/67F4NwHlljaZkU/JGDxbzdmmGibcNb&#10;uu18JgKEXYIKcu+rREqX5mTQ9W1FHLyLrQ36IOtM6hqbADelHEbRWBosOCzkWNEqp/S6+zUK1nG1&#10;PG3so8nKr/P6+HOcfO4nXqluZxBNQXi6+3f41d5oBaMP+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UH7b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312A250">
                        <w:pPr>
                          <w:pStyle w:val="8"/>
                          <w:numPr>
                            <w:ilvl w:val="0"/>
                            <w:numId w:val="0"/>
                          </w:numPr>
                          <w:kinsoku w:val="0"/>
                          <w:overflowPunct w:val="0"/>
                          <w:spacing w:before="13"/>
                          <w:ind w:leftChars="0" w:right="0"/>
                          <w:rPr>
                            <w:rFonts w:hint="eastAsia"/>
                            <w:sz w:val="28"/>
                            <w:szCs w:val="28"/>
                          </w:rPr>
                        </w:pPr>
                      </w:p>
                      <w:p w14:paraId="1E0CC7A2">
                        <w:pPr>
                          <w:pStyle w:val="8"/>
                          <w:numPr>
                            <w:ilvl w:val="0"/>
                            <w:numId w:val="0"/>
                          </w:numPr>
                          <w:kinsoku w:val="0"/>
                          <w:overflowPunct w:val="0"/>
                          <w:ind w:right="0"/>
                          <w:jc w:val="center"/>
                        </w:pPr>
                        <w:r>
                          <w:rPr>
                            <w:rFonts w:hint="eastAsia"/>
                          </w:rPr>
                          <w:t>法定代表人身份证复印件（正面）</w:t>
                        </w:r>
                      </w:p>
                    </w:txbxContent>
                  </v:textbox>
                </v:rect>
                <v:rect id="_x0000_s1026" o:spid="_x0000_s1026" o:spt="1" style="position:absolute;left:4044;top:19;height:2258;width:4025;" filled="f" stroked="f" coordsize="21600,21600" o:gfxdata="UEsDBAoAAAAAAIdO4kAAAAAAAAAAAAAAAAAEAAAAZHJzL1BLAwQUAAAACACHTuJAdg1e974AAADb&#10;AAAADwAAAGRycy9kb3ducmV2LnhtbEWPT4vCMBTE74LfITzBm6YqK7UaRdxd9Lj+AfX2aJ5tsXkp&#10;Tda6fnqzIHgcZuY3zGxxN6W4Ue0KywoG/QgEcWp1wZmCw/67F4NwHlljaZkU/JGDxbzdmmGibcNb&#10;uu18JgKEXYIKcu+rREqX5mTQ9W1FHLyLrQ36IOtM6hqbADelHEbRWBosOCzkWNEqp/S6+zUK1nG1&#10;PG3so8nKr/P6+HOcfO4nXqluZxBNQXi6+3f41d5oBaMP+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g1e9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4B9BC6C">
                        <w:pPr>
                          <w:pStyle w:val="8"/>
                          <w:numPr>
                            <w:ilvl w:val="0"/>
                            <w:numId w:val="0"/>
                          </w:numPr>
                          <w:kinsoku w:val="0"/>
                          <w:overflowPunct w:val="0"/>
                          <w:spacing w:before="13"/>
                          <w:ind w:leftChars="0" w:right="0"/>
                          <w:rPr>
                            <w:rFonts w:hint="eastAsia"/>
                            <w:sz w:val="28"/>
                            <w:szCs w:val="28"/>
                          </w:rPr>
                        </w:pPr>
                      </w:p>
                      <w:p w14:paraId="501ECF8B">
                        <w:pPr>
                          <w:pStyle w:val="8"/>
                          <w:numPr>
                            <w:ilvl w:val="0"/>
                            <w:numId w:val="0"/>
                          </w:numPr>
                          <w:kinsoku w:val="0"/>
                          <w:overflowPunct w:val="0"/>
                          <w:ind w:right="0"/>
                        </w:pPr>
                        <w:r>
                          <w:rPr>
                            <w:rFonts w:hint="eastAsia"/>
                          </w:rPr>
                          <w:t>法定代表人身份证复印件（反面）</w:t>
                        </w:r>
                      </w:p>
                    </w:txbxContent>
                  </v:textbox>
                </v:rect>
                <w10:wrap type="none"/>
                <w10:anchorlock/>
              </v:group>
            </w:pict>
          </mc:Fallback>
        </mc:AlternateContent>
      </w:r>
    </w:p>
    <w:p w14:paraId="168354DC">
      <w:pPr>
        <w:wordWrap w:val="0"/>
        <w:spacing w:line="420" w:lineRule="exact"/>
        <w:ind w:firstLine="426" w:firstLineChars="200"/>
        <w:jc w:val="right"/>
        <w:rPr>
          <w:rFonts w:ascii="仿宋" w:hAnsi="仿宋" w:eastAsia="仿宋" w:cs="仿宋"/>
          <w:color w:val="auto"/>
          <w:highlight w:val="none"/>
        </w:rPr>
      </w:pPr>
    </w:p>
    <w:p w14:paraId="6BEFF3AC">
      <w:pPr>
        <w:pStyle w:val="39"/>
        <w:wordWrap/>
        <w:rPr>
          <w:rFonts w:ascii="仿宋" w:hAnsi="仿宋" w:eastAsia="仿宋" w:cs="仿宋"/>
          <w:color w:val="auto"/>
          <w:highlight w:val="none"/>
        </w:rPr>
      </w:pPr>
    </w:p>
    <w:p w14:paraId="0D44DA77">
      <w:pPr>
        <w:pStyle w:val="39"/>
        <w:wordWrap/>
        <w:rPr>
          <w:rFonts w:ascii="仿宋" w:hAnsi="仿宋" w:eastAsia="仿宋" w:cs="仿宋"/>
          <w:color w:val="auto"/>
          <w:highlight w:val="none"/>
        </w:rPr>
      </w:pPr>
    </w:p>
    <w:p w14:paraId="5D4CD6DA">
      <w:pPr>
        <w:pStyle w:val="39"/>
        <w:wordWrap/>
        <w:rPr>
          <w:rFonts w:ascii="仿宋" w:hAnsi="仿宋" w:eastAsia="仿宋" w:cs="仿宋"/>
          <w:color w:val="auto"/>
          <w:highlight w:val="none"/>
        </w:rPr>
      </w:pPr>
    </w:p>
    <w:p w14:paraId="63DA64E2">
      <w:pPr>
        <w:pStyle w:val="39"/>
        <w:wordWrap/>
        <w:rPr>
          <w:rFonts w:ascii="仿宋" w:hAnsi="仿宋" w:eastAsia="仿宋" w:cs="仿宋"/>
          <w:color w:val="auto"/>
          <w:highlight w:val="none"/>
        </w:rPr>
      </w:pPr>
    </w:p>
    <w:p w14:paraId="21BBE030">
      <w:pPr>
        <w:spacing w:line="420" w:lineRule="exact"/>
        <w:ind w:firstLine="426" w:firstLineChars="200"/>
        <w:jc w:val="right"/>
        <w:rPr>
          <w:rFonts w:ascii="仿宋" w:hAnsi="仿宋" w:eastAsia="仿宋" w:cs="仿宋"/>
          <w:color w:val="auto"/>
          <w:highlight w:val="none"/>
        </w:rPr>
      </w:pPr>
    </w:p>
    <w:p w14:paraId="1F06BA02">
      <w:pPr>
        <w:spacing w:line="420" w:lineRule="exact"/>
        <w:ind w:firstLine="426" w:firstLineChars="200"/>
        <w:jc w:val="right"/>
        <w:rPr>
          <w:rFonts w:ascii="仿宋" w:hAnsi="仿宋" w:eastAsia="仿宋" w:cs="仿宋"/>
          <w:color w:val="auto"/>
          <w:highlight w:val="none"/>
        </w:rPr>
      </w:pPr>
      <w:r>
        <w:rPr>
          <w:rFonts w:hint="eastAsia" w:ascii="仿宋" w:hAnsi="仿宋" w:eastAsia="仿宋" w:cs="仿宋"/>
          <w:color w:val="auto"/>
          <w:highlight w:val="none"/>
        </w:rPr>
        <w:t>投标人：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（公章）</w:t>
      </w:r>
    </w:p>
    <w:p w14:paraId="444FD68F">
      <w:pPr>
        <w:pStyle w:val="2"/>
        <w:ind w:firstLine="5103" w:firstLineChars="2100"/>
        <w:rPr>
          <w:rFonts w:ascii="仿宋" w:hAnsi="仿宋" w:eastAsia="仿宋" w:cs="仿宋"/>
          <w:b w:val="0"/>
          <w:bCs w:val="0"/>
          <w:color w:val="auto"/>
          <w:sz w:val="24"/>
          <w:szCs w:val="24"/>
          <w:highlight w:val="none"/>
          <w:u w:val="single"/>
          <w:lang w:eastAsia="zh-CN"/>
        </w:rPr>
      </w:pPr>
      <w:r>
        <w:rPr>
          <w:rFonts w:hint="eastAsia" w:ascii="仿宋" w:hAnsi="仿宋" w:eastAsia="仿宋" w:cs="仿宋"/>
          <w:b w:val="0"/>
          <w:bCs w:val="0"/>
          <w:color w:val="auto"/>
          <w:sz w:val="24"/>
          <w:szCs w:val="24"/>
          <w:highlight w:val="none"/>
        </w:rPr>
        <w:t>法定代表人（</w:t>
      </w:r>
      <w:r>
        <w:rPr>
          <w:rFonts w:hint="eastAsia" w:ascii="仿宋" w:hAnsi="仿宋" w:eastAsia="仿宋" w:cs="仿宋"/>
          <w:b w:val="0"/>
          <w:bCs w:val="0"/>
          <w:color w:val="auto"/>
          <w:sz w:val="24"/>
          <w:szCs w:val="24"/>
          <w:highlight w:val="none"/>
          <w:lang w:eastAsia="zh-CN"/>
        </w:rPr>
        <w:t>签章</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eastAsia="zh-CN"/>
        </w:rPr>
        <w:t xml:space="preserve"> </w:t>
      </w:r>
      <w:r>
        <w:rPr>
          <w:rFonts w:hint="eastAsia" w:ascii="仿宋" w:hAnsi="仿宋" w:eastAsia="仿宋" w:cs="仿宋"/>
          <w:b w:val="0"/>
          <w:bCs w:val="0"/>
          <w:color w:val="auto"/>
          <w:sz w:val="24"/>
          <w:szCs w:val="24"/>
          <w:highlight w:val="none"/>
          <w:u w:val="single"/>
          <w:lang w:eastAsia="zh-CN"/>
        </w:rPr>
        <w:t xml:space="preserve">         </w:t>
      </w:r>
    </w:p>
    <w:p w14:paraId="32268792">
      <w:pPr>
        <w:wordWrap w:val="0"/>
        <w:spacing w:line="420" w:lineRule="exact"/>
        <w:ind w:right="480" w:firstLine="426" w:firstLineChars="200"/>
        <w:jc w:val="center"/>
        <w:rPr>
          <w:rFonts w:ascii="仿宋" w:hAnsi="仿宋" w:eastAsia="仿宋" w:cs="仿宋"/>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日 </w:t>
      </w:r>
    </w:p>
    <w:p w14:paraId="79D51C5B">
      <w:pPr>
        <w:pStyle w:val="8"/>
        <w:numPr>
          <w:ilvl w:val="0"/>
          <w:numId w:val="0"/>
        </w:numPr>
        <w:kinsoku w:val="0"/>
        <w:overflowPunct w:val="0"/>
        <w:spacing w:before="34" w:line="357" w:lineRule="auto"/>
        <w:ind w:left="480" w:right="126"/>
        <w:jc w:val="center"/>
        <w:rPr>
          <w:rFonts w:ascii="仿宋" w:hAnsi="仿宋" w:eastAsia="仿宋" w:cs="仿宋"/>
          <w:b/>
          <w:bCs/>
          <w:color w:val="auto"/>
          <w:szCs w:val="21"/>
          <w:highlight w:val="none"/>
        </w:rPr>
      </w:pPr>
      <w:r>
        <w:rPr>
          <w:rFonts w:hint="eastAsia" w:ascii="仿宋" w:hAnsi="仿宋" w:eastAsia="仿宋" w:cs="仿宋"/>
          <w:color w:val="auto"/>
          <w:highlight w:val="none"/>
        </w:rPr>
        <w:br w:type="page"/>
      </w:r>
      <w:r>
        <w:rPr>
          <w:rFonts w:hint="eastAsia" w:ascii="仿宋" w:hAnsi="仿宋" w:eastAsia="仿宋" w:cs="仿宋"/>
          <w:b/>
          <w:bCs/>
          <w:color w:val="auto"/>
          <w:sz w:val="36"/>
          <w:szCs w:val="36"/>
          <w:highlight w:val="none"/>
        </w:rPr>
        <w:t>三、授权委托书</w:t>
      </w:r>
    </w:p>
    <w:p w14:paraId="0513A2A7">
      <w:pPr>
        <w:spacing w:line="420" w:lineRule="exact"/>
        <w:rPr>
          <w:rFonts w:ascii="仿宋" w:hAnsi="仿宋" w:eastAsia="仿宋" w:cs="仿宋"/>
          <w:color w:val="auto"/>
          <w:highlight w:val="none"/>
        </w:rPr>
      </w:pPr>
      <w:r>
        <w:rPr>
          <w:rFonts w:hint="eastAsia" w:ascii="仿宋" w:hAnsi="仿宋" w:eastAsia="仿宋" w:cs="仿宋"/>
          <w:color w:val="auto"/>
          <w:highlight w:val="none"/>
        </w:rPr>
        <w:t xml:space="preserve">致：采购人名称 </w:t>
      </w:r>
    </w:p>
    <w:p w14:paraId="73BC5A67">
      <w:pPr>
        <w:spacing w:line="42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本授权书声明：注册于</w:t>
      </w:r>
      <w:r>
        <w:rPr>
          <w:rFonts w:hint="eastAsia" w:ascii="仿宋" w:hAnsi="仿宋" w:eastAsia="仿宋" w:cs="仿宋"/>
          <w:color w:val="auto"/>
          <w:highlight w:val="none"/>
          <w:u w:val="single"/>
        </w:rPr>
        <w:t>（投标人地址）</w:t>
      </w:r>
      <w:r>
        <w:rPr>
          <w:rFonts w:hint="eastAsia" w:ascii="仿宋" w:hAnsi="仿宋" w:eastAsia="仿宋" w:cs="仿宋"/>
          <w:color w:val="auto"/>
          <w:highlight w:val="none"/>
        </w:rPr>
        <w:t>的</w:t>
      </w:r>
      <w:r>
        <w:rPr>
          <w:rFonts w:hint="eastAsia" w:ascii="仿宋" w:hAnsi="仿宋" w:eastAsia="仿宋" w:cs="仿宋"/>
          <w:color w:val="auto"/>
          <w:highlight w:val="none"/>
          <w:u w:val="single"/>
        </w:rPr>
        <w:t>（投标人名称）</w:t>
      </w:r>
      <w:r>
        <w:rPr>
          <w:rFonts w:hint="eastAsia" w:ascii="仿宋" w:hAnsi="仿宋" w:eastAsia="仿宋" w:cs="仿宋"/>
          <w:color w:val="auto"/>
          <w:highlight w:val="none"/>
        </w:rPr>
        <w:t>法定代表人（负责人）</w:t>
      </w:r>
      <w:r>
        <w:rPr>
          <w:rFonts w:hint="eastAsia" w:ascii="仿宋" w:hAnsi="仿宋" w:eastAsia="仿宋" w:cs="仿宋"/>
          <w:color w:val="auto"/>
          <w:highlight w:val="none"/>
          <w:u w:val="single"/>
        </w:rPr>
        <w:t>姓名、职务或职称）</w:t>
      </w:r>
      <w:r>
        <w:rPr>
          <w:rFonts w:hint="eastAsia" w:ascii="仿宋" w:hAnsi="仿宋" w:eastAsia="仿宋" w:cs="仿宋"/>
          <w:color w:val="auto"/>
          <w:highlight w:val="none"/>
        </w:rPr>
        <w:t>代表本公司授权</w:t>
      </w:r>
      <w:r>
        <w:rPr>
          <w:rFonts w:hint="eastAsia" w:ascii="仿宋" w:hAnsi="仿宋" w:eastAsia="仿宋" w:cs="仿宋"/>
          <w:color w:val="auto"/>
          <w:highlight w:val="none"/>
          <w:u w:val="single"/>
        </w:rPr>
        <w:t>（姓名）</w:t>
      </w:r>
      <w:r>
        <w:rPr>
          <w:rFonts w:hint="eastAsia" w:ascii="仿宋" w:hAnsi="仿宋" w:eastAsia="仿宋" w:cs="仿宋"/>
          <w:color w:val="auto"/>
          <w:highlight w:val="none"/>
        </w:rPr>
        <w:t>为本单位的合法代理人，参与贵方组织的</w:t>
      </w:r>
      <w:r>
        <w:rPr>
          <w:rFonts w:hint="eastAsia" w:ascii="仿宋" w:hAnsi="仿宋" w:eastAsia="仿宋" w:cs="仿宋"/>
          <w:color w:val="auto"/>
          <w:highlight w:val="none"/>
          <w:u w:val="single"/>
        </w:rPr>
        <w:t>（项目名称及项目编号）</w:t>
      </w:r>
      <w:r>
        <w:rPr>
          <w:rFonts w:hint="eastAsia" w:ascii="仿宋" w:hAnsi="仿宋" w:eastAsia="仿宋" w:cs="仿宋"/>
          <w:color w:val="auto"/>
          <w:highlight w:val="none"/>
        </w:rPr>
        <w:t xml:space="preserve"> 的投标、谈判、签约等具体工作，并签署全部有关文件、协议及合同。</w:t>
      </w:r>
    </w:p>
    <w:p w14:paraId="34938BD6">
      <w:pPr>
        <w:adjustRightInd w:val="0"/>
        <w:snapToGrid w:val="0"/>
        <w:spacing w:line="420" w:lineRule="exact"/>
        <w:ind w:firstLine="426" w:firstLineChars="200"/>
        <w:rPr>
          <w:rFonts w:ascii="仿宋" w:hAnsi="仿宋" w:eastAsia="仿宋" w:cs="仿宋"/>
          <w:color w:val="auto"/>
          <w:highlight w:val="none"/>
        </w:rPr>
      </w:pPr>
      <w:r>
        <w:rPr>
          <w:rFonts w:hint="eastAsia" w:ascii="仿宋" w:hAnsi="仿宋" w:eastAsia="仿宋" w:cs="仿宋"/>
          <w:color w:val="auto"/>
          <w:highlight w:val="none"/>
        </w:rPr>
        <w:t>我单位对被授权人的上述经济活动负全部责任。在撤销授权的书面通知前，本授权书一直有效。被授权人在授权书有效期内签署的所有文件不因授权的撤消而失效。</w:t>
      </w:r>
    </w:p>
    <w:p w14:paraId="36A3D683">
      <w:pPr>
        <w:pStyle w:val="8"/>
        <w:kinsoku w:val="0"/>
        <w:overflowPunct w:val="0"/>
        <w:adjustRightInd w:val="0"/>
        <w:snapToGrid w:val="0"/>
        <w:spacing w:before="12"/>
        <w:rPr>
          <w:rFonts w:ascii="仿宋" w:hAnsi="仿宋" w:eastAsia="仿宋" w:cs="仿宋"/>
          <w:color w:val="auto"/>
          <w:sz w:val="4"/>
          <w:szCs w:val="4"/>
          <w:highlight w:val="none"/>
        </w:rPr>
      </w:pPr>
    </w:p>
    <w:p w14:paraId="3FBACAB2">
      <w:pPr>
        <w:pStyle w:val="8"/>
        <w:numPr>
          <w:ilvl w:val="0"/>
          <w:numId w:val="0"/>
        </w:numPr>
        <w:kinsoku w:val="0"/>
        <w:overflowPunct w:val="0"/>
        <w:adjustRightInd w:val="0"/>
        <w:snapToGrid w:val="0"/>
        <w:spacing w:line="200" w:lineRule="atLeast"/>
        <w:ind w:right="1693" w:rightChars="795"/>
        <w:jc w:val="center"/>
        <w:rPr>
          <w:rFonts w:ascii="仿宋" w:hAnsi="仿宋" w:eastAsia="仿宋" w:cs="仿宋"/>
          <w:color w:val="auto"/>
          <w:sz w:val="18"/>
          <w:szCs w:val="20"/>
          <w:highlight w:val="none"/>
        </w:rPr>
      </w:pPr>
    </w:p>
    <w:p w14:paraId="39419407">
      <w:pPr>
        <w:pStyle w:val="8"/>
        <w:numPr>
          <w:ilvl w:val="0"/>
          <w:numId w:val="0"/>
        </w:numPr>
        <w:kinsoku w:val="0"/>
        <w:overflowPunct w:val="0"/>
        <w:adjustRightInd w:val="0"/>
        <w:snapToGrid w:val="0"/>
        <w:spacing w:line="200" w:lineRule="atLeast"/>
        <w:ind w:right="1693" w:rightChars="795"/>
        <w:jc w:val="center"/>
        <w:rPr>
          <w:rFonts w:hint="eastAsia" w:ascii="仿宋" w:hAnsi="仿宋" w:eastAsia="仿宋" w:cs="仿宋"/>
          <w:color w:val="auto"/>
          <w:sz w:val="18"/>
          <w:szCs w:val="20"/>
          <w:highlight w:val="none"/>
        </w:rPr>
      </w:pPr>
      <w:r>
        <w:rPr>
          <w:rFonts w:hint="eastAsia" w:ascii="仿宋" w:hAnsi="仿宋" w:eastAsia="仿宋" w:cs="仿宋"/>
          <w:color w:val="auto"/>
          <w:spacing w:val="0"/>
          <w:w w:val="100"/>
          <w:position w:val="0"/>
          <w:sz w:val="18"/>
          <w:szCs w:val="20"/>
          <w:highlight w:val="none"/>
          <w:shd w:val="clear" w:color="auto" w:fill="auto"/>
          <w:lang w:val="en-US" w:eastAsia="en-US" w:bidi="en-US"/>
        </w:rPr>
        <mc:AlternateContent>
          <mc:Choice Requires="wpg">
            <w:drawing>
              <wp:inline distT="0" distB="0" distL="114300" distR="114300">
                <wp:extent cx="5136515" cy="1458595"/>
                <wp:effectExtent l="1905" t="1905" r="5080" b="6350"/>
                <wp:docPr id="23" name="组合 23"/>
                <wp:cNvGraphicFramePr/>
                <a:graphic xmlns:a="http://schemas.openxmlformats.org/drawingml/2006/main">
                  <a:graphicData uri="http://schemas.microsoft.com/office/word/2010/wordprocessingGroup">
                    <wpg:wgp>
                      <wpg:cNvGrpSpPr/>
                      <wpg:grpSpPr>
                        <a:xfrm>
                          <a:off x="0" y="0"/>
                          <a:ext cx="5136515" cy="1458595"/>
                          <a:chOff x="4" y="4"/>
                          <a:chExt cx="8094" cy="2302"/>
                        </a:xfrm>
                      </wpg:grpSpPr>
                      <wps:wsp>
                        <wps:cNvPr id="11" name="任意多边形 11"/>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2" name="任意多边形 12"/>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3" name="任意多边形 13"/>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4" name="任意多边形 14"/>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5" name="任意多边形 15"/>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16" name="任意多边形 16"/>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17" name="任意多边形 17"/>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8" name="任意多边形 18"/>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9" name="任意多边形 19"/>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0" name="任意多边形 20"/>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21" name="矩形 21"/>
                        <wps:cNvSpPr/>
                        <wps:spPr>
                          <a:xfrm>
                            <a:off x="19" y="19"/>
                            <a:ext cx="4025" cy="2258"/>
                          </a:xfrm>
                          <a:prstGeom prst="rect">
                            <a:avLst/>
                          </a:prstGeom>
                          <a:noFill/>
                          <a:ln>
                            <a:noFill/>
                          </a:ln>
                        </wps:spPr>
                        <wps:txbx>
                          <w:txbxContent>
                            <w:p w14:paraId="481F407A">
                              <w:pPr>
                                <w:pStyle w:val="8"/>
                                <w:numPr>
                                  <w:ilvl w:val="0"/>
                                  <w:numId w:val="0"/>
                                </w:numPr>
                                <w:kinsoku w:val="0"/>
                                <w:overflowPunct w:val="0"/>
                                <w:spacing w:before="12"/>
                                <w:ind w:leftChars="0" w:right="0"/>
                                <w:rPr>
                                  <w:rFonts w:hint="eastAsia"/>
                                  <w:sz w:val="28"/>
                                  <w:szCs w:val="28"/>
                                </w:rPr>
                              </w:pPr>
                            </w:p>
                            <w:p w14:paraId="0D7B52DA">
                              <w:pPr>
                                <w:pStyle w:val="8"/>
                                <w:numPr>
                                  <w:ilvl w:val="0"/>
                                  <w:numId w:val="0"/>
                                </w:numPr>
                                <w:kinsoku w:val="0"/>
                                <w:overflowPunct w:val="0"/>
                                <w:ind w:right="0"/>
                                <w:jc w:val="center"/>
                                <w:rPr>
                                  <w:rFonts w:hint="eastAsia"/>
                                </w:rPr>
                              </w:pPr>
                            </w:p>
                            <w:p w14:paraId="7E575C16">
                              <w:pPr>
                                <w:pStyle w:val="8"/>
                                <w:numPr>
                                  <w:ilvl w:val="0"/>
                                  <w:numId w:val="0"/>
                                </w:numPr>
                                <w:kinsoku w:val="0"/>
                                <w:overflowPunct w:val="0"/>
                                <w:ind w:right="0"/>
                                <w:jc w:val="center"/>
                              </w:pPr>
                              <w:r>
                                <w:rPr>
                                  <w:rFonts w:hint="eastAsia"/>
                                </w:rPr>
                                <w:t>授权人身份证复印件（正面）</w:t>
                              </w:r>
                            </w:p>
                          </w:txbxContent>
                        </wps:txbx>
                        <wps:bodyPr lIns="0" tIns="0" rIns="0" bIns="0" upright="1"/>
                      </wps:wsp>
                      <wps:wsp>
                        <wps:cNvPr id="22" name="矩形 22"/>
                        <wps:cNvSpPr/>
                        <wps:spPr>
                          <a:xfrm>
                            <a:off x="4044" y="19"/>
                            <a:ext cx="4025" cy="2258"/>
                          </a:xfrm>
                          <a:prstGeom prst="rect">
                            <a:avLst/>
                          </a:prstGeom>
                          <a:noFill/>
                          <a:ln>
                            <a:noFill/>
                          </a:ln>
                        </wps:spPr>
                        <wps:txbx>
                          <w:txbxContent>
                            <w:p w14:paraId="6839992A">
                              <w:pPr>
                                <w:pStyle w:val="8"/>
                                <w:numPr>
                                  <w:ilvl w:val="0"/>
                                  <w:numId w:val="0"/>
                                </w:numPr>
                                <w:kinsoku w:val="0"/>
                                <w:overflowPunct w:val="0"/>
                                <w:ind w:right="0"/>
                                <w:rPr>
                                  <w:rFonts w:hint="eastAsia"/>
                                </w:rPr>
                              </w:pPr>
                            </w:p>
                            <w:p w14:paraId="3D38370F">
                              <w:pPr>
                                <w:pStyle w:val="8"/>
                                <w:numPr>
                                  <w:ilvl w:val="0"/>
                                  <w:numId w:val="0"/>
                                </w:numPr>
                                <w:kinsoku w:val="0"/>
                                <w:overflowPunct w:val="0"/>
                                <w:ind w:right="0"/>
                                <w:rPr>
                                  <w:rFonts w:hint="eastAsia"/>
                                </w:rPr>
                              </w:pPr>
                            </w:p>
                            <w:p w14:paraId="2A66E89B">
                              <w:pPr>
                                <w:pStyle w:val="8"/>
                                <w:numPr>
                                  <w:ilvl w:val="0"/>
                                  <w:numId w:val="0"/>
                                </w:numPr>
                                <w:kinsoku w:val="0"/>
                                <w:overflowPunct w:val="0"/>
                                <w:ind w:right="0"/>
                              </w:pPr>
                              <w:r>
                                <w:rPr>
                                  <w:rFonts w:hint="eastAsia"/>
                                </w:rPr>
                                <w:t>授权人身份证复印件（反面）</w:t>
                              </w:r>
                            </w:p>
                          </w:txbxContent>
                        </wps:txbx>
                        <wps:bodyPr lIns="0" tIns="0" rIns="0" bIns="0" upright="1"/>
                      </wps:wsp>
                    </wpg:wgp>
                  </a:graphicData>
                </a:graphic>
              </wp:inline>
            </w:drawing>
          </mc:Choice>
          <mc:Fallback>
            <w:pict>
              <v:group id="_x0000_s1026" o:spid="_x0000_s1026" o:spt="203" style="height:114.85pt;width:404.45pt;" coordorigin="4,4" coordsize="8094,2302"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ABHLKmBBAAA4iAAAA4AAABkcnMvZTJvRG9jLnhtbO1azY7b&#10;NhC+F+g7ELp3Lcuy1zbWm0M3WRQo2gBJH4CWqB9AEgmS/tl7Dr21514KFL3kEYJF+zTdpo/RmdGP&#10;d+2osWO4NQrtwR6RFIcz/Dj+hrNXz9Z5xpZCm1QWM6d/4TpMFIEM0yKeOd+9fvHF2GHG8iLkmSzE&#10;zLkTxnl2/flnVys1FZ5MZBYKzWCSwkxXauYk1qppr2eCROTcXEglCuiMpM65hUcd90LNVzB7nvU8&#10;1x31VlKHSstAGAOtN2WnU82o95lQRlEaiBsZLHJR2HJWLTJuwSSTpMo417TaKBKB/TaKjLAsmzlg&#10;qaVPUALyHD9711d8GmuukjSolsD3WcKWTTlPC1DaTHXDLWcLne5MlaeBlkZG9iKQea80hDwCVvTd&#10;Ld/carlQZEs8XcWqcTps1JbXP3na4JvlS83ScOZ4A4cVPIcdf3//5uHH7xk0gHdWKp7CoFutXqmX&#10;umqIyyc0eB3pHL/BFLYmv941fhVrywJoHPYHo2F/6LAA+vr+cDycDEvPBwlsD77nOwz6/Lr1efXm&#10;2J1AD77mDVwPe3u1yh6urFnISgEazcZF5jgXvUq4EuR5g9ZXLur3axf9cX//55sfHn796a/f3z38&#10;9guDHnINjW4cZaYGfPYBL5XWTkpray+N3ctJZSvhsrGUT4OFsbdCkqP58mtjQRlgLawlntRSsC5q&#10;UXGLzTgSRbaaOaWKBLzpElpzuRSvJY2wW7sH2je9WfF4FMwCMaLeZhhYdoOAemiLGt3Q+HjxhXyR&#10;ZhmtPitwRSN3MgKjOQSSCA4wiLkCMJoipgUamaUhvoJrNDqef5lptuR4mOmvQsSTYUobe8NNUo6j&#10;rtLRieDh8yJk9k4ByguIbg4uIRehwzIBwRAlWpvlabbPSLIdDEb0lVuN0lyGd4CYhdJpnEDEIWzQ&#10;GEAonqh/A6peK1TpGOEiANgfh6pXYtUbb4PVh8NAB/N0YEUVx4PVh1jfgZWOZVacJ1ibn56duFr9&#10;Bh0IVm902cG1i60Q5E5CAyAklkxpB65EYPaOrVVo9cajbbR2TKBjAphNHcTrW0gr8O4WtBIJ3xut&#10;QE43FL0mrUAkSxbgjSnkAiOqM4LHvO8Y0ooqkAWgBqSBG1qqDiCtJQmASeisEXFDTgtCR1oRAmdB&#10;WiEVaIEq7dreUAW2ilgF7kp0fhesPuVepwQraDgerD6x7g6sZ5lhXbaClSLh3mD13UFFBFrhOjg5&#10;XEHD8XAddHDFy5DzzLEgJLbEVtq1A+A6hHTtH6NrB9fu/mrvS+4W1gpsswWuFAv3huvYHZbEdUBX&#10;CXy6SwY6uHZwPRKumKN8GK7QAxz0ALhWd+v9VjIAA2DGU3JX0HA8Gbis88GuOgDp1XlVB7ymkPX+&#10;57dYv4KGQ1DaL0MqfD3Jr3zXq4p8njfcRimWZbCGxVCYORpKs4Sy+moAM/FqCILvSaXoSQOlQzsc&#10;y67n68qEKpXNvirg+g8Opq0FXQvzWvhPazReU6Opd+Gw0ozv+mXi8P/dByryQumb4l1Vpsfa+uNn&#10;gsLmXxOu/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wBgAAW0NvbnRlbnRfVHlwZXNdLnhtbFBLAQIUAAoAAAAAAIdO4kAAAAAAAAAAAAAAAAAG&#10;AAAAAAAAAAAAEAAAANIFAABfcmVscy9QSwECFAAUAAAACACHTuJAihRmPNEAAACUAQAACwAAAAAA&#10;AAABACAAAAD2BQAAX3JlbHMvLnJlbHNQSwECFAAKAAAAAACHTuJAAAAAAAAAAAAAAAAABAAAAAAA&#10;AAAAABAAAAAAAAAAZHJzL1BLAQIUABQAAAAIAIdO4kCX+X3P1gAAAAUBAAAPAAAAAAAAAAEAIAAA&#10;ACIAAABkcnMvZG93bnJldi54bWxQSwECFAAUAAAACACHTuJAAEcsqYEEAADiIAAADgAAAAAAAAAB&#10;ACAAAAAlAQAAZHJzL2Uyb0RvYy54bWxQSwUGAAAAAAYABgBZAQAAGAgAAAAA&#10;">
                <o:lock v:ext="edit" aspectratio="f"/>
                <v:shape id="_x0000_s1026" o:spid="_x0000_s1026" o:spt="100" style="position:absolute;left:4;top:9;height:20;width:8079;" filled="f" stroked="t" coordsize="8079,20" o:gfxdata="UEsDBAoAAAAAAIdO4kAAAAAAAAAAAAAAAAAEAAAAZHJzL1BLAwQUAAAACACHTuJAmumHXboAAADb&#10;AAAADwAAAGRycy9kb3ducmV2LnhtbEVPTWsCMRC9F/wPYYTearILimyNHqStpZ7UHnocNrObxc1k&#10;SaJu/31TELzN433OajO6XlwpxM6zhmKmQBDX3nTcavg+vb8sQcSEbLD3TBp+KcJmPXlaYWX8jQ90&#10;PaZW5BCOFWqwKQ2VlLG25DDO/ECcucYHhynD0EoT8JbDXS9LpRbSYce5weJAW0v1+XhxGvZNU56D&#10;Kr/mH7s3xHHetT92q/XztFCvIBKN6SG+uz9Nnl/A/y/5AL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6Ydd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DAVsOroAAADb&#10;AAAADwAAAGRycy9kb3ducmV2LnhtbEVPzYrCMBC+L/gOYQRva1LBZa1GD4ogLnvY6gMMzdiWNpOS&#10;RK0+vVlY2Nt8fL+z2gy2EzfyoXGsIZsqEMSlMw1XGs6n/fsniBCRDXaOScODAmzWo7cV5sbd+Ydu&#10;RaxECuGQo4Y6xj6XMpQ1WQxT1xMn7uK8xZigr6TxeE/htpMzpT6kxYZTQ409bWsq2+JqNey8P33L&#10;/lI8j187l1WqnS+GVuvJOFNLEJGG+C/+cx9Mmj+D31/SA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BWw6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Y0nJoboAAADb&#10;AAAADwAAAGRycy9kb3ducmV2LnhtbEVPzWoCMRC+C75DmEJvmmyLxW6NHhRBFA9d+wDDZtxddjNZ&#10;klRXn94UCt7m4/udxWqwnbiQD41jDdlUgSAunWm40vBz2k7mIEJENtg5Jg03CrBajkcLzI278jdd&#10;iliJFMIhRw11jH0uZShrshimridO3Nl5izFBX0nj8ZrCbSfflPqQFhtODTX2tK6pbItfq2Hj/eko&#10;+3Nx3x82LqtUO/scWq1fXzL1BSLSEJ/if/fOpPnv8PdLOkAu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Scmh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ip4kxboAAADb&#10;AAAADwAAAGRycy9kb3ducmV2LnhtbEVPTWsCMRC9C/0PYQq9aeJSpWyNHqRqaU9uPXgcNrObxc1k&#10;SaJu/31TKPQ2j/c5q83oenGjEDvPGuYzBYK49qbjVsPpazd9ARETssHeM2n4pgib9cNkhaXxdz7S&#10;rUqtyCEcS9RgUxpKKWNtyWGc+YE4c40PDlOGoZUm4D2Hu14WSi2lw45zg8WBtpbqS3V1Gj6bprgE&#10;VXws9oc3xHHRtWe71frpca5eQSQa07/4z/1u8vxn+P0lHyDX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niTF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k1xVzLkAAADb&#10;AAAADwAAAGRycy9kb3ducmV2LnhtbEVPTWsCMRC9C/6HMAUvUhMFy7o1ehALgie3eh8242bpZrIm&#10;qdr+eiMUepvH+5zl+u46caUQW88aphMFgrj2puVGw/Hz47UAEROywc4zafihCOvVcLDE0vgbH+ha&#10;pUbkEI4larAp9aWUsbbkME58T5y5sw8OU4ahkSbgLYe7Ts6UepMOW84NFnvaWKq/qm+n4fc83s23&#10;FrdVXZzUvlhsLhgqrUcvU/UOItE9/Yv/3DuT58/h+Us+QK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NcVcy5AAAA2wAA&#10;AA8AAAAAAAAAAQAgAAAAIgAAAGRycy9kb3ducmV2LnhtbFBLAQIUABQAAAAIAIdO4kAzLwWeOwAA&#10;ADkAAAAQAAAAAAAAAAEAIAAAAAgBAABkcnMvc2hhcGV4bWwueG1sUEsFBgAAAAAGAAYAWwEAALID&#10;A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9P3jYbwAAADb&#10;AAAADwAAAGRycy9kb3ducmV2LnhtbEVPS4vCMBC+L/gfwgheFk2VRbQ2iuwi9LDg+jjobWjGttpM&#10;ShOt/nsjLHibj+85yeJuKnGjxpWWFQwHEQjizOqScwX73ao/AeE8ssbKMil4kIPFvPORYKxtyxu6&#10;bX0uQgi7GBUU3texlC4ryKAb2Jo4cCfbGPQBNrnUDbYh3FRyFEVjabDk0FBgTd8FZZft1Sho0x9Z&#10;7v06+8w3v7uv6WFZn49/SvW6w2gGwtPdv8X/7lSH+WN4/RIOkP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T942G8AAAA&#10;2wAAAA8AAAAAAAAAAQAgAAAAIgAAAGRycy9kb3ducmV2LnhtbFBLAQIUABQAAAAIAIdO4kAzLwWe&#10;OwAAADkAAAAQAAAAAAAAAAEAIAAAAAsBAABkcnMvc2hhcGV4bWwueG1sUEsFBgAAAAAGAAYAWwEA&#10;ALUDA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GgcV/7gAAADb&#10;AAAADwAAAGRycy9kb3ducmV2LnhtbEVPS4vCMBC+C/sfwgh701RFd6lGWQoLexJ89D40Y1NsJm0S&#10;H/vvjSB4m4/vOavN3bbiSj40jhVMxhkI4srphmsFx8Pv6BtEiMgaW8ek4J8CbNYfgxXm2t14R9d9&#10;rEUK4ZCjAhNjl0sZKkMWw9h1xIk7OW8xJuhrqT3eUrht5TTLFtJiw6nBYEeFoeq8v1gFvgqF7me9&#10;KYt+W/IPdm4xmyv1OZxkSxCR7vEtfrn/dJr/Bc9f0gFy/Q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gcV/7gAAADb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a5iBjbsAAADb&#10;AAAADwAAAGRycy9kb3ducmV2LnhtbEWPT2vDMAzF74N+B6PCbqvTlZaS1QkjUNhpsG65i1iLw2I5&#10;sd0/+/bTYdCbxHt676dDffOjulBMQ2AD61UBirgLduDewNfn8WkPKmVki2NgMvBLCepq8XDA0oYr&#10;f9DllHslIZxKNOBynkqtU+fIY1qFiVi07xA9Zlljr23Eq4T7UT8XxU57HFgaHE7UOOp+TmdvIHap&#10;sfNmdm0zv7f8ilPYbbbGPC7XxQuoTLd8N/9fv1nBF1j5RQbQ1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5iBjb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BNQkFrgAAADb&#10;AAAADwAAAGRycy9kb3ducmV2LnhtbEVPS4vCMBC+C/sfwgh701RF2a1GWQoLexJ89D40Y1NsJm0S&#10;H/vvjSB4m4/vOavN3bbiSj40jhVMxhkI4srphmsFx8Pv6AtEiMgaW8ek4J8CbNYfgxXm2t14R9d9&#10;rEUK4ZCjAhNjl0sZKkMWw9h1xIk7OW8xJuhrqT3eUrht5TTLFtJiw6nBYEeFoeq8v1gFvgqF7me9&#10;KYt+W/IPdm4xmyv1OZxkSxCR7vEtfrn/dJr/Dc9f0gFy/Q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NQkFrgAAADb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zjzqOLoAAADb&#10;AAAADwAAAGRycy9kb3ducmV2LnhtbEVPy4rCMBTdD/gP4QruxlQdBq1GQfG1GcQquL0216bY3JQm&#10;VufvzWJglofzni1ethItNb50rGDQT0AQ506XXCg4nzafYxA+IGusHJOCX/KwmHc+Zphq9+QjtVko&#10;RAxhn6ICE0KdSulzQxZ939XEkbu5xmKIsCmkbvAZw20lh0nyLS2WHBsM1rQylN+zh1Vw961ZXr+2&#10;u8OIJz/j7LquL7e1Ur3uIJmCCPQK/+I/914rGMb18Uv8AXL+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POo4ugAAANsA&#10;AAAPAAAAAAAAAAEAIAAAACIAAABkcnMvZG93bnJldi54bWxQSwECFAAUAAAACACHTuJAMy8FnjsA&#10;AAA5AAAAEAAAAAAAAAABACAAAAAJAQAAZHJzL3NoYXBleG1sLnhtbFBLBQYAAAAABgAGAFsBAACz&#10;AwAAAAA=&#10;" path="m0,0l0,2277e">
                  <v:fill on="f" focussize="0,0"/>
                  <v:stroke weight="0.48pt" color="#000000" joinstyle="round"/>
                  <v:imagedata o:title=""/>
                  <o:lock v:ext="edit" aspectratio="f"/>
                </v:shape>
                <v:rect id="_x0000_s1026" o:spid="_x0000_s1026" o:spt="1" style="position:absolute;left:19;top:19;height:2258;width:4025;" filled="f" stroked="f" coordsize="21600,21600" o:gfxdata="UEsDBAoAAAAAAIdO4kAAAAAAAAAAAAAAAAAEAAAAZHJzL1BLAwQUAAAACACHTuJAjO/OKb4AAADb&#10;AAAADwAAAGRycy9kb3ducmV2LnhtbEWPQWvCQBSE7wX/w/IK3uomORRNswmlKvFoVbC9PbKvSWj2&#10;bchuTfTXdwsFj8PMfMNkxWQ6caHBtZYVxIsIBHFldcu1gtNx+7QE4Tyyxs4yKbiSgyKfPWSYajvy&#10;O10OvhYBwi5FBY33fSqlqxoy6Ba2Jw7elx0M+iCHWuoBxwA3nUyi6FkabDksNNjTW0PV9+HHKCiX&#10;/evHzt7Gutt8luf9ebU+rrxS88c4egHhafL38H97pxUkMfx9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O/OK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81F407A">
                        <w:pPr>
                          <w:pStyle w:val="8"/>
                          <w:numPr>
                            <w:ilvl w:val="0"/>
                            <w:numId w:val="0"/>
                          </w:numPr>
                          <w:kinsoku w:val="0"/>
                          <w:overflowPunct w:val="0"/>
                          <w:spacing w:before="12"/>
                          <w:ind w:leftChars="0" w:right="0"/>
                          <w:rPr>
                            <w:rFonts w:hint="eastAsia"/>
                            <w:sz w:val="28"/>
                            <w:szCs w:val="28"/>
                          </w:rPr>
                        </w:pPr>
                      </w:p>
                      <w:p w14:paraId="0D7B52DA">
                        <w:pPr>
                          <w:pStyle w:val="8"/>
                          <w:numPr>
                            <w:ilvl w:val="0"/>
                            <w:numId w:val="0"/>
                          </w:numPr>
                          <w:kinsoku w:val="0"/>
                          <w:overflowPunct w:val="0"/>
                          <w:ind w:right="0"/>
                          <w:jc w:val="center"/>
                          <w:rPr>
                            <w:rFonts w:hint="eastAsia"/>
                          </w:rPr>
                        </w:pPr>
                      </w:p>
                      <w:p w14:paraId="7E575C16">
                        <w:pPr>
                          <w:pStyle w:val="8"/>
                          <w:numPr>
                            <w:ilvl w:val="0"/>
                            <w:numId w:val="0"/>
                          </w:numPr>
                          <w:kinsoku w:val="0"/>
                          <w:overflowPunct w:val="0"/>
                          <w:ind w:right="0"/>
                          <w:jc w:val="center"/>
                        </w:pPr>
                        <w:r>
                          <w:rPr>
                            <w:rFonts w:hint="eastAsia"/>
                          </w:rPr>
                          <w:t>授权人身份证复印件（正面）</w:t>
                        </w:r>
                      </w:p>
                    </w:txbxContent>
                  </v:textbox>
                </v:rect>
                <v:rect id="_x0000_s1026" o:spid="_x0000_s1026" o:spt="1" style="position:absolute;left:4044;top:19;height:2258;width:4025;" filled="f" stroked="f" coordsize="21600,21600" o:gfxdata="UEsDBAoAAAAAAIdO4kAAAAAAAAAAAAAAAAAEAAAAZHJzL1BLAwQUAAAACACHTuJAfD1QXr4AAADb&#10;AAAADwAAAGRycy9kb3ducmV2LnhtbEWPQWvCQBSE7wX/w/IK3uomORRNswmlKvFoVbC9PbKvSWj2&#10;bchuTfTXdwsFj8PMfMNkxWQ6caHBtZYVxIsIBHFldcu1gtNx+7QE4Tyyxs4yKbiSgyKfPWSYajvy&#10;O10OvhYBwi5FBY33fSqlqxoy6Ba2Jw7elx0M+iCHWuoBxwA3nUyi6FkabDksNNjTW0PV9+HHKCiX&#10;/evHzt7Gutt8luf9ebU+rrxS88c4egHhafL38H97pxUkCfx9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D1QX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839992A">
                        <w:pPr>
                          <w:pStyle w:val="8"/>
                          <w:numPr>
                            <w:ilvl w:val="0"/>
                            <w:numId w:val="0"/>
                          </w:numPr>
                          <w:kinsoku w:val="0"/>
                          <w:overflowPunct w:val="0"/>
                          <w:ind w:right="0"/>
                          <w:rPr>
                            <w:rFonts w:hint="eastAsia"/>
                          </w:rPr>
                        </w:pPr>
                      </w:p>
                      <w:p w14:paraId="3D38370F">
                        <w:pPr>
                          <w:pStyle w:val="8"/>
                          <w:numPr>
                            <w:ilvl w:val="0"/>
                            <w:numId w:val="0"/>
                          </w:numPr>
                          <w:kinsoku w:val="0"/>
                          <w:overflowPunct w:val="0"/>
                          <w:ind w:right="0"/>
                          <w:rPr>
                            <w:rFonts w:hint="eastAsia"/>
                          </w:rPr>
                        </w:pPr>
                      </w:p>
                      <w:p w14:paraId="2A66E89B">
                        <w:pPr>
                          <w:pStyle w:val="8"/>
                          <w:numPr>
                            <w:ilvl w:val="0"/>
                            <w:numId w:val="0"/>
                          </w:numPr>
                          <w:kinsoku w:val="0"/>
                          <w:overflowPunct w:val="0"/>
                          <w:ind w:right="0"/>
                        </w:pPr>
                        <w:r>
                          <w:rPr>
                            <w:rFonts w:hint="eastAsia"/>
                          </w:rPr>
                          <w:t>授权人身份证复印件（反面）</w:t>
                        </w:r>
                      </w:p>
                    </w:txbxContent>
                  </v:textbox>
                </v:rect>
                <w10:wrap type="none"/>
                <w10:anchorlock/>
              </v:group>
            </w:pict>
          </mc:Fallback>
        </mc:AlternateContent>
      </w:r>
    </w:p>
    <w:p w14:paraId="7753F013">
      <w:pPr>
        <w:pStyle w:val="8"/>
        <w:numPr>
          <w:ilvl w:val="0"/>
          <w:numId w:val="0"/>
        </w:numPr>
        <w:kinsoku w:val="0"/>
        <w:overflowPunct w:val="0"/>
        <w:adjustRightInd w:val="0"/>
        <w:snapToGrid w:val="0"/>
        <w:spacing w:line="200" w:lineRule="atLeast"/>
        <w:rPr>
          <w:rFonts w:ascii="仿宋" w:hAnsi="仿宋" w:eastAsia="仿宋" w:cs="仿宋"/>
          <w:color w:val="auto"/>
          <w:sz w:val="18"/>
          <w:szCs w:val="20"/>
          <w:highlight w:val="none"/>
        </w:rPr>
      </w:pPr>
      <w:r>
        <w:rPr>
          <w:rFonts w:hint="eastAsia" w:ascii="仿宋" w:hAnsi="仿宋" w:eastAsia="仿宋" w:cs="仿宋"/>
          <w:color w:val="auto"/>
          <w:spacing w:val="0"/>
          <w:w w:val="100"/>
          <w:position w:val="0"/>
          <w:sz w:val="18"/>
          <w:szCs w:val="20"/>
          <w:highlight w:val="none"/>
          <w:shd w:val="clear" w:color="auto" w:fill="auto"/>
          <w:lang w:val="en-US" w:eastAsia="en-US" w:bidi="en-US"/>
        </w:rPr>
        <mc:AlternateContent>
          <mc:Choice Requires="wpg">
            <w:drawing>
              <wp:inline distT="0" distB="0" distL="114300" distR="114300">
                <wp:extent cx="5136515" cy="1384935"/>
                <wp:effectExtent l="1905" t="1905" r="5080" b="3810"/>
                <wp:docPr id="49" name="组合 49"/>
                <wp:cNvGraphicFramePr/>
                <a:graphic xmlns:a="http://schemas.openxmlformats.org/drawingml/2006/main">
                  <a:graphicData uri="http://schemas.microsoft.com/office/word/2010/wordprocessingGroup">
                    <wpg:wgp>
                      <wpg:cNvGrpSpPr/>
                      <wpg:grpSpPr>
                        <a:xfrm>
                          <a:off x="0" y="0"/>
                          <a:ext cx="5136515" cy="1384935"/>
                          <a:chOff x="4" y="4"/>
                          <a:chExt cx="8094" cy="2186"/>
                        </a:xfrm>
                      </wpg:grpSpPr>
                      <wps:wsp>
                        <wps:cNvPr id="37" name="任意多边形 37"/>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38" name="任意多边形 38"/>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9" name="任意多边形 39"/>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0" name="任意多边形 40"/>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41" name="任意多边形 41"/>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42" name="任意多边形 42"/>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43" name="任意多边形 43"/>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4" name="任意多边形 44"/>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5" name="任意多边形 45"/>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6" name="任意多边形 46"/>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47" name="矩形 47"/>
                        <wps:cNvSpPr/>
                        <wps:spPr>
                          <a:xfrm>
                            <a:off x="19" y="19"/>
                            <a:ext cx="4025" cy="2142"/>
                          </a:xfrm>
                          <a:prstGeom prst="rect">
                            <a:avLst/>
                          </a:prstGeom>
                          <a:noFill/>
                          <a:ln>
                            <a:noFill/>
                          </a:ln>
                        </wps:spPr>
                        <wps:txbx>
                          <w:txbxContent>
                            <w:p w14:paraId="0F619881">
                              <w:pPr>
                                <w:pStyle w:val="8"/>
                                <w:numPr>
                                  <w:ilvl w:val="0"/>
                                  <w:numId w:val="0"/>
                                </w:numPr>
                                <w:kinsoku w:val="0"/>
                                <w:overflowPunct w:val="0"/>
                                <w:ind w:right="0"/>
                                <w:rPr>
                                  <w:rFonts w:hint="eastAsia"/>
                                </w:rPr>
                              </w:pPr>
                            </w:p>
                            <w:p w14:paraId="337F4E45">
                              <w:pPr>
                                <w:pStyle w:val="8"/>
                                <w:numPr>
                                  <w:ilvl w:val="0"/>
                                  <w:numId w:val="0"/>
                                </w:numPr>
                                <w:kinsoku w:val="0"/>
                                <w:overflowPunct w:val="0"/>
                                <w:ind w:right="0"/>
                                <w:rPr>
                                  <w:rFonts w:hint="eastAsia"/>
                                </w:rPr>
                              </w:pPr>
                            </w:p>
                            <w:p w14:paraId="72D240F3">
                              <w:pPr>
                                <w:pStyle w:val="8"/>
                                <w:numPr>
                                  <w:ilvl w:val="0"/>
                                  <w:numId w:val="0"/>
                                </w:numPr>
                                <w:kinsoku w:val="0"/>
                                <w:overflowPunct w:val="0"/>
                                <w:ind w:right="0"/>
                                <w:jc w:val="center"/>
                              </w:pPr>
                              <w:r>
                                <w:rPr>
                                  <w:rFonts w:hint="eastAsia"/>
                                </w:rPr>
                                <w:t>被授权代表身份证复印件（正面）</w:t>
                              </w:r>
                            </w:p>
                          </w:txbxContent>
                        </wps:txbx>
                        <wps:bodyPr lIns="0" tIns="0" rIns="0" bIns="0" upright="1"/>
                      </wps:wsp>
                      <wps:wsp>
                        <wps:cNvPr id="48" name="矩形 48"/>
                        <wps:cNvSpPr/>
                        <wps:spPr>
                          <a:xfrm>
                            <a:off x="4044" y="19"/>
                            <a:ext cx="4025" cy="2142"/>
                          </a:xfrm>
                          <a:prstGeom prst="rect">
                            <a:avLst/>
                          </a:prstGeom>
                          <a:noFill/>
                          <a:ln>
                            <a:noFill/>
                          </a:ln>
                        </wps:spPr>
                        <wps:txbx>
                          <w:txbxContent>
                            <w:p w14:paraId="3EF22AEF">
                              <w:pPr>
                                <w:pStyle w:val="8"/>
                                <w:numPr>
                                  <w:ilvl w:val="0"/>
                                  <w:numId w:val="0"/>
                                </w:numPr>
                                <w:kinsoku w:val="0"/>
                                <w:overflowPunct w:val="0"/>
                                <w:ind w:right="0"/>
                                <w:rPr>
                                  <w:rFonts w:hint="eastAsia"/>
                                </w:rPr>
                              </w:pPr>
                            </w:p>
                            <w:p w14:paraId="69C6E971">
                              <w:pPr>
                                <w:pStyle w:val="8"/>
                                <w:numPr>
                                  <w:ilvl w:val="0"/>
                                  <w:numId w:val="0"/>
                                </w:numPr>
                                <w:kinsoku w:val="0"/>
                                <w:overflowPunct w:val="0"/>
                                <w:ind w:right="0"/>
                                <w:rPr>
                                  <w:rFonts w:hint="eastAsia"/>
                                </w:rPr>
                              </w:pPr>
                            </w:p>
                            <w:p w14:paraId="033C9C0F">
                              <w:pPr>
                                <w:pStyle w:val="8"/>
                                <w:numPr>
                                  <w:ilvl w:val="0"/>
                                  <w:numId w:val="0"/>
                                </w:numPr>
                                <w:kinsoku w:val="0"/>
                                <w:overflowPunct w:val="0"/>
                                <w:ind w:right="0"/>
                              </w:pPr>
                              <w:r>
                                <w:rPr>
                                  <w:rFonts w:hint="eastAsia"/>
                                </w:rPr>
                                <w:t>被授权代表身份证复印件（反面）</w:t>
                              </w:r>
                            </w:p>
                          </w:txbxContent>
                        </wps:txbx>
                        <wps:bodyPr lIns="0" tIns="0" rIns="0" bIns="0" upright="1"/>
                      </wps:wsp>
                    </wpg:wgp>
                  </a:graphicData>
                </a:graphic>
              </wp:inline>
            </w:drawing>
          </mc:Choice>
          <mc:Fallback>
            <w:pict>
              <v:group id="_x0000_s1026" o:spid="_x0000_s1026" o:spt="203" style="height:109.05pt;width:404.45pt;" coordorigin="4,4" coordsize="8094,2186"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NswWw+IBAAA4iAAAA4AAABkcnMvZTJvRG9jLnhtbO1azW7j&#10;NhC+F+g7ELo3lmTZcYw4e2h2gwJFu8BuH4CWqB9AIgmSjp37Hnprz70UWPTSRyiC9mmabh+jM5Qo&#10;23HU2nXTGoVysGmS4vzw4+gbTi5frKqS3DKlC8FnXnDme4TxWCQFz2beV29ffTLxiDaUJ7QUnM28&#10;O6a9F1cff3S5lFMWilyUCVMEFuF6upQzLzdGTgcDHeesovpMSMZhMBWqogZ+qmyQKLqE1atyEPr+&#10;eLAUKpFKxExr6L2uB71mRbXPgiJNi5hdi3hRMW7qVRUrqQGTdF5I7V1ZbdOUxebLNNXMkHLmgaXG&#10;foIQaM/xc3B1SaeZojIv4kYFuo8Kj2yqaMFBaLvUNTWULFSxs1RVxEpokZqzWFSD2hDrEbAi8B/5&#10;5kaJhbS2ZNNlJlunw0Y98vrfXjb+4va1IkUy86ILj3BawY5/uH/38O3XBDrAO0uZTWHSjZJv5GvV&#10;dGT1LzR4laoKv8EUsrJ+vWv9ylaGxNA5CobjUTDySAxjwXASXQxHtefjHLYHn4s8AmOR633ZPDnx&#10;L2AEHwuDyRhHB07kADVrFVlKQKNeu0gf56I3OZXMel6j9Y2LhufORb/e3//27puHH777/ZefHn5+&#10;T2DEusbObh2lpxp89oSXamutf+nUeWnin8MWWFstLltL6TReaHPDhHU0vf1cGxAGWEtci+auFa+4&#10;a0pqsBtnYpMsZ14tIgdv+hatlbhlb4WdYR7tHkhfj5Z8cxasAjHCbTNMrIehgXLsFrWyoXNTeS5e&#10;FWVptS85ajT2L8ZgNIVAksIBhmYlAYyaZ1ZBLcoiwUdQR62y+aelIrcUD7P9axCxNU0qba6pzut5&#10;dqiGVc5o8pInxNxJQDmH6OahChVLPFIyCIbYsroZWpT7zLS2g8GIvnqrsTUXyR0gZiFVkeUQcQKr&#10;ZYNQPFH/BlRhh+rTvAPVCaqDSgCw/xqqYY3V0D61CdYoeHawoojjwRpBrO/Bao9lyU8TrO2rZwes&#10;zTvoQLAGI3vmerj2sfUopvQ0DcCA8nRshZFDYmsTWoPzhof2TKBnAtvZ1EG8vgOt8BLtQKsNknsz&#10;AQjSa4ruoApEsqHn5zXNcfR8m/cdQ1pRBLKAACQgDVzTUnkAaa1JACziuHVPWk+OtEZhJ1TDgwIr&#10;sFXEKnBXS+d3wToc4gjQd5e+biYp/whYQcLxYB1as22WgQkYNPoMC+PVKWRY0bATrBZce8fVyB82&#10;RKATruGzwxUkHA/XsIcrXoacZI4VAcY6aICF3QFwHQHy/zS69nDt76/2vuTuYK1wW9wBV3t1vDdc&#10;J/6oJq71K399JbBmrj1ce7geC1e4aOmAq61aHADX5m496CQDY/eWfTbuChKOJwNjlw/2idbpJVpt&#10;IevD9z9i/So6rH4V1CEVvrbyq8gPmyJfGEAut51hYVkGa1gEGzNPQWnWosxlW5jcNFMQfFuVoq0O&#10;mw7tcCyzmq9AIB60JjsoP+NQBYS837iGco25a/ynNZqordG4XTisNBP5SOqAif1/98EWeaH0bXPf&#10;pkyPtfXN3xYK639NuPo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wYAAFtDb250ZW50X1R5cGVzXS54bWxQSwECFAAKAAAAAACHTuJAAAAAAAAA&#10;AAAAAAAABgAAAAAAAAAAABAAAADZBQAAX3JlbHMvUEsBAhQAFAAAAAgAh07iQIoUZjzRAAAAlAEA&#10;AAsAAAAAAAAAAQAgAAAA/QUAAF9yZWxzLy5yZWxzUEsBAhQACgAAAAAAh07iQAAAAAAAAAAAAAAA&#10;AAQAAAAAAAAAAAAQAAAAAAAAAGRycy9QSwECFAAUAAAACACHTuJAIUvYTNYAAAAFAQAADwAAAAAA&#10;AAABACAAAAAiAAAAZHJzL2Rvd25yZXYueG1sUEsBAhQAFAAAAAgAh07iQNswWw+IBAAA4iAAAA4A&#10;AAAAAAAAAQAgAAAAJQEAAGRycy9lMm9Eb2MueG1sUEsFBgAAAAAGAAYAWQEAAB8IAAAAAA==&#10;">
                <o:lock v:ext="edit" aspectratio="f"/>
                <v:shape id="_x0000_s1026" o:spid="_x0000_s1026" o:spt="100" style="position:absolute;left:4;top:9;height:20;width:8079;" filled="f" stroked="t" coordsize="8079,20" o:gfxdata="UEsDBAoAAAAAAIdO4kAAAAAAAAAAAAAAAAAEAAAAZHJzL1BLAwQUAAAACACHTuJAMfnm0r0AAADb&#10;AAAADwAAAGRycy9kb3ducmV2LnhtbEWPQWsCMRSE74X+h/AK3mriim1ZjR6krcWetD14fGzebhY3&#10;L0uS6vrvG0HwOMzMN8xiNbhOnCjE1rOGyViBIK68abnR8Pvz8fwGIiZkg51n0nChCKvl48MCS+PP&#10;vKPTPjUiQziWqMGm1JdSxsqSwzj2PXH2ah8cpixDI03Ac4a7ThZKvUiHLecFiz2tLVXH/Z/T8F3X&#10;xTGoYjv73LwjDrO2Odi11qOniZqDSDSke/jW/jIapq9w/ZJ/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ebS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JlgHsLoAAADb&#10;AAAADwAAAGRycy9kb3ducmV2LnhtbEVP3WrCMBS+H/gO4Qi706SKMqvRC2UgG17Y7gEOzbEtbU5K&#10;kmm3p18uhF1+fP+7w2h7cScfWscasrkCQVw503Kt4at8n72BCBHZYO+YNPxQgMN+8rLD3LgHX+le&#10;xFqkEA45amhiHHIpQ9WQxTB3A3Hibs5bjAn6WhqPjxRue7lQai0ttpwaGhzo2FDVFd9Ww8n78iKH&#10;W/H78XlyWa261WbstH6dZmoLItIY/8VP99loWKax6Uv6AX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WAew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_x0000_s1026" o:spid="_x0000_s1026" o:spt="100" style="position:absolute;left:24;top:2151;height:20;width:8041;" filled="f" stroked="t" coordsize="8041,20" o:gfxdata="UEsDBAoAAAAAAIdO4kAAAAAAAAAAAAAAAAAEAAAAZHJzL1BLAwQUAAAACACHTuJASRSiK70AAADb&#10;AAAADwAAAGRycy9kb3ducmV2LnhtbEWPQWsCMRSE7wX/Q3iCt5qs0qKr0YMiSEsPXf0Bj81zd9nN&#10;y5JEXf31TaHQ4zAz3zDr7WA7cSMfGscasqkCQVw603Cl4Xw6vC5AhIhssHNMGh4UYLsZvawxN+7O&#10;33QrYiUShEOOGuoY+1zKUNZkMUxdT5y8i/MWY5K+ksbjPcFtJ2dKvUuLDaeFGnva1VS2xdVq2Ht/&#10;+pL9pXh+fO5dVqn2bTm0Wk/GmVqBiDTE//Bf+2g0zJf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FKIr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170;height:20;width:8079;" filled="f" stroked="t" coordsize="8079,20" o:gfxdata="UEsDBAoAAAAAAIdO4kAAAAAAAAAAAAAAAAAEAAAAZHJzL1BLAwQUAAAACACHTuJA5hYN27kAAADb&#10;AAAADwAAAGRycy9kb3ducmV2LnhtbEVPPW/CMBDdK/EfrENiKzZRqVDAMCCgVTsVGBhP8SWOiM+R&#10;bSD8+3qo1PHpfa82g+vEnUJsPWuYTRUI4sqblhsN59P+dQEiJmSDnWfS8KQIm/XoZYWl8Q/+ofsx&#10;NSKHcCxRg02pL6WMlSWHcep74szVPjhMGYZGmoCPHO46WSj1Lh22nBss9rS1VF2PN6fhu66La1DF&#10;1/zwsUMc5m1zsVutJ+OZWoJINKR/8Z/702h4y+v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YWDdu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_x0000_s1026" o:spid="_x0000_s1026" o:spt="100" style="position:absolute;left:9;top:4;height:2171;width:20;" filled="f" stroked="t" coordsize="20,2171" o:gfxdata="UEsDBAoAAAAAAIdO4kAAAAAAAAAAAAAAAAAEAAAAZHJzL1BLAwQUAAAACACHTuJAQGrYT7sAAADb&#10;AAAADwAAAGRycy9kb3ducmV2LnhtbEWPQWvCQBSE7wX/w/KE3ppNipQas4qKQk9Co3h+Zp9JMPs2&#10;7G5N/PduodDjMDPfMMVqNJ24k/OtZQVZkoIgrqxuuVZwOu7fPkH4gKyxs0wKHuRhtZy8FJhrO/A3&#10;3ctQiwhhn6OCJoQ+l9JXDRn0ie2Jo3e1zmCI0tVSOxwi3HTyPU0/pMGW40KDPW0bqm7lj1Gwt3Qd&#10;NsOFSsOHnV2f9WM7zpV6nWbpAkSgMfyH/9pfWsEsg98v8Qf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GrYT7sAAADb&#10;AAAADwAAAAAAAAABACAAAAAiAAAAZHJzL2Rvd25yZXYueG1sUEsBAhQAFAAAAAgAh07iQDMvBZ47&#10;AAAAOQAAABAAAAAAAAAAAQAgAAAACgEAAGRycy9zaGFwZXhtbC54bWxQSwUGAAAAAAYABgBbAQAA&#10;tAMAAAAA&#10;" path="m0,0l0,2170e">
                  <v:fill on="f" focussize="0,0"/>
                  <v:stroke weight="0.48pt" color="#000000" joinstyle="round"/>
                  <v:imagedata o:title=""/>
                  <o:lock v:ext="edit" aspectratio="f"/>
                </v:shape>
                <v:shape id="_x0000_s1026" o:spid="_x0000_s1026" o:spt="100" style="position:absolute;left:28;top:24;height:2133;width:20;" filled="f" stroked="t" coordsize="20,2133" o:gfxdata="UEsDBAoAAAAAAIdO4kAAAAAAAAAAAAAAAAAEAAAAZHJzL1BLAwQUAAAACACHTuJAXdSTvL8AAADb&#10;AAAADwAAAGRycy9kb3ducmV2LnhtbEWPQWvCQBSE70L/w/IKvZlNgmiJrqEUWnooQtci8fbIPpPQ&#10;7NuQ3ar117sFweMwM98wq/Jse3Gk0XeOFWRJCoK4dqbjRsH39m36DMIHZIO9Y1LwRx7K9cNkhYVx&#10;J/6iow6NiBD2BSpoQxgKKX3dkkWfuIE4egc3WgxRjo00I54i3PYyT9O5tNhxXGhxoNeW6h/9axVc&#10;tvlmV2la6E9X7fX7S9VcNjOlnh6zdAki0Dncw7f2h1Ewy+H/S/wBcn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Uk7y/&#10;AAAA2wAAAA8AAAAAAAAAAQAgAAAAIgAAAGRycy9kb3ducmV2LnhtbFBLAQIUABQAAAAIAIdO4kAz&#10;LwWeOwAAADkAAAAQAAAAAAAAAAEAIAAAAA4BAABkcnMvc2hhcGV4bWwueG1sUEsFBgAAAAAGAAYA&#10;WwEAALgDAAAAAA==&#10;" path="m0,0l0,2132e">
                  <v:fill on="f" focussize="0,0"/>
                  <v:stroke weight="0.48pt" color="#000000" joinstyle="round"/>
                  <v:imagedata o:title=""/>
                  <o:lock v:ext="edit" aspectratio="f"/>
                </v:shape>
                <v:shape id="_x0000_s1026" o:spid="_x0000_s1026" o:spt="100" style="position:absolute;left:4034;top:24;height:2123;width:20;" filled="f" stroked="t" coordsize="20,2123" o:gfxdata="UEsDBAoAAAAAAIdO4kAAAAAAAAAAAAAAAAAEAAAAZHJzL1BLAwQUAAAACACHTuJAxjUdtLwAAADb&#10;AAAADwAAAGRycy9kb3ducmV2LnhtbEWPS2vDMBCE74X+B7GB3Bo5bcnDjRL6wCGnkBc5L9bWMrF2&#10;jaU8+u+rQKHHYWa+YWaLm2/UhbpQCxsYDjJQxKXYmisDh33xNAEVIrLFRpgM/FCAxfzxYYa5lStv&#10;6bKLlUoQDjkacDG2udahdOQxDKQlTt63dB5jkl2lbYfXBPeNfs6ykfZYc1pw2NKno/K0O3sDsl5t&#10;xiNZfh3FTQN++GIS3wtj+r1h9gYq0i3+h//aK2vg9Q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Y1Hb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_x0000_s1026" o:spid="_x0000_s1026" o:spt="100" style="position:absolute;left:4053;top:24;height:2123;width:20;" filled="f" stroked="t" coordsize="20,2123" o:gfxdata="UEsDBAoAAAAAAIdO4kAAAAAAAAAAAAAAAAAEAAAAZHJzL1BLAwQUAAAACACHTuJASdyFwLwAAADb&#10;AAAADwAAAGRycy9kb3ducmV2LnhtbEWPzWoCQRCE74G8w9ABb3FWEWM2jhKVFU+iRjw3O52dJTvd&#10;y8749/aZgJBjUVVfUdP5zTfqQl2ohQ0M+hko4lJszZWB41fxOgEVIrLFRpgM3CnAfPb8NMXcypX3&#10;dDnESiUIhxwNuBjbXOtQOvIY+tISJ+9bOo8xya7StsNrgvtGD7NsrD3WnBYctrR0VP4czt6AbDe7&#10;t7GsVydx7wEXvpjEz8KY3ssg+wAV6Rb/w4/2xhoYjeDvS/oBe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chcC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_x0000_s1026" o:spid="_x0000_s1026" o:spt="100" style="position:absolute;left:8059;top:33;height:2123;width:20;" filled="f" stroked="t" coordsize="20,2123" o:gfxdata="UEsDBAoAAAAAAIdO4kAAAAAAAAAAAAAAAAAEAAAAZHJzL1BLAwQUAAAACACHTuJAJpAgW7wAAADb&#10;AAAADwAAAGRycy9kb3ducmV2LnhtbEWPS2vDMBCE74X+B7GB3Bo5pc3DjRL6wCGnkBc5L9bWMrF2&#10;jaU8+u+rQKHHYWa+YWaLm2/UhbpQCxsYDjJQxKXYmisDh33xNAEVIrLFRpgM/FCAxfzxYYa5lStv&#10;6bKLlUoQDjkacDG2udahdOQxDKQlTt63dB5jkl2lbYfXBPeNfs6ykfZYc1pw2NKno/K0O3sDsl5t&#10;xiNZfh3FTQN++GIS3wtj+r1h9gYq0i3+h//aK2vg5R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QIFu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_x0000_s1026" o:spid="_x0000_s1026" o:spt="100" style="position:absolute;left:8078;top:14;height:2162;width:20;" filled="f" stroked="t" coordsize="20,2162" o:gfxdata="UEsDBAoAAAAAAIdO4kAAAAAAAAAAAAAAAAAEAAAAZHJzL1BLAwQUAAAACACHTuJAtnJtM7cAAADb&#10;AAAADwAAAGRycy9kb3ducmV2LnhtbEWPzQrCMBCE74LvEFbwpql/RarRgyCKJ60+wNqsbbHZlCZW&#10;fXsjCB6HmfmGWa5fphItNa60rGA0jEAQZ1aXnCu4nLeDOQjnkTVWlknBmxysV93OEhNtn3yiNvW5&#10;CBB2CSoovK8TKV1WkEE3tDVx8G62MeiDbHKpG3wGuKnkOIpiabDksFBgTZuCsnv6MArmmwni7P6g&#10;3fFwwuP+WhpsU6X6vVG0AOHp5f/hX3uvFUxj+H4JP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2cm0z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rect id="_x0000_s1026" o:spid="_x0000_s1026" o:spt="1" style="position:absolute;left:19;top:19;height:2142;width:4025;" filled="f" stroked="f" coordsize="21600,21600" o:gfxdata="UEsDBAoAAAAAAIdO4kAAAAAAAAAAAAAAAAAEAAAAZHJzL1BLAwQUAAAACACHTuJAsZUWZr4AAADb&#10;AAAADwAAAGRycy9kb3ducmV2LnhtbEWPT4vCMBTE74LfITzBm6aKrLUaRdxd9Lj+AfX2aJ5tsXkp&#10;Tda6fnqzIHgcZuY3zGxxN6W4Ue0KywoG/QgEcWp1wZmCw/67F4NwHlljaZkU/JGDxbzdmmGibcNb&#10;uu18JgKEXYIKcu+rREqX5mTQ9W1FHLyLrQ36IOtM6hqbADelHEbRhzRYcFjIsaJVTul192sUrONq&#10;edrYR5OVX+f18ec4+dxPvFLdziCagvB09+/wq73RCkZj+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ZUWZ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F619881">
                        <w:pPr>
                          <w:pStyle w:val="8"/>
                          <w:numPr>
                            <w:ilvl w:val="0"/>
                            <w:numId w:val="0"/>
                          </w:numPr>
                          <w:kinsoku w:val="0"/>
                          <w:overflowPunct w:val="0"/>
                          <w:ind w:right="0"/>
                          <w:rPr>
                            <w:rFonts w:hint="eastAsia"/>
                          </w:rPr>
                        </w:pPr>
                      </w:p>
                      <w:p w14:paraId="337F4E45">
                        <w:pPr>
                          <w:pStyle w:val="8"/>
                          <w:numPr>
                            <w:ilvl w:val="0"/>
                            <w:numId w:val="0"/>
                          </w:numPr>
                          <w:kinsoku w:val="0"/>
                          <w:overflowPunct w:val="0"/>
                          <w:ind w:right="0"/>
                          <w:rPr>
                            <w:rFonts w:hint="eastAsia"/>
                          </w:rPr>
                        </w:pPr>
                      </w:p>
                      <w:p w14:paraId="72D240F3">
                        <w:pPr>
                          <w:pStyle w:val="8"/>
                          <w:numPr>
                            <w:ilvl w:val="0"/>
                            <w:numId w:val="0"/>
                          </w:numPr>
                          <w:kinsoku w:val="0"/>
                          <w:overflowPunct w:val="0"/>
                          <w:ind w:right="0"/>
                          <w:jc w:val="center"/>
                        </w:pPr>
                        <w:r>
                          <w:rPr>
                            <w:rFonts w:hint="eastAsia"/>
                          </w:rPr>
                          <w:t>被授权代表身份证复印件（正面）</w:t>
                        </w:r>
                      </w:p>
                    </w:txbxContent>
                  </v:textbox>
                </v:rect>
                <v:rect id="_x0000_s1026" o:spid="_x0000_s1026" o:spt="1" style="position:absolute;left:4044;top:19;height:2142;width:4025;" filled="f" stroked="f" coordsize="21600,21600" o:gfxdata="UEsDBAoAAAAAAIdO4kAAAAAAAAAAAAAAAAAEAAAAZHJzL1BLAwQUAAAACACHTuJAwAqCFLoAAADb&#10;AAAADwAAAGRycy9kb3ducmV2LnhtbEVPTYvCMBC9C/sfwix401QRsdW0LKuix1UXXG9DM7bFZlKa&#10;aNVfvzkIHh/ve5HdTS1u1LrKsoLRMAJBnFtdcaHg97AezEA4j6yxtkwKHuQgSz96C0y07XhHt70v&#10;RAhhl6CC0vsmkdLlJRl0Q9sQB+5sW4M+wLaQusUuhJtajqNoKg1WHBpKbOi7pPyyvxoFm1nz9be1&#10;z66oV6fN8ecYLw+xV6r/OYrmIDzd/Vv8cm+1gkkYG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CoIU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3EF22AEF">
                        <w:pPr>
                          <w:pStyle w:val="8"/>
                          <w:numPr>
                            <w:ilvl w:val="0"/>
                            <w:numId w:val="0"/>
                          </w:numPr>
                          <w:kinsoku w:val="0"/>
                          <w:overflowPunct w:val="0"/>
                          <w:ind w:right="0"/>
                          <w:rPr>
                            <w:rFonts w:hint="eastAsia"/>
                          </w:rPr>
                        </w:pPr>
                      </w:p>
                      <w:p w14:paraId="69C6E971">
                        <w:pPr>
                          <w:pStyle w:val="8"/>
                          <w:numPr>
                            <w:ilvl w:val="0"/>
                            <w:numId w:val="0"/>
                          </w:numPr>
                          <w:kinsoku w:val="0"/>
                          <w:overflowPunct w:val="0"/>
                          <w:ind w:right="0"/>
                          <w:rPr>
                            <w:rFonts w:hint="eastAsia"/>
                          </w:rPr>
                        </w:pPr>
                      </w:p>
                      <w:p w14:paraId="033C9C0F">
                        <w:pPr>
                          <w:pStyle w:val="8"/>
                          <w:numPr>
                            <w:ilvl w:val="0"/>
                            <w:numId w:val="0"/>
                          </w:numPr>
                          <w:kinsoku w:val="0"/>
                          <w:overflowPunct w:val="0"/>
                          <w:ind w:right="0"/>
                        </w:pPr>
                        <w:r>
                          <w:rPr>
                            <w:rFonts w:hint="eastAsia"/>
                          </w:rPr>
                          <w:t>被授权代表身份证复印件（反面）</w:t>
                        </w:r>
                      </w:p>
                    </w:txbxContent>
                  </v:textbox>
                </v:rect>
                <w10:wrap type="none"/>
                <w10:anchorlock/>
              </v:group>
            </w:pict>
          </mc:Fallback>
        </mc:AlternateContent>
      </w:r>
    </w:p>
    <w:p w14:paraId="3CA6F64E">
      <w:pPr>
        <w:rPr>
          <w:rFonts w:ascii="仿宋" w:hAnsi="仿宋" w:eastAsia="仿宋" w:cs="仿宋"/>
          <w:color w:val="auto"/>
          <w:sz w:val="18"/>
          <w:szCs w:val="20"/>
          <w:highlight w:val="none"/>
        </w:rPr>
      </w:pPr>
    </w:p>
    <w:p w14:paraId="754386F9">
      <w:pPr>
        <w:pStyle w:val="39"/>
        <w:rPr>
          <w:rFonts w:ascii="仿宋" w:hAnsi="仿宋" w:eastAsia="仿宋" w:cs="仿宋"/>
          <w:color w:val="auto"/>
          <w:sz w:val="18"/>
          <w:szCs w:val="20"/>
          <w:highlight w:val="none"/>
        </w:rPr>
      </w:pPr>
    </w:p>
    <w:p w14:paraId="1E76964E">
      <w:pPr>
        <w:pStyle w:val="8"/>
        <w:numPr>
          <w:ilvl w:val="0"/>
          <w:numId w:val="0"/>
        </w:numPr>
        <w:tabs>
          <w:tab w:val="left" w:pos="5631"/>
          <w:tab w:val="left" w:pos="6591"/>
          <w:tab w:val="left" w:pos="7191"/>
          <w:tab w:val="left" w:pos="7791"/>
          <w:tab w:val="left" w:pos="8247"/>
        </w:tabs>
        <w:kinsoku w:val="0"/>
        <w:overflowPunct w:val="0"/>
        <w:adjustRightInd w:val="0"/>
        <w:snapToGrid w:val="0"/>
        <w:spacing w:line="360" w:lineRule="auto"/>
        <w:ind w:left="709" w:right="238"/>
        <w:rPr>
          <w:rFonts w:ascii="仿宋" w:hAnsi="仿宋" w:eastAsia="仿宋" w:cs="仿宋"/>
          <w:color w:val="auto"/>
          <w:sz w:val="24"/>
          <w:highlight w:val="none"/>
        </w:rPr>
      </w:pPr>
    </w:p>
    <w:p w14:paraId="5A81BF45">
      <w:pPr>
        <w:pStyle w:val="8"/>
        <w:numPr>
          <w:ilvl w:val="0"/>
          <w:numId w:val="0"/>
        </w:numPr>
        <w:tabs>
          <w:tab w:val="left" w:pos="5631"/>
          <w:tab w:val="left" w:pos="6591"/>
          <w:tab w:val="left" w:pos="7191"/>
          <w:tab w:val="left" w:pos="7791"/>
          <w:tab w:val="left" w:pos="8247"/>
        </w:tabs>
        <w:kinsoku w:val="0"/>
        <w:overflowPunct w:val="0"/>
        <w:adjustRightInd w:val="0"/>
        <w:snapToGrid w:val="0"/>
        <w:spacing w:line="360" w:lineRule="auto"/>
        <w:ind w:left="709" w:right="238"/>
        <w:rPr>
          <w:rFonts w:ascii="仿宋" w:hAnsi="仿宋" w:eastAsia="仿宋" w:cs="仿宋"/>
          <w:color w:val="auto"/>
          <w:sz w:val="24"/>
          <w:highlight w:val="none"/>
        </w:rPr>
      </w:pPr>
      <w:r>
        <w:rPr>
          <w:rFonts w:hint="eastAsia" w:ascii="仿宋" w:hAnsi="仿宋" w:eastAsia="仿宋" w:cs="仿宋"/>
          <w:color w:val="auto"/>
          <w:sz w:val="24"/>
          <w:highlight w:val="none"/>
        </w:rPr>
        <w:t>投标人：</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（盖章）</w:t>
      </w:r>
    </w:p>
    <w:p w14:paraId="3921795B">
      <w:pPr>
        <w:pStyle w:val="8"/>
        <w:numPr>
          <w:ilvl w:val="0"/>
          <w:numId w:val="0"/>
        </w:numPr>
        <w:tabs>
          <w:tab w:val="left" w:pos="5295"/>
        </w:tabs>
        <w:kinsoku w:val="0"/>
        <w:overflowPunct w:val="0"/>
        <w:adjustRightInd w:val="0"/>
        <w:snapToGrid w:val="0"/>
        <w:spacing w:line="360" w:lineRule="auto"/>
        <w:ind w:left="709"/>
        <w:rPr>
          <w:rFonts w:ascii="仿宋" w:hAnsi="仿宋" w:eastAsia="仿宋" w:cs="仿宋"/>
          <w:color w:val="auto"/>
          <w:sz w:val="24"/>
          <w:highlight w:val="none"/>
        </w:rPr>
      </w:pPr>
      <w:r>
        <w:rPr>
          <w:rFonts w:hint="eastAsia" w:ascii="仿宋" w:hAnsi="仿宋" w:eastAsia="仿宋" w:cs="仿宋"/>
          <w:color w:val="auto"/>
          <w:sz w:val="24"/>
          <w:highlight w:val="none"/>
        </w:rPr>
        <w:t>被授权代表（</w:t>
      </w:r>
      <w:r>
        <w:rPr>
          <w:rFonts w:hint="eastAsia" w:ascii="仿宋" w:hAnsi="仿宋" w:eastAsia="仿宋" w:cs="仿宋"/>
          <w:color w:val="auto"/>
          <w:sz w:val="24"/>
          <w:highlight w:val="none"/>
          <w:lang w:eastAsia="zh-CN"/>
        </w:rPr>
        <w:t>签章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 xml:space="preserve">          </w:t>
      </w:r>
      <w:r>
        <w:rPr>
          <w:rFonts w:hint="eastAsia" w:ascii="仿宋" w:hAnsi="仿宋" w:eastAsia="仿宋" w:cs="仿宋"/>
          <w:color w:val="auto"/>
          <w:sz w:val="24"/>
          <w:highlight w:val="none"/>
        </w:rPr>
        <w:t>投标人法定代表人（</w:t>
      </w:r>
      <w:r>
        <w:rPr>
          <w:rFonts w:hint="eastAsia" w:ascii="仿宋" w:hAnsi="仿宋" w:eastAsia="仿宋" w:cs="仿宋"/>
          <w:color w:val="auto"/>
          <w:sz w:val="24"/>
          <w:highlight w:val="none"/>
          <w:lang w:eastAsia="zh-CN"/>
        </w:rPr>
        <w:t>签章</w:t>
      </w:r>
      <w:r>
        <w:rPr>
          <w:rFonts w:hint="eastAsia" w:ascii="仿宋" w:hAnsi="仿宋" w:eastAsia="仿宋" w:cs="仿宋"/>
          <w:color w:val="auto"/>
          <w:sz w:val="24"/>
          <w:highlight w:val="none"/>
        </w:rPr>
        <w:t>）：</w:t>
      </w:r>
    </w:p>
    <w:p w14:paraId="66DE9FFF">
      <w:pPr>
        <w:pStyle w:val="8"/>
        <w:numPr>
          <w:ilvl w:val="0"/>
          <w:numId w:val="0"/>
        </w:numPr>
        <w:tabs>
          <w:tab w:val="left" w:pos="1098"/>
          <w:tab w:val="left" w:pos="5298"/>
          <w:tab w:val="left" w:pos="5778"/>
        </w:tabs>
        <w:kinsoku w:val="0"/>
        <w:overflowPunct w:val="0"/>
        <w:adjustRightInd w:val="0"/>
        <w:snapToGrid w:val="0"/>
        <w:spacing w:line="360" w:lineRule="auto"/>
        <w:ind w:left="709"/>
        <w:rPr>
          <w:rFonts w:ascii="仿宋" w:hAnsi="仿宋" w:eastAsia="仿宋" w:cs="仿宋"/>
          <w:color w:val="auto"/>
          <w:sz w:val="24"/>
          <w:highlight w:val="none"/>
        </w:rPr>
      </w:pPr>
      <w:r>
        <w:rPr>
          <w:rFonts w:hint="eastAsia" w:ascii="仿宋" w:hAnsi="仿宋" w:eastAsia="仿宋" w:cs="仿宋"/>
          <w:color w:val="auto"/>
          <w:sz w:val="24"/>
          <w:highlight w:val="none"/>
        </w:rPr>
        <w:t>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务：</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务：</w:t>
      </w:r>
    </w:p>
    <w:p w14:paraId="29BB93EB">
      <w:pPr>
        <w:pStyle w:val="8"/>
        <w:numPr>
          <w:ilvl w:val="0"/>
          <w:numId w:val="0"/>
        </w:numPr>
        <w:tabs>
          <w:tab w:val="left" w:pos="1098"/>
          <w:tab w:val="left" w:pos="5298"/>
          <w:tab w:val="left" w:pos="5778"/>
        </w:tabs>
        <w:kinsoku w:val="0"/>
        <w:overflowPunct w:val="0"/>
        <w:adjustRightInd w:val="0"/>
        <w:snapToGrid w:val="0"/>
        <w:spacing w:line="360" w:lineRule="auto"/>
        <w:ind w:left="709"/>
        <w:rPr>
          <w:rFonts w:ascii="仿宋" w:hAnsi="仿宋" w:eastAsia="仿宋" w:cs="仿宋"/>
          <w:color w:val="auto"/>
          <w:sz w:val="24"/>
          <w:highlight w:val="none"/>
        </w:rPr>
      </w:pPr>
      <w:r>
        <w:rPr>
          <w:rFonts w:hint="eastAsia" w:ascii="仿宋" w:hAnsi="仿宋" w:eastAsia="仿宋" w:cs="仿宋"/>
          <w:color w:val="auto"/>
          <w:sz w:val="24"/>
          <w:highlight w:val="none"/>
        </w:rPr>
        <w:t>电</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话：</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电</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话：</w:t>
      </w:r>
    </w:p>
    <w:p w14:paraId="13B9E404">
      <w:pPr>
        <w:rPr>
          <w:rFonts w:ascii="仿宋" w:hAnsi="仿宋" w:eastAsia="仿宋" w:cs="仿宋"/>
          <w:color w:val="auto"/>
          <w:highlight w:val="none"/>
        </w:rPr>
      </w:pPr>
    </w:p>
    <w:p w14:paraId="1901EB80">
      <w:pPr>
        <w:pStyle w:val="8"/>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106" w:leftChars="50" w:right="238" w:firstLine="2916" w:firstLineChars="1200"/>
        <w:jc w:val="both"/>
        <w:rPr>
          <w:rFonts w:ascii="仿宋" w:hAnsi="仿宋" w:eastAsia="仿宋" w:cs="仿宋"/>
          <w:color w:val="auto"/>
          <w:sz w:val="20"/>
          <w:highlight w:val="none"/>
        </w:rPr>
      </w:pPr>
      <w:r>
        <w:rPr>
          <w:rFonts w:hint="eastAsia" w:ascii="仿宋" w:hAnsi="仿宋" w:eastAsia="仿宋" w:cs="仿宋"/>
          <w:color w:val="auto"/>
          <w:sz w:val="24"/>
          <w:highlight w:val="none"/>
        </w:rPr>
        <w:t xml:space="preserve"> 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日 </w:t>
      </w:r>
      <w:r>
        <w:rPr>
          <w:rFonts w:hint="eastAsia" w:ascii="仿宋" w:hAnsi="仿宋" w:eastAsia="仿宋" w:cs="仿宋"/>
          <w:color w:val="auto"/>
          <w:sz w:val="20"/>
          <w:highlight w:val="none"/>
        </w:rPr>
        <w:t xml:space="preserve">               </w:t>
      </w:r>
    </w:p>
    <w:p w14:paraId="08F4F3B7">
      <w:pPr>
        <w:rPr>
          <w:rFonts w:ascii="仿宋" w:hAnsi="仿宋" w:eastAsia="仿宋" w:cs="仿宋"/>
          <w:color w:val="auto"/>
          <w:sz w:val="20"/>
          <w:highlight w:val="none"/>
        </w:rPr>
      </w:pPr>
    </w:p>
    <w:p w14:paraId="4F76E381">
      <w:pPr>
        <w:pStyle w:val="68"/>
        <w:rPr>
          <w:rFonts w:ascii="仿宋" w:hAnsi="仿宋" w:eastAsia="仿宋" w:cs="仿宋"/>
          <w:color w:val="auto"/>
          <w:sz w:val="20"/>
          <w:highlight w:val="none"/>
        </w:rPr>
      </w:pPr>
    </w:p>
    <w:p w14:paraId="3A36B39A">
      <w:pPr>
        <w:pStyle w:val="4"/>
        <w:tabs>
          <w:tab w:val="left" w:pos="540"/>
        </w:tabs>
        <w:spacing w:line="240" w:lineRule="atLeast"/>
        <w:rPr>
          <w:rFonts w:ascii="仿宋" w:hAnsi="仿宋" w:eastAsia="仿宋" w:cs="仿宋"/>
          <w:bCs/>
          <w:color w:val="auto"/>
          <w:sz w:val="36"/>
          <w:szCs w:val="36"/>
          <w:highlight w:val="none"/>
        </w:rPr>
      </w:pPr>
      <w:r>
        <w:rPr>
          <w:rFonts w:hint="eastAsia" w:ascii="仿宋" w:hAnsi="仿宋" w:eastAsia="仿宋" w:cs="仿宋"/>
          <w:bCs/>
          <w:color w:val="auto"/>
          <w:sz w:val="36"/>
          <w:szCs w:val="36"/>
          <w:highlight w:val="none"/>
          <w:lang w:eastAsia="zh-CN"/>
        </w:rPr>
        <w:t>四、</w:t>
      </w:r>
      <w:r>
        <w:rPr>
          <w:rFonts w:hint="eastAsia" w:ascii="仿宋" w:hAnsi="仿宋" w:eastAsia="仿宋" w:cs="仿宋"/>
          <w:bCs/>
          <w:color w:val="auto"/>
          <w:sz w:val="36"/>
          <w:szCs w:val="36"/>
          <w:highlight w:val="none"/>
        </w:rPr>
        <w:t>投标保证金缴纳凭证或投标担保函</w:t>
      </w:r>
    </w:p>
    <w:p w14:paraId="6EB172B3">
      <w:pPr>
        <w:ind w:firstLine="426" w:firstLineChars="200"/>
        <w:rPr>
          <w:rFonts w:ascii="仿宋" w:hAnsi="仿宋" w:eastAsia="仿宋" w:cs="仿宋"/>
          <w:color w:val="auto"/>
          <w:highlight w:val="none"/>
        </w:rPr>
      </w:pPr>
      <w:bookmarkStart w:id="147" w:name="_Toc494296665"/>
      <w:bookmarkStart w:id="148" w:name="_Toc494296991"/>
    </w:p>
    <w:bookmarkEnd w:id="147"/>
    <w:bookmarkEnd w:id="148"/>
    <w:p w14:paraId="5625153F">
      <w:pPr>
        <w:pStyle w:val="5"/>
        <w:rPr>
          <w:rFonts w:ascii="仿宋" w:hAnsi="仿宋" w:eastAsia="仿宋" w:cs="仿宋"/>
          <w:color w:val="auto"/>
          <w:highlight w:val="none"/>
        </w:rPr>
      </w:pPr>
    </w:p>
    <w:tbl>
      <w:tblPr>
        <w:tblStyle w:val="24"/>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3B9A1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14:paraId="77436673">
            <w:pPr>
              <w:rPr>
                <w:rFonts w:ascii="仿宋" w:hAnsi="仿宋" w:eastAsia="仿宋" w:cs="仿宋"/>
                <w:b/>
                <w:bCs/>
                <w:color w:val="auto"/>
                <w:sz w:val="30"/>
                <w:szCs w:val="30"/>
                <w:highlight w:val="none"/>
              </w:rPr>
            </w:pPr>
          </w:p>
          <w:p w14:paraId="276BCFC0">
            <w:pPr>
              <w:jc w:val="center"/>
              <w:rPr>
                <w:rFonts w:ascii="仿宋" w:hAnsi="仿宋" w:eastAsia="仿宋" w:cs="仿宋"/>
                <w:b/>
                <w:bCs/>
                <w:color w:val="auto"/>
                <w:sz w:val="30"/>
                <w:szCs w:val="30"/>
                <w:highlight w:val="none"/>
              </w:rPr>
            </w:pPr>
          </w:p>
          <w:p w14:paraId="5A0FADBC">
            <w:pPr>
              <w:jc w:val="center"/>
              <w:rPr>
                <w:rFonts w:ascii="仿宋" w:hAnsi="仿宋" w:eastAsia="仿宋" w:cs="仿宋"/>
                <w:b/>
                <w:bCs/>
                <w:color w:val="auto"/>
                <w:sz w:val="30"/>
                <w:szCs w:val="30"/>
                <w:highlight w:val="none"/>
              </w:rPr>
            </w:pPr>
          </w:p>
          <w:p w14:paraId="139098BA">
            <w:pPr>
              <w:jc w:val="center"/>
              <w:rPr>
                <w:rFonts w:ascii="仿宋" w:hAnsi="仿宋" w:eastAsia="仿宋" w:cs="仿宋"/>
                <w:b/>
                <w:bCs/>
                <w:color w:val="auto"/>
                <w:sz w:val="30"/>
                <w:szCs w:val="30"/>
                <w:highlight w:val="none"/>
              </w:rPr>
            </w:pPr>
          </w:p>
          <w:p w14:paraId="7B2F2C5F">
            <w:pPr>
              <w:jc w:val="center"/>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投标保证金缴纳凭证</w:t>
            </w:r>
          </w:p>
        </w:tc>
      </w:tr>
    </w:tbl>
    <w:p w14:paraId="513DAF5D">
      <w:pPr>
        <w:pStyle w:val="5"/>
        <w:rPr>
          <w:rFonts w:ascii="仿宋" w:hAnsi="仿宋" w:eastAsia="仿宋" w:cs="仿宋"/>
          <w:color w:val="auto"/>
          <w:highlight w:val="none"/>
        </w:rPr>
      </w:pPr>
    </w:p>
    <w:p w14:paraId="626C90B0">
      <w:pPr>
        <w:spacing w:line="240" w:lineRule="atLeast"/>
        <w:ind w:left="1087" w:leftChars="257" w:hanging="540"/>
        <w:jc w:val="center"/>
        <w:rPr>
          <w:rFonts w:ascii="仿宋" w:hAnsi="仿宋" w:eastAsia="仿宋" w:cs="仿宋"/>
          <w:color w:val="auto"/>
          <w:highlight w:val="none"/>
        </w:rPr>
      </w:pPr>
    </w:p>
    <w:p w14:paraId="35441F5B">
      <w:pPr>
        <w:rPr>
          <w:rFonts w:ascii="仿宋" w:hAnsi="仿宋" w:eastAsia="仿宋" w:cs="仿宋"/>
          <w:color w:val="auto"/>
          <w:sz w:val="28"/>
          <w:szCs w:val="28"/>
          <w:highlight w:val="none"/>
        </w:rPr>
      </w:pPr>
    </w:p>
    <w:tbl>
      <w:tblPr>
        <w:tblStyle w:val="24"/>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4B52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14:paraId="0F0090D2">
            <w:pPr>
              <w:rPr>
                <w:rFonts w:ascii="仿宋" w:hAnsi="仿宋" w:eastAsia="仿宋" w:cs="仿宋"/>
                <w:b/>
                <w:bCs/>
                <w:color w:val="auto"/>
                <w:sz w:val="30"/>
                <w:szCs w:val="30"/>
                <w:highlight w:val="none"/>
              </w:rPr>
            </w:pPr>
          </w:p>
          <w:p w14:paraId="7F10E1AD">
            <w:pPr>
              <w:jc w:val="center"/>
              <w:rPr>
                <w:rFonts w:ascii="仿宋" w:hAnsi="仿宋" w:eastAsia="仿宋" w:cs="仿宋"/>
                <w:b/>
                <w:bCs/>
                <w:color w:val="auto"/>
                <w:sz w:val="30"/>
                <w:szCs w:val="30"/>
                <w:highlight w:val="none"/>
              </w:rPr>
            </w:pPr>
          </w:p>
          <w:p w14:paraId="0DEB5300">
            <w:pPr>
              <w:jc w:val="center"/>
              <w:rPr>
                <w:rFonts w:ascii="仿宋" w:hAnsi="仿宋" w:eastAsia="仿宋" w:cs="仿宋"/>
                <w:b/>
                <w:bCs/>
                <w:color w:val="auto"/>
                <w:sz w:val="30"/>
                <w:szCs w:val="30"/>
                <w:highlight w:val="none"/>
              </w:rPr>
            </w:pPr>
          </w:p>
          <w:p w14:paraId="6D93A09D">
            <w:pPr>
              <w:jc w:val="center"/>
              <w:rPr>
                <w:rFonts w:ascii="仿宋" w:hAnsi="仿宋" w:eastAsia="仿宋" w:cs="仿宋"/>
                <w:b/>
                <w:bCs/>
                <w:color w:val="auto"/>
                <w:sz w:val="30"/>
                <w:szCs w:val="30"/>
                <w:highlight w:val="none"/>
              </w:rPr>
            </w:pPr>
          </w:p>
          <w:p w14:paraId="1BFFB69C">
            <w:pPr>
              <w:jc w:val="center"/>
              <w:rPr>
                <w:rFonts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打款凭证</w:t>
            </w:r>
          </w:p>
        </w:tc>
      </w:tr>
    </w:tbl>
    <w:p w14:paraId="0957E57E">
      <w:pPr>
        <w:pStyle w:val="5"/>
        <w:rPr>
          <w:rFonts w:ascii="仿宋" w:hAnsi="仿宋" w:eastAsia="仿宋" w:cs="仿宋"/>
          <w:color w:val="auto"/>
          <w:highlight w:val="none"/>
        </w:rPr>
      </w:pPr>
    </w:p>
    <w:p w14:paraId="346FEE5D">
      <w:pPr>
        <w:pStyle w:val="5"/>
        <w:rPr>
          <w:rFonts w:ascii="仿宋" w:hAnsi="仿宋" w:eastAsia="仿宋" w:cs="仿宋"/>
          <w:color w:val="auto"/>
          <w:highlight w:val="none"/>
        </w:rPr>
      </w:pPr>
    </w:p>
    <w:p w14:paraId="2D1957DA">
      <w:pPr>
        <w:pStyle w:val="5"/>
        <w:rPr>
          <w:rFonts w:ascii="仿宋" w:hAnsi="仿宋" w:eastAsia="仿宋" w:cs="仿宋"/>
          <w:color w:val="auto"/>
          <w:highlight w:val="none"/>
        </w:rPr>
      </w:pPr>
    </w:p>
    <w:p w14:paraId="17671F29">
      <w:pPr>
        <w:pStyle w:val="5"/>
        <w:rPr>
          <w:rFonts w:ascii="仿宋" w:hAnsi="仿宋" w:eastAsia="仿宋" w:cs="仿宋"/>
          <w:color w:val="auto"/>
          <w:highlight w:val="none"/>
        </w:rPr>
      </w:pPr>
    </w:p>
    <w:p w14:paraId="69E015CC">
      <w:pPr>
        <w:pStyle w:val="5"/>
        <w:rPr>
          <w:rFonts w:ascii="仿宋" w:hAnsi="仿宋" w:eastAsia="仿宋" w:cs="仿宋"/>
          <w:color w:val="auto"/>
          <w:highlight w:val="none"/>
        </w:rPr>
      </w:pPr>
    </w:p>
    <w:p w14:paraId="5BDAF8E9">
      <w:pPr>
        <w:pStyle w:val="5"/>
        <w:rPr>
          <w:rFonts w:ascii="仿宋" w:hAnsi="仿宋" w:eastAsia="仿宋" w:cs="仿宋"/>
          <w:color w:val="auto"/>
          <w:highlight w:val="none"/>
        </w:rPr>
      </w:pPr>
    </w:p>
    <w:p w14:paraId="25F83879">
      <w:pPr>
        <w:rPr>
          <w:rFonts w:ascii="仿宋" w:hAnsi="仿宋" w:eastAsia="仿宋" w:cs="仿宋"/>
          <w:color w:val="auto"/>
          <w:highlight w:val="none"/>
        </w:rPr>
      </w:pPr>
    </w:p>
    <w:p w14:paraId="1D1438EC">
      <w:pPr>
        <w:pStyle w:val="2"/>
        <w:rPr>
          <w:rFonts w:ascii="仿宋" w:hAnsi="仿宋" w:eastAsia="仿宋" w:cs="仿宋"/>
          <w:color w:val="auto"/>
          <w:highlight w:val="none"/>
        </w:rPr>
      </w:pPr>
    </w:p>
    <w:p w14:paraId="2588588E">
      <w:pPr>
        <w:rPr>
          <w:rFonts w:ascii="仿宋" w:hAnsi="仿宋" w:eastAsia="仿宋" w:cs="仿宋"/>
          <w:color w:val="auto"/>
          <w:highlight w:val="none"/>
        </w:rPr>
      </w:pPr>
    </w:p>
    <w:p w14:paraId="407F61B5">
      <w:pPr>
        <w:rPr>
          <w:rFonts w:ascii="仿宋" w:hAnsi="仿宋" w:eastAsia="仿宋" w:cs="仿宋"/>
          <w:color w:val="auto"/>
          <w:highlight w:val="none"/>
        </w:rPr>
      </w:pPr>
    </w:p>
    <w:p w14:paraId="78144B29">
      <w:pPr>
        <w:rPr>
          <w:rFonts w:ascii="仿宋" w:hAnsi="仿宋" w:eastAsia="仿宋" w:cs="仿宋"/>
          <w:color w:val="auto"/>
          <w:highlight w:val="none"/>
        </w:rPr>
      </w:pPr>
    </w:p>
    <w:p w14:paraId="58DFBB33">
      <w:pPr>
        <w:jc w:val="center"/>
        <w:rPr>
          <w:rFonts w:ascii="仿宋" w:hAnsi="仿宋" w:eastAsia="仿宋" w:cs="仿宋"/>
          <w:color w:val="auto"/>
          <w:sz w:val="28"/>
          <w:szCs w:val="28"/>
          <w:highlight w:val="none"/>
        </w:rPr>
      </w:pPr>
    </w:p>
    <w:p w14:paraId="39C5589A">
      <w:pPr>
        <w:jc w:val="center"/>
        <w:rPr>
          <w:rFonts w:ascii="仿宋" w:hAnsi="仿宋" w:eastAsia="仿宋" w:cs="仿宋"/>
          <w:color w:val="auto"/>
          <w:sz w:val="28"/>
          <w:szCs w:val="28"/>
          <w:highlight w:val="none"/>
        </w:rPr>
      </w:pPr>
    </w:p>
    <w:p w14:paraId="632AD92B">
      <w:pPr>
        <w:jc w:val="center"/>
        <w:rPr>
          <w:rFonts w:ascii="仿宋" w:hAnsi="仿宋" w:eastAsia="仿宋" w:cs="仿宋"/>
          <w:color w:val="auto"/>
          <w:sz w:val="28"/>
          <w:szCs w:val="28"/>
          <w:highlight w:val="none"/>
        </w:rPr>
      </w:pPr>
    </w:p>
    <w:p w14:paraId="30537C46">
      <w:pPr>
        <w:jc w:val="center"/>
        <w:rPr>
          <w:rFonts w:ascii="仿宋" w:hAnsi="仿宋" w:eastAsia="仿宋" w:cs="仿宋"/>
          <w:color w:val="auto"/>
          <w:sz w:val="28"/>
          <w:szCs w:val="28"/>
          <w:highlight w:val="none"/>
        </w:rPr>
      </w:pPr>
    </w:p>
    <w:p w14:paraId="488FFD37">
      <w:pPr>
        <w:jc w:val="center"/>
        <w:rPr>
          <w:rFonts w:ascii="仿宋" w:hAnsi="仿宋" w:eastAsia="仿宋" w:cs="仿宋"/>
          <w:color w:val="auto"/>
          <w:sz w:val="28"/>
          <w:szCs w:val="28"/>
          <w:highlight w:val="none"/>
        </w:rPr>
      </w:pPr>
    </w:p>
    <w:p w14:paraId="5D76E1CA">
      <w:pPr>
        <w:jc w:val="center"/>
        <w:rPr>
          <w:rFonts w:ascii="仿宋" w:hAnsi="仿宋" w:eastAsia="仿宋" w:cs="仿宋"/>
          <w:color w:val="auto"/>
          <w:sz w:val="28"/>
          <w:szCs w:val="28"/>
          <w:highlight w:val="none"/>
        </w:rPr>
      </w:pPr>
    </w:p>
    <w:p w14:paraId="2C8FE17A">
      <w:pPr>
        <w:jc w:val="center"/>
        <w:rPr>
          <w:rFonts w:ascii="仿宋" w:hAnsi="仿宋" w:eastAsia="仿宋" w:cs="仿宋"/>
          <w:color w:val="auto"/>
          <w:sz w:val="28"/>
          <w:szCs w:val="28"/>
          <w:highlight w:val="none"/>
        </w:rPr>
      </w:pPr>
    </w:p>
    <w:p w14:paraId="4BE509AF">
      <w:pPr>
        <w:jc w:val="center"/>
        <w:rPr>
          <w:rFonts w:ascii="仿宋" w:hAnsi="仿宋" w:eastAsia="仿宋" w:cs="仿宋"/>
          <w:color w:val="auto"/>
          <w:sz w:val="28"/>
          <w:szCs w:val="28"/>
          <w:highlight w:val="none"/>
        </w:rPr>
      </w:pPr>
    </w:p>
    <w:p w14:paraId="79AC9AFE">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4252EBF2">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b)</w:t>
      </w:r>
      <w:r>
        <w:rPr>
          <w:rFonts w:hint="eastAsia" w:ascii="仿宋" w:hAnsi="仿宋" w:eastAsia="仿宋" w:cs="仿宋"/>
          <w:color w:val="auto"/>
          <w:sz w:val="28"/>
          <w:szCs w:val="28"/>
          <w:highlight w:val="none"/>
        </w:rPr>
        <w:t>政府采购投标担保函 （项目用）</w:t>
      </w:r>
    </w:p>
    <w:p w14:paraId="3CD3BF70">
      <w:pP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编号：</w:t>
      </w:r>
    </w:p>
    <w:p w14:paraId="17E06972">
      <w:pPr>
        <w:spacing w:line="280" w:lineRule="exact"/>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（采购人或采购代理机构）：</w:t>
      </w:r>
    </w:p>
    <w:p w14:paraId="7933354F">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鉴于</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（以下简称“投标人”）拟参加编号为</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的</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 xml:space="preserve">                            </w:t>
      </w:r>
    </w:p>
    <w:p w14:paraId="10ABC260">
      <w:pPr>
        <w:spacing w:line="280" w:lineRule="exact"/>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项目（以下简称“本项目”）投标，根据本项目</w:t>
      </w:r>
      <w:r>
        <w:rPr>
          <w:rFonts w:hint="eastAsia" w:ascii="仿宋" w:hAnsi="仿宋" w:eastAsia="仿宋" w:cs="仿宋"/>
          <w:color w:val="auto"/>
          <w:sz w:val="22"/>
          <w:szCs w:val="22"/>
          <w:highlight w:val="none"/>
          <w:lang w:eastAsia="zh-CN"/>
        </w:rPr>
        <w:t>招标文件</w:t>
      </w:r>
      <w:r>
        <w:rPr>
          <w:rFonts w:hint="eastAsia" w:ascii="仿宋" w:hAnsi="仿宋" w:eastAsia="仿宋" w:cs="仿宋"/>
          <w:color w:val="auto"/>
          <w:sz w:val="22"/>
          <w:szCs w:val="22"/>
          <w:highlight w:val="none"/>
        </w:rPr>
        <w:t>，供应商参加投标时应向你方交纳投标保证金，且可以投标担保函的形式交纳投标保证金。应供应商的申请，我方以保证的方式向你方提供如下投标保证金担保：</w:t>
      </w:r>
    </w:p>
    <w:p w14:paraId="5887BEDD">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一、保证责任的情形及保证金额</w:t>
      </w:r>
    </w:p>
    <w:p w14:paraId="5E919A67">
      <w:pPr>
        <w:spacing w:line="280" w:lineRule="exact"/>
        <w:ind w:firstLine="223" w:firstLineChars="1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（一）在投标人出现下列情形之一时，我方承担保证责任：</w:t>
      </w:r>
    </w:p>
    <w:p w14:paraId="6AA95AAE">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1．中标后投标人无正当理由不与采购人或者采购代理机构签订《政府采购合同》；</w:t>
      </w:r>
    </w:p>
    <w:p w14:paraId="5A3850E6">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r>
        <w:rPr>
          <w:rFonts w:hint="eastAsia" w:ascii="仿宋" w:hAnsi="仿宋" w:eastAsia="仿宋" w:cs="仿宋"/>
          <w:color w:val="auto"/>
          <w:sz w:val="22"/>
          <w:szCs w:val="22"/>
          <w:highlight w:val="none"/>
          <w:lang w:eastAsia="zh-CN"/>
        </w:rPr>
        <w:t>询价通知书</w:t>
      </w:r>
      <w:r>
        <w:rPr>
          <w:rFonts w:hint="eastAsia" w:ascii="仿宋" w:hAnsi="仿宋" w:eastAsia="仿宋" w:cs="仿宋"/>
          <w:color w:val="auto"/>
          <w:sz w:val="22"/>
          <w:szCs w:val="22"/>
          <w:highlight w:val="none"/>
        </w:rPr>
        <w:t>规定的投标人应当缴纳保证金的其他情形。</w:t>
      </w:r>
    </w:p>
    <w:p w14:paraId="7F390D20">
      <w:pPr>
        <w:spacing w:line="280" w:lineRule="exact"/>
        <w:ind w:firstLine="223" w:firstLineChars="1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（二）我方承担保证责任的最高金额为人民币</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元（大写</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），即本项目的投标保证金金额。</w:t>
      </w:r>
    </w:p>
    <w:p w14:paraId="08614ED4">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二、保证的方式及保证期间</w:t>
      </w:r>
    </w:p>
    <w:p w14:paraId="4FB925B7">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我方保证的方式为：连带责任保证。</w:t>
      </w:r>
    </w:p>
    <w:p w14:paraId="7FA744F1">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我方的保证期间为：自本保函生效之日起</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个月止。</w:t>
      </w:r>
    </w:p>
    <w:p w14:paraId="421595B6">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三、承担保证责任的程序</w:t>
      </w:r>
    </w:p>
    <w:p w14:paraId="0C6923F0">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68754E2C">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2．我方在收到索赔通知及相关证明材料后，在</w:t>
      </w:r>
      <w:r>
        <w:rPr>
          <w:rFonts w:hint="eastAsia" w:ascii="仿宋" w:hAnsi="仿宋" w:eastAsia="仿宋" w:cs="仿宋"/>
          <w:color w:val="auto"/>
          <w:sz w:val="22"/>
          <w:szCs w:val="22"/>
          <w:highlight w:val="none"/>
          <w:u w:val="single"/>
        </w:rPr>
        <w:t>　　　</w:t>
      </w:r>
      <w:r>
        <w:rPr>
          <w:rFonts w:hint="eastAsia" w:ascii="仿宋" w:hAnsi="仿宋" w:eastAsia="仿宋" w:cs="仿宋"/>
          <w:color w:val="auto"/>
          <w:sz w:val="22"/>
          <w:szCs w:val="22"/>
          <w:highlight w:val="none"/>
        </w:rPr>
        <w:t>个工作日内进行审查，符合应承担保证责任情形的，我方应按照你方的要求代投标人向你方支付投标保证金。</w:t>
      </w:r>
    </w:p>
    <w:p w14:paraId="56A5C851">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四、保证责任的终止</w:t>
      </w:r>
    </w:p>
    <w:p w14:paraId="3F723BC4">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1．保证期间届满你方未向我方书面主张保证责任的，自保证期间届满次日起，我方保证责任自动终止。</w:t>
      </w:r>
    </w:p>
    <w:p w14:paraId="5891225A">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2．我方按照本保函向你贵方履行了保证责任后，自我方向你贵方支付款项（支付款项从我方账户划出）之日起，保证责任终止。</w:t>
      </w:r>
    </w:p>
    <w:p w14:paraId="459B5B57">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3．按照法律法规的规定或出现我方保证责任终止的其它情形的，我方在本保函项下的保证责任亦终止。</w:t>
      </w:r>
    </w:p>
    <w:p w14:paraId="3DEE4915">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五、免责条款</w:t>
      </w:r>
    </w:p>
    <w:p w14:paraId="7FC90625">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1．依照法律规定或你方与投标人的另行约定，全部或者部分免除投标人投标保证金义务时，我方亦免除相应的保证责任。</w:t>
      </w:r>
    </w:p>
    <w:p w14:paraId="15A2E535">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2．因你方原因致使投标人发生本保函第一条第（一）款约定情形的，我方不承担保证责任。</w:t>
      </w:r>
    </w:p>
    <w:p w14:paraId="4357A9EC">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3．因不可抗力造成投标人发生本保函第一条约定情形的，我方不承担保证责任。</w:t>
      </w:r>
    </w:p>
    <w:p w14:paraId="7DB826C5">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4．你方或其他有权机关对</w:t>
      </w:r>
      <w:r>
        <w:rPr>
          <w:rFonts w:hint="eastAsia" w:ascii="仿宋" w:hAnsi="仿宋" w:eastAsia="仿宋" w:cs="仿宋"/>
          <w:color w:val="auto"/>
          <w:sz w:val="22"/>
          <w:szCs w:val="22"/>
          <w:highlight w:val="none"/>
          <w:lang w:eastAsia="zh-CN"/>
        </w:rPr>
        <w:t>询价通知书</w:t>
      </w:r>
      <w:r>
        <w:rPr>
          <w:rFonts w:hint="eastAsia" w:ascii="仿宋" w:hAnsi="仿宋" w:eastAsia="仿宋" w:cs="仿宋"/>
          <w:color w:val="auto"/>
          <w:sz w:val="22"/>
          <w:szCs w:val="22"/>
          <w:highlight w:val="none"/>
        </w:rPr>
        <w:t>进行任何澄清或修改，加重我方保证责任的，我方对加重部分不承担保证责任，但该澄清或修改经我方事先书面同意的除外。</w:t>
      </w:r>
    </w:p>
    <w:p w14:paraId="14FC3744">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六、争议的解决</w:t>
      </w:r>
    </w:p>
    <w:p w14:paraId="0CDC7771">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因本保函发生的纠纷，由你我双方协商解决，协商不成的，通过诉讼程序解决，诉讼管辖地法院为</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法院。</w:t>
      </w:r>
    </w:p>
    <w:p w14:paraId="65736F2B">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七、保函的生效</w:t>
      </w:r>
    </w:p>
    <w:p w14:paraId="499F4144">
      <w:pPr>
        <w:spacing w:line="280" w:lineRule="exact"/>
        <w:ind w:firstLine="446" w:firstLineChars="20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本保函自我方加盖公章之日起生效。</w:t>
      </w:r>
    </w:p>
    <w:p w14:paraId="516F942F">
      <w:pPr>
        <w:spacing w:line="280" w:lineRule="exact"/>
        <w:ind w:firstLine="5909" w:firstLineChars="265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保证人：（公章）</w:t>
      </w:r>
    </w:p>
    <w:p w14:paraId="7EFDF129">
      <w:pPr>
        <w:spacing w:line="280" w:lineRule="exact"/>
        <w:rPr>
          <w:rFonts w:ascii="仿宋" w:hAnsi="仿宋" w:eastAsia="仿宋" w:cs="仿宋"/>
          <w:color w:val="auto"/>
          <w:highlight w:val="none"/>
        </w:rPr>
      </w:pPr>
      <w:r>
        <w:rPr>
          <w:rFonts w:hint="eastAsia" w:ascii="仿宋" w:hAnsi="仿宋" w:eastAsia="仿宋" w:cs="仿宋"/>
          <w:color w:val="auto"/>
          <w:highlight w:val="none"/>
        </w:rPr>
        <w:t xml:space="preserve">                               </w:t>
      </w:r>
    </w:p>
    <w:p w14:paraId="67C458E8">
      <w:pPr>
        <w:spacing w:line="280" w:lineRule="exact"/>
        <w:ind w:firstLine="5112" w:firstLineChars="2400"/>
        <w:rPr>
          <w:rFonts w:ascii="仿宋" w:hAnsi="仿宋" w:eastAsia="仿宋" w:cs="仿宋"/>
          <w:color w:val="auto"/>
          <w:highlight w:val="none"/>
        </w:rPr>
        <w:sectPr>
          <w:footerReference r:id="rId5" w:type="default"/>
          <w:pgSz w:w="11905" w:h="16838"/>
          <w:pgMar w:top="1440" w:right="1417" w:bottom="1440" w:left="1417" w:header="850" w:footer="992" w:gutter="0"/>
          <w:pgNumType w:start="43"/>
          <w:cols w:space="720" w:num="1"/>
          <w:docGrid w:type="linesAndChars" w:linePitch="325" w:charSpace="635"/>
        </w:sectPr>
      </w:pPr>
      <w:r>
        <w:rPr>
          <w:rFonts w:hint="eastAsia" w:ascii="仿宋" w:hAnsi="仿宋" w:eastAsia="仿宋" w:cs="仿宋"/>
          <w:color w:val="auto"/>
          <w:highlight w:val="none"/>
        </w:rPr>
        <w:t>年     月      日</w:t>
      </w:r>
    </w:p>
    <w:p w14:paraId="306893F8">
      <w:pPr>
        <w:pageBreakBefore w:val="0"/>
        <w:kinsoku/>
        <w:wordWrap/>
        <w:overflowPunct/>
        <w:topLinePunct w:val="0"/>
        <w:bidi w:val="0"/>
        <w:spacing w:line="348" w:lineRule="auto"/>
        <w:ind w:left="24" w:leftChars="-85" w:hanging="205" w:hangingChars="64"/>
        <w:jc w:val="center"/>
        <w:rPr>
          <w:rFonts w:ascii="宋体" w:hAnsi="宋体"/>
          <w:b/>
          <w:sz w:val="32"/>
          <w:szCs w:val="28"/>
        </w:rPr>
      </w:pPr>
      <w:bookmarkStart w:id="149" w:name="bookmark235"/>
      <w:bookmarkStart w:id="150" w:name="bookmark234"/>
      <w:bookmarkStart w:id="151" w:name="bookmark233"/>
      <w:bookmarkStart w:id="152" w:name="bookmark236"/>
      <w:r>
        <w:rPr>
          <w:rFonts w:hint="eastAsia" w:ascii="宋体" w:hAnsi="宋体"/>
          <w:b/>
          <w:sz w:val="32"/>
          <w:szCs w:val="28"/>
          <w:lang w:eastAsia="zh-CN"/>
        </w:rPr>
        <w:t>五、</w:t>
      </w:r>
      <w:r>
        <w:rPr>
          <w:rFonts w:hint="eastAsia" w:ascii="宋体" w:hAnsi="宋体"/>
          <w:b/>
          <w:sz w:val="32"/>
          <w:szCs w:val="28"/>
        </w:rPr>
        <w:t>开标一览表</w:t>
      </w:r>
    </w:p>
    <w:p w14:paraId="1E36E242">
      <w:pPr>
        <w:pageBreakBefore w:val="0"/>
        <w:kinsoku/>
        <w:wordWrap/>
        <w:overflowPunct/>
        <w:topLinePunct w:val="0"/>
        <w:bidi w:val="0"/>
        <w:spacing w:line="348" w:lineRule="auto"/>
        <w:ind w:right="-356"/>
        <w:rPr>
          <w:rFonts w:hint="eastAsia" w:ascii="宋体" w:hAnsi="宋体"/>
          <w:b/>
          <w:sz w:val="10"/>
          <w:szCs w:val="21"/>
        </w:rPr>
      </w:pPr>
      <w:r>
        <w:rPr>
          <w:rFonts w:hint="eastAsia" w:ascii="宋体" w:hAnsi="宋体"/>
          <w:b/>
          <w:sz w:val="24"/>
        </w:rPr>
        <w:t>磋商响应人名称：</w:t>
      </w:r>
      <w:r>
        <w:rPr>
          <w:rFonts w:ascii="宋体" w:hAnsi="宋体"/>
        </w:rPr>
        <w:t xml:space="preserve">                                             </w:t>
      </w:r>
      <w:r>
        <w:rPr>
          <w:rFonts w:hint="eastAsia" w:ascii="宋体" w:hAnsi="宋体"/>
          <w:bCs/>
          <w:sz w:val="24"/>
          <w:lang w:val="en-US" w:eastAsia="zh-CN"/>
        </w:rPr>
        <w:t>项目</w:t>
      </w:r>
      <w:r>
        <w:rPr>
          <w:rFonts w:hint="eastAsia" w:ascii="宋体" w:hAnsi="宋体"/>
          <w:bCs/>
          <w:sz w:val="24"/>
        </w:rPr>
        <w:t>编号</w:t>
      </w:r>
      <w:r>
        <w:rPr>
          <w:rFonts w:ascii="宋体" w:hAnsi="宋体"/>
          <w:bCs/>
          <w:sz w:val="24"/>
        </w:rPr>
        <w:t>:</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2429"/>
        <w:gridCol w:w="2300"/>
        <w:gridCol w:w="1037"/>
        <w:gridCol w:w="1067"/>
        <w:gridCol w:w="878"/>
      </w:tblGrid>
      <w:tr w14:paraId="36BFC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1512" w:type="dxa"/>
            <w:noWrap w:val="0"/>
            <w:vAlign w:val="center"/>
          </w:tcPr>
          <w:p w14:paraId="7B392023">
            <w:pPr>
              <w:pageBreakBefore w:val="0"/>
              <w:kinsoku/>
              <w:wordWrap/>
              <w:overflowPunct/>
              <w:topLinePunct w:val="0"/>
              <w:bidi w:val="0"/>
              <w:spacing w:line="348" w:lineRule="auto"/>
              <w:jc w:val="center"/>
              <w:rPr>
                <w:rFonts w:hint="eastAsia" w:ascii="仿宋" w:hAnsi="仿宋" w:eastAsia="仿宋" w:cs="仿宋"/>
                <w:w w:val="80"/>
                <w:sz w:val="24"/>
              </w:rPr>
            </w:pPr>
            <w:r>
              <w:rPr>
                <w:rFonts w:hint="eastAsia" w:ascii="仿宋" w:hAnsi="仿宋" w:eastAsia="仿宋" w:cs="仿宋"/>
                <w:w w:val="80"/>
                <w:sz w:val="24"/>
              </w:rPr>
              <w:t>服务名称</w:t>
            </w:r>
          </w:p>
        </w:tc>
        <w:tc>
          <w:tcPr>
            <w:tcW w:w="2429" w:type="dxa"/>
            <w:noWrap w:val="0"/>
            <w:vAlign w:val="center"/>
          </w:tcPr>
          <w:p w14:paraId="69403DF6">
            <w:pPr>
              <w:pageBreakBefore w:val="0"/>
              <w:kinsoku/>
              <w:wordWrap/>
              <w:overflowPunct/>
              <w:topLinePunct w:val="0"/>
              <w:bidi w:val="0"/>
              <w:spacing w:line="348" w:lineRule="auto"/>
              <w:jc w:val="center"/>
              <w:rPr>
                <w:rFonts w:hint="eastAsia" w:ascii="仿宋" w:hAnsi="仿宋" w:eastAsia="仿宋" w:cs="仿宋"/>
                <w:w w:val="80"/>
                <w:sz w:val="24"/>
              </w:rPr>
            </w:pPr>
            <w:r>
              <w:rPr>
                <w:rFonts w:hint="eastAsia" w:ascii="仿宋" w:hAnsi="仿宋" w:eastAsia="仿宋" w:cs="仿宋"/>
                <w:w w:val="80"/>
                <w:sz w:val="24"/>
              </w:rPr>
              <w:t>投标总报价</w:t>
            </w:r>
          </w:p>
        </w:tc>
        <w:tc>
          <w:tcPr>
            <w:tcW w:w="2300" w:type="dxa"/>
            <w:noWrap w:val="0"/>
            <w:vAlign w:val="center"/>
          </w:tcPr>
          <w:p w14:paraId="52727CB0">
            <w:pPr>
              <w:pageBreakBefore w:val="0"/>
              <w:kinsoku/>
              <w:wordWrap/>
              <w:overflowPunct/>
              <w:topLinePunct w:val="0"/>
              <w:bidi w:val="0"/>
              <w:spacing w:line="348" w:lineRule="auto"/>
              <w:jc w:val="center"/>
              <w:rPr>
                <w:rFonts w:hint="eastAsia" w:ascii="仿宋" w:hAnsi="仿宋" w:eastAsia="仿宋" w:cs="仿宋"/>
                <w:w w:val="80"/>
                <w:sz w:val="24"/>
              </w:rPr>
            </w:pPr>
            <w:r>
              <w:rPr>
                <w:rFonts w:hint="eastAsia" w:ascii="仿宋" w:hAnsi="仿宋" w:eastAsia="仿宋" w:cs="仿宋"/>
                <w:w w:val="80"/>
                <w:sz w:val="24"/>
              </w:rPr>
              <w:t>服务内容</w:t>
            </w:r>
          </w:p>
        </w:tc>
        <w:tc>
          <w:tcPr>
            <w:tcW w:w="1037" w:type="dxa"/>
            <w:noWrap w:val="0"/>
            <w:vAlign w:val="center"/>
          </w:tcPr>
          <w:p w14:paraId="1ACA3408">
            <w:pPr>
              <w:pageBreakBefore w:val="0"/>
              <w:kinsoku/>
              <w:wordWrap/>
              <w:overflowPunct/>
              <w:topLinePunct w:val="0"/>
              <w:bidi w:val="0"/>
              <w:spacing w:line="348" w:lineRule="auto"/>
              <w:jc w:val="center"/>
              <w:rPr>
                <w:rFonts w:hint="eastAsia" w:ascii="仿宋" w:hAnsi="仿宋" w:eastAsia="仿宋" w:cs="仿宋"/>
                <w:w w:val="80"/>
                <w:sz w:val="24"/>
              </w:rPr>
            </w:pPr>
            <w:r>
              <w:rPr>
                <w:rFonts w:hint="eastAsia" w:ascii="仿宋" w:hAnsi="仿宋" w:eastAsia="仿宋" w:cs="仿宋"/>
                <w:w w:val="80"/>
                <w:sz w:val="24"/>
              </w:rPr>
              <w:t>服务时间</w:t>
            </w:r>
          </w:p>
        </w:tc>
        <w:tc>
          <w:tcPr>
            <w:tcW w:w="1067" w:type="dxa"/>
            <w:noWrap w:val="0"/>
            <w:vAlign w:val="center"/>
          </w:tcPr>
          <w:p w14:paraId="35E4524B">
            <w:pPr>
              <w:pageBreakBefore w:val="0"/>
              <w:kinsoku/>
              <w:wordWrap/>
              <w:overflowPunct/>
              <w:topLinePunct w:val="0"/>
              <w:bidi w:val="0"/>
              <w:spacing w:line="348" w:lineRule="auto"/>
              <w:jc w:val="center"/>
              <w:rPr>
                <w:rFonts w:hint="eastAsia" w:ascii="仿宋" w:hAnsi="仿宋" w:eastAsia="仿宋" w:cs="仿宋"/>
                <w:w w:val="80"/>
                <w:sz w:val="24"/>
              </w:rPr>
            </w:pPr>
            <w:r>
              <w:rPr>
                <w:rFonts w:hint="eastAsia" w:ascii="仿宋" w:hAnsi="仿宋" w:eastAsia="仿宋" w:cs="仿宋"/>
                <w:w w:val="80"/>
                <w:sz w:val="24"/>
              </w:rPr>
              <w:t>投标</w:t>
            </w:r>
          </w:p>
          <w:p w14:paraId="094B18DF">
            <w:pPr>
              <w:pageBreakBefore w:val="0"/>
              <w:kinsoku/>
              <w:wordWrap/>
              <w:overflowPunct/>
              <w:topLinePunct w:val="0"/>
              <w:bidi w:val="0"/>
              <w:spacing w:line="348" w:lineRule="auto"/>
              <w:jc w:val="center"/>
              <w:rPr>
                <w:rFonts w:hint="eastAsia" w:ascii="仿宋" w:hAnsi="仿宋" w:eastAsia="仿宋" w:cs="仿宋"/>
                <w:w w:val="80"/>
                <w:sz w:val="24"/>
              </w:rPr>
            </w:pPr>
            <w:r>
              <w:rPr>
                <w:rFonts w:hint="eastAsia" w:ascii="仿宋" w:hAnsi="仿宋" w:eastAsia="仿宋" w:cs="仿宋"/>
                <w:w w:val="80"/>
                <w:sz w:val="24"/>
              </w:rPr>
              <w:t>有效期</w:t>
            </w:r>
          </w:p>
        </w:tc>
        <w:tc>
          <w:tcPr>
            <w:tcW w:w="878" w:type="dxa"/>
            <w:noWrap w:val="0"/>
            <w:vAlign w:val="center"/>
          </w:tcPr>
          <w:p w14:paraId="5E0E9C17">
            <w:pPr>
              <w:pageBreakBefore w:val="0"/>
              <w:kinsoku/>
              <w:wordWrap/>
              <w:overflowPunct/>
              <w:topLinePunct w:val="0"/>
              <w:bidi w:val="0"/>
              <w:spacing w:line="348" w:lineRule="auto"/>
              <w:jc w:val="center"/>
              <w:rPr>
                <w:rFonts w:hint="eastAsia" w:ascii="仿宋" w:hAnsi="仿宋" w:eastAsia="仿宋" w:cs="仿宋"/>
                <w:w w:val="80"/>
                <w:sz w:val="24"/>
              </w:rPr>
            </w:pPr>
            <w:r>
              <w:rPr>
                <w:rFonts w:hint="eastAsia" w:ascii="仿宋" w:hAnsi="仿宋" w:eastAsia="仿宋" w:cs="仿宋"/>
                <w:w w:val="80"/>
                <w:sz w:val="24"/>
              </w:rPr>
              <w:t>备注</w:t>
            </w:r>
          </w:p>
        </w:tc>
      </w:tr>
      <w:tr w14:paraId="33FB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4" w:hRule="atLeast"/>
          <w:jc w:val="center"/>
        </w:trPr>
        <w:tc>
          <w:tcPr>
            <w:tcW w:w="1512" w:type="dxa"/>
            <w:noWrap w:val="0"/>
            <w:vAlign w:val="center"/>
          </w:tcPr>
          <w:p w14:paraId="12D8C9EC">
            <w:pPr>
              <w:pageBreakBefore w:val="0"/>
              <w:widowControl/>
              <w:kinsoku/>
              <w:wordWrap/>
              <w:overflowPunct/>
              <w:topLinePunct w:val="0"/>
              <w:bidi w:val="0"/>
              <w:spacing w:line="348" w:lineRule="auto"/>
              <w:jc w:val="both"/>
              <w:rPr>
                <w:rFonts w:hint="eastAsia" w:ascii="仿宋" w:hAnsi="仿宋" w:eastAsia="仿宋" w:cs="仿宋"/>
              </w:rPr>
            </w:pPr>
          </w:p>
        </w:tc>
        <w:tc>
          <w:tcPr>
            <w:tcW w:w="2429" w:type="dxa"/>
            <w:noWrap w:val="0"/>
            <w:vAlign w:val="center"/>
          </w:tcPr>
          <w:p w14:paraId="40BA01F7">
            <w:pPr>
              <w:pageBreakBefore w:val="0"/>
              <w:kinsoku/>
              <w:wordWrap/>
              <w:overflowPunct/>
              <w:topLinePunct w:val="0"/>
              <w:bidi w:val="0"/>
              <w:spacing w:line="348" w:lineRule="auto"/>
              <w:rPr>
                <w:rFonts w:hint="eastAsia" w:ascii="仿宋" w:hAnsi="仿宋" w:eastAsia="仿宋" w:cs="仿宋"/>
                <w:lang w:val="en-US" w:eastAsia="zh-CN"/>
              </w:rPr>
            </w:pPr>
            <w:r>
              <w:rPr>
                <w:rFonts w:hint="eastAsia" w:ascii="仿宋" w:hAnsi="仿宋" w:eastAsia="仿宋" w:cs="仿宋"/>
              </w:rPr>
              <w:t>大写：</w:t>
            </w:r>
            <w:r>
              <w:rPr>
                <w:rFonts w:hint="eastAsia" w:ascii="仿宋" w:hAnsi="仿宋" w:eastAsia="仿宋" w:cs="仿宋"/>
                <w:u w:val="none"/>
                <w:lang w:val="en-US" w:eastAsia="zh-CN"/>
              </w:rPr>
              <w:t xml:space="preserve">        </w:t>
            </w:r>
          </w:p>
          <w:p w14:paraId="00D7A3D5">
            <w:pPr>
              <w:pageBreakBefore w:val="0"/>
              <w:kinsoku/>
              <w:wordWrap/>
              <w:overflowPunct/>
              <w:topLinePunct w:val="0"/>
              <w:bidi w:val="0"/>
              <w:spacing w:line="348" w:lineRule="auto"/>
              <w:rPr>
                <w:rFonts w:hint="eastAsia" w:ascii="仿宋" w:hAnsi="仿宋" w:eastAsia="仿宋" w:cs="仿宋"/>
                <w:lang w:val="en-US" w:eastAsia="zh-CN"/>
              </w:rPr>
            </w:pPr>
            <w:r>
              <w:rPr>
                <w:rFonts w:hint="eastAsia" w:ascii="仿宋" w:hAnsi="仿宋" w:eastAsia="仿宋" w:cs="仿宋"/>
              </w:rPr>
              <w:t>小写：</w:t>
            </w:r>
          </w:p>
        </w:tc>
        <w:tc>
          <w:tcPr>
            <w:tcW w:w="2300" w:type="dxa"/>
            <w:noWrap w:val="0"/>
            <w:vAlign w:val="center"/>
          </w:tcPr>
          <w:p w14:paraId="4579EAB8">
            <w:pPr>
              <w:pageBreakBefore w:val="0"/>
              <w:kinsoku/>
              <w:wordWrap/>
              <w:overflowPunct/>
              <w:topLinePunct w:val="0"/>
              <w:bidi w:val="0"/>
              <w:spacing w:line="348" w:lineRule="auto"/>
              <w:rPr>
                <w:rFonts w:hint="eastAsia" w:ascii="仿宋" w:hAnsi="仿宋" w:eastAsia="仿宋" w:cs="仿宋"/>
              </w:rPr>
            </w:pPr>
          </w:p>
        </w:tc>
        <w:tc>
          <w:tcPr>
            <w:tcW w:w="1037" w:type="dxa"/>
            <w:noWrap w:val="0"/>
            <w:vAlign w:val="center"/>
          </w:tcPr>
          <w:p w14:paraId="2B273C97">
            <w:pPr>
              <w:pageBreakBefore w:val="0"/>
              <w:kinsoku/>
              <w:wordWrap/>
              <w:overflowPunct/>
              <w:topLinePunct w:val="0"/>
              <w:bidi w:val="0"/>
              <w:spacing w:line="348" w:lineRule="auto"/>
              <w:rPr>
                <w:rFonts w:hint="eastAsia" w:ascii="仿宋" w:hAnsi="仿宋" w:eastAsia="仿宋" w:cs="仿宋"/>
                <w:lang w:val="en-US" w:eastAsia="zh-CN"/>
              </w:rPr>
            </w:pPr>
          </w:p>
        </w:tc>
        <w:tc>
          <w:tcPr>
            <w:tcW w:w="1067" w:type="dxa"/>
            <w:noWrap w:val="0"/>
            <w:vAlign w:val="center"/>
          </w:tcPr>
          <w:p w14:paraId="3B6126BB">
            <w:pPr>
              <w:pageBreakBefore w:val="0"/>
              <w:kinsoku/>
              <w:wordWrap/>
              <w:overflowPunct/>
              <w:topLinePunct w:val="0"/>
              <w:bidi w:val="0"/>
              <w:spacing w:line="348" w:lineRule="auto"/>
              <w:rPr>
                <w:rFonts w:hint="eastAsia" w:ascii="仿宋" w:hAnsi="仿宋" w:eastAsia="仿宋" w:cs="仿宋"/>
                <w:lang w:val="en-US" w:eastAsia="zh-CN"/>
              </w:rPr>
            </w:pPr>
          </w:p>
        </w:tc>
        <w:tc>
          <w:tcPr>
            <w:tcW w:w="878" w:type="dxa"/>
            <w:noWrap w:val="0"/>
            <w:vAlign w:val="top"/>
          </w:tcPr>
          <w:p w14:paraId="3FD5AF9D">
            <w:pPr>
              <w:pStyle w:val="14"/>
              <w:pageBreakBefore w:val="0"/>
              <w:kinsoku/>
              <w:wordWrap/>
              <w:overflowPunct/>
              <w:topLinePunct w:val="0"/>
              <w:bidi w:val="0"/>
              <w:spacing w:line="348" w:lineRule="auto"/>
              <w:rPr>
                <w:rFonts w:hint="eastAsia" w:ascii="仿宋" w:hAnsi="仿宋" w:eastAsia="仿宋" w:cs="仿宋"/>
                <w:kern w:val="2"/>
                <w:lang w:val="en-US" w:eastAsia="zh-CN"/>
              </w:rPr>
            </w:pPr>
          </w:p>
        </w:tc>
      </w:tr>
    </w:tbl>
    <w:p w14:paraId="245CEA99">
      <w:pPr>
        <w:pageBreakBefore w:val="0"/>
        <w:kinsoku/>
        <w:wordWrap/>
        <w:overflowPunct/>
        <w:topLinePunct w:val="0"/>
        <w:bidi w:val="0"/>
        <w:spacing w:line="348" w:lineRule="auto"/>
        <w:ind w:hanging="360"/>
        <w:rPr>
          <w:rFonts w:hint="eastAsia" w:ascii="仿宋" w:hAnsi="仿宋" w:eastAsia="仿宋" w:cs="仿宋"/>
          <w:sz w:val="24"/>
          <w:highlight w:val="none"/>
        </w:rPr>
      </w:pPr>
      <w:r>
        <w:rPr>
          <w:rFonts w:hint="eastAsia" w:ascii="仿宋" w:hAnsi="仿宋" w:eastAsia="仿宋" w:cs="仿宋"/>
          <w:sz w:val="24"/>
          <w:szCs w:val="24"/>
          <w:highlight w:val="none"/>
          <w:lang w:eastAsia="zh-CN"/>
        </w:rPr>
        <w:t xml:space="preserve">注: </w:t>
      </w:r>
      <w:r>
        <w:rPr>
          <w:rFonts w:ascii="宋体" w:hAnsi="宋体"/>
          <w:sz w:val="24"/>
        </w:rPr>
        <w:t xml:space="preserve"> </w:t>
      </w:r>
      <w:r>
        <w:rPr>
          <w:rFonts w:hint="eastAsia" w:ascii="仿宋" w:hAnsi="仿宋" w:eastAsia="仿宋" w:cs="仿宋"/>
          <w:sz w:val="24"/>
          <w:highlight w:val="none"/>
        </w:rPr>
        <w:t>1、</w:t>
      </w:r>
      <w:r>
        <w:rPr>
          <w:rFonts w:hint="eastAsia" w:ascii="仿宋" w:hAnsi="仿宋" w:eastAsia="仿宋" w:cs="仿宋"/>
          <w:sz w:val="24"/>
          <w:szCs w:val="24"/>
          <w:highlight w:val="none"/>
          <w:lang w:eastAsia="zh-CN"/>
        </w:rPr>
        <w:t>响应文件必须包含本表</w:t>
      </w:r>
      <w:r>
        <w:rPr>
          <w:rFonts w:hint="eastAsia" w:ascii="仿宋" w:hAnsi="仿宋" w:eastAsia="仿宋" w:cs="仿宋"/>
          <w:sz w:val="24"/>
          <w:szCs w:val="24"/>
          <w:highlight w:val="none"/>
        </w:rPr>
        <w:t>，随同投标书一起</w:t>
      </w:r>
      <w:r>
        <w:rPr>
          <w:rFonts w:hint="eastAsia" w:ascii="仿宋" w:hAnsi="仿宋" w:eastAsia="仿宋" w:cs="仿宋"/>
          <w:sz w:val="24"/>
          <w:szCs w:val="24"/>
          <w:highlight w:val="none"/>
          <w:lang w:eastAsia="zh-CN"/>
        </w:rPr>
        <w:t>上传</w:t>
      </w:r>
      <w:r>
        <w:rPr>
          <w:rFonts w:hint="eastAsia" w:ascii="仿宋" w:hAnsi="仿宋" w:eastAsia="仿宋" w:cs="仿宋"/>
          <w:sz w:val="24"/>
          <w:szCs w:val="24"/>
          <w:highlight w:val="none"/>
        </w:rPr>
        <w:t>。</w:t>
      </w:r>
    </w:p>
    <w:p w14:paraId="4ABF060F">
      <w:pPr>
        <w:pageBreakBefore w:val="0"/>
        <w:kinsoku/>
        <w:wordWrap/>
        <w:overflowPunct/>
        <w:topLinePunct w:val="0"/>
        <w:bidi w:val="0"/>
        <w:spacing w:line="348" w:lineRule="auto"/>
        <w:ind w:firstLine="243" w:firstLineChars="100"/>
        <w:rPr>
          <w:rFonts w:hint="eastAsia" w:ascii="仿宋" w:hAnsi="仿宋" w:eastAsia="仿宋" w:cs="仿宋"/>
          <w:sz w:val="24"/>
          <w:highlight w:val="none"/>
        </w:rPr>
      </w:pPr>
      <w:r>
        <w:rPr>
          <w:rFonts w:hint="eastAsia" w:ascii="仿宋" w:hAnsi="仿宋" w:eastAsia="仿宋" w:cs="仿宋"/>
          <w:sz w:val="24"/>
          <w:highlight w:val="none"/>
        </w:rPr>
        <w:t>2、若本表与投标书格式其他部分在内容上有出入,以本表为准。</w:t>
      </w:r>
    </w:p>
    <w:p w14:paraId="6B9D388E">
      <w:pPr>
        <w:pageBreakBefore w:val="0"/>
        <w:kinsoku/>
        <w:wordWrap/>
        <w:overflowPunct/>
        <w:topLinePunct w:val="0"/>
        <w:bidi w:val="0"/>
        <w:spacing w:line="348" w:lineRule="auto"/>
        <w:ind w:firstLine="243" w:firstLineChars="100"/>
        <w:rPr>
          <w:rFonts w:hint="eastAsia" w:ascii="宋体" w:hAnsi="宋体"/>
          <w:sz w:val="24"/>
        </w:rPr>
      </w:pPr>
      <w:r>
        <w:rPr>
          <w:rFonts w:hint="eastAsia" w:ascii="仿宋" w:hAnsi="仿宋" w:eastAsia="仿宋" w:cs="仿宋"/>
          <w:sz w:val="24"/>
          <w:highlight w:val="none"/>
        </w:rPr>
        <w:t>3、表中报价单位均为元，小数点后保留</w:t>
      </w:r>
      <w:r>
        <w:rPr>
          <w:rFonts w:hint="eastAsia" w:ascii="仿宋" w:hAnsi="仿宋" w:eastAsia="仿宋" w:cs="仿宋"/>
          <w:sz w:val="24"/>
          <w:highlight w:val="none"/>
          <w:lang w:eastAsia="zh-CN"/>
        </w:rPr>
        <w:t>两</w:t>
      </w:r>
      <w:r>
        <w:rPr>
          <w:rFonts w:hint="eastAsia" w:ascii="仿宋" w:hAnsi="仿宋" w:eastAsia="仿宋" w:cs="仿宋"/>
          <w:sz w:val="24"/>
          <w:highlight w:val="none"/>
        </w:rPr>
        <w:t>位有效数字。</w:t>
      </w:r>
    </w:p>
    <w:p w14:paraId="6F85EB07">
      <w:pPr>
        <w:spacing w:line="500" w:lineRule="exact"/>
        <w:ind w:firstLine="426" w:firstLineChars="200"/>
        <w:rPr>
          <w:rFonts w:hint="eastAsia" w:ascii="仿宋" w:hAnsi="仿宋" w:eastAsia="仿宋" w:cs="仿宋"/>
          <w:szCs w:val="21"/>
          <w:u w:val="single"/>
        </w:rPr>
      </w:pPr>
      <w:r>
        <w:rPr>
          <w:rFonts w:hint="eastAsia" w:ascii="仿宋" w:hAnsi="仿宋" w:eastAsia="仿宋" w:cs="仿宋"/>
          <w:szCs w:val="21"/>
          <w:lang w:val="en-US" w:eastAsia="zh-CN"/>
        </w:rPr>
        <w:t>磋商</w:t>
      </w:r>
      <w:r>
        <w:rPr>
          <w:rFonts w:hint="eastAsia" w:ascii="仿宋" w:hAnsi="仿宋" w:eastAsia="仿宋" w:cs="仿宋"/>
          <w:szCs w:val="21"/>
        </w:rPr>
        <w:t>人名称：</w:t>
      </w:r>
      <w:r>
        <w:rPr>
          <w:rFonts w:hint="eastAsia" w:ascii="仿宋" w:hAnsi="仿宋" w:eastAsia="仿宋" w:cs="仿宋"/>
          <w:szCs w:val="21"/>
          <w:u w:val="single"/>
        </w:rPr>
        <w:t xml:space="preserve">     （加盖公章）</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14:paraId="51747846">
      <w:pPr>
        <w:spacing w:line="500" w:lineRule="exact"/>
        <w:ind w:firstLine="426" w:firstLineChars="200"/>
        <w:rPr>
          <w:rFonts w:hint="eastAsia" w:ascii="仿宋" w:hAnsi="仿宋" w:eastAsia="仿宋" w:cs="仿宋"/>
          <w:szCs w:val="21"/>
        </w:rPr>
      </w:pPr>
      <w:r>
        <w:rPr>
          <w:rFonts w:hint="eastAsia" w:ascii="仿宋" w:hAnsi="仿宋" w:eastAsia="仿宋" w:cs="仿宋"/>
          <w:szCs w:val="21"/>
        </w:rPr>
        <w:t>法定代表人签字或盖章：</w:t>
      </w:r>
    </w:p>
    <w:p w14:paraId="224B573C">
      <w:pPr>
        <w:spacing w:line="500" w:lineRule="exact"/>
        <w:ind w:firstLine="426" w:firstLineChars="200"/>
        <w:rPr>
          <w:rFonts w:hint="eastAsia" w:ascii="仿宋" w:hAnsi="仿宋" w:eastAsia="仿宋" w:cs="仿宋"/>
          <w:szCs w:val="21"/>
          <w:u w:val="single"/>
        </w:rPr>
      </w:pPr>
      <w:r>
        <w:rPr>
          <w:rFonts w:hint="eastAsia" w:ascii="仿宋" w:hAnsi="仿宋" w:eastAsia="仿宋" w:cs="仿宋"/>
          <w:szCs w:val="21"/>
        </w:rPr>
        <w:t>授权代表：</w:t>
      </w:r>
      <w:r>
        <w:rPr>
          <w:rFonts w:hint="eastAsia" w:ascii="仿宋" w:hAnsi="仿宋" w:eastAsia="仿宋" w:cs="仿宋"/>
          <w:szCs w:val="21"/>
          <w:u w:val="single"/>
        </w:rPr>
        <w:t xml:space="preserve"> （签字</w:t>
      </w:r>
      <w:r>
        <w:rPr>
          <w:rFonts w:hint="eastAsia" w:ascii="仿宋" w:hAnsi="仿宋" w:eastAsia="仿宋" w:cs="仿宋"/>
          <w:szCs w:val="21"/>
          <w:u w:val="single"/>
          <w:lang w:eastAsia="zh-CN"/>
        </w:rPr>
        <w:t>或盖章</w:t>
      </w:r>
      <w:r>
        <w:rPr>
          <w:rFonts w:hint="eastAsia" w:ascii="仿宋" w:hAnsi="仿宋" w:eastAsia="仿宋" w:cs="仿宋"/>
          <w:szCs w:val="21"/>
          <w:u w:val="single"/>
        </w:rPr>
        <w:t xml:space="preserve">） </w:t>
      </w:r>
    </w:p>
    <w:p w14:paraId="3C5DF744">
      <w:pPr>
        <w:spacing w:line="500" w:lineRule="exact"/>
        <w:ind w:firstLine="426" w:firstLineChars="200"/>
        <w:rPr>
          <w:rFonts w:hint="eastAsia" w:ascii="仿宋" w:hAnsi="仿宋" w:eastAsia="仿宋" w:cs="仿宋"/>
          <w:b/>
          <w:szCs w:val="21"/>
        </w:rPr>
      </w:pPr>
      <w:r>
        <w:rPr>
          <w:rFonts w:hint="eastAsia" w:ascii="仿宋" w:hAnsi="仿宋" w:eastAsia="仿宋" w:cs="仿宋"/>
          <w:szCs w:val="21"/>
        </w:rPr>
        <w:t>签署日期：</w:t>
      </w:r>
      <w:r>
        <w:rPr>
          <w:rFonts w:hint="eastAsia" w:ascii="仿宋" w:hAnsi="仿宋" w:eastAsia="仿宋" w:cs="仿宋"/>
          <w:szCs w:val="21"/>
          <w:u w:val="single"/>
        </w:rPr>
        <w:t xml:space="preserve">          </w:t>
      </w:r>
      <w:r>
        <w:rPr>
          <w:rFonts w:hint="eastAsia" w:ascii="仿宋" w:hAnsi="仿宋" w:eastAsia="仿宋" w:cs="仿宋"/>
          <w:szCs w:val="21"/>
        </w:rPr>
        <w:t xml:space="preserve"> 年 </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04B6556B">
      <w:pPr>
        <w:pStyle w:val="8"/>
        <w:numPr>
          <w:ilvl w:val="0"/>
          <w:numId w:val="0"/>
        </w:numPr>
        <w:kinsoku w:val="0"/>
        <w:overflowPunct w:val="0"/>
        <w:spacing w:before="34" w:line="357" w:lineRule="auto"/>
        <w:ind w:right="126"/>
        <w:jc w:val="center"/>
        <w:rPr>
          <w:rFonts w:hint="eastAsia" w:ascii="仿宋" w:hAnsi="仿宋" w:eastAsia="仿宋" w:cs="仿宋"/>
          <w:b/>
          <w:bCs/>
          <w:color w:val="auto"/>
          <w:sz w:val="36"/>
          <w:szCs w:val="36"/>
          <w:highlight w:val="none"/>
          <w:lang w:eastAsia="zh-CN"/>
        </w:rPr>
      </w:pPr>
    </w:p>
    <w:p w14:paraId="3221335D">
      <w:pPr>
        <w:pStyle w:val="8"/>
        <w:numPr>
          <w:ilvl w:val="0"/>
          <w:numId w:val="0"/>
        </w:numPr>
        <w:kinsoku w:val="0"/>
        <w:overflowPunct w:val="0"/>
        <w:spacing w:before="34" w:line="357" w:lineRule="auto"/>
        <w:ind w:right="126"/>
        <w:jc w:val="center"/>
        <w:rPr>
          <w:rFonts w:hint="eastAsia" w:ascii="仿宋" w:hAnsi="仿宋" w:eastAsia="仿宋" w:cs="仿宋"/>
          <w:b/>
          <w:bCs/>
          <w:color w:val="auto"/>
          <w:sz w:val="36"/>
          <w:szCs w:val="36"/>
          <w:highlight w:val="none"/>
          <w:lang w:eastAsia="zh-CN"/>
        </w:rPr>
      </w:pPr>
    </w:p>
    <w:p w14:paraId="6632C40A">
      <w:pPr>
        <w:pStyle w:val="8"/>
        <w:numPr>
          <w:ilvl w:val="0"/>
          <w:numId w:val="0"/>
        </w:numPr>
        <w:kinsoku w:val="0"/>
        <w:overflowPunct w:val="0"/>
        <w:spacing w:before="34" w:line="357" w:lineRule="auto"/>
        <w:ind w:right="126"/>
        <w:jc w:val="center"/>
        <w:rPr>
          <w:rFonts w:hint="eastAsia" w:ascii="仿宋" w:hAnsi="仿宋" w:eastAsia="仿宋" w:cs="仿宋"/>
          <w:b/>
          <w:bCs/>
          <w:color w:val="auto"/>
          <w:sz w:val="36"/>
          <w:szCs w:val="36"/>
          <w:highlight w:val="none"/>
          <w:lang w:eastAsia="zh-CN"/>
        </w:rPr>
      </w:pPr>
    </w:p>
    <w:p w14:paraId="456464CF">
      <w:pPr>
        <w:pStyle w:val="8"/>
        <w:numPr>
          <w:ilvl w:val="0"/>
          <w:numId w:val="0"/>
        </w:numPr>
        <w:kinsoku w:val="0"/>
        <w:overflowPunct w:val="0"/>
        <w:spacing w:before="34" w:line="357" w:lineRule="auto"/>
        <w:ind w:right="126"/>
        <w:jc w:val="center"/>
        <w:rPr>
          <w:rFonts w:hint="eastAsia" w:ascii="仿宋" w:hAnsi="仿宋" w:eastAsia="仿宋" w:cs="仿宋"/>
          <w:b/>
          <w:bCs/>
          <w:color w:val="auto"/>
          <w:sz w:val="36"/>
          <w:szCs w:val="36"/>
          <w:highlight w:val="none"/>
          <w:lang w:eastAsia="zh-CN"/>
        </w:rPr>
      </w:pPr>
    </w:p>
    <w:p w14:paraId="1B146FC1">
      <w:pPr>
        <w:pStyle w:val="8"/>
        <w:numPr>
          <w:ilvl w:val="0"/>
          <w:numId w:val="0"/>
        </w:numPr>
        <w:kinsoku w:val="0"/>
        <w:overflowPunct w:val="0"/>
        <w:spacing w:before="34" w:line="357" w:lineRule="auto"/>
        <w:ind w:right="126"/>
        <w:jc w:val="center"/>
        <w:rPr>
          <w:rFonts w:hint="eastAsia" w:ascii="仿宋" w:hAnsi="仿宋" w:eastAsia="仿宋" w:cs="仿宋"/>
          <w:b/>
          <w:bCs/>
          <w:color w:val="auto"/>
          <w:sz w:val="36"/>
          <w:szCs w:val="36"/>
          <w:highlight w:val="none"/>
          <w:lang w:eastAsia="zh-CN"/>
        </w:rPr>
      </w:pPr>
    </w:p>
    <w:p w14:paraId="1B757E5D">
      <w:pPr>
        <w:pStyle w:val="8"/>
        <w:numPr>
          <w:ilvl w:val="0"/>
          <w:numId w:val="0"/>
        </w:numPr>
        <w:kinsoku w:val="0"/>
        <w:overflowPunct w:val="0"/>
        <w:spacing w:before="34" w:line="357" w:lineRule="auto"/>
        <w:ind w:right="126"/>
        <w:jc w:val="center"/>
        <w:rPr>
          <w:rFonts w:hint="eastAsia" w:ascii="仿宋" w:hAnsi="仿宋" w:eastAsia="仿宋" w:cs="仿宋"/>
          <w:b/>
          <w:bCs/>
          <w:color w:val="auto"/>
          <w:sz w:val="36"/>
          <w:szCs w:val="36"/>
          <w:highlight w:val="none"/>
          <w:lang w:eastAsia="zh-CN"/>
        </w:rPr>
      </w:pPr>
    </w:p>
    <w:p w14:paraId="16A5B63E">
      <w:pPr>
        <w:pStyle w:val="8"/>
        <w:numPr>
          <w:ilvl w:val="0"/>
          <w:numId w:val="0"/>
        </w:numPr>
        <w:kinsoku w:val="0"/>
        <w:overflowPunct w:val="0"/>
        <w:spacing w:before="34" w:line="357" w:lineRule="auto"/>
        <w:ind w:right="126"/>
        <w:jc w:val="center"/>
        <w:rPr>
          <w:rFonts w:hint="eastAsia" w:ascii="仿宋" w:hAnsi="仿宋" w:eastAsia="仿宋" w:cs="仿宋"/>
          <w:b/>
          <w:bCs/>
          <w:color w:val="auto"/>
          <w:sz w:val="36"/>
          <w:szCs w:val="36"/>
          <w:highlight w:val="none"/>
          <w:lang w:eastAsia="zh-CN"/>
        </w:rPr>
      </w:pPr>
    </w:p>
    <w:p w14:paraId="6D42A9C1">
      <w:pPr>
        <w:pStyle w:val="8"/>
        <w:numPr>
          <w:ilvl w:val="0"/>
          <w:numId w:val="0"/>
        </w:numPr>
        <w:kinsoku w:val="0"/>
        <w:overflowPunct w:val="0"/>
        <w:spacing w:before="34" w:line="357" w:lineRule="auto"/>
        <w:ind w:right="126"/>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lang w:eastAsia="zh-CN"/>
        </w:rPr>
        <w:t>六、</w:t>
      </w:r>
      <w:r>
        <w:rPr>
          <w:rFonts w:hint="eastAsia" w:ascii="仿宋" w:hAnsi="仿宋" w:eastAsia="仿宋" w:cs="仿宋"/>
          <w:b/>
          <w:bCs/>
          <w:color w:val="auto"/>
          <w:sz w:val="36"/>
          <w:szCs w:val="36"/>
          <w:highlight w:val="none"/>
        </w:rPr>
        <w:t>投标人基本情况</w:t>
      </w:r>
    </w:p>
    <w:p w14:paraId="4EECD459">
      <w:pPr>
        <w:pStyle w:val="8"/>
        <w:numPr>
          <w:ilvl w:val="0"/>
          <w:numId w:val="0"/>
        </w:numPr>
        <w:kinsoku w:val="0"/>
        <w:overflowPunct w:val="0"/>
        <w:spacing w:before="34" w:line="357" w:lineRule="auto"/>
        <w:ind w:left="480" w:right="126"/>
        <w:jc w:val="center"/>
        <w:rPr>
          <w:rFonts w:ascii="仿宋" w:hAnsi="仿宋" w:eastAsia="仿宋" w:cs="仿宋"/>
          <w:color w:val="auto"/>
          <w:sz w:val="24"/>
          <w:highlight w:val="none"/>
        </w:rPr>
      </w:pP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1</w:t>
      </w:r>
      <w:r>
        <w:rPr>
          <w:rFonts w:hint="eastAsia" w:ascii="仿宋" w:hAnsi="仿宋" w:eastAsia="仿宋" w:cs="仿宋"/>
          <w:b/>
          <w:bCs/>
          <w:color w:val="auto"/>
          <w:sz w:val="24"/>
          <w:highlight w:val="none"/>
        </w:rPr>
        <w:t>）投标人基本情况表</w:t>
      </w:r>
    </w:p>
    <w:p w14:paraId="4722FBD3">
      <w:pPr>
        <w:pStyle w:val="8"/>
        <w:numPr>
          <w:ilvl w:val="0"/>
          <w:numId w:val="0"/>
        </w:numPr>
        <w:kinsoku w:val="0"/>
        <w:overflowPunct w:val="0"/>
        <w:spacing w:before="5"/>
        <w:rPr>
          <w:rFonts w:ascii="仿宋" w:hAnsi="仿宋" w:eastAsia="仿宋" w:cs="仿宋"/>
          <w:b/>
          <w:bCs/>
          <w:color w:val="auto"/>
          <w:sz w:val="6"/>
          <w:szCs w:val="6"/>
          <w:highlight w:val="none"/>
        </w:rPr>
      </w:pPr>
    </w:p>
    <w:tbl>
      <w:tblPr>
        <w:tblStyle w:val="24"/>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14:paraId="4028981C">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30A91BAB">
            <w:pPr>
              <w:pStyle w:val="62"/>
              <w:kinsoku w:val="0"/>
              <w:overflowPunct w:val="0"/>
              <w:spacing w:before="145"/>
              <w:ind w:left="137"/>
              <w:rPr>
                <w:rFonts w:ascii="仿宋" w:hAnsi="仿宋" w:eastAsia="仿宋" w:cs="仿宋"/>
                <w:color w:val="auto"/>
                <w:highlight w:val="none"/>
              </w:rPr>
            </w:pPr>
            <w:r>
              <w:rPr>
                <w:rFonts w:hint="eastAsia" w:ascii="仿宋" w:hAnsi="仿宋" w:eastAsia="仿宋" w:cs="仿宋"/>
                <w:color w:val="auto"/>
                <w:highlight w:val="none"/>
              </w:rPr>
              <w:t>单位名称</w:t>
            </w:r>
          </w:p>
        </w:tc>
        <w:tc>
          <w:tcPr>
            <w:tcW w:w="7472" w:type="dxa"/>
            <w:gridSpan w:val="9"/>
            <w:tcBorders>
              <w:top w:val="single" w:color="000000" w:sz="4" w:space="0"/>
              <w:left w:val="single" w:color="000000" w:sz="4" w:space="0"/>
              <w:bottom w:val="single" w:color="000000" w:sz="4" w:space="0"/>
              <w:right w:val="single" w:color="000000" w:sz="4" w:space="0"/>
            </w:tcBorders>
          </w:tcPr>
          <w:p w14:paraId="78E92F6C">
            <w:pPr>
              <w:rPr>
                <w:rFonts w:ascii="仿宋" w:hAnsi="仿宋" w:eastAsia="仿宋" w:cs="仿宋"/>
                <w:color w:val="auto"/>
                <w:highlight w:val="none"/>
              </w:rPr>
            </w:pPr>
          </w:p>
        </w:tc>
      </w:tr>
      <w:tr w14:paraId="39FB618B">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4C38DA6B">
            <w:pPr>
              <w:pStyle w:val="62"/>
              <w:kinsoku w:val="0"/>
              <w:overflowPunct w:val="0"/>
              <w:spacing w:before="145"/>
              <w:ind w:left="137"/>
              <w:rPr>
                <w:rFonts w:ascii="仿宋" w:hAnsi="仿宋" w:eastAsia="仿宋" w:cs="仿宋"/>
                <w:color w:val="auto"/>
                <w:highlight w:val="none"/>
              </w:rPr>
            </w:pPr>
            <w:r>
              <w:rPr>
                <w:rFonts w:hint="eastAsia" w:ascii="仿宋" w:hAnsi="仿宋" w:eastAsia="仿宋" w:cs="仿宋"/>
                <w:color w:val="auto"/>
                <w:highlight w:val="none"/>
              </w:rPr>
              <w:t>单位地址</w:t>
            </w:r>
          </w:p>
        </w:tc>
        <w:tc>
          <w:tcPr>
            <w:tcW w:w="7472" w:type="dxa"/>
            <w:gridSpan w:val="9"/>
            <w:tcBorders>
              <w:top w:val="single" w:color="000000" w:sz="4" w:space="0"/>
              <w:left w:val="single" w:color="000000" w:sz="4" w:space="0"/>
              <w:bottom w:val="single" w:color="000000" w:sz="4" w:space="0"/>
              <w:right w:val="single" w:color="000000" w:sz="4" w:space="0"/>
            </w:tcBorders>
          </w:tcPr>
          <w:p w14:paraId="03C82280">
            <w:pPr>
              <w:rPr>
                <w:rFonts w:ascii="仿宋" w:hAnsi="仿宋" w:eastAsia="仿宋" w:cs="仿宋"/>
                <w:color w:val="auto"/>
                <w:highlight w:val="none"/>
              </w:rPr>
            </w:pPr>
          </w:p>
        </w:tc>
      </w:tr>
      <w:tr w14:paraId="234D4046">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1274C438">
            <w:pPr>
              <w:pStyle w:val="62"/>
              <w:kinsoku w:val="0"/>
              <w:overflowPunct w:val="0"/>
              <w:spacing w:before="145"/>
              <w:ind w:left="137"/>
              <w:rPr>
                <w:rFonts w:ascii="仿宋" w:hAnsi="仿宋" w:eastAsia="仿宋" w:cs="仿宋"/>
                <w:color w:val="auto"/>
                <w:highlight w:val="none"/>
              </w:rPr>
            </w:pPr>
            <w:r>
              <w:rPr>
                <w:rFonts w:hint="eastAsia" w:ascii="仿宋" w:hAnsi="仿宋" w:eastAsia="仿宋" w:cs="仿宋"/>
                <w:color w:val="auto"/>
                <w:highlight w:val="none"/>
              </w:rPr>
              <w:t>主管部门</w:t>
            </w:r>
          </w:p>
        </w:tc>
        <w:tc>
          <w:tcPr>
            <w:tcW w:w="7472" w:type="dxa"/>
            <w:gridSpan w:val="9"/>
            <w:tcBorders>
              <w:top w:val="single" w:color="000000" w:sz="4" w:space="0"/>
              <w:left w:val="single" w:color="000000" w:sz="4" w:space="0"/>
              <w:bottom w:val="single" w:color="000000" w:sz="4" w:space="0"/>
              <w:right w:val="single" w:color="000000" w:sz="4" w:space="0"/>
            </w:tcBorders>
          </w:tcPr>
          <w:p w14:paraId="529D36A0">
            <w:pPr>
              <w:rPr>
                <w:rFonts w:ascii="仿宋" w:hAnsi="仿宋" w:eastAsia="仿宋" w:cs="仿宋"/>
                <w:color w:val="auto"/>
                <w:highlight w:val="none"/>
              </w:rPr>
            </w:pPr>
          </w:p>
        </w:tc>
      </w:tr>
      <w:tr w14:paraId="1EACD437">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7B1DEED5">
            <w:pPr>
              <w:pStyle w:val="62"/>
              <w:kinsoku w:val="0"/>
              <w:overflowPunct w:val="0"/>
              <w:spacing w:before="145"/>
              <w:ind w:left="137"/>
              <w:rPr>
                <w:rFonts w:ascii="仿宋" w:hAnsi="仿宋" w:eastAsia="仿宋" w:cs="仿宋"/>
                <w:color w:val="auto"/>
                <w:highlight w:val="none"/>
              </w:rPr>
            </w:pPr>
            <w:r>
              <w:rPr>
                <w:rFonts w:hint="eastAsia" w:ascii="仿宋" w:hAnsi="仿宋" w:eastAsia="仿宋" w:cs="仿宋"/>
                <w:color w:val="auto"/>
                <w:highlight w:val="none"/>
              </w:rPr>
              <w:t>成立时间</w:t>
            </w:r>
          </w:p>
        </w:tc>
        <w:tc>
          <w:tcPr>
            <w:tcW w:w="2294" w:type="dxa"/>
            <w:gridSpan w:val="2"/>
            <w:tcBorders>
              <w:top w:val="single" w:color="000000" w:sz="4" w:space="0"/>
              <w:left w:val="single" w:color="000000" w:sz="4" w:space="0"/>
              <w:bottom w:val="single" w:color="000000" w:sz="4" w:space="0"/>
              <w:right w:val="single" w:color="000000" w:sz="4" w:space="0"/>
            </w:tcBorders>
          </w:tcPr>
          <w:p w14:paraId="74383521">
            <w:pPr>
              <w:rPr>
                <w:rFonts w:ascii="仿宋" w:hAnsi="仿宋" w:eastAsia="仿宋" w:cs="仿宋"/>
                <w:color w:val="auto"/>
                <w:highlight w:val="none"/>
              </w:rPr>
            </w:pPr>
          </w:p>
        </w:tc>
        <w:tc>
          <w:tcPr>
            <w:tcW w:w="2294" w:type="dxa"/>
            <w:gridSpan w:val="4"/>
            <w:tcBorders>
              <w:top w:val="single" w:color="000000" w:sz="4" w:space="0"/>
              <w:left w:val="single" w:color="000000" w:sz="4" w:space="0"/>
              <w:bottom w:val="single" w:color="000000" w:sz="4" w:space="0"/>
              <w:right w:val="single" w:color="000000" w:sz="4" w:space="0"/>
            </w:tcBorders>
          </w:tcPr>
          <w:p w14:paraId="580FACFA">
            <w:pPr>
              <w:pStyle w:val="62"/>
              <w:kinsoku w:val="0"/>
              <w:overflowPunct w:val="0"/>
              <w:spacing w:before="145"/>
              <w:ind w:left="181"/>
              <w:rPr>
                <w:rFonts w:ascii="仿宋" w:hAnsi="仿宋" w:eastAsia="仿宋" w:cs="仿宋"/>
                <w:color w:val="auto"/>
                <w:highlight w:val="none"/>
              </w:rPr>
            </w:pPr>
            <w:r>
              <w:rPr>
                <w:rFonts w:hint="eastAsia" w:ascii="仿宋" w:hAnsi="仿宋" w:eastAsia="仿宋" w:cs="仿宋"/>
                <w:color w:val="auto"/>
                <w:highlight w:val="none"/>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tcPr>
          <w:p w14:paraId="238B749F">
            <w:pPr>
              <w:rPr>
                <w:rFonts w:ascii="仿宋" w:hAnsi="仿宋" w:eastAsia="仿宋" w:cs="仿宋"/>
                <w:color w:val="auto"/>
                <w:highlight w:val="none"/>
              </w:rPr>
            </w:pPr>
          </w:p>
        </w:tc>
      </w:tr>
      <w:tr w14:paraId="3002E580">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5013E4AD">
            <w:pPr>
              <w:pStyle w:val="62"/>
              <w:kinsoku w:val="0"/>
              <w:overflowPunct w:val="0"/>
              <w:spacing w:before="146"/>
              <w:ind w:left="137"/>
              <w:rPr>
                <w:rFonts w:ascii="仿宋" w:hAnsi="仿宋" w:eastAsia="仿宋" w:cs="仿宋"/>
                <w:color w:val="auto"/>
                <w:highlight w:val="none"/>
              </w:rPr>
            </w:pPr>
            <w:r>
              <w:rPr>
                <w:rFonts w:hint="eastAsia" w:ascii="仿宋" w:hAnsi="仿宋" w:eastAsia="仿宋" w:cs="仿宋"/>
                <w:color w:val="auto"/>
                <w:highlight w:val="none"/>
              </w:rPr>
              <w:t>单位性质</w:t>
            </w:r>
          </w:p>
        </w:tc>
        <w:tc>
          <w:tcPr>
            <w:tcW w:w="7472" w:type="dxa"/>
            <w:gridSpan w:val="9"/>
            <w:tcBorders>
              <w:top w:val="single" w:color="000000" w:sz="4" w:space="0"/>
              <w:left w:val="single" w:color="000000" w:sz="4" w:space="0"/>
              <w:bottom w:val="single" w:color="000000" w:sz="4" w:space="0"/>
              <w:right w:val="single" w:color="000000" w:sz="4" w:space="0"/>
            </w:tcBorders>
          </w:tcPr>
          <w:p w14:paraId="219DE8C4">
            <w:pPr>
              <w:rPr>
                <w:rFonts w:ascii="仿宋" w:hAnsi="仿宋" w:eastAsia="仿宋" w:cs="仿宋"/>
                <w:color w:val="auto"/>
                <w:highlight w:val="none"/>
              </w:rPr>
            </w:pPr>
          </w:p>
        </w:tc>
      </w:tr>
      <w:tr w14:paraId="66976A81">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tcPr>
          <w:p w14:paraId="0FD02ABB">
            <w:pPr>
              <w:pStyle w:val="62"/>
              <w:kinsoku w:val="0"/>
              <w:overflowPunct w:val="0"/>
              <w:spacing w:before="141" w:line="312" w:lineRule="exact"/>
              <w:ind w:left="257" w:right="133" w:hanging="120"/>
              <w:rPr>
                <w:rFonts w:ascii="仿宋" w:hAnsi="仿宋" w:eastAsia="仿宋" w:cs="仿宋"/>
                <w:color w:val="auto"/>
                <w:highlight w:val="none"/>
              </w:rPr>
            </w:pPr>
            <w:r>
              <w:rPr>
                <w:rFonts w:hint="eastAsia" w:ascii="仿宋" w:hAnsi="仿宋" w:eastAsia="仿宋" w:cs="仿宋"/>
                <w:color w:val="auto"/>
                <w:highlight w:val="none"/>
              </w:rPr>
              <w:t>投标期间 联系人</w:t>
            </w:r>
          </w:p>
        </w:tc>
        <w:tc>
          <w:tcPr>
            <w:tcW w:w="1445" w:type="dxa"/>
            <w:tcBorders>
              <w:top w:val="single" w:color="000000" w:sz="4" w:space="0"/>
              <w:left w:val="single" w:color="000000" w:sz="4" w:space="0"/>
              <w:bottom w:val="single" w:color="000000" w:sz="4" w:space="0"/>
              <w:right w:val="single" w:color="000000" w:sz="4" w:space="0"/>
            </w:tcBorders>
          </w:tcPr>
          <w:p w14:paraId="2DF2D448">
            <w:pPr>
              <w:rPr>
                <w:rFonts w:ascii="仿宋" w:hAnsi="仿宋" w:eastAsia="仿宋" w:cs="仿宋"/>
                <w:color w:val="auto"/>
                <w:highlight w:val="none"/>
              </w:rPr>
            </w:pPr>
          </w:p>
        </w:tc>
        <w:tc>
          <w:tcPr>
            <w:tcW w:w="1342" w:type="dxa"/>
            <w:gridSpan w:val="2"/>
            <w:tcBorders>
              <w:top w:val="single" w:color="000000" w:sz="4" w:space="0"/>
              <w:left w:val="single" w:color="000000" w:sz="4" w:space="0"/>
              <w:bottom w:val="single" w:color="000000" w:sz="4" w:space="0"/>
              <w:right w:val="single" w:color="000000" w:sz="4" w:space="0"/>
            </w:tcBorders>
          </w:tcPr>
          <w:p w14:paraId="5A810170">
            <w:pPr>
              <w:pStyle w:val="62"/>
              <w:kinsoku w:val="0"/>
              <w:overflowPunct w:val="0"/>
              <w:ind w:left="366"/>
              <w:rPr>
                <w:rFonts w:ascii="仿宋" w:hAnsi="仿宋" w:eastAsia="仿宋" w:cs="仿宋"/>
                <w:color w:val="auto"/>
                <w:highlight w:val="none"/>
              </w:rPr>
            </w:pPr>
            <w:r>
              <w:rPr>
                <w:rFonts w:hint="eastAsia" w:ascii="仿宋" w:hAnsi="仿宋" w:eastAsia="仿宋" w:cs="仿宋"/>
                <w:color w:val="auto"/>
                <w:highlight w:val="none"/>
              </w:rPr>
              <w:t>电 话</w:t>
            </w:r>
          </w:p>
        </w:tc>
        <w:tc>
          <w:tcPr>
            <w:tcW w:w="1343" w:type="dxa"/>
            <w:gridSpan w:val="2"/>
            <w:tcBorders>
              <w:top w:val="single" w:color="000000" w:sz="4" w:space="0"/>
              <w:left w:val="single" w:color="000000" w:sz="4" w:space="0"/>
              <w:bottom w:val="single" w:color="000000" w:sz="4" w:space="0"/>
              <w:right w:val="single" w:color="000000" w:sz="4" w:space="0"/>
            </w:tcBorders>
          </w:tcPr>
          <w:p w14:paraId="69F83744">
            <w:pPr>
              <w:rPr>
                <w:rFonts w:ascii="仿宋" w:hAnsi="仿宋" w:eastAsia="仿宋" w:cs="仿宋"/>
                <w:color w:val="auto"/>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tcPr>
          <w:p w14:paraId="5A6BE3AB">
            <w:pPr>
              <w:pStyle w:val="62"/>
              <w:kinsoku w:val="0"/>
              <w:overflowPunct w:val="0"/>
              <w:ind w:left="383"/>
              <w:rPr>
                <w:rFonts w:ascii="仿宋" w:hAnsi="仿宋" w:eastAsia="仿宋" w:cs="仿宋"/>
                <w:color w:val="auto"/>
                <w:highlight w:val="none"/>
              </w:rPr>
            </w:pPr>
            <w:r>
              <w:rPr>
                <w:rFonts w:hint="eastAsia" w:ascii="仿宋" w:hAnsi="仿宋" w:eastAsia="仿宋" w:cs="仿宋"/>
                <w:color w:val="auto"/>
                <w:highlight w:val="none"/>
              </w:rPr>
              <w:t>传 真</w:t>
            </w:r>
          </w:p>
        </w:tc>
        <w:tc>
          <w:tcPr>
            <w:tcW w:w="1965" w:type="dxa"/>
            <w:tcBorders>
              <w:top w:val="single" w:color="000000" w:sz="4" w:space="0"/>
              <w:left w:val="single" w:color="000000" w:sz="4" w:space="0"/>
              <w:bottom w:val="single" w:color="000000" w:sz="4" w:space="0"/>
              <w:right w:val="single" w:color="000000" w:sz="4" w:space="0"/>
            </w:tcBorders>
          </w:tcPr>
          <w:p w14:paraId="64D415C7">
            <w:pPr>
              <w:rPr>
                <w:rFonts w:ascii="仿宋" w:hAnsi="仿宋" w:eastAsia="仿宋" w:cs="仿宋"/>
                <w:color w:val="auto"/>
                <w:highlight w:val="none"/>
              </w:rPr>
            </w:pPr>
          </w:p>
        </w:tc>
      </w:tr>
      <w:tr w14:paraId="560DDA63">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tcPr>
          <w:p w14:paraId="66295B90">
            <w:pPr>
              <w:pStyle w:val="62"/>
              <w:kinsoku w:val="0"/>
              <w:overflowPunct w:val="0"/>
              <w:rPr>
                <w:rFonts w:ascii="仿宋" w:hAnsi="仿宋" w:eastAsia="仿宋" w:cs="仿宋"/>
                <w:b/>
                <w:bCs/>
                <w:color w:val="auto"/>
                <w:highlight w:val="none"/>
              </w:rPr>
            </w:pPr>
          </w:p>
          <w:p w14:paraId="45E3AB53">
            <w:pPr>
              <w:pStyle w:val="62"/>
              <w:kinsoku w:val="0"/>
              <w:overflowPunct w:val="0"/>
              <w:rPr>
                <w:rFonts w:ascii="仿宋" w:hAnsi="仿宋" w:eastAsia="仿宋" w:cs="仿宋"/>
                <w:b/>
                <w:bCs/>
                <w:color w:val="auto"/>
                <w:highlight w:val="none"/>
              </w:rPr>
            </w:pPr>
          </w:p>
          <w:p w14:paraId="71600A01">
            <w:pPr>
              <w:pStyle w:val="62"/>
              <w:kinsoku w:val="0"/>
              <w:overflowPunct w:val="0"/>
              <w:rPr>
                <w:rFonts w:ascii="仿宋" w:hAnsi="仿宋" w:eastAsia="仿宋" w:cs="仿宋"/>
                <w:b/>
                <w:bCs/>
                <w:color w:val="auto"/>
                <w:highlight w:val="none"/>
              </w:rPr>
            </w:pPr>
          </w:p>
          <w:p w14:paraId="24147A85">
            <w:pPr>
              <w:pStyle w:val="62"/>
              <w:kinsoku w:val="0"/>
              <w:overflowPunct w:val="0"/>
              <w:spacing w:line="475" w:lineRule="auto"/>
              <w:ind w:left="497" w:right="493"/>
              <w:jc w:val="both"/>
              <w:rPr>
                <w:rFonts w:ascii="仿宋" w:hAnsi="仿宋" w:eastAsia="仿宋" w:cs="仿宋"/>
                <w:color w:val="auto"/>
                <w:highlight w:val="none"/>
              </w:rPr>
            </w:pPr>
            <w:r>
              <w:rPr>
                <w:rFonts w:hint="eastAsia" w:ascii="仿宋" w:hAnsi="仿宋" w:eastAsia="仿宋" w:cs="仿宋"/>
                <w:color w:val="auto"/>
                <w:highlight w:val="none"/>
              </w:rPr>
              <w:t>职 工 概 况</w:t>
            </w:r>
          </w:p>
        </w:tc>
        <w:tc>
          <w:tcPr>
            <w:tcW w:w="1445" w:type="dxa"/>
            <w:tcBorders>
              <w:top w:val="single" w:color="000000" w:sz="4" w:space="0"/>
              <w:left w:val="single" w:color="000000" w:sz="4" w:space="0"/>
              <w:bottom w:val="single" w:color="000000" w:sz="4" w:space="0"/>
              <w:right w:val="single" w:color="000000" w:sz="4" w:space="0"/>
            </w:tcBorders>
          </w:tcPr>
          <w:p w14:paraId="60A5F642">
            <w:pPr>
              <w:pStyle w:val="62"/>
              <w:kinsoku w:val="0"/>
              <w:overflowPunct w:val="0"/>
              <w:spacing w:before="144"/>
              <w:ind w:left="236"/>
              <w:rPr>
                <w:rFonts w:ascii="仿宋" w:hAnsi="仿宋" w:eastAsia="仿宋" w:cs="仿宋"/>
                <w:color w:val="auto"/>
                <w:highlight w:val="none"/>
              </w:rPr>
            </w:pPr>
            <w:r>
              <w:rPr>
                <w:rFonts w:hint="eastAsia" w:ascii="仿宋" w:hAnsi="仿宋" w:eastAsia="仿宋" w:cs="仿宋"/>
                <w:color w:val="auto"/>
                <w:highlight w:val="none"/>
              </w:rPr>
              <w:t>职工总数</w:t>
            </w:r>
          </w:p>
        </w:tc>
        <w:tc>
          <w:tcPr>
            <w:tcW w:w="1342" w:type="dxa"/>
            <w:gridSpan w:val="2"/>
            <w:tcBorders>
              <w:top w:val="single" w:color="000000" w:sz="4" w:space="0"/>
              <w:left w:val="single" w:color="000000" w:sz="4" w:space="0"/>
              <w:bottom w:val="single" w:color="000000" w:sz="4" w:space="0"/>
              <w:right w:val="single" w:color="000000" w:sz="4" w:space="0"/>
            </w:tcBorders>
          </w:tcPr>
          <w:p w14:paraId="12A84A8A">
            <w:pPr>
              <w:rPr>
                <w:rFonts w:ascii="仿宋" w:hAnsi="仿宋" w:eastAsia="仿宋" w:cs="仿宋"/>
                <w:color w:val="auto"/>
                <w:highlight w:val="none"/>
              </w:rPr>
            </w:pPr>
          </w:p>
        </w:tc>
        <w:tc>
          <w:tcPr>
            <w:tcW w:w="2168" w:type="dxa"/>
            <w:gridSpan w:val="4"/>
            <w:tcBorders>
              <w:top w:val="single" w:color="000000" w:sz="4" w:space="0"/>
              <w:left w:val="single" w:color="000000" w:sz="4" w:space="0"/>
              <w:bottom w:val="single" w:color="000000" w:sz="4" w:space="0"/>
              <w:right w:val="single" w:color="000000" w:sz="4" w:space="0"/>
            </w:tcBorders>
          </w:tcPr>
          <w:p w14:paraId="0D043E58">
            <w:pPr>
              <w:pStyle w:val="62"/>
              <w:kinsoku w:val="0"/>
              <w:overflowPunct w:val="0"/>
              <w:spacing w:before="144"/>
              <w:ind w:left="118"/>
              <w:rPr>
                <w:rFonts w:ascii="仿宋" w:hAnsi="仿宋" w:eastAsia="仿宋" w:cs="仿宋"/>
                <w:color w:val="auto"/>
                <w:highlight w:val="none"/>
              </w:rPr>
            </w:pPr>
            <w:r>
              <w:rPr>
                <w:rFonts w:hint="eastAsia" w:ascii="仿宋" w:hAnsi="仿宋" w:eastAsia="仿宋" w:cs="仿宋"/>
                <w:color w:val="auto"/>
                <w:highlight w:val="none"/>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tcPr>
          <w:p w14:paraId="0B374E47">
            <w:pPr>
              <w:rPr>
                <w:rFonts w:ascii="仿宋" w:hAnsi="仿宋" w:eastAsia="仿宋" w:cs="仿宋"/>
                <w:color w:val="auto"/>
                <w:highlight w:val="none"/>
              </w:rPr>
            </w:pPr>
          </w:p>
        </w:tc>
      </w:tr>
      <w:tr w14:paraId="1B68B4C0">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55FCC755">
            <w:pPr>
              <w:rPr>
                <w:rFonts w:ascii="仿宋" w:hAnsi="仿宋" w:eastAsia="仿宋" w:cs="仿宋"/>
                <w:color w:val="auto"/>
                <w:highlight w:val="none"/>
              </w:rPr>
            </w:pPr>
          </w:p>
        </w:tc>
        <w:tc>
          <w:tcPr>
            <w:tcW w:w="7472" w:type="dxa"/>
            <w:gridSpan w:val="9"/>
            <w:tcBorders>
              <w:top w:val="single" w:color="000000" w:sz="4" w:space="0"/>
              <w:left w:val="single" w:color="000000" w:sz="4" w:space="0"/>
              <w:bottom w:val="single" w:color="000000" w:sz="4" w:space="0"/>
              <w:right w:val="single" w:color="000000" w:sz="4" w:space="0"/>
            </w:tcBorders>
          </w:tcPr>
          <w:p w14:paraId="29902652">
            <w:pPr>
              <w:pStyle w:val="62"/>
              <w:kinsoku w:val="0"/>
              <w:overflowPunct w:val="0"/>
              <w:spacing w:before="145"/>
              <w:jc w:val="center"/>
              <w:rPr>
                <w:rFonts w:ascii="仿宋" w:hAnsi="仿宋" w:eastAsia="仿宋" w:cs="仿宋"/>
                <w:color w:val="auto"/>
                <w:highlight w:val="none"/>
              </w:rPr>
            </w:pPr>
            <w:r>
              <w:rPr>
                <w:rFonts w:hint="eastAsia" w:ascii="仿宋" w:hAnsi="仿宋" w:eastAsia="仿宋" w:cs="仿宋"/>
                <w:color w:val="auto"/>
                <w:highlight w:val="none"/>
              </w:rPr>
              <w:t>单位行政和技术负责人</w:t>
            </w:r>
          </w:p>
        </w:tc>
      </w:tr>
      <w:tr w14:paraId="1FAE2C81">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43276589">
            <w:pPr>
              <w:pStyle w:val="62"/>
              <w:kinsoku w:val="0"/>
              <w:overflowPunct w:val="0"/>
              <w:spacing w:before="145"/>
              <w:jc w:val="center"/>
              <w:rPr>
                <w:rFonts w:ascii="仿宋" w:hAnsi="仿宋" w:eastAsia="仿宋" w:cs="仿宋"/>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tcPr>
          <w:p w14:paraId="6E2B260A">
            <w:pPr>
              <w:pStyle w:val="62"/>
              <w:kinsoku w:val="0"/>
              <w:overflowPunct w:val="0"/>
              <w:spacing w:before="145"/>
              <w:ind w:left="416"/>
              <w:rPr>
                <w:rFonts w:ascii="仿宋" w:hAnsi="仿宋" w:eastAsia="仿宋" w:cs="仿宋"/>
                <w:color w:val="auto"/>
                <w:highlight w:val="none"/>
              </w:rPr>
            </w:pPr>
            <w:r>
              <w:rPr>
                <w:rFonts w:hint="eastAsia" w:ascii="仿宋" w:hAnsi="仿宋" w:eastAsia="仿宋" w:cs="仿宋"/>
                <w:color w:val="auto"/>
                <w:highlight w:val="none"/>
              </w:rPr>
              <w:t>姓 名</w:t>
            </w:r>
          </w:p>
        </w:tc>
        <w:tc>
          <w:tcPr>
            <w:tcW w:w="1997" w:type="dxa"/>
            <w:gridSpan w:val="3"/>
            <w:tcBorders>
              <w:top w:val="single" w:color="000000" w:sz="4" w:space="0"/>
              <w:left w:val="single" w:color="000000" w:sz="4" w:space="0"/>
              <w:bottom w:val="single" w:color="000000" w:sz="4" w:space="0"/>
              <w:right w:val="single" w:color="000000" w:sz="4" w:space="0"/>
            </w:tcBorders>
          </w:tcPr>
          <w:p w14:paraId="0FF58C97">
            <w:pPr>
              <w:pStyle w:val="62"/>
              <w:kinsoku w:val="0"/>
              <w:overflowPunct w:val="0"/>
              <w:spacing w:before="145"/>
              <w:ind w:left="452"/>
              <w:rPr>
                <w:rFonts w:ascii="仿宋" w:hAnsi="仿宋" w:eastAsia="仿宋" w:cs="仿宋"/>
                <w:color w:val="auto"/>
                <w:highlight w:val="none"/>
              </w:rPr>
            </w:pPr>
            <w:r>
              <w:rPr>
                <w:rFonts w:hint="eastAsia" w:ascii="仿宋" w:hAnsi="仿宋" w:eastAsia="仿宋" w:cs="仿宋"/>
                <w:color w:val="auto"/>
                <w:highlight w:val="none"/>
              </w:rPr>
              <w:t>职务/职称</w:t>
            </w:r>
          </w:p>
        </w:tc>
        <w:tc>
          <w:tcPr>
            <w:tcW w:w="1513" w:type="dxa"/>
            <w:gridSpan w:val="3"/>
            <w:tcBorders>
              <w:top w:val="single" w:color="000000" w:sz="4" w:space="0"/>
              <w:left w:val="single" w:color="000000" w:sz="4" w:space="0"/>
              <w:bottom w:val="single" w:color="000000" w:sz="4" w:space="0"/>
              <w:right w:val="single" w:color="000000" w:sz="4" w:space="0"/>
            </w:tcBorders>
          </w:tcPr>
          <w:p w14:paraId="72E823F8">
            <w:pPr>
              <w:pStyle w:val="62"/>
              <w:kinsoku w:val="0"/>
              <w:overflowPunct w:val="0"/>
              <w:spacing w:before="145"/>
              <w:ind w:left="450"/>
              <w:rPr>
                <w:rFonts w:ascii="仿宋" w:hAnsi="仿宋" w:eastAsia="仿宋" w:cs="仿宋"/>
                <w:color w:val="auto"/>
                <w:highlight w:val="none"/>
              </w:rPr>
            </w:pPr>
            <w:r>
              <w:rPr>
                <w:rFonts w:hint="eastAsia" w:ascii="仿宋" w:hAnsi="仿宋" w:eastAsia="仿宋" w:cs="仿宋"/>
                <w:color w:val="auto"/>
                <w:highlight w:val="none"/>
              </w:rPr>
              <w:t>年 龄</w:t>
            </w:r>
          </w:p>
        </w:tc>
        <w:tc>
          <w:tcPr>
            <w:tcW w:w="2517" w:type="dxa"/>
            <w:gridSpan w:val="2"/>
            <w:tcBorders>
              <w:top w:val="single" w:color="000000" w:sz="4" w:space="0"/>
              <w:left w:val="single" w:color="000000" w:sz="4" w:space="0"/>
              <w:bottom w:val="single" w:color="000000" w:sz="4" w:space="0"/>
              <w:right w:val="single" w:color="000000" w:sz="4" w:space="0"/>
            </w:tcBorders>
          </w:tcPr>
          <w:p w14:paraId="18901712">
            <w:pPr>
              <w:pStyle w:val="62"/>
              <w:tabs>
                <w:tab w:val="left" w:pos="479"/>
              </w:tabs>
              <w:kinsoku w:val="0"/>
              <w:overflowPunct w:val="0"/>
              <w:spacing w:before="145"/>
              <w:ind w:right="1"/>
              <w:jc w:val="center"/>
              <w:rPr>
                <w:rFonts w:ascii="仿宋" w:hAnsi="仿宋" w:eastAsia="仿宋" w:cs="仿宋"/>
                <w:color w:val="auto"/>
                <w:highlight w:val="none"/>
              </w:rPr>
            </w:pPr>
            <w:r>
              <w:rPr>
                <w:rFonts w:hint="eastAsia" w:ascii="仿宋" w:hAnsi="仿宋" w:eastAsia="仿宋" w:cs="仿宋"/>
                <w:color w:val="auto"/>
                <w:highlight w:val="none"/>
              </w:rPr>
              <w:t>专</w:t>
            </w:r>
            <w:r>
              <w:rPr>
                <w:rFonts w:hint="eastAsia" w:ascii="仿宋" w:hAnsi="仿宋" w:eastAsia="仿宋" w:cs="仿宋"/>
                <w:color w:val="auto"/>
                <w:highlight w:val="none"/>
              </w:rPr>
              <w:tab/>
            </w:r>
            <w:r>
              <w:rPr>
                <w:rFonts w:hint="eastAsia" w:ascii="仿宋" w:hAnsi="仿宋" w:eastAsia="仿宋" w:cs="仿宋"/>
                <w:color w:val="auto"/>
                <w:highlight w:val="none"/>
              </w:rPr>
              <w:t>业</w:t>
            </w:r>
          </w:p>
        </w:tc>
      </w:tr>
      <w:tr w14:paraId="4AA25FFD">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11AC59F1">
            <w:pPr>
              <w:pStyle w:val="62"/>
              <w:tabs>
                <w:tab w:val="left" w:pos="479"/>
              </w:tabs>
              <w:kinsoku w:val="0"/>
              <w:overflowPunct w:val="0"/>
              <w:spacing w:before="145"/>
              <w:ind w:right="1"/>
              <w:jc w:val="center"/>
              <w:rPr>
                <w:rFonts w:ascii="仿宋" w:hAnsi="仿宋" w:eastAsia="仿宋" w:cs="仿宋"/>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tcPr>
          <w:p w14:paraId="2DE1A211">
            <w:pPr>
              <w:rPr>
                <w:rFonts w:ascii="仿宋" w:hAnsi="仿宋" w:eastAsia="仿宋" w:cs="仿宋"/>
                <w:color w:val="auto"/>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tcPr>
          <w:p w14:paraId="602CF206">
            <w:pPr>
              <w:rPr>
                <w:rFonts w:ascii="仿宋" w:hAnsi="仿宋" w:eastAsia="仿宋" w:cs="仿宋"/>
                <w:color w:val="auto"/>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tcPr>
          <w:p w14:paraId="70083351">
            <w:pPr>
              <w:rPr>
                <w:rFonts w:ascii="仿宋" w:hAnsi="仿宋" w:eastAsia="仿宋" w:cs="仿宋"/>
                <w:color w:val="auto"/>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tcPr>
          <w:p w14:paraId="6A61F4A7">
            <w:pPr>
              <w:rPr>
                <w:rFonts w:ascii="仿宋" w:hAnsi="仿宋" w:eastAsia="仿宋" w:cs="仿宋"/>
                <w:color w:val="auto"/>
                <w:highlight w:val="none"/>
              </w:rPr>
            </w:pPr>
          </w:p>
        </w:tc>
      </w:tr>
      <w:tr w14:paraId="416DC6DD">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77C044B4">
            <w:pPr>
              <w:rPr>
                <w:rFonts w:ascii="仿宋" w:hAnsi="仿宋" w:eastAsia="仿宋" w:cs="仿宋"/>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tcPr>
          <w:p w14:paraId="7113AA2A">
            <w:pPr>
              <w:rPr>
                <w:rFonts w:ascii="仿宋" w:hAnsi="仿宋" w:eastAsia="仿宋" w:cs="仿宋"/>
                <w:color w:val="auto"/>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tcPr>
          <w:p w14:paraId="7B98A0BD">
            <w:pPr>
              <w:rPr>
                <w:rFonts w:ascii="仿宋" w:hAnsi="仿宋" w:eastAsia="仿宋" w:cs="仿宋"/>
                <w:color w:val="auto"/>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tcPr>
          <w:p w14:paraId="3C7FDEF4">
            <w:pPr>
              <w:rPr>
                <w:rFonts w:ascii="仿宋" w:hAnsi="仿宋" w:eastAsia="仿宋" w:cs="仿宋"/>
                <w:color w:val="auto"/>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tcPr>
          <w:p w14:paraId="3B30D661">
            <w:pPr>
              <w:rPr>
                <w:rFonts w:ascii="仿宋" w:hAnsi="仿宋" w:eastAsia="仿宋" w:cs="仿宋"/>
                <w:color w:val="auto"/>
                <w:highlight w:val="none"/>
              </w:rPr>
            </w:pPr>
          </w:p>
        </w:tc>
      </w:tr>
      <w:tr w14:paraId="52831534">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35D0B4CC">
            <w:pPr>
              <w:rPr>
                <w:rFonts w:ascii="仿宋" w:hAnsi="仿宋" w:eastAsia="仿宋" w:cs="仿宋"/>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tcPr>
          <w:p w14:paraId="4085598D">
            <w:pPr>
              <w:rPr>
                <w:rFonts w:ascii="仿宋" w:hAnsi="仿宋" w:eastAsia="仿宋" w:cs="仿宋"/>
                <w:color w:val="auto"/>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tcPr>
          <w:p w14:paraId="756873A0">
            <w:pPr>
              <w:rPr>
                <w:rFonts w:ascii="仿宋" w:hAnsi="仿宋" w:eastAsia="仿宋" w:cs="仿宋"/>
                <w:color w:val="auto"/>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tcPr>
          <w:p w14:paraId="75CFD109">
            <w:pPr>
              <w:rPr>
                <w:rFonts w:ascii="仿宋" w:hAnsi="仿宋" w:eastAsia="仿宋" w:cs="仿宋"/>
                <w:color w:val="auto"/>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tcPr>
          <w:p w14:paraId="79A729EC">
            <w:pPr>
              <w:rPr>
                <w:rFonts w:ascii="仿宋" w:hAnsi="仿宋" w:eastAsia="仿宋" w:cs="仿宋"/>
                <w:color w:val="auto"/>
                <w:highlight w:val="none"/>
              </w:rPr>
            </w:pPr>
          </w:p>
        </w:tc>
      </w:tr>
      <w:tr w14:paraId="46380EBE">
        <w:tblPrEx>
          <w:tblCellMar>
            <w:top w:w="0" w:type="dxa"/>
            <w:left w:w="0" w:type="dxa"/>
            <w:bottom w:w="0" w:type="dxa"/>
            <w:right w:w="0" w:type="dxa"/>
          </w:tblCellMar>
        </w:tblPrEx>
        <w:trPr>
          <w:trHeight w:val="2563" w:hRule="exact"/>
          <w:jc w:val="center"/>
        </w:trPr>
        <w:tc>
          <w:tcPr>
            <w:tcW w:w="1242" w:type="dxa"/>
            <w:tcBorders>
              <w:top w:val="single" w:color="000000" w:sz="4" w:space="0"/>
              <w:left w:val="single" w:color="000000" w:sz="4" w:space="0"/>
              <w:bottom w:val="single" w:color="000000" w:sz="4" w:space="0"/>
              <w:right w:val="single" w:color="000000" w:sz="4" w:space="0"/>
            </w:tcBorders>
          </w:tcPr>
          <w:p w14:paraId="5FD70EBB">
            <w:pPr>
              <w:pStyle w:val="62"/>
              <w:kinsoku w:val="0"/>
              <w:overflowPunct w:val="0"/>
              <w:rPr>
                <w:rFonts w:ascii="仿宋" w:hAnsi="仿宋" w:eastAsia="仿宋" w:cs="仿宋"/>
                <w:b/>
                <w:bCs/>
                <w:color w:val="auto"/>
                <w:highlight w:val="none"/>
              </w:rPr>
            </w:pPr>
          </w:p>
          <w:p w14:paraId="7523BE48">
            <w:pPr>
              <w:pStyle w:val="62"/>
              <w:kinsoku w:val="0"/>
              <w:overflowPunct w:val="0"/>
              <w:spacing w:before="1"/>
              <w:rPr>
                <w:rFonts w:ascii="仿宋" w:hAnsi="仿宋" w:eastAsia="仿宋" w:cs="仿宋"/>
                <w:b/>
                <w:bCs/>
                <w:color w:val="auto"/>
                <w:sz w:val="23"/>
                <w:szCs w:val="23"/>
                <w:highlight w:val="none"/>
              </w:rPr>
            </w:pPr>
          </w:p>
          <w:p w14:paraId="4FCD1E18">
            <w:pPr>
              <w:pStyle w:val="62"/>
              <w:kinsoku w:val="0"/>
              <w:overflowPunct w:val="0"/>
              <w:spacing w:line="237" w:lineRule="auto"/>
              <w:ind w:left="497" w:right="493"/>
              <w:jc w:val="both"/>
              <w:rPr>
                <w:rFonts w:ascii="仿宋" w:hAnsi="仿宋" w:eastAsia="仿宋" w:cs="仿宋"/>
                <w:color w:val="auto"/>
                <w:highlight w:val="none"/>
              </w:rPr>
            </w:pPr>
            <w:r>
              <w:rPr>
                <w:rFonts w:hint="eastAsia" w:ascii="仿宋" w:hAnsi="仿宋" w:eastAsia="仿宋" w:cs="仿宋"/>
                <w:color w:val="auto"/>
                <w:highlight w:val="none"/>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tcPr>
          <w:p w14:paraId="6276039F">
            <w:pPr>
              <w:rPr>
                <w:rFonts w:ascii="仿宋" w:hAnsi="仿宋" w:eastAsia="仿宋" w:cs="仿宋"/>
                <w:color w:val="auto"/>
                <w:highlight w:val="none"/>
              </w:rPr>
            </w:pPr>
          </w:p>
        </w:tc>
      </w:tr>
    </w:tbl>
    <w:p w14:paraId="03B4F6B0">
      <w:pPr>
        <w:pStyle w:val="8"/>
        <w:numPr>
          <w:ilvl w:val="0"/>
          <w:numId w:val="0"/>
        </w:numPr>
        <w:kinsoku w:val="0"/>
        <w:overflowPunct w:val="0"/>
        <w:spacing w:before="26" w:line="320" w:lineRule="auto"/>
        <w:ind w:left="1680"/>
        <w:rPr>
          <w:rFonts w:ascii="仿宋" w:hAnsi="仿宋" w:eastAsia="仿宋" w:cs="仿宋"/>
          <w:b/>
          <w:bCs/>
          <w:color w:val="auto"/>
          <w:w w:val="95"/>
          <w:highlight w:val="none"/>
        </w:rPr>
      </w:pPr>
    </w:p>
    <w:p w14:paraId="073CD248">
      <w:pPr>
        <w:pStyle w:val="8"/>
        <w:numPr>
          <w:ilvl w:val="0"/>
          <w:numId w:val="0"/>
        </w:numPr>
        <w:kinsoku w:val="0"/>
        <w:overflowPunct w:val="0"/>
        <w:spacing w:before="26" w:line="440" w:lineRule="exact"/>
        <w:jc w:val="both"/>
        <w:rPr>
          <w:rFonts w:ascii="仿宋" w:hAnsi="仿宋" w:eastAsia="仿宋" w:cs="仿宋"/>
          <w:b/>
          <w:bCs/>
          <w:color w:val="auto"/>
          <w:sz w:val="24"/>
          <w:highlight w:val="none"/>
          <w:lang w:eastAsia="zh-CN"/>
        </w:rPr>
      </w:pPr>
      <w:r>
        <w:rPr>
          <w:rFonts w:hint="eastAsia" w:ascii="仿宋" w:hAnsi="仿宋" w:eastAsia="仿宋" w:cs="仿宋"/>
          <w:b/>
          <w:bCs/>
          <w:color w:val="auto"/>
          <w:w w:val="95"/>
          <w:highlight w:val="none"/>
        </w:rPr>
        <w:br w:type="page"/>
      </w:r>
      <w:r>
        <w:rPr>
          <w:rFonts w:hint="eastAsia" w:ascii="仿宋" w:hAnsi="仿宋" w:eastAsia="仿宋" w:cs="仿宋"/>
          <w:b/>
          <w:bCs/>
          <w:color w:val="auto"/>
          <w:w w:val="95"/>
          <w:highlight w:val="none"/>
          <w:lang w:val="en-US" w:eastAsia="zh-CN"/>
        </w:rPr>
        <w:t>(2)</w:t>
      </w:r>
      <w:r>
        <w:rPr>
          <w:rFonts w:hint="eastAsia" w:ascii="仿宋" w:hAnsi="仿宋" w:eastAsia="仿宋" w:cs="仿宋"/>
          <w:b/>
          <w:bCs/>
          <w:color w:val="auto"/>
          <w:w w:val="95"/>
          <w:sz w:val="24"/>
          <w:highlight w:val="none"/>
        </w:rPr>
        <w:t>三</w:t>
      </w:r>
      <w:r>
        <w:rPr>
          <w:rFonts w:hint="eastAsia" w:ascii="仿宋" w:hAnsi="仿宋" w:eastAsia="仿宋" w:cs="仿宋"/>
          <w:b/>
          <w:bCs/>
          <w:color w:val="auto"/>
          <w:spacing w:val="1"/>
          <w:w w:val="95"/>
          <w:sz w:val="24"/>
          <w:highlight w:val="none"/>
        </w:rPr>
        <w:t>证</w:t>
      </w:r>
      <w:r>
        <w:rPr>
          <w:rFonts w:hint="eastAsia" w:ascii="仿宋" w:hAnsi="仿宋" w:eastAsia="仿宋" w:cs="仿宋"/>
          <w:b/>
          <w:bCs/>
          <w:color w:val="auto"/>
          <w:w w:val="95"/>
          <w:sz w:val="24"/>
          <w:highlight w:val="none"/>
        </w:rPr>
        <w:t>合</w:t>
      </w:r>
      <w:r>
        <w:rPr>
          <w:rFonts w:hint="eastAsia" w:ascii="仿宋" w:hAnsi="仿宋" w:eastAsia="仿宋" w:cs="仿宋"/>
          <w:b/>
          <w:bCs/>
          <w:color w:val="auto"/>
          <w:spacing w:val="1"/>
          <w:w w:val="95"/>
          <w:sz w:val="24"/>
          <w:highlight w:val="none"/>
        </w:rPr>
        <w:t>一</w:t>
      </w:r>
      <w:r>
        <w:rPr>
          <w:rFonts w:hint="eastAsia" w:ascii="仿宋" w:hAnsi="仿宋" w:eastAsia="仿宋" w:cs="仿宋"/>
          <w:b/>
          <w:bCs/>
          <w:color w:val="auto"/>
          <w:w w:val="95"/>
          <w:sz w:val="24"/>
          <w:highlight w:val="none"/>
        </w:rPr>
        <w:t>的</w:t>
      </w:r>
      <w:r>
        <w:rPr>
          <w:rFonts w:hint="eastAsia" w:ascii="仿宋" w:hAnsi="仿宋" w:eastAsia="仿宋" w:cs="仿宋"/>
          <w:b/>
          <w:bCs/>
          <w:color w:val="auto"/>
          <w:sz w:val="24"/>
          <w:highlight w:val="none"/>
        </w:rPr>
        <w:t>营业执照</w:t>
      </w:r>
      <w:r>
        <w:rPr>
          <w:rFonts w:hint="eastAsia" w:ascii="仿宋" w:hAnsi="仿宋" w:eastAsia="仿宋" w:cs="仿宋"/>
          <w:b/>
          <w:bCs/>
          <w:color w:val="auto"/>
          <w:sz w:val="24"/>
          <w:highlight w:val="none"/>
          <w:lang w:eastAsia="zh-CN"/>
        </w:rPr>
        <w:t>；</w:t>
      </w:r>
    </w:p>
    <w:p w14:paraId="64D5A256">
      <w:pPr>
        <w:numPr>
          <w:ilvl w:val="0"/>
          <w:numId w:val="0"/>
        </w:numPr>
        <w:rPr>
          <w:rFonts w:ascii="仿宋" w:hAnsi="仿宋" w:eastAsia="仿宋" w:cs="仿宋"/>
          <w:b/>
          <w:bCs/>
          <w:color w:val="auto"/>
          <w:spacing w:val="1"/>
          <w:w w:val="95"/>
          <w:highlight w:val="none"/>
          <w:lang w:eastAsia="zh-CN"/>
        </w:rPr>
      </w:pPr>
      <w:r>
        <w:rPr>
          <w:rFonts w:hint="eastAsia" w:ascii="仿宋" w:hAnsi="仿宋" w:eastAsia="仿宋" w:cs="仿宋"/>
          <w:b/>
          <w:bCs/>
          <w:color w:val="auto"/>
          <w:spacing w:val="1"/>
          <w:w w:val="95"/>
          <w:highlight w:val="none"/>
          <w:lang w:val="en-US" w:eastAsia="zh-CN"/>
        </w:rPr>
        <w:t>(3)</w:t>
      </w:r>
      <w:r>
        <w:rPr>
          <w:rFonts w:hint="eastAsia" w:ascii="仿宋" w:hAnsi="仿宋" w:eastAsia="仿宋" w:cs="仿宋"/>
          <w:b/>
          <w:bCs/>
          <w:color w:val="auto"/>
          <w:spacing w:val="1"/>
          <w:w w:val="95"/>
          <w:highlight w:val="none"/>
          <w:lang w:eastAsia="zh-CN"/>
        </w:rPr>
        <w:t>供应商必须为在中华人民共和国境内依法设立的国有商业银行、股份制商业银行、邮政储蓄银行、城市商业银行等银行机构且具备中国银行保险监督管理委员会核发的《中华人民共和国金融许可证》。</w:t>
      </w:r>
    </w:p>
    <w:p w14:paraId="65DCC711">
      <w:pPr>
        <w:pStyle w:val="72"/>
        <w:spacing w:line="440" w:lineRule="exact"/>
        <w:ind w:firstLine="0"/>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（4）无重大违法记录声明；</w:t>
      </w:r>
    </w:p>
    <w:p w14:paraId="6ECA1459">
      <w:pPr>
        <w:pStyle w:val="72"/>
        <w:spacing w:line="440" w:lineRule="exact"/>
        <w:ind w:firstLine="0"/>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（5）反商业贿赂承诺书</w:t>
      </w:r>
    </w:p>
    <w:p w14:paraId="3AE95ABD">
      <w:pPr>
        <w:pStyle w:val="69"/>
        <w:keepNext/>
        <w:keepLines/>
        <w:spacing w:before="0" w:after="160"/>
        <w:ind w:firstLine="680"/>
        <w:jc w:val="left"/>
        <w:rPr>
          <w:rFonts w:ascii="仿宋" w:hAnsi="仿宋" w:eastAsia="仿宋" w:cs="仿宋"/>
          <w:color w:val="auto"/>
          <w:highlight w:val="none"/>
        </w:rPr>
      </w:pPr>
    </w:p>
    <w:p w14:paraId="6A207421">
      <w:pPr>
        <w:pStyle w:val="69"/>
        <w:keepNext/>
        <w:keepLines/>
        <w:spacing w:before="0" w:after="160"/>
        <w:ind w:firstLine="680"/>
        <w:jc w:val="left"/>
        <w:rPr>
          <w:rFonts w:ascii="仿宋" w:hAnsi="仿宋" w:eastAsia="仿宋" w:cs="仿宋"/>
          <w:color w:val="auto"/>
          <w:highlight w:val="none"/>
        </w:rPr>
      </w:pPr>
    </w:p>
    <w:p w14:paraId="53F7DFB3">
      <w:pPr>
        <w:pStyle w:val="69"/>
        <w:keepNext/>
        <w:keepLines/>
        <w:spacing w:before="0" w:after="160"/>
        <w:ind w:firstLine="680"/>
        <w:jc w:val="left"/>
        <w:rPr>
          <w:rFonts w:ascii="仿宋" w:hAnsi="仿宋" w:eastAsia="仿宋" w:cs="仿宋"/>
          <w:color w:val="auto"/>
          <w:highlight w:val="none"/>
        </w:rPr>
      </w:pPr>
    </w:p>
    <w:p w14:paraId="75683676">
      <w:pPr>
        <w:pStyle w:val="69"/>
        <w:keepNext/>
        <w:keepLines/>
        <w:spacing w:before="0" w:after="160"/>
        <w:jc w:val="left"/>
        <w:rPr>
          <w:rFonts w:ascii="仿宋" w:hAnsi="仿宋" w:eastAsia="仿宋" w:cs="仿宋"/>
          <w:color w:val="auto"/>
          <w:highlight w:val="none"/>
        </w:rPr>
      </w:pPr>
    </w:p>
    <w:bookmarkEnd w:id="149"/>
    <w:p w14:paraId="34FD18EE">
      <w:pPr>
        <w:pStyle w:val="72"/>
        <w:spacing w:line="240" w:lineRule="auto"/>
        <w:ind w:left="1060" w:firstLine="0"/>
        <w:rPr>
          <w:rFonts w:ascii="仿宋" w:hAnsi="仿宋" w:eastAsia="仿宋" w:cs="仿宋"/>
          <w:color w:val="auto"/>
          <w:sz w:val="36"/>
          <w:szCs w:val="36"/>
          <w:highlight w:val="none"/>
          <w:lang w:eastAsia="zh-CN"/>
        </w:rPr>
      </w:pPr>
    </w:p>
    <w:bookmarkEnd w:id="150"/>
    <w:bookmarkEnd w:id="151"/>
    <w:bookmarkEnd w:id="152"/>
    <w:p w14:paraId="498FE02B">
      <w:pPr>
        <w:pStyle w:val="73"/>
        <w:spacing w:after="0"/>
        <w:ind w:firstLine="420"/>
        <w:jc w:val="center"/>
        <w:rPr>
          <w:rFonts w:ascii="仿宋" w:hAnsi="仿宋" w:eastAsia="仿宋" w:cs="仿宋"/>
          <w:color w:val="auto"/>
          <w:sz w:val="36"/>
          <w:szCs w:val="36"/>
          <w:highlight w:val="none"/>
        </w:rPr>
      </w:pPr>
    </w:p>
    <w:p w14:paraId="555B9F80">
      <w:pPr>
        <w:pStyle w:val="73"/>
        <w:spacing w:after="0"/>
        <w:ind w:firstLine="420"/>
        <w:jc w:val="center"/>
        <w:rPr>
          <w:rFonts w:ascii="仿宋" w:hAnsi="仿宋" w:eastAsia="仿宋" w:cs="仿宋"/>
          <w:color w:val="auto"/>
          <w:sz w:val="36"/>
          <w:szCs w:val="36"/>
          <w:highlight w:val="none"/>
        </w:rPr>
      </w:pPr>
    </w:p>
    <w:p w14:paraId="1E4D0E85">
      <w:pPr>
        <w:pStyle w:val="73"/>
        <w:spacing w:after="0"/>
        <w:ind w:firstLine="420"/>
        <w:jc w:val="center"/>
        <w:rPr>
          <w:rFonts w:ascii="仿宋" w:hAnsi="仿宋" w:eastAsia="仿宋" w:cs="仿宋"/>
          <w:color w:val="auto"/>
          <w:sz w:val="36"/>
          <w:szCs w:val="36"/>
          <w:highlight w:val="none"/>
        </w:rPr>
      </w:pPr>
    </w:p>
    <w:p w14:paraId="410FF816">
      <w:pPr>
        <w:pStyle w:val="73"/>
        <w:spacing w:after="0"/>
        <w:ind w:firstLine="420"/>
        <w:jc w:val="center"/>
        <w:rPr>
          <w:rFonts w:ascii="仿宋" w:hAnsi="仿宋" w:eastAsia="仿宋" w:cs="仿宋"/>
          <w:color w:val="auto"/>
          <w:sz w:val="36"/>
          <w:szCs w:val="36"/>
          <w:highlight w:val="none"/>
        </w:rPr>
      </w:pPr>
    </w:p>
    <w:p w14:paraId="70441E9F">
      <w:pPr>
        <w:pStyle w:val="73"/>
        <w:spacing w:after="0"/>
        <w:ind w:firstLine="420"/>
        <w:jc w:val="center"/>
        <w:rPr>
          <w:rFonts w:ascii="仿宋" w:hAnsi="仿宋" w:eastAsia="仿宋" w:cs="仿宋"/>
          <w:color w:val="auto"/>
          <w:sz w:val="36"/>
          <w:szCs w:val="36"/>
          <w:highlight w:val="none"/>
        </w:rPr>
      </w:pPr>
    </w:p>
    <w:p w14:paraId="5B9D8D12">
      <w:pPr>
        <w:pStyle w:val="73"/>
        <w:spacing w:after="0"/>
        <w:ind w:firstLine="420"/>
        <w:jc w:val="center"/>
        <w:rPr>
          <w:rFonts w:ascii="仿宋" w:hAnsi="仿宋" w:eastAsia="仿宋" w:cs="仿宋"/>
          <w:color w:val="auto"/>
          <w:sz w:val="36"/>
          <w:szCs w:val="36"/>
          <w:highlight w:val="none"/>
        </w:rPr>
      </w:pPr>
    </w:p>
    <w:p w14:paraId="51D04115">
      <w:pPr>
        <w:pStyle w:val="73"/>
        <w:spacing w:after="0"/>
        <w:ind w:firstLine="420"/>
        <w:jc w:val="center"/>
        <w:rPr>
          <w:rFonts w:ascii="仿宋" w:hAnsi="仿宋" w:eastAsia="仿宋" w:cs="仿宋"/>
          <w:color w:val="auto"/>
          <w:sz w:val="36"/>
          <w:szCs w:val="36"/>
          <w:highlight w:val="none"/>
        </w:rPr>
      </w:pPr>
    </w:p>
    <w:p w14:paraId="0736B45E">
      <w:pPr>
        <w:pStyle w:val="73"/>
        <w:spacing w:after="0"/>
        <w:ind w:firstLine="420"/>
        <w:jc w:val="center"/>
        <w:rPr>
          <w:rFonts w:ascii="仿宋" w:hAnsi="仿宋" w:eastAsia="仿宋" w:cs="仿宋"/>
          <w:color w:val="auto"/>
          <w:sz w:val="36"/>
          <w:szCs w:val="36"/>
          <w:highlight w:val="none"/>
        </w:rPr>
      </w:pPr>
    </w:p>
    <w:p w14:paraId="45532D67">
      <w:pPr>
        <w:pStyle w:val="73"/>
        <w:spacing w:after="0"/>
        <w:ind w:firstLine="420"/>
        <w:jc w:val="center"/>
        <w:rPr>
          <w:rFonts w:ascii="仿宋" w:hAnsi="仿宋" w:eastAsia="仿宋" w:cs="仿宋"/>
          <w:color w:val="auto"/>
          <w:sz w:val="36"/>
          <w:szCs w:val="36"/>
          <w:highlight w:val="none"/>
        </w:rPr>
      </w:pPr>
    </w:p>
    <w:p w14:paraId="702D70C4">
      <w:pPr>
        <w:pStyle w:val="73"/>
        <w:spacing w:after="0"/>
        <w:ind w:firstLine="420"/>
        <w:jc w:val="center"/>
        <w:rPr>
          <w:rFonts w:ascii="仿宋" w:hAnsi="仿宋" w:eastAsia="仿宋" w:cs="仿宋"/>
          <w:color w:val="auto"/>
          <w:sz w:val="36"/>
          <w:szCs w:val="36"/>
          <w:highlight w:val="none"/>
        </w:rPr>
      </w:pPr>
    </w:p>
    <w:p w14:paraId="07B9B5D8">
      <w:pPr>
        <w:pStyle w:val="73"/>
        <w:spacing w:after="0"/>
        <w:ind w:firstLine="420"/>
        <w:jc w:val="center"/>
        <w:rPr>
          <w:rFonts w:ascii="仿宋" w:hAnsi="仿宋" w:eastAsia="仿宋" w:cs="仿宋"/>
          <w:color w:val="auto"/>
          <w:sz w:val="36"/>
          <w:szCs w:val="36"/>
          <w:highlight w:val="none"/>
        </w:rPr>
      </w:pPr>
    </w:p>
    <w:p w14:paraId="28931A28">
      <w:pPr>
        <w:pStyle w:val="73"/>
        <w:spacing w:after="0"/>
        <w:ind w:left="0" w:leftChars="0" w:firstLine="0" w:firstLineChars="0"/>
        <w:jc w:val="center"/>
        <w:rPr>
          <w:rFonts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lang w:eastAsia="zh-CN"/>
        </w:rPr>
        <w:t>七</w:t>
      </w:r>
      <w:r>
        <w:rPr>
          <w:rFonts w:hint="eastAsia" w:ascii="仿宋" w:hAnsi="仿宋" w:eastAsia="仿宋" w:cs="仿宋"/>
          <w:color w:val="auto"/>
          <w:sz w:val="36"/>
          <w:szCs w:val="36"/>
          <w:highlight w:val="none"/>
        </w:rPr>
        <w:t>、</w:t>
      </w:r>
      <w:r>
        <w:rPr>
          <w:rFonts w:hint="eastAsia" w:ascii="仿宋" w:hAnsi="仿宋" w:eastAsia="仿宋" w:cs="仿宋"/>
          <w:color w:val="auto"/>
          <w:sz w:val="36"/>
          <w:szCs w:val="36"/>
          <w:highlight w:val="none"/>
          <w:lang w:eastAsia="zh-CN"/>
        </w:rPr>
        <w:t>商务条款偏离表</w:t>
      </w:r>
    </w:p>
    <w:tbl>
      <w:tblPr>
        <w:tblStyle w:val="24"/>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269"/>
        <w:gridCol w:w="1134"/>
        <w:gridCol w:w="2658"/>
      </w:tblGrid>
      <w:tr w14:paraId="0BEF0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88" w:type="dxa"/>
            <w:vAlign w:val="center"/>
          </w:tcPr>
          <w:p w14:paraId="150CBFC8">
            <w:pPr>
              <w:rPr>
                <w:rFonts w:ascii="仿宋" w:hAnsi="仿宋" w:eastAsia="仿宋" w:cs="仿宋"/>
                <w:color w:val="auto"/>
                <w:spacing w:val="-1"/>
                <w:highlight w:val="none"/>
              </w:rPr>
            </w:pPr>
            <w:r>
              <w:rPr>
                <w:rFonts w:hint="eastAsia" w:ascii="仿宋" w:hAnsi="仿宋" w:eastAsia="仿宋" w:cs="仿宋"/>
                <w:color w:val="auto"/>
                <w:spacing w:val="-1"/>
                <w:highlight w:val="none"/>
              </w:rPr>
              <w:t>序号</w:t>
            </w:r>
          </w:p>
        </w:tc>
        <w:tc>
          <w:tcPr>
            <w:tcW w:w="2154" w:type="dxa"/>
            <w:vAlign w:val="center"/>
          </w:tcPr>
          <w:p w14:paraId="6B09A020">
            <w:pPr>
              <w:rPr>
                <w:rFonts w:ascii="仿宋" w:hAnsi="仿宋" w:eastAsia="仿宋" w:cs="仿宋"/>
                <w:color w:val="auto"/>
                <w:spacing w:val="-1"/>
                <w:highlight w:val="none"/>
              </w:rPr>
            </w:pPr>
            <w:r>
              <w:rPr>
                <w:rFonts w:hint="eastAsia" w:ascii="仿宋" w:hAnsi="仿宋" w:eastAsia="仿宋" w:cs="仿宋"/>
                <w:color w:val="auto"/>
                <w:spacing w:val="-1"/>
                <w:highlight w:val="none"/>
              </w:rPr>
              <w:t>一般商务条款序号</w:t>
            </w:r>
          </w:p>
        </w:tc>
        <w:tc>
          <w:tcPr>
            <w:tcW w:w="2269" w:type="dxa"/>
            <w:vAlign w:val="center"/>
          </w:tcPr>
          <w:p w14:paraId="2FCCB9AE">
            <w:pPr>
              <w:rPr>
                <w:rFonts w:ascii="仿宋" w:hAnsi="仿宋" w:eastAsia="仿宋" w:cs="仿宋"/>
                <w:color w:val="auto"/>
                <w:spacing w:val="-1"/>
                <w:highlight w:val="none"/>
              </w:rPr>
            </w:pPr>
            <w:r>
              <w:rPr>
                <w:rFonts w:hint="eastAsia" w:ascii="仿宋" w:hAnsi="仿宋" w:eastAsia="仿宋" w:cs="仿宋"/>
                <w:color w:val="auto"/>
                <w:spacing w:val="-1"/>
                <w:highlight w:val="none"/>
              </w:rPr>
              <w:t>条款内容</w:t>
            </w:r>
          </w:p>
        </w:tc>
        <w:tc>
          <w:tcPr>
            <w:tcW w:w="1134" w:type="dxa"/>
            <w:vAlign w:val="center"/>
          </w:tcPr>
          <w:p w14:paraId="7485F876">
            <w:pPr>
              <w:rPr>
                <w:rFonts w:ascii="仿宋" w:hAnsi="仿宋" w:eastAsia="仿宋" w:cs="仿宋"/>
                <w:color w:val="auto"/>
                <w:spacing w:val="-1"/>
                <w:highlight w:val="none"/>
              </w:rPr>
            </w:pPr>
            <w:r>
              <w:rPr>
                <w:rFonts w:hint="eastAsia" w:ascii="仿宋" w:hAnsi="仿宋" w:eastAsia="仿宋" w:cs="仿宋"/>
                <w:color w:val="auto"/>
                <w:spacing w:val="-1"/>
                <w:highlight w:val="none"/>
              </w:rPr>
              <w:t>是否响应</w:t>
            </w:r>
          </w:p>
        </w:tc>
        <w:tc>
          <w:tcPr>
            <w:tcW w:w="2658" w:type="dxa"/>
            <w:vAlign w:val="center"/>
          </w:tcPr>
          <w:p w14:paraId="74365DA7">
            <w:pPr>
              <w:rPr>
                <w:rFonts w:ascii="仿宋" w:hAnsi="仿宋" w:eastAsia="仿宋" w:cs="仿宋"/>
                <w:color w:val="auto"/>
                <w:spacing w:val="-1"/>
                <w:highlight w:val="none"/>
              </w:rPr>
            </w:pPr>
            <w:r>
              <w:rPr>
                <w:rFonts w:hint="eastAsia" w:ascii="仿宋" w:hAnsi="仿宋" w:eastAsia="仿宋" w:cs="仿宋"/>
                <w:color w:val="auto"/>
                <w:spacing w:val="-1"/>
                <w:highlight w:val="none"/>
              </w:rPr>
              <w:t>偏离说明</w:t>
            </w:r>
          </w:p>
        </w:tc>
      </w:tr>
      <w:tr w14:paraId="7F555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5B0807BA">
            <w:pPr>
              <w:rPr>
                <w:rFonts w:ascii="仿宋" w:hAnsi="仿宋" w:eastAsia="仿宋" w:cs="仿宋"/>
                <w:color w:val="auto"/>
                <w:spacing w:val="-1"/>
                <w:highlight w:val="none"/>
              </w:rPr>
            </w:pPr>
            <w:r>
              <w:rPr>
                <w:rFonts w:hint="eastAsia" w:ascii="仿宋" w:hAnsi="仿宋" w:eastAsia="仿宋" w:cs="仿宋"/>
                <w:color w:val="auto"/>
                <w:spacing w:val="-1"/>
                <w:highlight w:val="none"/>
              </w:rPr>
              <w:t>1</w:t>
            </w:r>
          </w:p>
        </w:tc>
        <w:tc>
          <w:tcPr>
            <w:tcW w:w="2154" w:type="dxa"/>
            <w:vAlign w:val="center"/>
          </w:tcPr>
          <w:p w14:paraId="211D5FA6">
            <w:pPr>
              <w:rPr>
                <w:rFonts w:ascii="仿宋" w:hAnsi="仿宋" w:eastAsia="仿宋" w:cs="仿宋"/>
                <w:color w:val="auto"/>
                <w:spacing w:val="-1"/>
                <w:highlight w:val="none"/>
              </w:rPr>
            </w:pPr>
          </w:p>
        </w:tc>
        <w:tc>
          <w:tcPr>
            <w:tcW w:w="2269" w:type="dxa"/>
            <w:vAlign w:val="center"/>
          </w:tcPr>
          <w:p w14:paraId="52DB9424">
            <w:pPr>
              <w:rPr>
                <w:rFonts w:ascii="仿宋" w:hAnsi="仿宋" w:eastAsia="仿宋" w:cs="仿宋"/>
                <w:color w:val="auto"/>
                <w:spacing w:val="-1"/>
                <w:highlight w:val="none"/>
              </w:rPr>
            </w:pPr>
          </w:p>
        </w:tc>
        <w:tc>
          <w:tcPr>
            <w:tcW w:w="1134" w:type="dxa"/>
            <w:vAlign w:val="center"/>
          </w:tcPr>
          <w:p w14:paraId="53CFAAAD">
            <w:pPr>
              <w:rPr>
                <w:rFonts w:ascii="仿宋" w:hAnsi="仿宋" w:eastAsia="仿宋" w:cs="仿宋"/>
                <w:color w:val="auto"/>
                <w:spacing w:val="-1"/>
                <w:highlight w:val="none"/>
              </w:rPr>
            </w:pPr>
          </w:p>
        </w:tc>
        <w:tc>
          <w:tcPr>
            <w:tcW w:w="2658" w:type="dxa"/>
            <w:vAlign w:val="center"/>
          </w:tcPr>
          <w:p w14:paraId="7E860C9A">
            <w:pPr>
              <w:rPr>
                <w:rFonts w:ascii="仿宋" w:hAnsi="仿宋" w:eastAsia="仿宋" w:cs="仿宋"/>
                <w:color w:val="auto"/>
                <w:spacing w:val="-1"/>
                <w:highlight w:val="none"/>
              </w:rPr>
            </w:pPr>
          </w:p>
        </w:tc>
      </w:tr>
      <w:tr w14:paraId="14BF4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740939B9">
            <w:pPr>
              <w:rPr>
                <w:rFonts w:ascii="仿宋" w:hAnsi="仿宋" w:eastAsia="仿宋" w:cs="仿宋"/>
                <w:color w:val="auto"/>
                <w:spacing w:val="-1"/>
                <w:highlight w:val="none"/>
              </w:rPr>
            </w:pPr>
            <w:r>
              <w:rPr>
                <w:rFonts w:hint="eastAsia" w:ascii="仿宋" w:hAnsi="仿宋" w:eastAsia="仿宋" w:cs="仿宋"/>
                <w:color w:val="auto"/>
                <w:spacing w:val="-1"/>
                <w:highlight w:val="none"/>
              </w:rPr>
              <w:t>2</w:t>
            </w:r>
          </w:p>
        </w:tc>
        <w:tc>
          <w:tcPr>
            <w:tcW w:w="2154" w:type="dxa"/>
            <w:vAlign w:val="center"/>
          </w:tcPr>
          <w:p w14:paraId="41C1C975">
            <w:pPr>
              <w:rPr>
                <w:rFonts w:ascii="仿宋" w:hAnsi="仿宋" w:eastAsia="仿宋" w:cs="仿宋"/>
                <w:color w:val="auto"/>
                <w:spacing w:val="-1"/>
                <w:highlight w:val="none"/>
              </w:rPr>
            </w:pPr>
          </w:p>
        </w:tc>
        <w:tc>
          <w:tcPr>
            <w:tcW w:w="2269" w:type="dxa"/>
            <w:vAlign w:val="center"/>
          </w:tcPr>
          <w:p w14:paraId="2C82BC92">
            <w:pPr>
              <w:rPr>
                <w:rFonts w:ascii="仿宋" w:hAnsi="仿宋" w:eastAsia="仿宋" w:cs="仿宋"/>
                <w:color w:val="auto"/>
                <w:spacing w:val="-1"/>
                <w:highlight w:val="none"/>
              </w:rPr>
            </w:pPr>
          </w:p>
        </w:tc>
        <w:tc>
          <w:tcPr>
            <w:tcW w:w="1134" w:type="dxa"/>
            <w:vAlign w:val="center"/>
          </w:tcPr>
          <w:p w14:paraId="2565A227">
            <w:pPr>
              <w:rPr>
                <w:rFonts w:ascii="仿宋" w:hAnsi="仿宋" w:eastAsia="仿宋" w:cs="仿宋"/>
                <w:color w:val="auto"/>
                <w:spacing w:val="-1"/>
                <w:highlight w:val="none"/>
              </w:rPr>
            </w:pPr>
          </w:p>
        </w:tc>
        <w:tc>
          <w:tcPr>
            <w:tcW w:w="2658" w:type="dxa"/>
            <w:vAlign w:val="center"/>
          </w:tcPr>
          <w:p w14:paraId="3D062830">
            <w:pPr>
              <w:rPr>
                <w:rFonts w:ascii="仿宋" w:hAnsi="仿宋" w:eastAsia="仿宋" w:cs="仿宋"/>
                <w:color w:val="auto"/>
                <w:spacing w:val="-1"/>
                <w:highlight w:val="none"/>
              </w:rPr>
            </w:pPr>
          </w:p>
        </w:tc>
      </w:tr>
      <w:tr w14:paraId="79514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30F5A9FB">
            <w:pPr>
              <w:rPr>
                <w:rFonts w:ascii="仿宋" w:hAnsi="仿宋" w:eastAsia="仿宋" w:cs="仿宋"/>
                <w:color w:val="auto"/>
                <w:spacing w:val="-1"/>
                <w:highlight w:val="none"/>
              </w:rPr>
            </w:pPr>
            <w:r>
              <w:rPr>
                <w:rFonts w:hint="eastAsia" w:ascii="仿宋" w:hAnsi="仿宋" w:eastAsia="仿宋" w:cs="仿宋"/>
                <w:color w:val="auto"/>
                <w:spacing w:val="-1"/>
                <w:highlight w:val="none"/>
              </w:rPr>
              <w:t>3</w:t>
            </w:r>
          </w:p>
        </w:tc>
        <w:tc>
          <w:tcPr>
            <w:tcW w:w="2154" w:type="dxa"/>
            <w:vAlign w:val="center"/>
          </w:tcPr>
          <w:p w14:paraId="6EDFAF1C">
            <w:pPr>
              <w:rPr>
                <w:rFonts w:ascii="仿宋" w:hAnsi="仿宋" w:eastAsia="仿宋" w:cs="仿宋"/>
                <w:color w:val="auto"/>
                <w:spacing w:val="-1"/>
                <w:highlight w:val="none"/>
              </w:rPr>
            </w:pPr>
          </w:p>
        </w:tc>
        <w:tc>
          <w:tcPr>
            <w:tcW w:w="2269" w:type="dxa"/>
            <w:vAlign w:val="center"/>
          </w:tcPr>
          <w:p w14:paraId="6CF98354">
            <w:pPr>
              <w:rPr>
                <w:rFonts w:ascii="仿宋" w:hAnsi="仿宋" w:eastAsia="仿宋" w:cs="仿宋"/>
                <w:color w:val="auto"/>
                <w:spacing w:val="-1"/>
                <w:highlight w:val="none"/>
              </w:rPr>
            </w:pPr>
          </w:p>
        </w:tc>
        <w:tc>
          <w:tcPr>
            <w:tcW w:w="1134" w:type="dxa"/>
            <w:vAlign w:val="center"/>
          </w:tcPr>
          <w:p w14:paraId="5D89F4E2">
            <w:pPr>
              <w:rPr>
                <w:rFonts w:ascii="仿宋" w:hAnsi="仿宋" w:eastAsia="仿宋" w:cs="仿宋"/>
                <w:color w:val="auto"/>
                <w:spacing w:val="-1"/>
                <w:highlight w:val="none"/>
              </w:rPr>
            </w:pPr>
          </w:p>
        </w:tc>
        <w:tc>
          <w:tcPr>
            <w:tcW w:w="2658" w:type="dxa"/>
            <w:vAlign w:val="center"/>
          </w:tcPr>
          <w:p w14:paraId="61559CED">
            <w:pPr>
              <w:rPr>
                <w:rFonts w:ascii="仿宋" w:hAnsi="仿宋" w:eastAsia="仿宋" w:cs="仿宋"/>
                <w:color w:val="auto"/>
                <w:spacing w:val="-1"/>
                <w:highlight w:val="none"/>
              </w:rPr>
            </w:pPr>
          </w:p>
        </w:tc>
      </w:tr>
      <w:tr w14:paraId="5C32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41965780">
            <w:pPr>
              <w:rPr>
                <w:rFonts w:ascii="仿宋" w:hAnsi="仿宋" w:eastAsia="仿宋" w:cs="仿宋"/>
                <w:color w:val="auto"/>
                <w:spacing w:val="-1"/>
                <w:highlight w:val="none"/>
              </w:rPr>
            </w:pPr>
            <w:r>
              <w:rPr>
                <w:rFonts w:hint="eastAsia" w:ascii="仿宋" w:hAnsi="仿宋" w:eastAsia="仿宋" w:cs="仿宋"/>
                <w:color w:val="auto"/>
                <w:spacing w:val="-1"/>
                <w:highlight w:val="none"/>
              </w:rPr>
              <w:t>4</w:t>
            </w:r>
          </w:p>
        </w:tc>
        <w:tc>
          <w:tcPr>
            <w:tcW w:w="2154" w:type="dxa"/>
            <w:vAlign w:val="center"/>
          </w:tcPr>
          <w:p w14:paraId="50949229">
            <w:pPr>
              <w:rPr>
                <w:rFonts w:ascii="仿宋" w:hAnsi="仿宋" w:eastAsia="仿宋" w:cs="仿宋"/>
                <w:color w:val="auto"/>
                <w:spacing w:val="-1"/>
                <w:highlight w:val="none"/>
              </w:rPr>
            </w:pPr>
          </w:p>
        </w:tc>
        <w:tc>
          <w:tcPr>
            <w:tcW w:w="2269" w:type="dxa"/>
            <w:vAlign w:val="center"/>
          </w:tcPr>
          <w:p w14:paraId="4F48E627">
            <w:pPr>
              <w:rPr>
                <w:rFonts w:ascii="仿宋" w:hAnsi="仿宋" w:eastAsia="仿宋" w:cs="仿宋"/>
                <w:color w:val="auto"/>
                <w:spacing w:val="-1"/>
                <w:highlight w:val="none"/>
              </w:rPr>
            </w:pPr>
          </w:p>
        </w:tc>
        <w:tc>
          <w:tcPr>
            <w:tcW w:w="1134" w:type="dxa"/>
            <w:vAlign w:val="center"/>
          </w:tcPr>
          <w:p w14:paraId="4C321AFC">
            <w:pPr>
              <w:rPr>
                <w:rFonts w:ascii="仿宋" w:hAnsi="仿宋" w:eastAsia="仿宋" w:cs="仿宋"/>
                <w:color w:val="auto"/>
                <w:spacing w:val="-1"/>
                <w:highlight w:val="none"/>
              </w:rPr>
            </w:pPr>
          </w:p>
        </w:tc>
        <w:tc>
          <w:tcPr>
            <w:tcW w:w="2658" w:type="dxa"/>
            <w:vAlign w:val="center"/>
          </w:tcPr>
          <w:p w14:paraId="02371050">
            <w:pPr>
              <w:rPr>
                <w:rFonts w:ascii="仿宋" w:hAnsi="仿宋" w:eastAsia="仿宋" w:cs="仿宋"/>
                <w:color w:val="auto"/>
                <w:spacing w:val="-1"/>
                <w:highlight w:val="none"/>
              </w:rPr>
            </w:pPr>
          </w:p>
        </w:tc>
      </w:tr>
      <w:tr w14:paraId="1975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523DB5EA">
            <w:pPr>
              <w:rPr>
                <w:rFonts w:ascii="仿宋" w:hAnsi="仿宋" w:eastAsia="仿宋" w:cs="仿宋"/>
                <w:color w:val="auto"/>
                <w:spacing w:val="-1"/>
                <w:highlight w:val="none"/>
              </w:rPr>
            </w:pPr>
            <w:r>
              <w:rPr>
                <w:rFonts w:hint="eastAsia" w:ascii="仿宋" w:hAnsi="仿宋" w:eastAsia="仿宋" w:cs="仿宋"/>
                <w:color w:val="auto"/>
                <w:spacing w:val="-1"/>
                <w:highlight w:val="none"/>
              </w:rPr>
              <w:t>5</w:t>
            </w:r>
          </w:p>
        </w:tc>
        <w:tc>
          <w:tcPr>
            <w:tcW w:w="2154" w:type="dxa"/>
            <w:vAlign w:val="center"/>
          </w:tcPr>
          <w:p w14:paraId="5510A278">
            <w:pPr>
              <w:rPr>
                <w:rFonts w:ascii="仿宋" w:hAnsi="仿宋" w:eastAsia="仿宋" w:cs="仿宋"/>
                <w:color w:val="auto"/>
                <w:spacing w:val="-1"/>
                <w:highlight w:val="none"/>
              </w:rPr>
            </w:pPr>
          </w:p>
        </w:tc>
        <w:tc>
          <w:tcPr>
            <w:tcW w:w="2269" w:type="dxa"/>
            <w:vAlign w:val="center"/>
          </w:tcPr>
          <w:p w14:paraId="42ECF13A">
            <w:pPr>
              <w:rPr>
                <w:rFonts w:ascii="仿宋" w:hAnsi="仿宋" w:eastAsia="仿宋" w:cs="仿宋"/>
                <w:color w:val="auto"/>
                <w:spacing w:val="-1"/>
                <w:highlight w:val="none"/>
              </w:rPr>
            </w:pPr>
          </w:p>
        </w:tc>
        <w:tc>
          <w:tcPr>
            <w:tcW w:w="1134" w:type="dxa"/>
            <w:vAlign w:val="center"/>
          </w:tcPr>
          <w:p w14:paraId="058E72A2">
            <w:pPr>
              <w:rPr>
                <w:rFonts w:ascii="仿宋" w:hAnsi="仿宋" w:eastAsia="仿宋" w:cs="仿宋"/>
                <w:color w:val="auto"/>
                <w:spacing w:val="-1"/>
                <w:highlight w:val="none"/>
              </w:rPr>
            </w:pPr>
          </w:p>
        </w:tc>
        <w:tc>
          <w:tcPr>
            <w:tcW w:w="2658" w:type="dxa"/>
            <w:vAlign w:val="center"/>
          </w:tcPr>
          <w:p w14:paraId="0A99DFE8">
            <w:pPr>
              <w:rPr>
                <w:rFonts w:ascii="仿宋" w:hAnsi="仿宋" w:eastAsia="仿宋" w:cs="仿宋"/>
                <w:color w:val="auto"/>
                <w:spacing w:val="-1"/>
                <w:highlight w:val="none"/>
              </w:rPr>
            </w:pPr>
          </w:p>
        </w:tc>
      </w:tr>
      <w:tr w14:paraId="1B70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08B8A399">
            <w:pPr>
              <w:rPr>
                <w:rFonts w:ascii="仿宋" w:hAnsi="仿宋" w:eastAsia="仿宋" w:cs="仿宋"/>
                <w:color w:val="auto"/>
                <w:spacing w:val="-1"/>
                <w:highlight w:val="none"/>
              </w:rPr>
            </w:pPr>
            <w:r>
              <w:rPr>
                <w:rFonts w:hint="eastAsia" w:ascii="仿宋" w:hAnsi="仿宋" w:eastAsia="仿宋" w:cs="仿宋"/>
                <w:color w:val="auto"/>
                <w:spacing w:val="-1"/>
                <w:highlight w:val="none"/>
              </w:rPr>
              <w:t>6</w:t>
            </w:r>
          </w:p>
        </w:tc>
        <w:tc>
          <w:tcPr>
            <w:tcW w:w="2154" w:type="dxa"/>
            <w:vAlign w:val="center"/>
          </w:tcPr>
          <w:p w14:paraId="67C15646">
            <w:pPr>
              <w:rPr>
                <w:rFonts w:ascii="仿宋" w:hAnsi="仿宋" w:eastAsia="仿宋" w:cs="仿宋"/>
                <w:color w:val="auto"/>
                <w:spacing w:val="-1"/>
                <w:highlight w:val="none"/>
              </w:rPr>
            </w:pPr>
          </w:p>
        </w:tc>
        <w:tc>
          <w:tcPr>
            <w:tcW w:w="2269" w:type="dxa"/>
            <w:vAlign w:val="center"/>
          </w:tcPr>
          <w:p w14:paraId="31C94512">
            <w:pPr>
              <w:rPr>
                <w:rFonts w:ascii="仿宋" w:hAnsi="仿宋" w:eastAsia="仿宋" w:cs="仿宋"/>
                <w:color w:val="auto"/>
                <w:spacing w:val="-1"/>
                <w:highlight w:val="none"/>
              </w:rPr>
            </w:pPr>
          </w:p>
        </w:tc>
        <w:tc>
          <w:tcPr>
            <w:tcW w:w="1134" w:type="dxa"/>
            <w:vAlign w:val="center"/>
          </w:tcPr>
          <w:p w14:paraId="575191BB">
            <w:pPr>
              <w:rPr>
                <w:rFonts w:ascii="仿宋" w:hAnsi="仿宋" w:eastAsia="仿宋" w:cs="仿宋"/>
                <w:color w:val="auto"/>
                <w:spacing w:val="-1"/>
                <w:highlight w:val="none"/>
              </w:rPr>
            </w:pPr>
          </w:p>
        </w:tc>
        <w:tc>
          <w:tcPr>
            <w:tcW w:w="2658" w:type="dxa"/>
            <w:vAlign w:val="center"/>
          </w:tcPr>
          <w:p w14:paraId="7FCF80FF">
            <w:pPr>
              <w:rPr>
                <w:rFonts w:ascii="仿宋" w:hAnsi="仿宋" w:eastAsia="仿宋" w:cs="仿宋"/>
                <w:color w:val="auto"/>
                <w:spacing w:val="-1"/>
                <w:highlight w:val="none"/>
              </w:rPr>
            </w:pPr>
          </w:p>
        </w:tc>
      </w:tr>
      <w:tr w14:paraId="417C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76E20011">
            <w:pPr>
              <w:rPr>
                <w:rFonts w:ascii="仿宋" w:hAnsi="仿宋" w:eastAsia="仿宋" w:cs="仿宋"/>
                <w:color w:val="auto"/>
                <w:spacing w:val="-1"/>
                <w:highlight w:val="none"/>
              </w:rPr>
            </w:pPr>
            <w:r>
              <w:rPr>
                <w:rFonts w:hint="eastAsia" w:ascii="仿宋" w:hAnsi="仿宋" w:eastAsia="仿宋" w:cs="仿宋"/>
                <w:color w:val="auto"/>
                <w:spacing w:val="-1"/>
                <w:highlight w:val="none"/>
              </w:rPr>
              <w:t>7</w:t>
            </w:r>
          </w:p>
        </w:tc>
        <w:tc>
          <w:tcPr>
            <w:tcW w:w="2154" w:type="dxa"/>
            <w:vAlign w:val="center"/>
          </w:tcPr>
          <w:p w14:paraId="0A274F23">
            <w:pPr>
              <w:rPr>
                <w:rFonts w:ascii="仿宋" w:hAnsi="仿宋" w:eastAsia="仿宋" w:cs="仿宋"/>
                <w:color w:val="auto"/>
                <w:spacing w:val="-1"/>
                <w:highlight w:val="none"/>
              </w:rPr>
            </w:pPr>
          </w:p>
        </w:tc>
        <w:tc>
          <w:tcPr>
            <w:tcW w:w="2269" w:type="dxa"/>
            <w:vAlign w:val="center"/>
          </w:tcPr>
          <w:p w14:paraId="3BD8DF29">
            <w:pPr>
              <w:rPr>
                <w:rFonts w:ascii="仿宋" w:hAnsi="仿宋" w:eastAsia="仿宋" w:cs="仿宋"/>
                <w:color w:val="auto"/>
                <w:spacing w:val="-1"/>
                <w:highlight w:val="none"/>
              </w:rPr>
            </w:pPr>
          </w:p>
        </w:tc>
        <w:tc>
          <w:tcPr>
            <w:tcW w:w="1134" w:type="dxa"/>
            <w:vAlign w:val="center"/>
          </w:tcPr>
          <w:p w14:paraId="000EC17D">
            <w:pPr>
              <w:rPr>
                <w:rFonts w:ascii="仿宋" w:hAnsi="仿宋" w:eastAsia="仿宋" w:cs="仿宋"/>
                <w:color w:val="auto"/>
                <w:spacing w:val="-1"/>
                <w:highlight w:val="none"/>
              </w:rPr>
            </w:pPr>
          </w:p>
        </w:tc>
        <w:tc>
          <w:tcPr>
            <w:tcW w:w="2658" w:type="dxa"/>
            <w:vAlign w:val="center"/>
          </w:tcPr>
          <w:p w14:paraId="4679B7A0">
            <w:pPr>
              <w:rPr>
                <w:rFonts w:ascii="仿宋" w:hAnsi="仿宋" w:eastAsia="仿宋" w:cs="仿宋"/>
                <w:color w:val="auto"/>
                <w:spacing w:val="-1"/>
                <w:highlight w:val="none"/>
              </w:rPr>
            </w:pPr>
          </w:p>
        </w:tc>
      </w:tr>
      <w:tr w14:paraId="71EC3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1971DA97">
            <w:pPr>
              <w:rPr>
                <w:rFonts w:ascii="仿宋" w:hAnsi="仿宋" w:eastAsia="仿宋" w:cs="仿宋"/>
                <w:color w:val="auto"/>
                <w:spacing w:val="-1"/>
                <w:highlight w:val="none"/>
              </w:rPr>
            </w:pPr>
            <w:r>
              <w:rPr>
                <w:rFonts w:hint="eastAsia" w:ascii="仿宋" w:hAnsi="仿宋" w:eastAsia="仿宋" w:cs="仿宋"/>
                <w:color w:val="auto"/>
                <w:spacing w:val="-1"/>
                <w:highlight w:val="none"/>
              </w:rPr>
              <w:t>8</w:t>
            </w:r>
          </w:p>
        </w:tc>
        <w:tc>
          <w:tcPr>
            <w:tcW w:w="2154" w:type="dxa"/>
            <w:vAlign w:val="center"/>
          </w:tcPr>
          <w:p w14:paraId="1D11562E">
            <w:pPr>
              <w:rPr>
                <w:rFonts w:ascii="仿宋" w:hAnsi="仿宋" w:eastAsia="仿宋" w:cs="仿宋"/>
                <w:color w:val="auto"/>
                <w:spacing w:val="-1"/>
                <w:highlight w:val="none"/>
              </w:rPr>
            </w:pPr>
          </w:p>
        </w:tc>
        <w:tc>
          <w:tcPr>
            <w:tcW w:w="2269" w:type="dxa"/>
            <w:vAlign w:val="center"/>
          </w:tcPr>
          <w:p w14:paraId="101FCBD6">
            <w:pPr>
              <w:rPr>
                <w:rFonts w:ascii="仿宋" w:hAnsi="仿宋" w:eastAsia="仿宋" w:cs="仿宋"/>
                <w:color w:val="auto"/>
                <w:spacing w:val="-1"/>
                <w:highlight w:val="none"/>
              </w:rPr>
            </w:pPr>
          </w:p>
        </w:tc>
        <w:tc>
          <w:tcPr>
            <w:tcW w:w="1134" w:type="dxa"/>
            <w:vAlign w:val="center"/>
          </w:tcPr>
          <w:p w14:paraId="6DAEA0B3">
            <w:pPr>
              <w:rPr>
                <w:rFonts w:ascii="仿宋" w:hAnsi="仿宋" w:eastAsia="仿宋" w:cs="仿宋"/>
                <w:color w:val="auto"/>
                <w:spacing w:val="-1"/>
                <w:highlight w:val="none"/>
              </w:rPr>
            </w:pPr>
          </w:p>
        </w:tc>
        <w:tc>
          <w:tcPr>
            <w:tcW w:w="2658" w:type="dxa"/>
            <w:vAlign w:val="center"/>
          </w:tcPr>
          <w:p w14:paraId="5A699234">
            <w:pPr>
              <w:rPr>
                <w:rFonts w:ascii="仿宋" w:hAnsi="仿宋" w:eastAsia="仿宋" w:cs="仿宋"/>
                <w:color w:val="auto"/>
                <w:spacing w:val="-1"/>
                <w:highlight w:val="none"/>
              </w:rPr>
            </w:pPr>
          </w:p>
        </w:tc>
      </w:tr>
      <w:tr w14:paraId="07D28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736EB28C">
            <w:pPr>
              <w:rPr>
                <w:rFonts w:ascii="仿宋" w:hAnsi="仿宋" w:eastAsia="仿宋" w:cs="仿宋"/>
                <w:color w:val="auto"/>
                <w:spacing w:val="-1"/>
                <w:highlight w:val="none"/>
              </w:rPr>
            </w:pPr>
            <w:r>
              <w:rPr>
                <w:rFonts w:hint="eastAsia" w:ascii="仿宋" w:hAnsi="仿宋" w:eastAsia="仿宋" w:cs="仿宋"/>
                <w:color w:val="auto"/>
                <w:spacing w:val="-1"/>
                <w:highlight w:val="none"/>
              </w:rPr>
              <w:t>9</w:t>
            </w:r>
          </w:p>
        </w:tc>
        <w:tc>
          <w:tcPr>
            <w:tcW w:w="2154" w:type="dxa"/>
            <w:vAlign w:val="center"/>
          </w:tcPr>
          <w:p w14:paraId="4E34BE34">
            <w:pPr>
              <w:rPr>
                <w:rFonts w:ascii="仿宋" w:hAnsi="仿宋" w:eastAsia="仿宋" w:cs="仿宋"/>
                <w:color w:val="auto"/>
                <w:spacing w:val="-1"/>
                <w:highlight w:val="none"/>
              </w:rPr>
            </w:pPr>
          </w:p>
        </w:tc>
        <w:tc>
          <w:tcPr>
            <w:tcW w:w="2269" w:type="dxa"/>
            <w:vAlign w:val="center"/>
          </w:tcPr>
          <w:p w14:paraId="3F714E53">
            <w:pPr>
              <w:rPr>
                <w:rFonts w:ascii="仿宋" w:hAnsi="仿宋" w:eastAsia="仿宋" w:cs="仿宋"/>
                <w:color w:val="auto"/>
                <w:spacing w:val="-1"/>
                <w:highlight w:val="none"/>
              </w:rPr>
            </w:pPr>
          </w:p>
        </w:tc>
        <w:tc>
          <w:tcPr>
            <w:tcW w:w="1134" w:type="dxa"/>
            <w:vAlign w:val="center"/>
          </w:tcPr>
          <w:p w14:paraId="6598179D">
            <w:pPr>
              <w:rPr>
                <w:rFonts w:ascii="仿宋" w:hAnsi="仿宋" w:eastAsia="仿宋" w:cs="仿宋"/>
                <w:color w:val="auto"/>
                <w:spacing w:val="-1"/>
                <w:highlight w:val="none"/>
              </w:rPr>
            </w:pPr>
          </w:p>
        </w:tc>
        <w:tc>
          <w:tcPr>
            <w:tcW w:w="2658" w:type="dxa"/>
            <w:vAlign w:val="center"/>
          </w:tcPr>
          <w:p w14:paraId="40FD6DD9">
            <w:pPr>
              <w:rPr>
                <w:rFonts w:ascii="仿宋" w:hAnsi="仿宋" w:eastAsia="仿宋" w:cs="仿宋"/>
                <w:color w:val="auto"/>
                <w:spacing w:val="-1"/>
                <w:highlight w:val="none"/>
              </w:rPr>
            </w:pPr>
          </w:p>
        </w:tc>
      </w:tr>
      <w:tr w14:paraId="18F32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446331B6">
            <w:pPr>
              <w:rPr>
                <w:rFonts w:ascii="仿宋" w:hAnsi="仿宋" w:eastAsia="仿宋" w:cs="仿宋"/>
                <w:color w:val="auto"/>
                <w:spacing w:val="-1"/>
                <w:highlight w:val="none"/>
              </w:rPr>
            </w:pPr>
            <w:r>
              <w:rPr>
                <w:rFonts w:hint="eastAsia" w:ascii="仿宋" w:hAnsi="仿宋" w:eastAsia="仿宋" w:cs="仿宋"/>
                <w:color w:val="auto"/>
                <w:spacing w:val="-1"/>
                <w:highlight w:val="none"/>
              </w:rPr>
              <w:t>10</w:t>
            </w:r>
          </w:p>
        </w:tc>
        <w:tc>
          <w:tcPr>
            <w:tcW w:w="2154" w:type="dxa"/>
            <w:vAlign w:val="center"/>
          </w:tcPr>
          <w:p w14:paraId="7C5910D8">
            <w:pPr>
              <w:rPr>
                <w:rFonts w:ascii="仿宋" w:hAnsi="仿宋" w:eastAsia="仿宋" w:cs="仿宋"/>
                <w:color w:val="auto"/>
                <w:spacing w:val="-1"/>
                <w:highlight w:val="none"/>
              </w:rPr>
            </w:pPr>
          </w:p>
        </w:tc>
        <w:tc>
          <w:tcPr>
            <w:tcW w:w="2269" w:type="dxa"/>
            <w:vAlign w:val="center"/>
          </w:tcPr>
          <w:p w14:paraId="6AEF2990">
            <w:pPr>
              <w:rPr>
                <w:rFonts w:ascii="仿宋" w:hAnsi="仿宋" w:eastAsia="仿宋" w:cs="仿宋"/>
                <w:color w:val="auto"/>
                <w:spacing w:val="-1"/>
                <w:highlight w:val="none"/>
              </w:rPr>
            </w:pPr>
          </w:p>
        </w:tc>
        <w:tc>
          <w:tcPr>
            <w:tcW w:w="1134" w:type="dxa"/>
            <w:vAlign w:val="center"/>
          </w:tcPr>
          <w:p w14:paraId="62C895E2">
            <w:pPr>
              <w:rPr>
                <w:rFonts w:ascii="仿宋" w:hAnsi="仿宋" w:eastAsia="仿宋" w:cs="仿宋"/>
                <w:color w:val="auto"/>
                <w:spacing w:val="-1"/>
                <w:highlight w:val="none"/>
              </w:rPr>
            </w:pPr>
          </w:p>
        </w:tc>
        <w:tc>
          <w:tcPr>
            <w:tcW w:w="2658" w:type="dxa"/>
            <w:vAlign w:val="center"/>
          </w:tcPr>
          <w:p w14:paraId="7CE824C0">
            <w:pPr>
              <w:rPr>
                <w:rFonts w:ascii="仿宋" w:hAnsi="仿宋" w:eastAsia="仿宋" w:cs="仿宋"/>
                <w:color w:val="auto"/>
                <w:spacing w:val="-1"/>
                <w:highlight w:val="none"/>
              </w:rPr>
            </w:pPr>
          </w:p>
        </w:tc>
      </w:tr>
      <w:tr w14:paraId="7EC9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20400C75">
            <w:pPr>
              <w:rPr>
                <w:rFonts w:ascii="仿宋" w:hAnsi="仿宋" w:eastAsia="仿宋" w:cs="仿宋"/>
                <w:color w:val="auto"/>
                <w:spacing w:val="-1"/>
                <w:highlight w:val="none"/>
              </w:rPr>
            </w:pPr>
            <w:r>
              <w:rPr>
                <w:rFonts w:hint="eastAsia" w:ascii="仿宋" w:hAnsi="仿宋" w:eastAsia="仿宋" w:cs="仿宋"/>
                <w:color w:val="auto"/>
                <w:spacing w:val="-1"/>
                <w:highlight w:val="none"/>
              </w:rPr>
              <w:t>11</w:t>
            </w:r>
          </w:p>
        </w:tc>
        <w:tc>
          <w:tcPr>
            <w:tcW w:w="2154" w:type="dxa"/>
            <w:vAlign w:val="center"/>
          </w:tcPr>
          <w:p w14:paraId="63F3E30F">
            <w:pPr>
              <w:rPr>
                <w:rFonts w:ascii="仿宋" w:hAnsi="仿宋" w:eastAsia="仿宋" w:cs="仿宋"/>
                <w:color w:val="auto"/>
                <w:spacing w:val="-1"/>
                <w:highlight w:val="none"/>
              </w:rPr>
            </w:pPr>
          </w:p>
        </w:tc>
        <w:tc>
          <w:tcPr>
            <w:tcW w:w="2269" w:type="dxa"/>
            <w:vAlign w:val="center"/>
          </w:tcPr>
          <w:p w14:paraId="70813C28">
            <w:pPr>
              <w:rPr>
                <w:rFonts w:ascii="仿宋" w:hAnsi="仿宋" w:eastAsia="仿宋" w:cs="仿宋"/>
                <w:color w:val="auto"/>
                <w:spacing w:val="-1"/>
                <w:highlight w:val="none"/>
              </w:rPr>
            </w:pPr>
          </w:p>
        </w:tc>
        <w:tc>
          <w:tcPr>
            <w:tcW w:w="1134" w:type="dxa"/>
            <w:vAlign w:val="center"/>
          </w:tcPr>
          <w:p w14:paraId="56C5BE10">
            <w:pPr>
              <w:rPr>
                <w:rFonts w:ascii="仿宋" w:hAnsi="仿宋" w:eastAsia="仿宋" w:cs="仿宋"/>
                <w:color w:val="auto"/>
                <w:spacing w:val="-1"/>
                <w:highlight w:val="none"/>
              </w:rPr>
            </w:pPr>
          </w:p>
        </w:tc>
        <w:tc>
          <w:tcPr>
            <w:tcW w:w="2658" w:type="dxa"/>
            <w:vAlign w:val="center"/>
          </w:tcPr>
          <w:p w14:paraId="1A6A6660">
            <w:pPr>
              <w:rPr>
                <w:rFonts w:ascii="仿宋" w:hAnsi="仿宋" w:eastAsia="仿宋" w:cs="仿宋"/>
                <w:color w:val="auto"/>
                <w:spacing w:val="-1"/>
                <w:highlight w:val="none"/>
              </w:rPr>
            </w:pPr>
          </w:p>
        </w:tc>
      </w:tr>
      <w:tr w14:paraId="40C6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4EF07755">
            <w:pPr>
              <w:rPr>
                <w:rFonts w:ascii="仿宋" w:hAnsi="仿宋" w:eastAsia="仿宋" w:cs="仿宋"/>
                <w:color w:val="auto"/>
                <w:spacing w:val="-1"/>
                <w:highlight w:val="none"/>
              </w:rPr>
            </w:pPr>
            <w:r>
              <w:rPr>
                <w:rFonts w:hint="eastAsia" w:ascii="仿宋" w:hAnsi="仿宋" w:eastAsia="仿宋" w:cs="仿宋"/>
                <w:color w:val="auto"/>
                <w:spacing w:val="-1"/>
                <w:highlight w:val="none"/>
              </w:rPr>
              <w:t>12</w:t>
            </w:r>
          </w:p>
        </w:tc>
        <w:tc>
          <w:tcPr>
            <w:tcW w:w="2154" w:type="dxa"/>
            <w:vAlign w:val="center"/>
          </w:tcPr>
          <w:p w14:paraId="45B47EC5">
            <w:pPr>
              <w:rPr>
                <w:rFonts w:ascii="仿宋" w:hAnsi="仿宋" w:eastAsia="仿宋" w:cs="仿宋"/>
                <w:color w:val="auto"/>
                <w:spacing w:val="-1"/>
                <w:highlight w:val="none"/>
              </w:rPr>
            </w:pPr>
          </w:p>
        </w:tc>
        <w:tc>
          <w:tcPr>
            <w:tcW w:w="2269" w:type="dxa"/>
            <w:vAlign w:val="center"/>
          </w:tcPr>
          <w:p w14:paraId="059D1133">
            <w:pPr>
              <w:rPr>
                <w:rFonts w:ascii="仿宋" w:hAnsi="仿宋" w:eastAsia="仿宋" w:cs="仿宋"/>
                <w:color w:val="auto"/>
                <w:spacing w:val="-1"/>
                <w:highlight w:val="none"/>
              </w:rPr>
            </w:pPr>
          </w:p>
        </w:tc>
        <w:tc>
          <w:tcPr>
            <w:tcW w:w="1134" w:type="dxa"/>
            <w:vAlign w:val="center"/>
          </w:tcPr>
          <w:p w14:paraId="781F396C">
            <w:pPr>
              <w:rPr>
                <w:rFonts w:ascii="仿宋" w:hAnsi="仿宋" w:eastAsia="仿宋" w:cs="仿宋"/>
                <w:color w:val="auto"/>
                <w:spacing w:val="-1"/>
                <w:highlight w:val="none"/>
              </w:rPr>
            </w:pPr>
          </w:p>
        </w:tc>
        <w:tc>
          <w:tcPr>
            <w:tcW w:w="2658" w:type="dxa"/>
            <w:vAlign w:val="center"/>
          </w:tcPr>
          <w:p w14:paraId="0CF484DD">
            <w:pPr>
              <w:rPr>
                <w:rFonts w:ascii="仿宋" w:hAnsi="仿宋" w:eastAsia="仿宋" w:cs="仿宋"/>
                <w:color w:val="auto"/>
                <w:spacing w:val="-1"/>
                <w:highlight w:val="none"/>
              </w:rPr>
            </w:pPr>
          </w:p>
        </w:tc>
      </w:tr>
      <w:tr w14:paraId="1FCD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2683360D">
            <w:pPr>
              <w:rPr>
                <w:rFonts w:ascii="仿宋" w:hAnsi="仿宋" w:eastAsia="仿宋" w:cs="仿宋"/>
                <w:color w:val="auto"/>
                <w:spacing w:val="-1"/>
                <w:highlight w:val="none"/>
              </w:rPr>
            </w:pPr>
            <w:r>
              <w:rPr>
                <w:rFonts w:hint="eastAsia" w:ascii="仿宋" w:hAnsi="仿宋" w:eastAsia="仿宋" w:cs="仿宋"/>
                <w:color w:val="auto"/>
                <w:spacing w:val="-1"/>
                <w:highlight w:val="none"/>
              </w:rPr>
              <w:t>13</w:t>
            </w:r>
          </w:p>
        </w:tc>
        <w:tc>
          <w:tcPr>
            <w:tcW w:w="2154" w:type="dxa"/>
            <w:vAlign w:val="center"/>
          </w:tcPr>
          <w:p w14:paraId="0B96132C">
            <w:pPr>
              <w:rPr>
                <w:rFonts w:ascii="仿宋" w:hAnsi="仿宋" w:eastAsia="仿宋" w:cs="仿宋"/>
                <w:color w:val="auto"/>
                <w:spacing w:val="-1"/>
                <w:highlight w:val="none"/>
              </w:rPr>
            </w:pPr>
          </w:p>
        </w:tc>
        <w:tc>
          <w:tcPr>
            <w:tcW w:w="2269" w:type="dxa"/>
            <w:vAlign w:val="center"/>
          </w:tcPr>
          <w:p w14:paraId="606DB3E0">
            <w:pPr>
              <w:rPr>
                <w:rFonts w:ascii="仿宋" w:hAnsi="仿宋" w:eastAsia="仿宋" w:cs="仿宋"/>
                <w:color w:val="auto"/>
                <w:spacing w:val="-1"/>
                <w:highlight w:val="none"/>
              </w:rPr>
            </w:pPr>
          </w:p>
        </w:tc>
        <w:tc>
          <w:tcPr>
            <w:tcW w:w="1134" w:type="dxa"/>
            <w:vAlign w:val="center"/>
          </w:tcPr>
          <w:p w14:paraId="08B2AC7B">
            <w:pPr>
              <w:rPr>
                <w:rFonts w:ascii="仿宋" w:hAnsi="仿宋" w:eastAsia="仿宋" w:cs="仿宋"/>
                <w:color w:val="auto"/>
                <w:spacing w:val="-1"/>
                <w:highlight w:val="none"/>
              </w:rPr>
            </w:pPr>
          </w:p>
        </w:tc>
        <w:tc>
          <w:tcPr>
            <w:tcW w:w="2658" w:type="dxa"/>
            <w:vAlign w:val="center"/>
          </w:tcPr>
          <w:p w14:paraId="36D7E12B">
            <w:pPr>
              <w:rPr>
                <w:rFonts w:ascii="仿宋" w:hAnsi="仿宋" w:eastAsia="仿宋" w:cs="仿宋"/>
                <w:color w:val="auto"/>
                <w:spacing w:val="-1"/>
                <w:highlight w:val="none"/>
              </w:rPr>
            </w:pPr>
          </w:p>
        </w:tc>
      </w:tr>
      <w:tr w14:paraId="00E00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2928EB1B">
            <w:pPr>
              <w:rPr>
                <w:rFonts w:ascii="仿宋" w:hAnsi="仿宋" w:eastAsia="仿宋" w:cs="仿宋"/>
                <w:color w:val="auto"/>
                <w:spacing w:val="-1"/>
                <w:highlight w:val="none"/>
              </w:rPr>
            </w:pPr>
            <w:r>
              <w:rPr>
                <w:rFonts w:hint="eastAsia" w:ascii="仿宋" w:hAnsi="仿宋" w:eastAsia="仿宋" w:cs="仿宋"/>
                <w:color w:val="auto"/>
                <w:spacing w:val="-1"/>
                <w:highlight w:val="none"/>
              </w:rPr>
              <w:t>14</w:t>
            </w:r>
          </w:p>
        </w:tc>
        <w:tc>
          <w:tcPr>
            <w:tcW w:w="2154" w:type="dxa"/>
            <w:vAlign w:val="center"/>
          </w:tcPr>
          <w:p w14:paraId="65DB7D71">
            <w:pPr>
              <w:rPr>
                <w:rFonts w:ascii="仿宋" w:hAnsi="仿宋" w:eastAsia="仿宋" w:cs="仿宋"/>
                <w:color w:val="auto"/>
                <w:spacing w:val="-1"/>
                <w:highlight w:val="none"/>
              </w:rPr>
            </w:pPr>
          </w:p>
        </w:tc>
        <w:tc>
          <w:tcPr>
            <w:tcW w:w="2269" w:type="dxa"/>
            <w:vAlign w:val="center"/>
          </w:tcPr>
          <w:p w14:paraId="10720026">
            <w:pPr>
              <w:rPr>
                <w:rFonts w:ascii="仿宋" w:hAnsi="仿宋" w:eastAsia="仿宋" w:cs="仿宋"/>
                <w:color w:val="auto"/>
                <w:spacing w:val="-1"/>
                <w:highlight w:val="none"/>
              </w:rPr>
            </w:pPr>
          </w:p>
        </w:tc>
        <w:tc>
          <w:tcPr>
            <w:tcW w:w="1134" w:type="dxa"/>
            <w:vAlign w:val="center"/>
          </w:tcPr>
          <w:p w14:paraId="784879F9">
            <w:pPr>
              <w:rPr>
                <w:rFonts w:ascii="仿宋" w:hAnsi="仿宋" w:eastAsia="仿宋" w:cs="仿宋"/>
                <w:color w:val="auto"/>
                <w:spacing w:val="-1"/>
                <w:highlight w:val="none"/>
              </w:rPr>
            </w:pPr>
          </w:p>
        </w:tc>
        <w:tc>
          <w:tcPr>
            <w:tcW w:w="2658" w:type="dxa"/>
            <w:vAlign w:val="center"/>
          </w:tcPr>
          <w:p w14:paraId="2BB5D6CD">
            <w:pPr>
              <w:rPr>
                <w:rFonts w:ascii="仿宋" w:hAnsi="仿宋" w:eastAsia="仿宋" w:cs="仿宋"/>
                <w:color w:val="auto"/>
                <w:spacing w:val="-1"/>
                <w:highlight w:val="none"/>
              </w:rPr>
            </w:pPr>
          </w:p>
        </w:tc>
      </w:tr>
      <w:tr w14:paraId="5398D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12F27AC6">
            <w:pPr>
              <w:rPr>
                <w:rFonts w:ascii="仿宋" w:hAnsi="仿宋" w:eastAsia="仿宋" w:cs="仿宋"/>
                <w:color w:val="auto"/>
                <w:spacing w:val="-1"/>
                <w:highlight w:val="none"/>
              </w:rPr>
            </w:pPr>
            <w:r>
              <w:rPr>
                <w:rFonts w:hint="eastAsia" w:ascii="仿宋" w:hAnsi="仿宋" w:eastAsia="仿宋" w:cs="仿宋"/>
                <w:color w:val="auto"/>
                <w:spacing w:val="-1"/>
                <w:highlight w:val="none"/>
              </w:rPr>
              <w:t>15</w:t>
            </w:r>
          </w:p>
        </w:tc>
        <w:tc>
          <w:tcPr>
            <w:tcW w:w="2154" w:type="dxa"/>
            <w:vAlign w:val="center"/>
          </w:tcPr>
          <w:p w14:paraId="74AA95DB">
            <w:pPr>
              <w:rPr>
                <w:rFonts w:ascii="仿宋" w:hAnsi="仿宋" w:eastAsia="仿宋" w:cs="仿宋"/>
                <w:color w:val="auto"/>
                <w:spacing w:val="-1"/>
                <w:highlight w:val="none"/>
              </w:rPr>
            </w:pPr>
          </w:p>
        </w:tc>
        <w:tc>
          <w:tcPr>
            <w:tcW w:w="2269" w:type="dxa"/>
            <w:vAlign w:val="center"/>
          </w:tcPr>
          <w:p w14:paraId="2A994574">
            <w:pPr>
              <w:rPr>
                <w:rFonts w:ascii="仿宋" w:hAnsi="仿宋" w:eastAsia="仿宋" w:cs="仿宋"/>
                <w:color w:val="auto"/>
                <w:spacing w:val="-1"/>
                <w:highlight w:val="none"/>
              </w:rPr>
            </w:pPr>
          </w:p>
        </w:tc>
        <w:tc>
          <w:tcPr>
            <w:tcW w:w="1134" w:type="dxa"/>
            <w:vAlign w:val="center"/>
          </w:tcPr>
          <w:p w14:paraId="4FC84688">
            <w:pPr>
              <w:rPr>
                <w:rFonts w:ascii="仿宋" w:hAnsi="仿宋" w:eastAsia="仿宋" w:cs="仿宋"/>
                <w:color w:val="auto"/>
                <w:spacing w:val="-1"/>
                <w:highlight w:val="none"/>
              </w:rPr>
            </w:pPr>
          </w:p>
        </w:tc>
        <w:tc>
          <w:tcPr>
            <w:tcW w:w="2658" w:type="dxa"/>
            <w:vAlign w:val="center"/>
          </w:tcPr>
          <w:p w14:paraId="2C284773">
            <w:pPr>
              <w:rPr>
                <w:rFonts w:ascii="仿宋" w:hAnsi="仿宋" w:eastAsia="仿宋" w:cs="仿宋"/>
                <w:color w:val="auto"/>
                <w:spacing w:val="-1"/>
                <w:highlight w:val="none"/>
              </w:rPr>
            </w:pPr>
          </w:p>
        </w:tc>
      </w:tr>
    </w:tbl>
    <w:p w14:paraId="7A284E4A">
      <w:pPr>
        <w:rPr>
          <w:rFonts w:ascii="仿宋" w:hAnsi="仿宋" w:eastAsia="仿宋" w:cs="仿宋"/>
          <w:color w:val="auto"/>
          <w:spacing w:val="-1"/>
          <w:highlight w:val="none"/>
        </w:rPr>
      </w:pPr>
      <w:r>
        <w:rPr>
          <w:rFonts w:hint="eastAsia" w:ascii="仿宋" w:hAnsi="仿宋" w:eastAsia="仿宋" w:cs="仿宋"/>
          <w:color w:val="auto"/>
          <w:spacing w:val="-1"/>
          <w:highlight w:val="none"/>
        </w:rPr>
        <w:t>注：请在“偏离说明”栏内扼要说明偏离情况，如无偏离则不需列明。</w:t>
      </w:r>
    </w:p>
    <w:p w14:paraId="578E38F6">
      <w:pPr>
        <w:pStyle w:val="8"/>
        <w:numPr>
          <w:ilvl w:val="0"/>
          <w:numId w:val="0"/>
        </w:numPr>
        <w:tabs>
          <w:tab w:val="left" w:pos="8227"/>
        </w:tabs>
        <w:kinsoku w:val="0"/>
        <w:overflowPunct w:val="0"/>
        <w:spacing w:line="381" w:lineRule="auto"/>
        <w:ind w:left="1680" w:right="118"/>
        <w:rPr>
          <w:rFonts w:ascii="仿宋" w:hAnsi="仿宋" w:eastAsia="仿宋" w:cs="仿宋"/>
          <w:color w:val="auto"/>
          <w:highlight w:val="none"/>
        </w:rPr>
      </w:pPr>
    </w:p>
    <w:p w14:paraId="70ECEC94">
      <w:pPr>
        <w:pStyle w:val="8"/>
        <w:numPr>
          <w:ilvl w:val="0"/>
          <w:numId w:val="0"/>
        </w:numPr>
        <w:tabs>
          <w:tab w:val="left" w:pos="8227"/>
        </w:tabs>
        <w:kinsoku w:val="0"/>
        <w:overflowPunct w:val="0"/>
        <w:spacing w:line="381" w:lineRule="auto"/>
        <w:ind w:left="1680" w:right="118"/>
        <w:rPr>
          <w:rFonts w:ascii="仿宋" w:hAnsi="仿宋" w:eastAsia="仿宋" w:cs="仿宋"/>
          <w:color w:val="auto"/>
          <w:highlight w:val="none"/>
        </w:rPr>
      </w:pPr>
    </w:p>
    <w:p w14:paraId="03B335F6">
      <w:pPr>
        <w:pStyle w:val="8"/>
        <w:numPr>
          <w:ilvl w:val="0"/>
          <w:numId w:val="0"/>
        </w:numPr>
        <w:tabs>
          <w:tab w:val="left" w:pos="8227"/>
        </w:tabs>
        <w:kinsoku w:val="0"/>
        <w:overflowPunct w:val="0"/>
        <w:spacing w:line="381" w:lineRule="auto"/>
        <w:ind w:left="1680" w:right="118"/>
        <w:rPr>
          <w:rFonts w:ascii="仿宋" w:hAnsi="仿宋" w:eastAsia="仿宋" w:cs="仿宋"/>
          <w:color w:val="auto"/>
          <w:sz w:val="24"/>
          <w:highlight w:val="none"/>
        </w:rPr>
      </w:pPr>
    </w:p>
    <w:p w14:paraId="482679DF">
      <w:pPr>
        <w:pStyle w:val="8"/>
        <w:numPr>
          <w:ilvl w:val="0"/>
          <w:numId w:val="0"/>
        </w:numPr>
        <w:tabs>
          <w:tab w:val="left" w:pos="8227"/>
        </w:tabs>
        <w:kinsoku w:val="0"/>
        <w:overflowPunct w:val="0"/>
        <w:spacing w:line="381" w:lineRule="auto"/>
        <w:ind w:left="1680" w:right="118"/>
        <w:rPr>
          <w:rFonts w:ascii="仿宋" w:hAnsi="仿宋" w:eastAsia="仿宋" w:cs="仿宋"/>
          <w:color w:val="auto"/>
          <w:sz w:val="24"/>
          <w:highlight w:val="none"/>
        </w:rPr>
      </w:pPr>
      <w:r>
        <w:rPr>
          <w:rFonts w:hint="eastAsia" w:ascii="仿宋" w:hAnsi="仿宋" w:eastAsia="仿宋" w:cs="仿宋"/>
          <w:color w:val="auto"/>
          <w:sz w:val="24"/>
          <w:highlight w:val="none"/>
        </w:rPr>
        <w:t>投标人：</w:t>
      </w:r>
      <w:r>
        <w:rPr>
          <w:rFonts w:hint="eastAsia" w:ascii="仿宋" w:hAnsi="仿宋" w:eastAsia="仿宋" w:cs="仿宋"/>
          <w:color w:val="auto"/>
          <w:sz w:val="24"/>
          <w:highlight w:val="none"/>
          <w:u w:val="single"/>
        </w:rPr>
        <w:tab/>
      </w:r>
      <w:r>
        <w:rPr>
          <w:rFonts w:hint="eastAsia" w:ascii="仿宋" w:hAnsi="仿宋" w:eastAsia="仿宋" w:cs="仿宋"/>
          <w:color w:val="auto"/>
          <w:w w:val="95"/>
          <w:sz w:val="24"/>
          <w:highlight w:val="none"/>
        </w:rPr>
        <w:t>（盖章）</w:t>
      </w:r>
      <w:r>
        <w:rPr>
          <w:rFonts w:hint="eastAsia" w:ascii="仿宋" w:hAnsi="仿宋" w:eastAsia="仿宋" w:cs="仿宋"/>
          <w:color w:val="auto"/>
          <w:sz w:val="24"/>
          <w:highlight w:val="none"/>
        </w:rPr>
        <w:t xml:space="preserve"> </w:t>
      </w:r>
    </w:p>
    <w:p w14:paraId="63A760BC">
      <w:pPr>
        <w:pStyle w:val="8"/>
        <w:numPr>
          <w:ilvl w:val="0"/>
          <w:numId w:val="0"/>
        </w:numPr>
        <w:tabs>
          <w:tab w:val="left" w:pos="8227"/>
        </w:tabs>
        <w:kinsoku w:val="0"/>
        <w:overflowPunct w:val="0"/>
        <w:spacing w:line="381" w:lineRule="auto"/>
        <w:ind w:left="1680" w:right="118"/>
        <w:rPr>
          <w:rFonts w:ascii="仿宋" w:hAnsi="仿宋" w:eastAsia="仿宋" w:cs="仿宋"/>
          <w:color w:val="auto"/>
          <w:w w:val="95"/>
          <w:sz w:val="24"/>
          <w:highlight w:val="none"/>
        </w:rPr>
      </w:pPr>
      <w:r>
        <w:rPr>
          <w:rFonts w:hint="eastAsia" w:ascii="仿宋" w:hAnsi="仿宋" w:eastAsia="仿宋" w:cs="仿宋"/>
          <w:color w:val="auto"/>
          <w:sz w:val="24"/>
          <w:highlight w:val="none"/>
        </w:rPr>
        <w:t>法定代表人或被授权人：</w:t>
      </w:r>
      <w:r>
        <w:rPr>
          <w:rFonts w:hint="eastAsia" w:ascii="仿宋" w:hAnsi="仿宋" w:eastAsia="仿宋" w:cs="仿宋"/>
          <w:color w:val="auto"/>
          <w:sz w:val="24"/>
          <w:highlight w:val="none"/>
          <w:u w:val="single"/>
        </w:rPr>
        <w:tab/>
      </w:r>
      <w:r>
        <w:rPr>
          <w:rFonts w:hint="eastAsia" w:ascii="仿宋" w:hAnsi="仿宋" w:eastAsia="仿宋" w:cs="仿宋"/>
          <w:color w:val="auto"/>
          <w:w w:val="95"/>
          <w:sz w:val="24"/>
          <w:highlight w:val="none"/>
        </w:rPr>
        <w:t>（</w:t>
      </w:r>
      <w:r>
        <w:rPr>
          <w:rFonts w:hint="eastAsia" w:ascii="仿宋" w:hAnsi="仿宋" w:eastAsia="仿宋" w:cs="仿宋"/>
          <w:color w:val="auto"/>
          <w:w w:val="95"/>
          <w:sz w:val="24"/>
          <w:highlight w:val="none"/>
          <w:lang w:eastAsia="zh-CN"/>
        </w:rPr>
        <w:t>签章</w:t>
      </w:r>
      <w:r>
        <w:rPr>
          <w:rFonts w:hint="eastAsia" w:ascii="仿宋" w:hAnsi="仿宋" w:eastAsia="仿宋" w:cs="仿宋"/>
          <w:color w:val="auto"/>
          <w:w w:val="95"/>
          <w:sz w:val="24"/>
          <w:highlight w:val="none"/>
        </w:rPr>
        <w:t>）</w:t>
      </w:r>
    </w:p>
    <w:p w14:paraId="35C9CB48">
      <w:pPr>
        <w:pStyle w:val="73"/>
        <w:spacing w:after="0"/>
        <w:ind w:firstLine="420"/>
        <w:jc w:val="center"/>
        <w:rPr>
          <w:rFonts w:ascii="仿宋" w:hAnsi="仿宋" w:eastAsia="仿宋" w:cs="仿宋"/>
          <w:color w:val="auto"/>
          <w:sz w:val="36"/>
          <w:szCs w:val="36"/>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2A6FF7F1">
      <w:pPr>
        <w:pStyle w:val="73"/>
        <w:spacing w:after="0"/>
        <w:ind w:firstLine="420"/>
        <w:jc w:val="center"/>
        <w:rPr>
          <w:rFonts w:ascii="仿宋" w:hAnsi="仿宋" w:eastAsia="仿宋" w:cs="仿宋"/>
          <w:color w:val="auto"/>
          <w:sz w:val="36"/>
          <w:szCs w:val="36"/>
          <w:highlight w:val="none"/>
        </w:rPr>
      </w:pPr>
    </w:p>
    <w:p w14:paraId="02D79E72">
      <w:pPr>
        <w:pStyle w:val="73"/>
        <w:spacing w:after="0"/>
        <w:ind w:firstLine="420"/>
        <w:jc w:val="center"/>
        <w:rPr>
          <w:rFonts w:ascii="仿宋" w:hAnsi="仿宋" w:eastAsia="仿宋" w:cs="仿宋"/>
          <w:color w:val="auto"/>
          <w:sz w:val="36"/>
          <w:szCs w:val="36"/>
          <w:highlight w:val="none"/>
        </w:rPr>
      </w:pPr>
    </w:p>
    <w:p w14:paraId="574EEDEB">
      <w:pPr>
        <w:pStyle w:val="73"/>
        <w:spacing w:after="0"/>
        <w:ind w:firstLine="420"/>
        <w:jc w:val="center"/>
        <w:rPr>
          <w:rFonts w:ascii="仿宋" w:hAnsi="仿宋" w:eastAsia="仿宋" w:cs="仿宋"/>
          <w:color w:val="auto"/>
          <w:sz w:val="36"/>
          <w:szCs w:val="36"/>
          <w:highlight w:val="none"/>
        </w:rPr>
      </w:pPr>
    </w:p>
    <w:p w14:paraId="26BA1E13">
      <w:pPr>
        <w:pStyle w:val="73"/>
        <w:spacing w:after="0"/>
        <w:ind w:firstLine="420"/>
        <w:jc w:val="center"/>
        <w:rPr>
          <w:rFonts w:ascii="仿宋" w:hAnsi="仿宋" w:eastAsia="仿宋" w:cs="仿宋"/>
          <w:color w:val="auto"/>
          <w:sz w:val="36"/>
          <w:szCs w:val="36"/>
          <w:highlight w:val="none"/>
        </w:rPr>
      </w:pPr>
    </w:p>
    <w:p w14:paraId="08332B80">
      <w:pPr>
        <w:pStyle w:val="8"/>
        <w:numPr>
          <w:ilvl w:val="0"/>
          <w:numId w:val="0"/>
        </w:numPr>
        <w:kinsoku w:val="0"/>
        <w:overflowPunct w:val="0"/>
        <w:spacing w:before="34" w:line="357" w:lineRule="auto"/>
        <w:ind w:right="126"/>
        <w:jc w:val="both"/>
        <w:rPr>
          <w:rFonts w:ascii="仿宋" w:hAnsi="仿宋" w:eastAsia="仿宋" w:cs="仿宋"/>
          <w:b/>
          <w:bCs/>
          <w:color w:val="auto"/>
          <w:sz w:val="20"/>
          <w:szCs w:val="20"/>
          <w:highlight w:val="none"/>
        </w:rPr>
      </w:pPr>
      <w:r>
        <w:rPr>
          <w:rFonts w:hint="eastAsia" w:ascii="仿宋" w:hAnsi="仿宋" w:eastAsia="仿宋" w:cs="仿宋"/>
          <w:color w:val="auto"/>
          <w:sz w:val="32"/>
          <w:szCs w:val="32"/>
          <w:highlight w:val="none"/>
          <w:lang w:eastAsia="zh-CN"/>
        </w:rPr>
        <w:t>八、</w:t>
      </w:r>
      <w:r>
        <w:rPr>
          <w:rFonts w:hint="eastAsia" w:ascii="仿宋" w:hAnsi="仿宋" w:eastAsia="仿宋" w:cs="仿宋"/>
          <w:b/>
          <w:bCs/>
          <w:color w:val="auto"/>
          <w:sz w:val="28"/>
          <w:szCs w:val="28"/>
          <w:highlight w:val="none"/>
        </w:rPr>
        <w:t>近三年（</w:t>
      </w:r>
      <w:r>
        <w:rPr>
          <w:rFonts w:hint="eastAsia" w:ascii="仿宋" w:hAnsi="仿宋" w:eastAsia="仿宋" w:cs="仿宋"/>
          <w:b/>
          <w:bCs/>
          <w:color w:val="auto"/>
          <w:sz w:val="28"/>
          <w:szCs w:val="28"/>
          <w:highlight w:val="none"/>
          <w:lang w:eastAsia="zh-CN"/>
        </w:rPr>
        <w:t>投标截止之日前三年</w:t>
      </w:r>
      <w:r>
        <w:rPr>
          <w:rFonts w:hint="eastAsia" w:ascii="仿宋" w:hAnsi="仿宋" w:eastAsia="仿宋" w:cs="仿宋"/>
          <w:b/>
          <w:bCs/>
          <w:color w:val="auto"/>
          <w:sz w:val="28"/>
          <w:szCs w:val="28"/>
          <w:highlight w:val="none"/>
        </w:rPr>
        <w:t>）类似项目业绩</w:t>
      </w:r>
      <w:r>
        <w:rPr>
          <w:rFonts w:hint="eastAsia" w:ascii="仿宋" w:hAnsi="仿宋" w:eastAsia="仿宋" w:cs="仿宋"/>
          <w:b/>
          <w:bCs/>
          <w:color w:val="auto"/>
          <w:sz w:val="28"/>
          <w:szCs w:val="28"/>
          <w:highlight w:val="none"/>
          <w:lang w:eastAsia="zh-CN"/>
        </w:rPr>
        <w:t>（如有）</w:t>
      </w:r>
    </w:p>
    <w:tbl>
      <w:tblPr>
        <w:tblStyle w:val="24"/>
        <w:tblW w:w="9115" w:type="dxa"/>
        <w:jc w:val="center"/>
        <w:tblLayout w:type="fixed"/>
        <w:tblCellMar>
          <w:top w:w="0" w:type="dxa"/>
          <w:left w:w="10" w:type="dxa"/>
          <w:bottom w:w="0" w:type="dxa"/>
          <w:right w:w="10" w:type="dxa"/>
        </w:tblCellMar>
      </w:tblPr>
      <w:tblGrid>
        <w:gridCol w:w="1919"/>
        <w:gridCol w:w="7196"/>
      </w:tblGrid>
      <w:tr w14:paraId="4A874298">
        <w:tblPrEx>
          <w:tblCellMar>
            <w:top w:w="0" w:type="dxa"/>
            <w:left w:w="10" w:type="dxa"/>
            <w:bottom w:w="0" w:type="dxa"/>
            <w:right w:w="10" w:type="dxa"/>
          </w:tblCellMar>
        </w:tblPrEx>
        <w:trPr>
          <w:trHeight w:val="511" w:hRule="exact"/>
          <w:jc w:val="center"/>
        </w:trPr>
        <w:tc>
          <w:tcPr>
            <w:tcW w:w="1919" w:type="dxa"/>
            <w:tcBorders>
              <w:top w:val="single" w:color="auto" w:sz="4" w:space="0"/>
              <w:left w:val="single" w:color="auto" w:sz="4" w:space="0"/>
            </w:tcBorders>
            <w:shd w:val="clear" w:color="auto" w:fill="FFFFFF"/>
            <w:vAlign w:val="center"/>
          </w:tcPr>
          <w:p w14:paraId="2C90E246">
            <w:pPr>
              <w:pStyle w:val="71"/>
              <w:spacing w:line="240" w:lineRule="auto"/>
              <w:ind w:firstLine="0"/>
              <w:jc w:val="center"/>
              <w:rPr>
                <w:rFonts w:ascii="仿宋" w:hAnsi="仿宋" w:eastAsia="仿宋" w:cs="仿宋"/>
                <w:color w:val="auto"/>
                <w:highlight w:val="none"/>
              </w:rPr>
            </w:pPr>
            <w:r>
              <w:rPr>
                <w:rFonts w:hint="eastAsia" w:ascii="仿宋" w:hAnsi="仿宋" w:eastAsia="仿宋" w:cs="仿宋"/>
                <w:color w:val="auto"/>
                <w:highlight w:val="none"/>
              </w:rPr>
              <w:t>项目名称</w:t>
            </w:r>
          </w:p>
        </w:tc>
        <w:tc>
          <w:tcPr>
            <w:tcW w:w="7196" w:type="dxa"/>
            <w:tcBorders>
              <w:top w:val="single" w:color="auto" w:sz="4" w:space="0"/>
              <w:left w:val="single" w:color="auto" w:sz="4" w:space="0"/>
              <w:right w:val="single" w:color="auto" w:sz="4" w:space="0"/>
            </w:tcBorders>
            <w:shd w:val="clear" w:color="auto" w:fill="FFFFFF"/>
          </w:tcPr>
          <w:p w14:paraId="455A1F38">
            <w:pPr>
              <w:rPr>
                <w:rFonts w:ascii="仿宋" w:hAnsi="仿宋" w:eastAsia="仿宋" w:cs="仿宋"/>
                <w:color w:val="auto"/>
                <w:sz w:val="10"/>
                <w:szCs w:val="10"/>
                <w:highlight w:val="none"/>
              </w:rPr>
            </w:pPr>
          </w:p>
        </w:tc>
      </w:tr>
      <w:tr w14:paraId="761FCED4">
        <w:tblPrEx>
          <w:tblCellMar>
            <w:top w:w="0" w:type="dxa"/>
            <w:left w:w="10" w:type="dxa"/>
            <w:bottom w:w="0" w:type="dxa"/>
            <w:right w:w="10" w:type="dxa"/>
          </w:tblCellMar>
        </w:tblPrEx>
        <w:trPr>
          <w:trHeight w:val="482" w:hRule="exact"/>
          <w:jc w:val="center"/>
        </w:trPr>
        <w:tc>
          <w:tcPr>
            <w:tcW w:w="1919" w:type="dxa"/>
            <w:tcBorders>
              <w:top w:val="single" w:color="auto" w:sz="4" w:space="0"/>
              <w:left w:val="single" w:color="auto" w:sz="4" w:space="0"/>
            </w:tcBorders>
            <w:shd w:val="clear" w:color="auto" w:fill="FFFFFF"/>
          </w:tcPr>
          <w:p w14:paraId="23D9F62E">
            <w:pPr>
              <w:pStyle w:val="71"/>
              <w:spacing w:before="120" w:line="240" w:lineRule="auto"/>
              <w:ind w:firstLine="220"/>
              <w:rPr>
                <w:rFonts w:ascii="仿宋" w:hAnsi="仿宋" w:eastAsia="仿宋" w:cs="仿宋"/>
                <w:color w:val="auto"/>
                <w:highlight w:val="none"/>
              </w:rPr>
            </w:pPr>
            <w:r>
              <w:rPr>
                <w:rFonts w:hint="eastAsia" w:ascii="仿宋" w:hAnsi="仿宋" w:eastAsia="仿宋" w:cs="仿宋"/>
                <w:color w:val="auto"/>
                <w:highlight w:val="none"/>
              </w:rPr>
              <w:t>项目单位名称</w:t>
            </w:r>
          </w:p>
        </w:tc>
        <w:tc>
          <w:tcPr>
            <w:tcW w:w="7196" w:type="dxa"/>
            <w:tcBorders>
              <w:top w:val="single" w:color="auto" w:sz="4" w:space="0"/>
              <w:left w:val="single" w:color="auto" w:sz="4" w:space="0"/>
              <w:right w:val="single" w:color="auto" w:sz="4" w:space="0"/>
            </w:tcBorders>
            <w:shd w:val="clear" w:color="auto" w:fill="FFFFFF"/>
          </w:tcPr>
          <w:p w14:paraId="349E54AF">
            <w:pPr>
              <w:rPr>
                <w:rFonts w:ascii="仿宋" w:hAnsi="仿宋" w:eastAsia="仿宋" w:cs="仿宋"/>
                <w:color w:val="auto"/>
                <w:sz w:val="10"/>
                <w:szCs w:val="10"/>
                <w:highlight w:val="none"/>
              </w:rPr>
            </w:pPr>
          </w:p>
        </w:tc>
      </w:tr>
      <w:tr w14:paraId="0E4F348A">
        <w:tblPrEx>
          <w:tblCellMar>
            <w:top w:w="0" w:type="dxa"/>
            <w:left w:w="10" w:type="dxa"/>
            <w:bottom w:w="0" w:type="dxa"/>
            <w:right w:w="10" w:type="dxa"/>
          </w:tblCellMar>
        </w:tblPrEx>
        <w:trPr>
          <w:trHeight w:val="641" w:hRule="exact"/>
          <w:jc w:val="center"/>
        </w:trPr>
        <w:tc>
          <w:tcPr>
            <w:tcW w:w="1919" w:type="dxa"/>
            <w:tcBorders>
              <w:top w:val="single" w:color="auto" w:sz="4" w:space="0"/>
              <w:left w:val="single" w:color="auto" w:sz="4" w:space="0"/>
            </w:tcBorders>
            <w:shd w:val="clear" w:color="auto" w:fill="FFFFFF"/>
          </w:tcPr>
          <w:p w14:paraId="4D5D727B">
            <w:pPr>
              <w:pStyle w:val="71"/>
              <w:spacing w:line="320" w:lineRule="exact"/>
              <w:ind w:firstLine="0"/>
              <w:jc w:val="center"/>
              <w:rPr>
                <w:rFonts w:ascii="仿宋" w:hAnsi="仿宋" w:eastAsia="仿宋" w:cs="仿宋"/>
                <w:color w:val="auto"/>
                <w:highlight w:val="none"/>
              </w:rPr>
            </w:pPr>
            <w:r>
              <w:rPr>
                <w:rFonts w:hint="eastAsia" w:ascii="仿宋" w:hAnsi="仿宋" w:eastAsia="仿宋" w:cs="仿宋"/>
                <w:color w:val="auto"/>
                <w:highlight w:val="none"/>
              </w:rPr>
              <w:t>项目单位联系姓名及联系方式</w:t>
            </w:r>
          </w:p>
        </w:tc>
        <w:tc>
          <w:tcPr>
            <w:tcW w:w="7196" w:type="dxa"/>
            <w:tcBorders>
              <w:top w:val="single" w:color="auto" w:sz="4" w:space="0"/>
              <w:left w:val="single" w:color="auto" w:sz="4" w:space="0"/>
              <w:right w:val="single" w:color="auto" w:sz="4" w:space="0"/>
            </w:tcBorders>
            <w:shd w:val="clear" w:color="auto" w:fill="FFFFFF"/>
          </w:tcPr>
          <w:p w14:paraId="51BB6548">
            <w:pPr>
              <w:rPr>
                <w:rFonts w:ascii="仿宋" w:hAnsi="仿宋" w:eastAsia="仿宋" w:cs="仿宋"/>
                <w:color w:val="auto"/>
                <w:sz w:val="10"/>
                <w:szCs w:val="10"/>
                <w:highlight w:val="none"/>
              </w:rPr>
            </w:pPr>
          </w:p>
        </w:tc>
      </w:tr>
      <w:tr w14:paraId="27999B15">
        <w:tblPrEx>
          <w:tblCellMar>
            <w:top w:w="0" w:type="dxa"/>
            <w:left w:w="10" w:type="dxa"/>
            <w:bottom w:w="0" w:type="dxa"/>
            <w:right w:w="10" w:type="dxa"/>
          </w:tblCellMar>
        </w:tblPrEx>
        <w:trPr>
          <w:trHeight w:val="634" w:hRule="exact"/>
          <w:jc w:val="center"/>
        </w:trPr>
        <w:tc>
          <w:tcPr>
            <w:tcW w:w="1919" w:type="dxa"/>
            <w:tcBorders>
              <w:top w:val="single" w:color="auto" w:sz="4" w:space="0"/>
              <w:left w:val="single" w:color="auto" w:sz="4" w:space="0"/>
            </w:tcBorders>
            <w:shd w:val="clear" w:color="auto" w:fill="FFFFFF"/>
            <w:vAlign w:val="center"/>
          </w:tcPr>
          <w:p w14:paraId="1825571B">
            <w:pPr>
              <w:pStyle w:val="71"/>
              <w:spacing w:line="240" w:lineRule="auto"/>
              <w:ind w:firstLine="0"/>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合同金额</w:t>
            </w:r>
          </w:p>
        </w:tc>
        <w:tc>
          <w:tcPr>
            <w:tcW w:w="7196" w:type="dxa"/>
            <w:tcBorders>
              <w:top w:val="single" w:color="auto" w:sz="4" w:space="0"/>
              <w:left w:val="single" w:color="auto" w:sz="4" w:space="0"/>
              <w:right w:val="single" w:color="auto" w:sz="4" w:space="0"/>
            </w:tcBorders>
            <w:shd w:val="clear" w:color="auto" w:fill="FFFFFF"/>
          </w:tcPr>
          <w:p w14:paraId="783CEE5B">
            <w:pPr>
              <w:rPr>
                <w:rFonts w:ascii="仿宋" w:hAnsi="仿宋" w:eastAsia="仿宋" w:cs="仿宋"/>
                <w:color w:val="auto"/>
                <w:sz w:val="10"/>
                <w:szCs w:val="10"/>
                <w:highlight w:val="none"/>
              </w:rPr>
            </w:pPr>
          </w:p>
        </w:tc>
      </w:tr>
      <w:tr w14:paraId="533460B1">
        <w:tblPrEx>
          <w:tblCellMar>
            <w:top w:w="0" w:type="dxa"/>
            <w:left w:w="10" w:type="dxa"/>
            <w:bottom w:w="0" w:type="dxa"/>
            <w:right w:w="10" w:type="dxa"/>
          </w:tblCellMar>
        </w:tblPrEx>
        <w:trPr>
          <w:trHeight w:val="637" w:hRule="exact"/>
          <w:jc w:val="center"/>
        </w:trPr>
        <w:tc>
          <w:tcPr>
            <w:tcW w:w="1919" w:type="dxa"/>
            <w:tcBorders>
              <w:top w:val="single" w:color="auto" w:sz="4" w:space="0"/>
              <w:left w:val="single" w:color="auto" w:sz="4" w:space="0"/>
            </w:tcBorders>
            <w:shd w:val="clear" w:color="auto" w:fill="FFFFFF"/>
          </w:tcPr>
          <w:p w14:paraId="2D936633">
            <w:pPr>
              <w:pStyle w:val="71"/>
              <w:spacing w:line="306" w:lineRule="exact"/>
              <w:ind w:firstLine="0"/>
              <w:jc w:val="center"/>
              <w:rPr>
                <w:rFonts w:ascii="仿宋" w:hAnsi="仿宋" w:eastAsia="仿宋" w:cs="仿宋"/>
                <w:color w:val="auto"/>
                <w:highlight w:val="none"/>
              </w:rPr>
            </w:pPr>
            <w:r>
              <w:rPr>
                <w:rFonts w:hint="eastAsia" w:ascii="仿宋" w:hAnsi="仿宋" w:eastAsia="仿宋" w:cs="仿宋"/>
                <w:color w:val="auto"/>
                <w:highlight w:val="none"/>
              </w:rPr>
              <w:t>项目负责人姓名</w:t>
            </w:r>
          </w:p>
        </w:tc>
        <w:tc>
          <w:tcPr>
            <w:tcW w:w="7196" w:type="dxa"/>
            <w:tcBorders>
              <w:top w:val="single" w:color="auto" w:sz="4" w:space="0"/>
              <w:left w:val="single" w:color="auto" w:sz="4" w:space="0"/>
              <w:right w:val="single" w:color="auto" w:sz="4" w:space="0"/>
            </w:tcBorders>
            <w:shd w:val="clear" w:color="auto" w:fill="FFFFFF"/>
          </w:tcPr>
          <w:p w14:paraId="1731814C">
            <w:pPr>
              <w:rPr>
                <w:rFonts w:ascii="仿宋" w:hAnsi="仿宋" w:eastAsia="仿宋" w:cs="仿宋"/>
                <w:color w:val="auto"/>
                <w:sz w:val="10"/>
                <w:szCs w:val="10"/>
                <w:highlight w:val="none"/>
              </w:rPr>
            </w:pPr>
          </w:p>
        </w:tc>
      </w:tr>
      <w:tr w14:paraId="4B0A0FF7">
        <w:tblPrEx>
          <w:tblCellMar>
            <w:top w:w="0" w:type="dxa"/>
            <w:left w:w="10" w:type="dxa"/>
            <w:bottom w:w="0" w:type="dxa"/>
            <w:right w:w="10" w:type="dxa"/>
          </w:tblCellMar>
        </w:tblPrEx>
        <w:trPr>
          <w:trHeight w:val="482" w:hRule="exact"/>
          <w:jc w:val="center"/>
        </w:trPr>
        <w:tc>
          <w:tcPr>
            <w:tcW w:w="1919" w:type="dxa"/>
            <w:tcBorders>
              <w:top w:val="single" w:color="auto" w:sz="4" w:space="0"/>
              <w:left w:val="single" w:color="auto" w:sz="4" w:space="0"/>
            </w:tcBorders>
            <w:shd w:val="clear" w:color="auto" w:fill="FFFFFF"/>
          </w:tcPr>
          <w:p w14:paraId="4416683B">
            <w:pPr>
              <w:pStyle w:val="71"/>
              <w:spacing w:before="120" w:line="240" w:lineRule="auto"/>
              <w:ind w:firstLine="220"/>
              <w:rPr>
                <w:rFonts w:ascii="仿宋" w:hAnsi="仿宋" w:eastAsia="仿宋" w:cs="仿宋"/>
                <w:color w:val="auto"/>
                <w:highlight w:val="none"/>
              </w:rPr>
            </w:pPr>
            <w:r>
              <w:rPr>
                <w:rFonts w:hint="eastAsia" w:ascii="仿宋" w:hAnsi="仿宋" w:eastAsia="仿宋" w:cs="仿宋"/>
                <w:color w:val="auto"/>
                <w:highlight w:val="none"/>
              </w:rPr>
              <w:t>项目实施时间</w:t>
            </w:r>
          </w:p>
        </w:tc>
        <w:tc>
          <w:tcPr>
            <w:tcW w:w="7196" w:type="dxa"/>
            <w:tcBorders>
              <w:top w:val="single" w:color="auto" w:sz="4" w:space="0"/>
              <w:left w:val="single" w:color="auto" w:sz="4" w:space="0"/>
              <w:right w:val="single" w:color="auto" w:sz="4" w:space="0"/>
            </w:tcBorders>
            <w:shd w:val="clear" w:color="auto" w:fill="FFFFFF"/>
          </w:tcPr>
          <w:p w14:paraId="27CD27BE">
            <w:pPr>
              <w:rPr>
                <w:rFonts w:ascii="仿宋" w:hAnsi="仿宋" w:eastAsia="仿宋" w:cs="仿宋"/>
                <w:color w:val="auto"/>
                <w:sz w:val="10"/>
                <w:szCs w:val="10"/>
                <w:highlight w:val="none"/>
              </w:rPr>
            </w:pPr>
          </w:p>
        </w:tc>
      </w:tr>
      <w:tr w14:paraId="6F6B94DA">
        <w:tblPrEx>
          <w:tblCellMar>
            <w:top w:w="0" w:type="dxa"/>
            <w:left w:w="10" w:type="dxa"/>
            <w:bottom w:w="0" w:type="dxa"/>
            <w:right w:w="10" w:type="dxa"/>
          </w:tblCellMar>
        </w:tblPrEx>
        <w:trPr>
          <w:trHeight w:val="1699" w:hRule="exact"/>
          <w:jc w:val="center"/>
        </w:trPr>
        <w:tc>
          <w:tcPr>
            <w:tcW w:w="1919" w:type="dxa"/>
            <w:tcBorders>
              <w:top w:val="single" w:color="auto" w:sz="4" w:space="0"/>
              <w:left w:val="single" w:color="auto" w:sz="4" w:space="0"/>
              <w:bottom w:val="single" w:color="auto" w:sz="4" w:space="0"/>
            </w:tcBorders>
            <w:shd w:val="clear" w:color="auto" w:fill="FFFFFF"/>
            <w:vAlign w:val="center"/>
          </w:tcPr>
          <w:p w14:paraId="6392D057">
            <w:pPr>
              <w:pStyle w:val="71"/>
              <w:spacing w:line="240" w:lineRule="auto"/>
              <w:ind w:firstLine="220"/>
              <w:rPr>
                <w:rFonts w:ascii="仿宋" w:hAnsi="仿宋" w:eastAsia="仿宋" w:cs="仿宋"/>
                <w:color w:val="auto"/>
                <w:highlight w:val="none"/>
              </w:rPr>
            </w:pPr>
            <w:r>
              <w:rPr>
                <w:rFonts w:hint="eastAsia" w:ascii="仿宋" w:hAnsi="仿宋" w:eastAsia="仿宋" w:cs="仿宋"/>
                <w:color w:val="auto"/>
                <w:highlight w:val="none"/>
              </w:rPr>
              <w:t>项目内容说明</w:t>
            </w:r>
          </w:p>
        </w:tc>
        <w:tc>
          <w:tcPr>
            <w:tcW w:w="7196" w:type="dxa"/>
            <w:tcBorders>
              <w:top w:val="single" w:color="auto" w:sz="4" w:space="0"/>
              <w:left w:val="single" w:color="auto" w:sz="4" w:space="0"/>
              <w:bottom w:val="single" w:color="auto" w:sz="4" w:space="0"/>
              <w:right w:val="single" w:color="auto" w:sz="4" w:space="0"/>
            </w:tcBorders>
            <w:shd w:val="clear" w:color="auto" w:fill="FFFFFF"/>
          </w:tcPr>
          <w:p w14:paraId="7B32FE63">
            <w:pPr>
              <w:rPr>
                <w:rFonts w:ascii="仿宋" w:hAnsi="仿宋" w:eastAsia="仿宋" w:cs="仿宋"/>
                <w:color w:val="auto"/>
                <w:sz w:val="10"/>
                <w:szCs w:val="10"/>
                <w:highlight w:val="none"/>
              </w:rPr>
            </w:pPr>
          </w:p>
        </w:tc>
      </w:tr>
    </w:tbl>
    <w:p w14:paraId="47381348">
      <w:pPr>
        <w:rPr>
          <w:rFonts w:ascii="仿宋" w:hAnsi="仿宋" w:eastAsia="仿宋" w:cs="仿宋"/>
          <w:color w:val="auto"/>
          <w:spacing w:val="-1"/>
          <w:highlight w:val="none"/>
        </w:rPr>
      </w:pPr>
      <w:r>
        <w:rPr>
          <w:rFonts w:hint="eastAsia" w:ascii="仿宋" w:hAnsi="仿宋" w:eastAsia="仿宋" w:cs="仿宋"/>
          <w:color w:val="auto"/>
          <w:spacing w:val="-1"/>
          <w:highlight w:val="none"/>
        </w:rPr>
        <w:t>注：每个</w:t>
      </w:r>
      <w:r>
        <w:rPr>
          <w:rFonts w:hint="eastAsia" w:ascii="仿宋" w:hAnsi="仿宋" w:eastAsia="仿宋" w:cs="仿宋"/>
          <w:color w:val="auto"/>
          <w:spacing w:val="-1"/>
          <w:highlight w:val="none"/>
          <w:lang w:eastAsia="zh-CN"/>
        </w:rPr>
        <w:t>业绩</w:t>
      </w:r>
      <w:r>
        <w:rPr>
          <w:rFonts w:hint="eastAsia" w:ascii="仿宋" w:hAnsi="仿宋" w:eastAsia="仿宋" w:cs="仿宋"/>
          <w:color w:val="auto"/>
          <w:spacing w:val="-1"/>
          <w:highlight w:val="none"/>
        </w:rPr>
        <w:t>须单独附表，并附上</w:t>
      </w:r>
      <w:r>
        <w:rPr>
          <w:rFonts w:hint="eastAsia" w:ascii="仿宋" w:hAnsi="仿宋" w:eastAsia="仿宋" w:cs="仿宋"/>
          <w:color w:val="auto"/>
          <w:spacing w:val="-1"/>
          <w:highlight w:val="none"/>
          <w:lang w:eastAsia="zh-CN"/>
        </w:rPr>
        <w:t>合同或中标通知书</w:t>
      </w:r>
      <w:r>
        <w:rPr>
          <w:rFonts w:hint="eastAsia" w:ascii="仿宋" w:hAnsi="仿宋" w:eastAsia="仿宋" w:cs="仿宋"/>
          <w:color w:val="auto"/>
          <w:spacing w:val="-1"/>
          <w:highlight w:val="none"/>
        </w:rPr>
        <w:t>相关证明材料，否则专家在评审时将不予采信。</w:t>
      </w:r>
    </w:p>
    <w:p w14:paraId="00F6C8BA">
      <w:pPr>
        <w:pStyle w:val="8"/>
        <w:numPr>
          <w:ilvl w:val="0"/>
          <w:numId w:val="0"/>
        </w:numPr>
        <w:tabs>
          <w:tab w:val="left" w:pos="8227"/>
        </w:tabs>
        <w:kinsoku w:val="0"/>
        <w:overflowPunct w:val="0"/>
        <w:spacing w:line="381" w:lineRule="auto"/>
        <w:ind w:left="1680" w:right="118"/>
        <w:rPr>
          <w:rFonts w:ascii="仿宋" w:hAnsi="仿宋" w:eastAsia="仿宋" w:cs="仿宋"/>
          <w:color w:val="auto"/>
          <w:sz w:val="24"/>
          <w:highlight w:val="none"/>
        </w:rPr>
      </w:pPr>
    </w:p>
    <w:p w14:paraId="32F3A3B8">
      <w:pPr>
        <w:pStyle w:val="8"/>
        <w:numPr>
          <w:ilvl w:val="0"/>
          <w:numId w:val="0"/>
        </w:numPr>
        <w:tabs>
          <w:tab w:val="left" w:pos="8227"/>
        </w:tabs>
        <w:kinsoku w:val="0"/>
        <w:overflowPunct w:val="0"/>
        <w:spacing w:line="381" w:lineRule="auto"/>
        <w:ind w:left="1680" w:right="118"/>
        <w:rPr>
          <w:rFonts w:ascii="仿宋" w:hAnsi="仿宋" w:eastAsia="仿宋" w:cs="仿宋"/>
          <w:color w:val="auto"/>
          <w:sz w:val="24"/>
          <w:highlight w:val="none"/>
        </w:rPr>
      </w:pPr>
    </w:p>
    <w:p w14:paraId="7F2797BE">
      <w:pPr>
        <w:pStyle w:val="8"/>
        <w:numPr>
          <w:ilvl w:val="0"/>
          <w:numId w:val="0"/>
        </w:numPr>
        <w:tabs>
          <w:tab w:val="left" w:pos="8227"/>
        </w:tabs>
        <w:kinsoku w:val="0"/>
        <w:overflowPunct w:val="0"/>
        <w:spacing w:line="381" w:lineRule="auto"/>
        <w:ind w:left="1680" w:right="118"/>
        <w:rPr>
          <w:rFonts w:ascii="仿宋" w:hAnsi="仿宋" w:eastAsia="仿宋" w:cs="仿宋"/>
          <w:color w:val="auto"/>
          <w:sz w:val="24"/>
          <w:highlight w:val="none"/>
        </w:rPr>
      </w:pPr>
    </w:p>
    <w:p w14:paraId="500E402A">
      <w:pPr>
        <w:pStyle w:val="8"/>
        <w:numPr>
          <w:ilvl w:val="0"/>
          <w:numId w:val="0"/>
        </w:numPr>
        <w:tabs>
          <w:tab w:val="left" w:pos="8227"/>
        </w:tabs>
        <w:kinsoku w:val="0"/>
        <w:overflowPunct w:val="0"/>
        <w:spacing w:line="381" w:lineRule="auto"/>
        <w:ind w:left="1680" w:right="118"/>
        <w:rPr>
          <w:rFonts w:ascii="仿宋" w:hAnsi="仿宋" w:eastAsia="仿宋" w:cs="仿宋"/>
          <w:color w:val="auto"/>
          <w:sz w:val="24"/>
          <w:highlight w:val="none"/>
        </w:rPr>
      </w:pPr>
      <w:r>
        <w:rPr>
          <w:rFonts w:hint="eastAsia" w:ascii="仿宋" w:hAnsi="仿宋" w:eastAsia="仿宋" w:cs="仿宋"/>
          <w:color w:val="auto"/>
          <w:sz w:val="24"/>
          <w:highlight w:val="none"/>
        </w:rPr>
        <w:t>投标人：</w:t>
      </w:r>
      <w:r>
        <w:rPr>
          <w:rFonts w:hint="eastAsia" w:ascii="仿宋" w:hAnsi="仿宋" w:eastAsia="仿宋" w:cs="仿宋"/>
          <w:color w:val="auto"/>
          <w:sz w:val="24"/>
          <w:highlight w:val="none"/>
          <w:lang w:eastAsia="zh-CN"/>
        </w:rPr>
        <w:t xml:space="preserve">   </w:t>
      </w:r>
      <w:r>
        <w:rPr>
          <w:rFonts w:hint="eastAsia" w:ascii="仿宋" w:hAnsi="仿宋" w:eastAsia="仿宋" w:cs="仿宋"/>
          <w:color w:val="auto"/>
          <w:w w:val="95"/>
          <w:sz w:val="24"/>
          <w:highlight w:val="none"/>
        </w:rPr>
        <w:t>（盖章）</w:t>
      </w:r>
      <w:r>
        <w:rPr>
          <w:rFonts w:hint="eastAsia" w:ascii="仿宋" w:hAnsi="仿宋" w:eastAsia="仿宋" w:cs="仿宋"/>
          <w:color w:val="auto"/>
          <w:sz w:val="24"/>
          <w:highlight w:val="none"/>
        </w:rPr>
        <w:t xml:space="preserve"> </w:t>
      </w:r>
    </w:p>
    <w:p w14:paraId="2F041BE8">
      <w:pPr>
        <w:pStyle w:val="8"/>
        <w:numPr>
          <w:ilvl w:val="0"/>
          <w:numId w:val="0"/>
        </w:numPr>
        <w:tabs>
          <w:tab w:val="left" w:pos="8227"/>
        </w:tabs>
        <w:kinsoku w:val="0"/>
        <w:overflowPunct w:val="0"/>
        <w:spacing w:line="381" w:lineRule="auto"/>
        <w:ind w:left="1680" w:right="118"/>
        <w:rPr>
          <w:rFonts w:ascii="仿宋" w:hAnsi="仿宋" w:eastAsia="仿宋" w:cs="仿宋"/>
          <w:color w:val="auto"/>
          <w:w w:val="95"/>
          <w:sz w:val="24"/>
          <w:highlight w:val="none"/>
        </w:rPr>
      </w:pPr>
      <w:r>
        <w:rPr>
          <w:rFonts w:hint="eastAsia" w:ascii="仿宋" w:hAnsi="仿宋" w:eastAsia="仿宋" w:cs="仿宋"/>
          <w:color w:val="auto"/>
          <w:sz w:val="24"/>
          <w:highlight w:val="none"/>
        </w:rPr>
        <w:t>法定代表人或被授权人：</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eastAsia="zh-CN"/>
        </w:rPr>
        <w:t>(</w:t>
      </w:r>
      <w:r>
        <w:rPr>
          <w:rFonts w:hint="eastAsia" w:ascii="仿宋" w:hAnsi="仿宋" w:eastAsia="仿宋" w:cs="仿宋"/>
          <w:color w:val="auto"/>
          <w:w w:val="95"/>
          <w:sz w:val="24"/>
          <w:highlight w:val="none"/>
          <w:lang w:eastAsia="zh-CN"/>
        </w:rPr>
        <w:t>签章</w:t>
      </w:r>
      <w:r>
        <w:rPr>
          <w:rFonts w:hint="eastAsia" w:ascii="仿宋" w:hAnsi="仿宋" w:eastAsia="仿宋" w:cs="仿宋"/>
          <w:color w:val="auto"/>
          <w:w w:val="95"/>
          <w:sz w:val="24"/>
          <w:highlight w:val="none"/>
        </w:rPr>
        <w:t>）</w:t>
      </w:r>
    </w:p>
    <w:p w14:paraId="27C3BC3A">
      <w:pPr>
        <w:pStyle w:val="8"/>
        <w:numPr>
          <w:ilvl w:val="0"/>
          <w:numId w:val="0"/>
        </w:numPr>
        <w:tabs>
          <w:tab w:val="left" w:pos="5551"/>
          <w:tab w:val="left" w:pos="6511"/>
          <w:tab w:val="left" w:pos="7111"/>
          <w:tab w:val="left" w:pos="7711"/>
        </w:tabs>
        <w:kinsoku w:val="0"/>
        <w:overflowPunct w:val="0"/>
        <w:spacing w:before="46"/>
        <w:ind w:left="3928"/>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日</w:t>
      </w:r>
    </w:p>
    <w:p w14:paraId="3EBD40DC">
      <w:pPr>
        <w:pStyle w:val="73"/>
        <w:spacing w:after="580"/>
        <w:ind w:firstLine="360"/>
        <w:rPr>
          <w:rFonts w:ascii="仿宋" w:hAnsi="仿宋" w:eastAsia="仿宋" w:cs="仿宋"/>
          <w:color w:val="auto"/>
          <w:highlight w:val="none"/>
        </w:rPr>
      </w:pPr>
    </w:p>
    <w:p w14:paraId="206885DA">
      <w:pPr>
        <w:pStyle w:val="73"/>
        <w:spacing w:after="580"/>
        <w:ind w:firstLine="360"/>
        <w:rPr>
          <w:rFonts w:ascii="仿宋" w:hAnsi="仿宋" w:eastAsia="仿宋" w:cs="仿宋"/>
          <w:color w:val="auto"/>
          <w:highlight w:val="none"/>
        </w:rPr>
      </w:pPr>
    </w:p>
    <w:p w14:paraId="72010E60">
      <w:pPr>
        <w:pStyle w:val="73"/>
        <w:spacing w:after="580"/>
        <w:ind w:firstLine="0"/>
        <w:rPr>
          <w:rFonts w:ascii="仿宋" w:hAnsi="仿宋" w:eastAsia="仿宋" w:cs="仿宋"/>
          <w:color w:val="auto"/>
          <w:highlight w:val="none"/>
        </w:rPr>
      </w:pPr>
    </w:p>
    <w:p w14:paraId="7C1EECE0">
      <w:pPr>
        <w:pStyle w:val="72"/>
        <w:spacing w:after="240" w:line="240" w:lineRule="auto"/>
        <w:ind w:firstLine="0"/>
        <w:jc w:val="center"/>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eastAsia="zh-CN"/>
        </w:rPr>
        <w:t>九、</w:t>
      </w:r>
      <w:r>
        <w:rPr>
          <w:rFonts w:hint="eastAsia" w:ascii="仿宋" w:hAnsi="仿宋" w:eastAsia="仿宋" w:cs="仿宋"/>
          <w:b/>
          <w:bCs/>
          <w:color w:val="auto"/>
          <w:sz w:val="36"/>
          <w:szCs w:val="36"/>
          <w:highlight w:val="none"/>
        </w:rPr>
        <w:t>其他商务资格证明资料</w:t>
      </w:r>
      <w:r>
        <w:rPr>
          <w:rFonts w:hint="eastAsia" w:ascii="仿宋" w:hAnsi="仿宋" w:eastAsia="仿宋" w:cs="仿宋"/>
          <w:b/>
          <w:bCs/>
          <w:color w:val="auto"/>
          <w:sz w:val="36"/>
          <w:szCs w:val="36"/>
          <w:highlight w:val="none"/>
          <w:lang w:val="en-US" w:eastAsia="zh-CN"/>
        </w:rPr>
        <w:t>(格式自定）</w:t>
      </w:r>
    </w:p>
    <w:p w14:paraId="79A0E45E">
      <w:pPr>
        <w:pStyle w:val="72"/>
        <w:spacing w:after="240" w:line="240" w:lineRule="auto"/>
        <w:ind w:firstLine="0"/>
        <w:jc w:val="center"/>
        <w:rPr>
          <w:rFonts w:ascii="仿宋" w:hAnsi="仿宋" w:eastAsia="仿宋" w:cs="仿宋"/>
          <w:b/>
          <w:bCs/>
          <w:color w:val="auto"/>
          <w:sz w:val="36"/>
          <w:szCs w:val="36"/>
          <w:highlight w:val="none"/>
          <w:lang w:eastAsia="zh-CN"/>
        </w:rPr>
      </w:pPr>
    </w:p>
    <w:p w14:paraId="5B835AAE">
      <w:pPr>
        <w:pStyle w:val="72"/>
        <w:spacing w:after="240" w:line="240" w:lineRule="auto"/>
        <w:ind w:firstLine="0"/>
        <w:jc w:val="center"/>
        <w:rPr>
          <w:rFonts w:ascii="仿宋" w:hAnsi="仿宋" w:eastAsia="仿宋" w:cs="仿宋"/>
          <w:b/>
          <w:bCs/>
          <w:color w:val="auto"/>
          <w:sz w:val="36"/>
          <w:szCs w:val="36"/>
          <w:highlight w:val="none"/>
          <w:lang w:eastAsia="zh-CN"/>
        </w:rPr>
      </w:pPr>
    </w:p>
    <w:p w14:paraId="01BE8AF8">
      <w:pPr>
        <w:pStyle w:val="72"/>
        <w:spacing w:after="240" w:line="240" w:lineRule="auto"/>
        <w:ind w:firstLine="0"/>
        <w:jc w:val="center"/>
        <w:rPr>
          <w:rFonts w:ascii="仿宋" w:hAnsi="仿宋" w:eastAsia="仿宋" w:cs="仿宋"/>
          <w:b/>
          <w:bCs/>
          <w:color w:val="auto"/>
          <w:sz w:val="36"/>
          <w:szCs w:val="36"/>
          <w:highlight w:val="none"/>
          <w:lang w:eastAsia="zh-CN"/>
        </w:rPr>
      </w:pPr>
    </w:p>
    <w:p w14:paraId="78A35659">
      <w:pPr>
        <w:pStyle w:val="72"/>
        <w:spacing w:after="240" w:line="240" w:lineRule="auto"/>
        <w:ind w:firstLine="0"/>
        <w:jc w:val="center"/>
        <w:rPr>
          <w:rFonts w:ascii="仿宋" w:hAnsi="仿宋" w:eastAsia="仿宋" w:cs="仿宋"/>
          <w:b/>
          <w:bCs/>
          <w:color w:val="auto"/>
          <w:sz w:val="36"/>
          <w:szCs w:val="36"/>
          <w:highlight w:val="none"/>
          <w:lang w:eastAsia="zh-CN"/>
        </w:rPr>
      </w:pPr>
    </w:p>
    <w:p w14:paraId="3BEFCB0E">
      <w:pPr>
        <w:pStyle w:val="72"/>
        <w:spacing w:after="240" w:line="240" w:lineRule="auto"/>
        <w:ind w:firstLine="0"/>
        <w:jc w:val="center"/>
        <w:rPr>
          <w:rFonts w:ascii="仿宋" w:hAnsi="仿宋" w:eastAsia="仿宋" w:cs="仿宋"/>
          <w:b/>
          <w:bCs/>
          <w:color w:val="auto"/>
          <w:sz w:val="36"/>
          <w:szCs w:val="36"/>
          <w:highlight w:val="none"/>
          <w:lang w:eastAsia="zh-CN"/>
        </w:rPr>
      </w:pPr>
    </w:p>
    <w:p w14:paraId="4DD71F4D">
      <w:pPr>
        <w:pStyle w:val="72"/>
        <w:spacing w:after="240" w:line="240" w:lineRule="auto"/>
        <w:ind w:firstLine="0"/>
        <w:jc w:val="center"/>
        <w:rPr>
          <w:rFonts w:ascii="仿宋" w:hAnsi="仿宋" w:eastAsia="仿宋" w:cs="仿宋"/>
          <w:b/>
          <w:bCs/>
          <w:color w:val="auto"/>
          <w:sz w:val="36"/>
          <w:szCs w:val="36"/>
          <w:highlight w:val="none"/>
          <w:lang w:eastAsia="zh-CN"/>
        </w:rPr>
      </w:pPr>
    </w:p>
    <w:p w14:paraId="1A25391E">
      <w:pPr>
        <w:pStyle w:val="72"/>
        <w:spacing w:after="240" w:line="240" w:lineRule="auto"/>
        <w:ind w:firstLine="0"/>
        <w:jc w:val="center"/>
        <w:rPr>
          <w:rFonts w:ascii="仿宋" w:hAnsi="仿宋" w:eastAsia="仿宋" w:cs="仿宋"/>
          <w:b/>
          <w:bCs/>
          <w:color w:val="auto"/>
          <w:sz w:val="36"/>
          <w:szCs w:val="36"/>
          <w:highlight w:val="none"/>
          <w:lang w:eastAsia="zh-CN"/>
        </w:rPr>
      </w:pPr>
    </w:p>
    <w:p w14:paraId="6C087052">
      <w:pPr>
        <w:pStyle w:val="8"/>
        <w:numPr>
          <w:ilvl w:val="0"/>
          <w:numId w:val="0"/>
        </w:numPr>
        <w:kinsoku w:val="0"/>
        <w:overflowPunct w:val="0"/>
        <w:spacing w:before="34" w:line="357" w:lineRule="auto"/>
        <w:ind w:left="480" w:right="126"/>
        <w:jc w:val="center"/>
        <w:rPr>
          <w:rFonts w:ascii="仿宋" w:hAnsi="仿宋" w:eastAsia="仿宋" w:cs="仿宋"/>
          <w:b/>
          <w:bCs/>
          <w:color w:val="auto"/>
          <w:sz w:val="36"/>
          <w:szCs w:val="36"/>
          <w:highlight w:val="none"/>
        </w:rPr>
      </w:pPr>
    </w:p>
    <w:p w14:paraId="0AF472F4">
      <w:pPr>
        <w:pStyle w:val="8"/>
        <w:numPr>
          <w:ilvl w:val="0"/>
          <w:numId w:val="0"/>
        </w:numPr>
        <w:kinsoku w:val="0"/>
        <w:overflowPunct w:val="0"/>
        <w:spacing w:before="34" w:line="357" w:lineRule="auto"/>
        <w:ind w:left="480" w:right="126"/>
        <w:jc w:val="center"/>
        <w:rPr>
          <w:rFonts w:ascii="仿宋" w:hAnsi="仿宋" w:eastAsia="仿宋" w:cs="仿宋"/>
          <w:b/>
          <w:bCs/>
          <w:color w:val="auto"/>
          <w:sz w:val="36"/>
          <w:szCs w:val="36"/>
          <w:highlight w:val="none"/>
        </w:rPr>
      </w:pPr>
    </w:p>
    <w:p w14:paraId="1F89E068">
      <w:pPr>
        <w:pStyle w:val="8"/>
        <w:numPr>
          <w:ilvl w:val="0"/>
          <w:numId w:val="0"/>
        </w:numPr>
        <w:kinsoku w:val="0"/>
        <w:overflowPunct w:val="0"/>
        <w:spacing w:before="34" w:line="357" w:lineRule="auto"/>
        <w:ind w:left="480" w:right="126"/>
        <w:jc w:val="center"/>
        <w:rPr>
          <w:rFonts w:ascii="仿宋" w:hAnsi="仿宋" w:eastAsia="仿宋" w:cs="仿宋"/>
          <w:b/>
          <w:bCs/>
          <w:color w:val="auto"/>
          <w:sz w:val="36"/>
          <w:szCs w:val="36"/>
          <w:highlight w:val="none"/>
        </w:rPr>
      </w:pPr>
    </w:p>
    <w:p w14:paraId="1D3C6AB5">
      <w:pPr>
        <w:pStyle w:val="8"/>
        <w:numPr>
          <w:ilvl w:val="0"/>
          <w:numId w:val="0"/>
        </w:numPr>
        <w:kinsoku w:val="0"/>
        <w:overflowPunct w:val="0"/>
        <w:spacing w:before="34" w:line="357" w:lineRule="auto"/>
        <w:ind w:left="480" w:right="126"/>
        <w:jc w:val="center"/>
        <w:rPr>
          <w:rFonts w:ascii="仿宋" w:hAnsi="仿宋" w:eastAsia="仿宋" w:cs="仿宋"/>
          <w:b/>
          <w:bCs/>
          <w:color w:val="auto"/>
          <w:sz w:val="36"/>
          <w:szCs w:val="36"/>
          <w:highlight w:val="none"/>
        </w:rPr>
      </w:pPr>
    </w:p>
    <w:p w14:paraId="188F68F1">
      <w:pPr>
        <w:pStyle w:val="8"/>
        <w:numPr>
          <w:ilvl w:val="0"/>
          <w:numId w:val="0"/>
        </w:numPr>
        <w:kinsoku w:val="0"/>
        <w:overflowPunct w:val="0"/>
        <w:spacing w:before="34" w:line="357" w:lineRule="auto"/>
        <w:ind w:left="480" w:right="126"/>
        <w:jc w:val="center"/>
        <w:rPr>
          <w:rFonts w:ascii="仿宋" w:hAnsi="仿宋" w:eastAsia="仿宋" w:cs="仿宋"/>
          <w:b/>
          <w:bCs/>
          <w:color w:val="auto"/>
          <w:sz w:val="36"/>
          <w:szCs w:val="36"/>
          <w:highlight w:val="none"/>
        </w:rPr>
      </w:pPr>
    </w:p>
    <w:p w14:paraId="2E6B6E84">
      <w:pPr>
        <w:pStyle w:val="8"/>
        <w:numPr>
          <w:ilvl w:val="0"/>
          <w:numId w:val="0"/>
        </w:numPr>
        <w:kinsoku w:val="0"/>
        <w:overflowPunct w:val="0"/>
        <w:spacing w:before="34" w:line="357" w:lineRule="auto"/>
        <w:ind w:left="480" w:right="126"/>
        <w:jc w:val="center"/>
        <w:rPr>
          <w:rFonts w:ascii="仿宋" w:hAnsi="仿宋" w:eastAsia="仿宋" w:cs="仿宋"/>
          <w:b/>
          <w:bCs/>
          <w:color w:val="auto"/>
          <w:sz w:val="36"/>
          <w:szCs w:val="36"/>
          <w:highlight w:val="none"/>
        </w:rPr>
      </w:pPr>
    </w:p>
    <w:p w14:paraId="5CEED38A">
      <w:pPr>
        <w:pStyle w:val="8"/>
        <w:numPr>
          <w:ilvl w:val="0"/>
          <w:numId w:val="0"/>
        </w:numPr>
        <w:kinsoku w:val="0"/>
        <w:overflowPunct w:val="0"/>
        <w:spacing w:before="34" w:line="357" w:lineRule="auto"/>
        <w:ind w:right="126"/>
        <w:jc w:val="both"/>
        <w:rPr>
          <w:rFonts w:ascii="仿宋" w:hAnsi="仿宋" w:eastAsia="仿宋" w:cs="仿宋"/>
          <w:b/>
          <w:bCs/>
          <w:color w:val="auto"/>
          <w:sz w:val="36"/>
          <w:szCs w:val="36"/>
          <w:highlight w:val="none"/>
        </w:rPr>
      </w:pPr>
    </w:p>
    <w:p w14:paraId="7297BC44">
      <w:pPr>
        <w:pStyle w:val="9"/>
        <w:rPr>
          <w:rFonts w:ascii="仿宋" w:hAnsi="仿宋" w:eastAsia="仿宋" w:cs="仿宋"/>
          <w:b/>
          <w:bCs/>
          <w:color w:val="auto"/>
          <w:sz w:val="36"/>
          <w:szCs w:val="36"/>
          <w:highlight w:val="none"/>
        </w:rPr>
      </w:pPr>
    </w:p>
    <w:p w14:paraId="34445B05"/>
    <w:p w14:paraId="7E2E21C2">
      <w:pPr>
        <w:pStyle w:val="8"/>
        <w:numPr>
          <w:ilvl w:val="0"/>
          <w:numId w:val="0"/>
        </w:numPr>
        <w:kinsoku w:val="0"/>
        <w:overflowPunct w:val="0"/>
        <w:spacing w:before="34" w:line="357" w:lineRule="auto"/>
        <w:ind w:right="126"/>
        <w:jc w:val="center"/>
        <w:rPr>
          <w:rFonts w:ascii="仿宋" w:hAnsi="仿宋" w:eastAsia="仿宋" w:cs="仿宋"/>
          <w:b/>
          <w:bCs/>
          <w:color w:val="auto"/>
          <w:highlight w:val="none"/>
        </w:rPr>
      </w:pPr>
      <w:r>
        <w:rPr>
          <w:rFonts w:hint="eastAsia" w:ascii="仿宋" w:hAnsi="仿宋" w:eastAsia="仿宋" w:cs="仿宋"/>
          <w:b/>
          <w:bCs/>
          <w:color w:val="auto"/>
          <w:sz w:val="36"/>
          <w:szCs w:val="36"/>
          <w:highlight w:val="none"/>
        </w:rPr>
        <w:t>技术部分</w:t>
      </w:r>
    </w:p>
    <w:p w14:paraId="3FFD1949">
      <w:pPr>
        <w:rPr>
          <w:rFonts w:ascii="仿宋" w:hAnsi="仿宋" w:eastAsia="仿宋" w:cs="仿宋"/>
          <w:b/>
          <w:color w:val="auto"/>
          <w:highlight w:val="none"/>
        </w:rPr>
      </w:pPr>
      <w:r>
        <w:rPr>
          <w:rFonts w:hint="eastAsia" w:ascii="仿宋" w:hAnsi="仿宋" w:eastAsia="仿宋" w:cs="仿宋"/>
          <w:b/>
          <w:color w:val="auto"/>
          <w:highlight w:val="none"/>
          <w:lang w:eastAsia="zh-CN"/>
        </w:rPr>
        <w:t>十</w:t>
      </w:r>
      <w:r>
        <w:rPr>
          <w:rFonts w:hint="eastAsia" w:ascii="仿宋" w:hAnsi="仿宋" w:eastAsia="仿宋" w:cs="仿宋"/>
          <w:b/>
          <w:color w:val="auto"/>
          <w:highlight w:val="none"/>
        </w:rPr>
        <w:t>、技术参数响应表</w:t>
      </w:r>
    </w:p>
    <w:p w14:paraId="37C3042E">
      <w:pPr>
        <w:pStyle w:val="73"/>
        <w:spacing w:after="0"/>
        <w:ind w:firstLine="420"/>
        <w:jc w:val="center"/>
        <w:rPr>
          <w:rFonts w:ascii="仿宋" w:hAnsi="仿宋" w:eastAsia="仿宋" w:cs="仿宋"/>
          <w:color w:val="auto"/>
          <w:sz w:val="36"/>
          <w:szCs w:val="36"/>
          <w:highlight w:val="none"/>
          <w:lang w:eastAsia="zh-CN"/>
        </w:rPr>
      </w:pPr>
    </w:p>
    <w:tbl>
      <w:tblPr>
        <w:tblStyle w:val="24"/>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104"/>
        <w:gridCol w:w="1299"/>
        <w:gridCol w:w="2658"/>
      </w:tblGrid>
      <w:tr w14:paraId="3ED8C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88" w:type="dxa"/>
            <w:vAlign w:val="center"/>
          </w:tcPr>
          <w:p w14:paraId="45453729">
            <w:pPr>
              <w:rPr>
                <w:rFonts w:ascii="仿宋" w:hAnsi="仿宋" w:eastAsia="仿宋" w:cs="仿宋"/>
                <w:color w:val="auto"/>
                <w:spacing w:val="-1"/>
                <w:highlight w:val="none"/>
              </w:rPr>
            </w:pPr>
            <w:r>
              <w:rPr>
                <w:rFonts w:hint="eastAsia" w:ascii="仿宋" w:hAnsi="仿宋" w:eastAsia="仿宋" w:cs="仿宋"/>
                <w:color w:val="auto"/>
                <w:spacing w:val="-1"/>
                <w:highlight w:val="none"/>
              </w:rPr>
              <w:t>序号</w:t>
            </w:r>
          </w:p>
        </w:tc>
        <w:tc>
          <w:tcPr>
            <w:tcW w:w="2154" w:type="dxa"/>
            <w:vAlign w:val="center"/>
          </w:tcPr>
          <w:p w14:paraId="0C6B624C">
            <w:pPr>
              <w:rPr>
                <w:rFonts w:ascii="仿宋" w:hAnsi="仿宋" w:eastAsia="仿宋" w:cs="仿宋"/>
                <w:color w:val="auto"/>
                <w:spacing w:val="-1"/>
                <w:highlight w:val="none"/>
              </w:rPr>
            </w:pPr>
            <w:r>
              <w:rPr>
                <w:rFonts w:hint="eastAsia" w:ascii="仿宋" w:hAnsi="仿宋" w:eastAsia="仿宋" w:cs="仿宋"/>
                <w:color w:val="auto"/>
                <w:spacing w:val="-1"/>
                <w:highlight w:val="none"/>
              </w:rPr>
              <w:t>一般</w:t>
            </w:r>
            <w:r>
              <w:rPr>
                <w:rFonts w:hint="eastAsia" w:ascii="仿宋" w:hAnsi="仿宋" w:eastAsia="仿宋" w:cs="仿宋"/>
                <w:color w:val="auto"/>
                <w:spacing w:val="-1"/>
                <w:highlight w:val="none"/>
                <w:lang w:eastAsia="zh-CN"/>
              </w:rPr>
              <w:t>技术</w:t>
            </w:r>
            <w:r>
              <w:rPr>
                <w:rFonts w:hint="eastAsia" w:ascii="仿宋" w:hAnsi="仿宋" w:eastAsia="仿宋" w:cs="仿宋"/>
                <w:color w:val="auto"/>
                <w:spacing w:val="-1"/>
                <w:highlight w:val="none"/>
              </w:rPr>
              <w:t>条款序号</w:t>
            </w:r>
          </w:p>
        </w:tc>
        <w:tc>
          <w:tcPr>
            <w:tcW w:w="2104" w:type="dxa"/>
            <w:vAlign w:val="center"/>
          </w:tcPr>
          <w:p w14:paraId="31C5B851">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条款内容</w:t>
            </w:r>
          </w:p>
        </w:tc>
        <w:tc>
          <w:tcPr>
            <w:tcW w:w="1299" w:type="dxa"/>
            <w:vAlign w:val="center"/>
          </w:tcPr>
          <w:p w14:paraId="1DE53D69">
            <w:pPr>
              <w:rPr>
                <w:rFonts w:ascii="仿宋" w:hAnsi="仿宋" w:eastAsia="仿宋" w:cs="仿宋"/>
                <w:color w:val="auto"/>
                <w:spacing w:val="-1"/>
                <w:highlight w:val="none"/>
              </w:rPr>
            </w:pPr>
            <w:r>
              <w:rPr>
                <w:rFonts w:hint="eastAsia" w:ascii="仿宋" w:hAnsi="仿宋" w:eastAsia="仿宋" w:cs="仿宋"/>
                <w:color w:val="auto"/>
                <w:spacing w:val="-1"/>
                <w:highlight w:val="none"/>
              </w:rPr>
              <w:t>是否响应</w:t>
            </w:r>
          </w:p>
        </w:tc>
        <w:tc>
          <w:tcPr>
            <w:tcW w:w="2658" w:type="dxa"/>
            <w:vAlign w:val="center"/>
          </w:tcPr>
          <w:p w14:paraId="39049AD0">
            <w:pPr>
              <w:rPr>
                <w:rFonts w:ascii="仿宋" w:hAnsi="仿宋" w:eastAsia="仿宋" w:cs="仿宋"/>
                <w:color w:val="auto"/>
                <w:spacing w:val="-1"/>
                <w:highlight w:val="none"/>
              </w:rPr>
            </w:pPr>
            <w:r>
              <w:rPr>
                <w:rFonts w:hint="eastAsia" w:ascii="仿宋" w:hAnsi="仿宋" w:eastAsia="仿宋" w:cs="仿宋"/>
                <w:color w:val="auto"/>
                <w:spacing w:val="-1"/>
                <w:highlight w:val="none"/>
              </w:rPr>
              <w:t>偏离说明</w:t>
            </w:r>
          </w:p>
        </w:tc>
      </w:tr>
      <w:tr w14:paraId="012BE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37CC4D39">
            <w:pPr>
              <w:rPr>
                <w:rFonts w:ascii="仿宋" w:hAnsi="仿宋" w:eastAsia="仿宋" w:cs="仿宋"/>
                <w:color w:val="auto"/>
                <w:spacing w:val="-1"/>
                <w:highlight w:val="none"/>
              </w:rPr>
            </w:pPr>
            <w:r>
              <w:rPr>
                <w:rFonts w:hint="eastAsia" w:ascii="仿宋" w:hAnsi="仿宋" w:eastAsia="仿宋" w:cs="仿宋"/>
                <w:color w:val="auto"/>
                <w:spacing w:val="-1"/>
                <w:highlight w:val="none"/>
              </w:rPr>
              <w:t>1</w:t>
            </w:r>
          </w:p>
        </w:tc>
        <w:tc>
          <w:tcPr>
            <w:tcW w:w="2154" w:type="dxa"/>
            <w:vAlign w:val="center"/>
          </w:tcPr>
          <w:p w14:paraId="233D83F4">
            <w:pPr>
              <w:rPr>
                <w:rFonts w:ascii="仿宋" w:hAnsi="仿宋" w:eastAsia="仿宋" w:cs="仿宋"/>
                <w:color w:val="auto"/>
                <w:spacing w:val="-1"/>
                <w:highlight w:val="none"/>
              </w:rPr>
            </w:pPr>
          </w:p>
        </w:tc>
        <w:tc>
          <w:tcPr>
            <w:tcW w:w="2104" w:type="dxa"/>
            <w:vAlign w:val="center"/>
          </w:tcPr>
          <w:p w14:paraId="58F78742">
            <w:pPr>
              <w:rPr>
                <w:rFonts w:ascii="仿宋" w:hAnsi="仿宋" w:eastAsia="仿宋" w:cs="仿宋"/>
                <w:color w:val="auto"/>
                <w:spacing w:val="-1"/>
                <w:highlight w:val="none"/>
              </w:rPr>
            </w:pPr>
          </w:p>
        </w:tc>
        <w:tc>
          <w:tcPr>
            <w:tcW w:w="1299" w:type="dxa"/>
            <w:vAlign w:val="center"/>
          </w:tcPr>
          <w:p w14:paraId="5842FC82">
            <w:pPr>
              <w:rPr>
                <w:rFonts w:ascii="仿宋" w:hAnsi="仿宋" w:eastAsia="仿宋" w:cs="仿宋"/>
                <w:color w:val="auto"/>
                <w:spacing w:val="-1"/>
                <w:highlight w:val="none"/>
              </w:rPr>
            </w:pPr>
          </w:p>
        </w:tc>
        <w:tc>
          <w:tcPr>
            <w:tcW w:w="2658" w:type="dxa"/>
            <w:vAlign w:val="center"/>
          </w:tcPr>
          <w:p w14:paraId="29739C0F">
            <w:pPr>
              <w:rPr>
                <w:rFonts w:ascii="仿宋" w:hAnsi="仿宋" w:eastAsia="仿宋" w:cs="仿宋"/>
                <w:color w:val="auto"/>
                <w:spacing w:val="-1"/>
                <w:highlight w:val="none"/>
              </w:rPr>
            </w:pPr>
          </w:p>
        </w:tc>
      </w:tr>
      <w:tr w14:paraId="3E35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08E00968">
            <w:pPr>
              <w:rPr>
                <w:rFonts w:ascii="仿宋" w:hAnsi="仿宋" w:eastAsia="仿宋" w:cs="仿宋"/>
                <w:color w:val="auto"/>
                <w:spacing w:val="-1"/>
                <w:highlight w:val="none"/>
              </w:rPr>
            </w:pPr>
            <w:r>
              <w:rPr>
                <w:rFonts w:hint="eastAsia" w:ascii="仿宋" w:hAnsi="仿宋" w:eastAsia="仿宋" w:cs="仿宋"/>
                <w:color w:val="auto"/>
                <w:spacing w:val="-1"/>
                <w:highlight w:val="none"/>
              </w:rPr>
              <w:t>2</w:t>
            </w:r>
          </w:p>
        </w:tc>
        <w:tc>
          <w:tcPr>
            <w:tcW w:w="2154" w:type="dxa"/>
            <w:vAlign w:val="center"/>
          </w:tcPr>
          <w:p w14:paraId="40F04378">
            <w:pPr>
              <w:rPr>
                <w:rFonts w:ascii="仿宋" w:hAnsi="仿宋" w:eastAsia="仿宋" w:cs="仿宋"/>
                <w:color w:val="auto"/>
                <w:spacing w:val="-1"/>
                <w:highlight w:val="none"/>
              </w:rPr>
            </w:pPr>
          </w:p>
        </w:tc>
        <w:tc>
          <w:tcPr>
            <w:tcW w:w="2104" w:type="dxa"/>
            <w:vAlign w:val="center"/>
          </w:tcPr>
          <w:p w14:paraId="3A2C44BE">
            <w:pPr>
              <w:rPr>
                <w:rFonts w:ascii="仿宋" w:hAnsi="仿宋" w:eastAsia="仿宋" w:cs="仿宋"/>
                <w:color w:val="auto"/>
                <w:spacing w:val="-1"/>
                <w:highlight w:val="none"/>
              </w:rPr>
            </w:pPr>
          </w:p>
        </w:tc>
        <w:tc>
          <w:tcPr>
            <w:tcW w:w="1299" w:type="dxa"/>
            <w:vAlign w:val="center"/>
          </w:tcPr>
          <w:p w14:paraId="2689D543">
            <w:pPr>
              <w:rPr>
                <w:rFonts w:ascii="仿宋" w:hAnsi="仿宋" w:eastAsia="仿宋" w:cs="仿宋"/>
                <w:color w:val="auto"/>
                <w:spacing w:val="-1"/>
                <w:highlight w:val="none"/>
              </w:rPr>
            </w:pPr>
          </w:p>
        </w:tc>
        <w:tc>
          <w:tcPr>
            <w:tcW w:w="2658" w:type="dxa"/>
            <w:vAlign w:val="center"/>
          </w:tcPr>
          <w:p w14:paraId="23841DC0">
            <w:pPr>
              <w:rPr>
                <w:rFonts w:ascii="仿宋" w:hAnsi="仿宋" w:eastAsia="仿宋" w:cs="仿宋"/>
                <w:color w:val="auto"/>
                <w:spacing w:val="-1"/>
                <w:highlight w:val="none"/>
              </w:rPr>
            </w:pPr>
          </w:p>
        </w:tc>
      </w:tr>
      <w:tr w14:paraId="1BE3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0601EF1D">
            <w:pPr>
              <w:rPr>
                <w:rFonts w:ascii="仿宋" w:hAnsi="仿宋" w:eastAsia="仿宋" w:cs="仿宋"/>
                <w:color w:val="auto"/>
                <w:spacing w:val="-1"/>
                <w:highlight w:val="none"/>
              </w:rPr>
            </w:pPr>
            <w:r>
              <w:rPr>
                <w:rFonts w:hint="eastAsia" w:ascii="仿宋" w:hAnsi="仿宋" w:eastAsia="仿宋" w:cs="仿宋"/>
                <w:color w:val="auto"/>
                <w:spacing w:val="-1"/>
                <w:highlight w:val="none"/>
              </w:rPr>
              <w:t>3</w:t>
            </w:r>
          </w:p>
        </w:tc>
        <w:tc>
          <w:tcPr>
            <w:tcW w:w="2154" w:type="dxa"/>
            <w:vAlign w:val="center"/>
          </w:tcPr>
          <w:p w14:paraId="2D886D68">
            <w:pPr>
              <w:rPr>
                <w:rFonts w:ascii="仿宋" w:hAnsi="仿宋" w:eastAsia="仿宋" w:cs="仿宋"/>
                <w:color w:val="auto"/>
                <w:spacing w:val="-1"/>
                <w:highlight w:val="none"/>
              </w:rPr>
            </w:pPr>
          </w:p>
        </w:tc>
        <w:tc>
          <w:tcPr>
            <w:tcW w:w="2104" w:type="dxa"/>
            <w:vAlign w:val="center"/>
          </w:tcPr>
          <w:p w14:paraId="0986A6AC">
            <w:pPr>
              <w:rPr>
                <w:rFonts w:ascii="仿宋" w:hAnsi="仿宋" w:eastAsia="仿宋" w:cs="仿宋"/>
                <w:color w:val="auto"/>
                <w:spacing w:val="-1"/>
                <w:highlight w:val="none"/>
              </w:rPr>
            </w:pPr>
          </w:p>
        </w:tc>
        <w:tc>
          <w:tcPr>
            <w:tcW w:w="1299" w:type="dxa"/>
            <w:vAlign w:val="center"/>
          </w:tcPr>
          <w:p w14:paraId="777A2227">
            <w:pPr>
              <w:rPr>
                <w:rFonts w:ascii="仿宋" w:hAnsi="仿宋" w:eastAsia="仿宋" w:cs="仿宋"/>
                <w:color w:val="auto"/>
                <w:spacing w:val="-1"/>
                <w:highlight w:val="none"/>
              </w:rPr>
            </w:pPr>
          </w:p>
        </w:tc>
        <w:tc>
          <w:tcPr>
            <w:tcW w:w="2658" w:type="dxa"/>
            <w:vAlign w:val="center"/>
          </w:tcPr>
          <w:p w14:paraId="4AA5F7F0">
            <w:pPr>
              <w:rPr>
                <w:rFonts w:ascii="仿宋" w:hAnsi="仿宋" w:eastAsia="仿宋" w:cs="仿宋"/>
                <w:color w:val="auto"/>
                <w:spacing w:val="-1"/>
                <w:highlight w:val="none"/>
              </w:rPr>
            </w:pPr>
          </w:p>
        </w:tc>
      </w:tr>
      <w:tr w14:paraId="761F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1A0C386F">
            <w:pPr>
              <w:rPr>
                <w:rFonts w:ascii="仿宋" w:hAnsi="仿宋" w:eastAsia="仿宋" w:cs="仿宋"/>
                <w:color w:val="auto"/>
                <w:spacing w:val="-1"/>
                <w:highlight w:val="none"/>
              </w:rPr>
            </w:pPr>
            <w:r>
              <w:rPr>
                <w:rFonts w:hint="eastAsia" w:ascii="仿宋" w:hAnsi="仿宋" w:eastAsia="仿宋" w:cs="仿宋"/>
                <w:color w:val="auto"/>
                <w:spacing w:val="-1"/>
                <w:highlight w:val="none"/>
              </w:rPr>
              <w:t>4</w:t>
            </w:r>
          </w:p>
        </w:tc>
        <w:tc>
          <w:tcPr>
            <w:tcW w:w="2154" w:type="dxa"/>
            <w:vAlign w:val="center"/>
          </w:tcPr>
          <w:p w14:paraId="3A70DCBA">
            <w:pPr>
              <w:rPr>
                <w:rFonts w:ascii="仿宋" w:hAnsi="仿宋" w:eastAsia="仿宋" w:cs="仿宋"/>
                <w:color w:val="auto"/>
                <w:spacing w:val="-1"/>
                <w:highlight w:val="none"/>
              </w:rPr>
            </w:pPr>
          </w:p>
        </w:tc>
        <w:tc>
          <w:tcPr>
            <w:tcW w:w="2104" w:type="dxa"/>
            <w:vAlign w:val="center"/>
          </w:tcPr>
          <w:p w14:paraId="18317656">
            <w:pPr>
              <w:rPr>
                <w:rFonts w:ascii="仿宋" w:hAnsi="仿宋" w:eastAsia="仿宋" w:cs="仿宋"/>
                <w:color w:val="auto"/>
                <w:spacing w:val="-1"/>
                <w:highlight w:val="none"/>
              </w:rPr>
            </w:pPr>
          </w:p>
        </w:tc>
        <w:tc>
          <w:tcPr>
            <w:tcW w:w="1299" w:type="dxa"/>
            <w:vAlign w:val="center"/>
          </w:tcPr>
          <w:p w14:paraId="086C64BA">
            <w:pPr>
              <w:rPr>
                <w:rFonts w:ascii="仿宋" w:hAnsi="仿宋" w:eastAsia="仿宋" w:cs="仿宋"/>
                <w:color w:val="auto"/>
                <w:spacing w:val="-1"/>
                <w:highlight w:val="none"/>
              </w:rPr>
            </w:pPr>
          </w:p>
        </w:tc>
        <w:tc>
          <w:tcPr>
            <w:tcW w:w="2658" w:type="dxa"/>
            <w:vAlign w:val="center"/>
          </w:tcPr>
          <w:p w14:paraId="622483F4">
            <w:pPr>
              <w:rPr>
                <w:rFonts w:ascii="仿宋" w:hAnsi="仿宋" w:eastAsia="仿宋" w:cs="仿宋"/>
                <w:color w:val="auto"/>
                <w:spacing w:val="-1"/>
                <w:highlight w:val="none"/>
              </w:rPr>
            </w:pPr>
          </w:p>
        </w:tc>
      </w:tr>
      <w:tr w14:paraId="2BA5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7998D180">
            <w:pPr>
              <w:rPr>
                <w:rFonts w:ascii="仿宋" w:hAnsi="仿宋" w:eastAsia="仿宋" w:cs="仿宋"/>
                <w:color w:val="auto"/>
                <w:spacing w:val="-1"/>
                <w:highlight w:val="none"/>
              </w:rPr>
            </w:pPr>
            <w:r>
              <w:rPr>
                <w:rFonts w:hint="eastAsia" w:ascii="仿宋" w:hAnsi="仿宋" w:eastAsia="仿宋" w:cs="仿宋"/>
                <w:color w:val="auto"/>
                <w:spacing w:val="-1"/>
                <w:highlight w:val="none"/>
              </w:rPr>
              <w:t>5</w:t>
            </w:r>
          </w:p>
        </w:tc>
        <w:tc>
          <w:tcPr>
            <w:tcW w:w="2154" w:type="dxa"/>
            <w:vAlign w:val="center"/>
          </w:tcPr>
          <w:p w14:paraId="34E1E340">
            <w:pPr>
              <w:rPr>
                <w:rFonts w:ascii="仿宋" w:hAnsi="仿宋" w:eastAsia="仿宋" w:cs="仿宋"/>
                <w:color w:val="auto"/>
                <w:spacing w:val="-1"/>
                <w:highlight w:val="none"/>
              </w:rPr>
            </w:pPr>
          </w:p>
        </w:tc>
        <w:tc>
          <w:tcPr>
            <w:tcW w:w="2104" w:type="dxa"/>
            <w:vAlign w:val="center"/>
          </w:tcPr>
          <w:p w14:paraId="45C262B0">
            <w:pPr>
              <w:rPr>
                <w:rFonts w:ascii="仿宋" w:hAnsi="仿宋" w:eastAsia="仿宋" w:cs="仿宋"/>
                <w:color w:val="auto"/>
                <w:spacing w:val="-1"/>
                <w:highlight w:val="none"/>
              </w:rPr>
            </w:pPr>
          </w:p>
        </w:tc>
        <w:tc>
          <w:tcPr>
            <w:tcW w:w="1299" w:type="dxa"/>
            <w:vAlign w:val="center"/>
          </w:tcPr>
          <w:p w14:paraId="35E1DB14">
            <w:pPr>
              <w:rPr>
                <w:rFonts w:ascii="仿宋" w:hAnsi="仿宋" w:eastAsia="仿宋" w:cs="仿宋"/>
                <w:color w:val="auto"/>
                <w:spacing w:val="-1"/>
                <w:highlight w:val="none"/>
              </w:rPr>
            </w:pPr>
          </w:p>
        </w:tc>
        <w:tc>
          <w:tcPr>
            <w:tcW w:w="2658" w:type="dxa"/>
            <w:vAlign w:val="center"/>
          </w:tcPr>
          <w:p w14:paraId="342DFBF4">
            <w:pPr>
              <w:rPr>
                <w:rFonts w:ascii="仿宋" w:hAnsi="仿宋" w:eastAsia="仿宋" w:cs="仿宋"/>
                <w:color w:val="auto"/>
                <w:spacing w:val="-1"/>
                <w:highlight w:val="none"/>
              </w:rPr>
            </w:pPr>
          </w:p>
        </w:tc>
      </w:tr>
      <w:tr w14:paraId="438D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56443592">
            <w:pPr>
              <w:rPr>
                <w:rFonts w:ascii="仿宋" w:hAnsi="仿宋" w:eastAsia="仿宋" w:cs="仿宋"/>
                <w:color w:val="auto"/>
                <w:spacing w:val="-1"/>
                <w:highlight w:val="none"/>
              </w:rPr>
            </w:pPr>
            <w:r>
              <w:rPr>
                <w:rFonts w:hint="eastAsia" w:ascii="仿宋" w:hAnsi="仿宋" w:eastAsia="仿宋" w:cs="仿宋"/>
                <w:color w:val="auto"/>
                <w:spacing w:val="-1"/>
                <w:highlight w:val="none"/>
              </w:rPr>
              <w:t>6</w:t>
            </w:r>
          </w:p>
        </w:tc>
        <w:tc>
          <w:tcPr>
            <w:tcW w:w="2154" w:type="dxa"/>
            <w:vAlign w:val="center"/>
          </w:tcPr>
          <w:p w14:paraId="7960D436">
            <w:pPr>
              <w:rPr>
                <w:rFonts w:ascii="仿宋" w:hAnsi="仿宋" w:eastAsia="仿宋" w:cs="仿宋"/>
                <w:color w:val="auto"/>
                <w:spacing w:val="-1"/>
                <w:highlight w:val="none"/>
              </w:rPr>
            </w:pPr>
          </w:p>
        </w:tc>
        <w:tc>
          <w:tcPr>
            <w:tcW w:w="2104" w:type="dxa"/>
            <w:vAlign w:val="center"/>
          </w:tcPr>
          <w:p w14:paraId="4CD00B11">
            <w:pPr>
              <w:rPr>
                <w:rFonts w:ascii="仿宋" w:hAnsi="仿宋" w:eastAsia="仿宋" w:cs="仿宋"/>
                <w:color w:val="auto"/>
                <w:spacing w:val="-1"/>
                <w:highlight w:val="none"/>
              </w:rPr>
            </w:pPr>
          </w:p>
        </w:tc>
        <w:tc>
          <w:tcPr>
            <w:tcW w:w="1299" w:type="dxa"/>
            <w:vAlign w:val="center"/>
          </w:tcPr>
          <w:p w14:paraId="6B00FEFA">
            <w:pPr>
              <w:rPr>
                <w:rFonts w:ascii="仿宋" w:hAnsi="仿宋" w:eastAsia="仿宋" w:cs="仿宋"/>
                <w:color w:val="auto"/>
                <w:spacing w:val="-1"/>
                <w:highlight w:val="none"/>
              </w:rPr>
            </w:pPr>
          </w:p>
        </w:tc>
        <w:tc>
          <w:tcPr>
            <w:tcW w:w="2658" w:type="dxa"/>
            <w:vAlign w:val="center"/>
          </w:tcPr>
          <w:p w14:paraId="2F4BC100">
            <w:pPr>
              <w:rPr>
                <w:rFonts w:ascii="仿宋" w:hAnsi="仿宋" w:eastAsia="仿宋" w:cs="仿宋"/>
                <w:color w:val="auto"/>
                <w:spacing w:val="-1"/>
                <w:highlight w:val="none"/>
              </w:rPr>
            </w:pPr>
          </w:p>
        </w:tc>
      </w:tr>
      <w:tr w14:paraId="1403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19A3696E">
            <w:pPr>
              <w:rPr>
                <w:rFonts w:ascii="仿宋" w:hAnsi="仿宋" w:eastAsia="仿宋" w:cs="仿宋"/>
                <w:color w:val="auto"/>
                <w:spacing w:val="-1"/>
                <w:highlight w:val="none"/>
              </w:rPr>
            </w:pPr>
            <w:r>
              <w:rPr>
                <w:rFonts w:hint="eastAsia" w:ascii="仿宋" w:hAnsi="仿宋" w:eastAsia="仿宋" w:cs="仿宋"/>
                <w:color w:val="auto"/>
                <w:spacing w:val="-1"/>
                <w:highlight w:val="none"/>
              </w:rPr>
              <w:t>7</w:t>
            </w:r>
          </w:p>
        </w:tc>
        <w:tc>
          <w:tcPr>
            <w:tcW w:w="2154" w:type="dxa"/>
            <w:vAlign w:val="center"/>
          </w:tcPr>
          <w:p w14:paraId="2DEA9A00">
            <w:pPr>
              <w:rPr>
                <w:rFonts w:ascii="仿宋" w:hAnsi="仿宋" w:eastAsia="仿宋" w:cs="仿宋"/>
                <w:color w:val="auto"/>
                <w:spacing w:val="-1"/>
                <w:highlight w:val="none"/>
              </w:rPr>
            </w:pPr>
          </w:p>
        </w:tc>
        <w:tc>
          <w:tcPr>
            <w:tcW w:w="2104" w:type="dxa"/>
            <w:vAlign w:val="center"/>
          </w:tcPr>
          <w:p w14:paraId="54D9559B">
            <w:pPr>
              <w:rPr>
                <w:rFonts w:ascii="仿宋" w:hAnsi="仿宋" w:eastAsia="仿宋" w:cs="仿宋"/>
                <w:color w:val="auto"/>
                <w:spacing w:val="-1"/>
                <w:highlight w:val="none"/>
              </w:rPr>
            </w:pPr>
          </w:p>
        </w:tc>
        <w:tc>
          <w:tcPr>
            <w:tcW w:w="1299" w:type="dxa"/>
            <w:vAlign w:val="center"/>
          </w:tcPr>
          <w:p w14:paraId="4AD3E725">
            <w:pPr>
              <w:rPr>
                <w:rFonts w:ascii="仿宋" w:hAnsi="仿宋" w:eastAsia="仿宋" w:cs="仿宋"/>
                <w:color w:val="auto"/>
                <w:spacing w:val="-1"/>
                <w:highlight w:val="none"/>
              </w:rPr>
            </w:pPr>
          </w:p>
        </w:tc>
        <w:tc>
          <w:tcPr>
            <w:tcW w:w="2658" w:type="dxa"/>
            <w:vAlign w:val="center"/>
          </w:tcPr>
          <w:p w14:paraId="53168D2B">
            <w:pPr>
              <w:rPr>
                <w:rFonts w:ascii="仿宋" w:hAnsi="仿宋" w:eastAsia="仿宋" w:cs="仿宋"/>
                <w:color w:val="auto"/>
                <w:spacing w:val="-1"/>
                <w:highlight w:val="none"/>
              </w:rPr>
            </w:pPr>
          </w:p>
        </w:tc>
      </w:tr>
      <w:tr w14:paraId="001F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66014C70">
            <w:pPr>
              <w:rPr>
                <w:rFonts w:ascii="仿宋" w:hAnsi="仿宋" w:eastAsia="仿宋" w:cs="仿宋"/>
                <w:color w:val="auto"/>
                <w:spacing w:val="-1"/>
                <w:highlight w:val="none"/>
              </w:rPr>
            </w:pPr>
            <w:r>
              <w:rPr>
                <w:rFonts w:hint="eastAsia" w:ascii="仿宋" w:hAnsi="仿宋" w:eastAsia="仿宋" w:cs="仿宋"/>
                <w:color w:val="auto"/>
                <w:spacing w:val="-1"/>
                <w:highlight w:val="none"/>
              </w:rPr>
              <w:t>8</w:t>
            </w:r>
          </w:p>
        </w:tc>
        <w:tc>
          <w:tcPr>
            <w:tcW w:w="2154" w:type="dxa"/>
            <w:vAlign w:val="center"/>
          </w:tcPr>
          <w:p w14:paraId="1FBAFA41">
            <w:pPr>
              <w:rPr>
                <w:rFonts w:ascii="仿宋" w:hAnsi="仿宋" w:eastAsia="仿宋" w:cs="仿宋"/>
                <w:color w:val="auto"/>
                <w:spacing w:val="-1"/>
                <w:highlight w:val="none"/>
              </w:rPr>
            </w:pPr>
          </w:p>
        </w:tc>
        <w:tc>
          <w:tcPr>
            <w:tcW w:w="2104" w:type="dxa"/>
            <w:vAlign w:val="center"/>
          </w:tcPr>
          <w:p w14:paraId="77503DE6">
            <w:pPr>
              <w:rPr>
                <w:rFonts w:ascii="仿宋" w:hAnsi="仿宋" w:eastAsia="仿宋" w:cs="仿宋"/>
                <w:color w:val="auto"/>
                <w:spacing w:val="-1"/>
                <w:highlight w:val="none"/>
              </w:rPr>
            </w:pPr>
          </w:p>
        </w:tc>
        <w:tc>
          <w:tcPr>
            <w:tcW w:w="1299" w:type="dxa"/>
            <w:vAlign w:val="center"/>
          </w:tcPr>
          <w:p w14:paraId="622A2618">
            <w:pPr>
              <w:rPr>
                <w:rFonts w:ascii="仿宋" w:hAnsi="仿宋" w:eastAsia="仿宋" w:cs="仿宋"/>
                <w:color w:val="auto"/>
                <w:spacing w:val="-1"/>
                <w:highlight w:val="none"/>
              </w:rPr>
            </w:pPr>
          </w:p>
        </w:tc>
        <w:tc>
          <w:tcPr>
            <w:tcW w:w="2658" w:type="dxa"/>
            <w:vAlign w:val="center"/>
          </w:tcPr>
          <w:p w14:paraId="16185BEF">
            <w:pPr>
              <w:rPr>
                <w:rFonts w:ascii="仿宋" w:hAnsi="仿宋" w:eastAsia="仿宋" w:cs="仿宋"/>
                <w:color w:val="auto"/>
                <w:spacing w:val="-1"/>
                <w:highlight w:val="none"/>
              </w:rPr>
            </w:pPr>
          </w:p>
        </w:tc>
      </w:tr>
      <w:tr w14:paraId="42EC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31C68062">
            <w:pPr>
              <w:rPr>
                <w:rFonts w:ascii="仿宋" w:hAnsi="仿宋" w:eastAsia="仿宋" w:cs="仿宋"/>
                <w:color w:val="auto"/>
                <w:spacing w:val="-1"/>
                <w:highlight w:val="none"/>
              </w:rPr>
            </w:pPr>
            <w:r>
              <w:rPr>
                <w:rFonts w:hint="eastAsia" w:ascii="仿宋" w:hAnsi="仿宋" w:eastAsia="仿宋" w:cs="仿宋"/>
                <w:color w:val="auto"/>
                <w:spacing w:val="-1"/>
                <w:highlight w:val="none"/>
              </w:rPr>
              <w:t>9</w:t>
            </w:r>
          </w:p>
        </w:tc>
        <w:tc>
          <w:tcPr>
            <w:tcW w:w="2154" w:type="dxa"/>
            <w:vAlign w:val="center"/>
          </w:tcPr>
          <w:p w14:paraId="7144CD8C">
            <w:pPr>
              <w:rPr>
                <w:rFonts w:ascii="仿宋" w:hAnsi="仿宋" w:eastAsia="仿宋" w:cs="仿宋"/>
                <w:color w:val="auto"/>
                <w:spacing w:val="-1"/>
                <w:highlight w:val="none"/>
              </w:rPr>
            </w:pPr>
          </w:p>
        </w:tc>
        <w:tc>
          <w:tcPr>
            <w:tcW w:w="2104" w:type="dxa"/>
            <w:vAlign w:val="center"/>
          </w:tcPr>
          <w:p w14:paraId="6E436A0D">
            <w:pPr>
              <w:rPr>
                <w:rFonts w:ascii="仿宋" w:hAnsi="仿宋" w:eastAsia="仿宋" w:cs="仿宋"/>
                <w:color w:val="auto"/>
                <w:spacing w:val="-1"/>
                <w:highlight w:val="none"/>
              </w:rPr>
            </w:pPr>
          </w:p>
        </w:tc>
        <w:tc>
          <w:tcPr>
            <w:tcW w:w="1299" w:type="dxa"/>
            <w:vAlign w:val="center"/>
          </w:tcPr>
          <w:p w14:paraId="38451EB9">
            <w:pPr>
              <w:rPr>
                <w:rFonts w:ascii="仿宋" w:hAnsi="仿宋" w:eastAsia="仿宋" w:cs="仿宋"/>
                <w:color w:val="auto"/>
                <w:spacing w:val="-1"/>
                <w:highlight w:val="none"/>
              </w:rPr>
            </w:pPr>
          </w:p>
        </w:tc>
        <w:tc>
          <w:tcPr>
            <w:tcW w:w="2658" w:type="dxa"/>
            <w:vAlign w:val="center"/>
          </w:tcPr>
          <w:p w14:paraId="03C9A8C8">
            <w:pPr>
              <w:rPr>
                <w:rFonts w:ascii="仿宋" w:hAnsi="仿宋" w:eastAsia="仿宋" w:cs="仿宋"/>
                <w:color w:val="auto"/>
                <w:spacing w:val="-1"/>
                <w:highlight w:val="none"/>
              </w:rPr>
            </w:pPr>
          </w:p>
        </w:tc>
      </w:tr>
      <w:tr w14:paraId="2185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30488D24">
            <w:pPr>
              <w:rPr>
                <w:rFonts w:ascii="仿宋" w:hAnsi="仿宋" w:eastAsia="仿宋" w:cs="仿宋"/>
                <w:color w:val="auto"/>
                <w:spacing w:val="-1"/>
                <w:highlight w:val="none"/>
              </w:rPr>
            </w:pPr>
            <w:r>
              <w:rPr>
                <w:rFonts w:hint="eastAsia" w:ascii="仿宋" w:hAnsi="仿宋" w:eastAsia="仿宋" w:cs="仿宋"/>
                <w:color w:val="auto"/>
                <w:spacing w:val="-1"/>
                <w:highlight w:val="none"/>
              </w:rPr>
              <w:t>10</w:t>
            </w:r>
          </w:p>
        </w:tc>
        <w:tc>
          <w:tcPr>
            <w:tcW w:w="2154" w:type="dxa"/>
            <w:vAlign w:val="center"/>
          </w:tcPr>
          <w:p w14:paraId="6EB1E735">
            <w:pPr>
              <w:rPr>
                <w:rFonts w:ascii="仿宋" w:hAnsi="仿宋" w:eastAsia="仿宋" w:cs="仿宋"/>
                <w:color w:val="auto"/>
                <w:spacing w:val="-1"/>
                <w:highlight w:val="none"/>
              </w:rPr>
            </w:pPr>
          </w:p>
        </w:tc>
        <w:tc>
          <w:tcPr>
            <w:tcW w:w="2104" w:type="dxa"/>
            <w:vAlign w:val="center"/>
          </w:tcPr>
          <w:p w14:paraId="5A15D262">
            <w:pPr>
              <w:rPr>
                <w:rFonts w:ascii="仿宋" w:hAnsi="仿宋" w:eastAsia="仿宋" w:cs="仿宋"/>
                <w:color w:val="auto"/>
                <w:spacing w:val="-1"/>
                <w:highlight w:val="none"/>
              </w:rPr>
            </w:pPr>
          </w:p>
        </w:tc>
        <w:tc>
          <w:tcPr>
            <w:tcW w:w="1299" w:type="dxa"/>
            <w:vAlign w:val="center"/>
          </w:tcPr>
          <w:p w14:paraId="56DAF564">
            <w:pPr>
              <w:rPr>
                <w:rFonts w:ascii="仿宋" w:hAnsi="仿宋" w:eastAsia="仿宋" w:cs="仿宋"/>
                <w:color w:val="auto"/>
                <w:spacing w:val="-1"/>
                <w:highlight w:val="none"/>
              </w:rPr>
            </w:pPr>
          </w:p>
        </w:tc>
        <w:tc>
          <w:tcPr>
            <w:tcW w:w="2658" w:type="dxa"/>
            <w:vAlign w:val="center"/>
          </w:tcPr>
          <w:p w14:paraId="5977DA73">
            <w:pPr>
              <w:rPr>
                <w:rFonts w:ascii="仿宋" w:hAnsi="仿宋" w:eastAsia="仿宋" w:cs="仿宋"/>
                <w:color w:val="auto"/>
                <w:spacing w:val="-1"/>
                <w:highlight w:val="none"/>
              </w:rPr>
            </w:pPr>
          </w:p>
        </w:tc>
      </w:tr>
      <w:tr w14:paraId="6ED1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14C58A84">
            <w:pPr>
              <w:rPr>
                <w:rFonts w:ascii="仿宋" w:hAnsi="仿宋" w:eastAsia="仿宋" w:cs="仿宋"/>
                <w:color w:val="auto"/>
                <w:spacing w:val="-1"/>
                <w:highlight w:val="none"/>
              </w:rPr>
            </w:pPr>
            <w:r>
              <w:rPr>
                <w:rFonts w:hint="eastAsia" w:ascii="仿宋" w:hAnsi="仿宋" w:eastAsia="仿宋" w:cs="仿宋"/>
                <w:color w:val="auto"/>
                <w:spacing w:val="-1"/>
                <w:highlight w:val="none"/>
              </w:rPr>
              <w:t>11</w:t>
            </w:r>
          </w:p>
        </w:tc>
        <w:tc>
          <w:tcPr>
            <w:tcW w:w="2154" w:type="dxa"/>
            <w:vAlign w:val="center"/>
          </w:tcPr>
          <w:p w14:paraId="49CC9D70">
            <w:pPr>
              <w:rPr>
                <w:rFonts w:ascii="仿宋" w:hAnsi="仿宋" w:eastAsia="仿宋" w:cs="仿宋"/>
                <w:color w:val="auto"/>
                <w:spacing w:val="-1"/>
                <w:highlight w:val="none"/>
              </w:rPr>
            </w:pPr>
          </w:p>
        </w:tc>
        <w:tc>
          <w:tcPr>
            <w:tcW w:w="2104" w:type="dxa"/>
            <w:vAlign w:val="center"/>
          </w:tcPr>
          <w:p w14:paraId="2B55B3CF">
            <w:pPr>
              <w:rPr>
                <w:rFonts w:ascii="仿宋" w:hAnsi="仿宋" w:eastAsia="仿宋" w:cs="仿宋"/>
                <w:color w:val="auto"/>
                <w:spacing w:val="-1"/>
                <w:highlight w:val="none"/>
              </w:rPr>
            </w:pPr>
          </w:p>
        </w:tc>
        <w:tc>
          <w:tcPr>
            <w:tcW w:w="1299" w:type="dxa"/>
            <w:vAlign w:val="center"/>
          </w:tcPr>
          <w:p w14:paraId="3FA03FCD">
            <w:pPr>
              <w:rPr>
                <w:rFonts w:ascii="仿宋" w:hAnsi="仿宋" w:eastAsia="仿宋" w:cs="仿宋"/>
                <w:color w:val="auto"/>
                <w:spacing w:val="-1"/>
                <w:highlight w:val="none"/>
              </w:rPr>
            </w:pPr>
          </w:p>
        </w:tc>
        <w:tc>
          <w:tcPr>
            <w:tcW w:w="2658" w:type="dxa"/>
            <w:vAlign w:val="center"/>
          </w:tcPr>
          <w:p w14:paraId="4D8AA920">
            <w:pPr>
              <w:rPr>
                <w:rFonts w:ascii="仿宋" w:hAnsi="仿宋" w:eastAsia="仿宋" w:cs="仿宋"/>
                <w:color w:val="auto"/>
                <w:spacing w:val="-1"/>
                <w:highlight w:val="none"/>
              </w:rPr>
            </w:pPr>
          </w:p>
        </w:tc>
      </w:tr>
      <w:tr w14:paraId="5F4A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2C032076">
            <w:pPr>
              <w:rPr>
                <w:rFonts w:ascii="仿宋" w:hAnsi="仿宋" w:eastAsia="仿宋" w:cs="仿宋"/>
                <w:color w:val="auto"/>
                <w:spacing w:val="-1"/>
                <w:highlight w:val="none"/>
              </w:rPr>
            </w:pPr>
            <w:r>
              <w:rPr>
                <w:rFonts w:hint="eastAsia" w:ascii="仿宋" w:hAnsi="仿宋" w:eastAsia="仿宋" w:cs="仿宋"/>
                <w:color w:val="auto"/>
                <w:spacing w:val="-1"/>
                <w:highlight w:val="none"/>
              </w:rPr>
              <w:t>12</w:t>
            </w:r>
          </w:p>
        </w:tc>
        <w:tc>
          <w:tcPr>
            <w:tcW w:w="2154" w:type="dxa"/>
            <w:vAlign w:val="center"/>
          </w:tcPr>
          <w:p w14:paraId="69E2DC58">
            <w:pPr>
              <w:rPr>
                <w:rFonts w:ascii="仿宋" w:hAnsi="仿宋" w:eastAsia="仿宋" w:cs="仿宋"/>
                <w:color w:val="auto"/>
                <w:spacing w:val="-1"/>
                <w:highlight w:val="none"/>
              </w:rPr>
            </w:pPr>
          </w:p>
        </w:tc>
        <w:tc>
          <w:tcPr>
            <w:tcW w:w="2104" w:type="dxa"/>
            <w:vAlign w:val="center"/>
          </w:tcPr>
          <w:p w14:paraId="4E34BB3F">
            <w:pPr>
              <w:rPr>
                <w:rFonts w:ascii="仿宋" w:hAnsi="仿宋" w:eastAsia="仿宋" w:cs="仿宋"/>
                <w:color w:val="auto"/>
                <w:spacing w:val="-1"/>
                <w:highlight w:val="none"/>
              </w:rPr>
            </w:pPr>
          </w:p>
        </w:tc>
        <w:tc>
          <w:tcPr>
            <w:tcW w:w="1299" w:type="dxa"/>
            <w:vAlign w:val="center"/>
          </w:tcPr>
          <w:p w14:paraId="6188E9C2">
            <w:pPr>
              <w:rPr>
                <w:rFonts w:ascii="仿宋" w:hAnsi="仿宋" w:eastAsia="仿宋" w:cs="仿宋"/>
                <w:color w:val="auto"/>
                <w:spacing w:val="-1"/>
                <w:highlight w:val="none"/>
              </w:rPr>
            </w:pPr>
          </w:p>
        </w:tc>
        <w:tc>
          <w:tcPr>
            <w:tcW w:w="2658" w:type="dxa"/>
            <w:vAlign w:val="center"/>
          </w:tcPr>
          <w:p w14:paraId="1A5A5BC9">
            <w:pPr>
              <w:rPr>
                <w:rFonts w:ascii="仿宋" w:hAnsi="仿宋" w:eastAsia="仿宋" w:cs="仿宋"/>
                <w:color w:val="auto"/>
                <w:spacing w:val="-1"/>
                <w:highlight w:val="none"/>
              </w:rPr>
            </w:pPr>
          </w:p>
        </w:tc>
      </w:tr>
      <w:tr w14:paraId="5B067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7BF8208C">
            <w:pPr>
              <w:rPr>
                <w:rFonts w:ascii="仿宋" w:hAnsi="仿宋" w:eastAsia="仿宋" w:cs="仿宋"/>
                <w:color w:val="auto"/>
                <w:spacing w:val="-1"/>
                <w:highlight w:val="none"/>
              </w:rPr>
            </w:pPr>
            <w:r>
              <w:rPr>
                <w:rFonts w:hint="eastAsia" w:ascii="仿宋" w:hAnsi="仿宋" w:eastAsia="仿宋" w:cs="仿宋"/>
                <w:color w:val="auto"/>
                <w:spacing w:val="-1"/>
                <w:highlight w:val="none"/>
              </w:rPr>
              <w:t>13</w:t>
            </w:r>
          </w:p>
        </w:tc>
        <w:tc>
          <w:tcPr>
            <w:tcW w:w="2154" w:type="dxa"/>
            <w:vAlign w:val="center"/>
          </w:tcPr>
          <w:p w14:paraId="15AC9CDD">
            <w:pPr>
              <w:rPr>
                <w:rFonts w:ascii="仿宋" w:hAnsi="仿宋" w:eastAsia="仿宋" w:cs="仿宋"/>
                <w:color w:val="auto"/>
                <w:spacing w:val="-1"/>
                <w:highlight w:val="none"/>
              </w:rPr>
            </w:pPr>
          </w:p>
        </w:tc>
        <w:tc>
          <w:tcPr>
            <w:tcW w:w="2104" w:type="dxa"/>
            <w:vAlign w:val="center"/>
          </w:tcPr>
          <w:p w14:paraId="07CD2D75">
            <w:pPr>
              <w:rPr>
                <w:rFonts w:ascii="仿宋" w:hAnsi="仿宋" w:eastAsia="仿宋" w:cs="仿宋"/>
                <w:color w:val="auto"/>
                <w:spacing w:val="-1"/>
                <w:highlight w:val="none"/>
              </w:rPr>
            </w:pPr>
          </w:p>
        </w:tc>
        <w:tc>
          <w:tcPr>
            <w:tcW w:w="1299" w:type="dxa"/>
            <w:vAlign w:val="center"/>
          </w:tcPr>
          <w:p w14:paraId="48815821">
            <w:pPr>
              <w:rPr>
                <w:rFonts w:ascii="仿宋" w:hAnsi="仿宋" w:eastAsia="仿宋" w:cs="仿宋"/>
                <w:color w:val="auto"/>
                <w:spacing w:val="-1"/>
                <w:highlight w:val="none"/>
              </w:rPr>
            </w:pPr>
          </w:p>
        </w:tc>
        <w:tc>
          <w:tcPr>
            <w:tcW w:w="2658" w:type="dxa"/>
            <w:vAlign w:val="center"/>
          </w:tcPr>
          <w:p w14:paraId="07E481B4">
            <w:pPr>
              <w:rPr>
                <w:rFonts w:ascii="仿宋" w:hAnsi="仿宋" w:eastAsia="仿宋" w:cs="仿宋"/>
                <w:color w:val="auto"/>
                <w:spacing w:val="-1"/>
                <w:highlight w:val="none"/>
              </w:rPr>
            </w:pPr>
          </w:p>
        </w:tc>
      </w:tr>
      <w:tr w14:paraId="4FAA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2CC688B4">
            <w:pPr>
              <w:rPr>
                <w:rFonts w:ascii="仿宋" w:hAnsi="仿宋" w:eastAsia="仿宋" w:cs="仿宋"/>
                <w:color w:val="auto"/>
                <w:spacing w:val="-1"/>
                <w:highlight w:val="none"/>
              </w:rPr>
            </w:pPr>
            <w:r>
              <w:rPr>
                <w:rFonts w:hint="eastAsia" w:ascii="仿宋" w:hAnsi="仿宋" w:eastAsia="仿宋" w:cs="仿宋"/>
                <w:color w:val="auto"/>
                <w:spacing w:val="-1"/>
                <w:highlight w:val="none"/>
              </w:rPr>
              <w:t>14</w:t>
            </w:r>
          </w:p>
        </w:tc>
        <w:tc>
          <w:tcPr>
            <w:tcW w:w="2154" w:type="dxa"/>
            <w:vAlign w:val="center"/>
          </w:tcPr>
          <w:p w14:paraId="4DC6F93A">
            <w:pPr>
              <w:rPr>
                <w:rFonts w:ascii="仿宋" w:hAnsi="仿宋" w:eastAsia="仿宋" w:cs="仿宋"/>
                <w:color w:val="auto"/>
                <w:spacing w:val="-1"/>
                <w:highlight w:val="none"/>
              </w:rPr>
            </w:pPr>
          </w:p>
        </w:tc>
        <w:tc>
          <w:tcPr>
            <w:tcW w:w="2104" w:type="dxa"/>
            <w:vAlign w:val="center"/>
          </w:tcPr>
          <w:p w14:paraId="15F8C3DD">
            <w:pPr>
              <w:rPr>
                <w:rFonts w:ascii="仿宋" w:hAnsi="仿宋" w:eastAsia="仿宋" w:cs="仿宋"/>
                <w:color w:val="auto"/>
                <w:spacing w:val="-1"/>
                <w:highlight w:val="none"/>
              </w:rPr>
            </w:pPr>
          </w:p>
        </w:tc>
        <w:tc>
          <w:tcPr>
            <w:tcW w:w="1299" w:type="dxa"/>
            <w:vAlign w:val="center"/>
          </w:tcPr>
          <w:p w14:paraId="5CC1EF9F">
            <w:pPr>
              <w:rPr>
                <w:rFonts w:ascii="仿宋" w:hAnsi="仿宋" w:eastAsia="仿宋" w:cs="仿宋"/>
                <w:color w:val="auto"/>
                <w:spacing w:val="-1"/>
                <w:highlight w:val="none"/>
              </w:rPr>
            </w:pPr>
          </w:p>
        </w:tc>
        <w:tc>
          <w:tcPr>
            <w:tcW w:w="2658" w:type="dxa"/>
            <w:vAlign w:val="center"/>
          </w:tcPr>
          <w:p w14:paraId="02FD874F">
            <w:pPr>
              <w:rPr>
                <w:rFonts w:ascii="仿宋" w:hAnsi="仿宋" w:eastAsia="仿宋" w:cs="仿宋"/>
                <w:color w:val="auto"/>
                <w:spacing w:val="-1"/>
                <w:highlight w:val="none"/>
              </w:rPr>
            </w:pPr>
          </w:p>
        </w:tc>
      </w:tr>
      <w:tr w14:paraId="01449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60E32760">
            <w:pPr>
              <w:rPr>
                <w:rFonts w:ascii="仿宋" w:hAnsi="仿宋" w:eastAsia="仿宋" w:cs="仿宋"/>
                <w:color w:val="auto"/>
                <w:spacing w:val="-1"/>
                <w:highlight w:val="none"/>
              </w:rPr>
            </w:pPr>
            <w:r>
              <w:rPr>
                <w:rFonts w:hint="eastAsia" w:ascii="仿宋" w:hAnsi="仿宋" w:eastAsia="仿宋" w:cs="仿宋"/>
                <w:color w:val="auto"/>
                <w:spacing w:val="-1"/>
                <w:highlight w:val="none"/>
              </w:rPr>
              <w:t>15</w:t>
            </w:r>
          </w:p>
        </w:tc>
        <w:tc>
          <w:tcPr>
            <w:tcW w:w="2154" w:type="dxa"/>
            <w:vAlign w:val="center"/>
          </w:tcPr>
          <w:p w14:paraId="34920785">
            <w:pPr>
              <w:rPr>
                <w:rFonts w:ascii="仿宋" w:hAnsi="仿宋" w:eastAsia="仿宋" w:cs="仿宋"/>
                <w:color w:val="auto"/>
                <w:spacing w:val="-1"/>
                <w:highlight w:val="none"/>
              </w:rPr>
            </w:pPr>
          </w:p>
        </w:tc>
        <w:tc>
          <w:tcPr>
            <w:tcW w:w="2104" w:type="dxa"/>
            <w:vAlign w:val="center"/>
          </w:tcPr>
          <w:p w14:paraId="21872FE8">
            <w:pPr>
              <w:rPr>
                <w:rFonts w:ascii="仿宋" w:hAnsi="仿宋" w:eastAsia="仿宋" w:cs="仿宋"/>
                <w:color w:val="auto"/>
                <w:spacing w:val="-1"/>
                <w:highlight w:val="none"/>
              </w:rPr>
            </w:pPr>
          </w:p>
        </w:tc>
        <w:tc>
          <w:tcPr>
            <w:tcW w:w="1299" w:type="dxa"/>
            <w:vAlign w:val="center"/>
          </w:tcPr>
          <w:p w14:paraId="104D9948">
            <w:pPr>
              <w:rPr>
                <w:rFonts w:ascii="仿宋" w:hAnsi="仿宋" w:eastAsia="仿宋" w:cs="仿宋"/>
                <w:color w:val="auto"/>
                <w:spacing w:val="-1"/>
                <w:highlight w:val="none"/>
              </w:rPr>
            </w:pPr>
          </w:p>
        </w:tc>
        <w:tc>
          <w:tcPr>
            <w:tcW w:w="2658" w:type="dxa"/>
            <w:vAlign w:val="center"/>
          </w:tcPr>
          <w:p w14:paraId="5B00FA47">
            <w:pPr>
              <w:rPr>
                <w:rFonts w:ascii="仿宋" w:hAnsi="仿宋" w:eastAsia="仿宋" w:cs="仿宋"/>
                <w:color w:val="auto"/>
                <w:spacing w:val="-1"/>
                <w:highlight w:val="none"/>
              </w:rPr>
            </w:pPr>
          </w:p>
        </w:tc>
      </w:tr>
    </w:tbl>
    <w:p w14:paraId="369F3C02">
      <w:pPr>
        <w:rPr>
          <w:rFonts w:ascii="仿宋" w:hAnsi="仿宋" w:eastAsia="仿宋" w:cs="仿宋"/>
          <w:color w:val="auto"/>
          <w:spacing w:val="-1"/>
          <w:highlight w:val="none"/>
        </w:rPr>
      </w:pPr>
      <w:r>
        <w:rPr>
          <w:rFonts w:hint="eastAsia" w:ascii="仿宋" w:hAnsi="仿宋" w:eastAsia="仿宋" w:cs="仿宋"/>
          <w:color w:val="auto"/>
          <w:spacing w:val="-1"/>
          <w:highlight w:val="none"/>
        </w:rPr>
        <w:t>注：请在“偏离说明”栏内扼要说明偏离情况，如无偏离则不需列明。</w:t>
      </w:r>
    </w:p>
    <w:p w14:paraId="3005BD66">
      <w:pPr>
        <w:rPr>
          <w:rFonts w:ascii="仿宋" w:hAnsi="仿宋" w:eastAsia="仿宋" w:cs="仿宋"/>
          <w:color w:val="auto"/>
          <w:szCs w:val="21"/>
          <w:highlight w:val="none"/>
        </w:rPr>
      </w:pPr>
    </w:p>
    <w:p w14:paraId="552BAC02">
      <w:pPr>
        <w:rPr>
          <w:rFonts w:ascii="仿宋" w:hAnsi="仿宋" w:eastAsia="仿宋" w:cs="仿宋"/>
          <w:color w:val="auto"/>
          <w:szCs w:val="21"/>
          <w:highlight w:val="none"/>
        </w:rPr>
      </w:pPr>
    </w:p>
    <w:p w14:paraId="61F0538F">
      <w:pPr>
        <w:rPr>
          <w:rFonts w:ascii="仿宋" w:hAnsi="仿宋" w:eastAsia="仿宋" w:cs="仿宋"/>
          <w:color w:val="auto"/>
          <w:szCs w:val="21"/>
          <w:highlight w:val="none"/>
        </w:rPr>
      </w:pPr>
    </w:p>
    <w:p w14:paraId="4D7B2799">
      <w:pPr>
        <w:rPr>
          <w:rFonts w:ascii="仿宋" w:hAnsi="仿宋" w:eastAsia="仿宋" w:cs="仿宋"/>
          <w:color w:val="auto"/>
          <w:szCs w:val="21"/>
          <w:highlight w:val="none"/>
        </w:rPr>
      </w:pPr>
    </w:p>
    <w:p w14:paraId="46AE6900">
      <w:pPr>
        <w:rPr>
          <w:rFonts w:ascii="仿宋" w:hAnsi="仿宋" w:eastAsia="仿宋" w:cs="仿宋"/>
          <w:color w:val="auto"/>
          <w:szCs w:val="21"/>
          <w:highlight w:val="none"/>
        </w:rPr>
      </w:pPr>
    </w:p>
    <w:p w14:paraId="5C1CBFA5">
      <w:pPr>
        <w:rPr>
          <w:rFonts w:ascii="仿宋" w:hAnsi="仿宋" w:eastAsia="仿宋" w:cs="仿宋"/>
          <w:color w:val="auto"/>
          <w:szCs w:val="21"/>
          <w:highlight w:val="none"/>
        </w:rPr>
      </w:pPr>
    </w:p>
    <w:p w14:paraId="2881BEDB">
      <w:pPr>
        <w:rPr>
          <w:rFonts w:ascii="仿宋" w:hAnsi="仿宋" w:eastAsia="仿宋" w:cs="仿宋"/>
          <w:color w:val="auto"/>
          <w:szCs w:val="21"/>
          <w:highlight w:val="none"/>
        </w:rPr>
      </w:pPr>
    </w:p>
    <w:p w14:paraId="0D5833CD">
      <w:pPr>
        <w:rPr>
          <w:rFonts w:ascii="仿宋" w:hAnsi="仿宋" w:eastAsia="仿宋" w:cs="仿宋"/>
          <w:color w:val="auto"/>
          <w:szCs w:val="21"/>
          <w:highlight w:val="none"/>
        </w:rPr>
      </w:pPr>
    </w:p>
    <w:p w14:paraId="3BCC98D7">
      <w:pPr>
        <w:rPr>
          <w:rFonts w:ascii="仿宋" w:hAnsi="仿宋" w:eastAsia="仿宋" w:cs="仿宋"/>
          <w:color w:val="auto"/>
          <w:szCs w:val="21"/>
          <w:highlight w:val="none"/>
        </w:rPr>
      </w:pPr>
    </w:p>
    <w:p w14:paraId="3B2F6665">
      <w:pPr>
        <w:rPr>
          <w:rFonts w:ascii="仿宋" w:hAnsi="仿宋" w:eastAsia="仿宋" w:cs="仿宋"/>
          <w:color w:val="auto"/>
          <w:szCs w:val="21"/>
          <w:highlight w:val="none"/>
        </w:rPr>
      </w:pPr>
    </w:p>
    <w:p w14:paraId="463162C2">
      <w:pPr>
        <w:pStyle w:val="39"/>
        <w:rPr>
          <w:color w:val="auto"/>
          <w:highlight w:val="none"/>
        </w:rPr>
      </w:pPr>
    </w:p>
    <w:p w14:paraId="692F7DC7">
      <w:pPr>
        <w:rPr>
          <w:rFonts w:ascii="仿宋" w:hAnsi="仿宋" w:eastAsia="仿宋" w:cs="仿宋"/>
          <w:color w:val="auto"/>
          <w:szCs w:val="21"/>
          <w:highlight w:val="none"/>
        </w:rPr>
      </w:pPr>
    </w:p>
    <w:p w14:paraId="01523747">
      <w:pPr>
        <w:rPr>
          <w:rFonts w:ascii="仿宋" w:hAnsi="仿宋" w:eastAsia="仿宋" w:cs="仿宋"/>
          <w:color w:val="auto"/>
          <w:szCs w:val="21"/>
          <w:highlight w:val="none"/>
        </w:rPr>
      </w:pPr>
    </w:p>
    <w:p w14:paraId="70B0034B">
      <w:pPr>
        <w:rPr>
          <w:rFonts w:ascii="仿宋" w:hAnsi="仿宋" w:eastAsia="仿宋" w:cs="仿宋"/>
          <w:color w:val="auto"/>
          <w:szCs w:val="21"/>
          <w:highlight w:val="none"/>
        </w:rPr>
      </w:pPr>
    </w:p>
    <w:p w14:paraId="4F7AD64B">
      <w:pPr>
        <w:rPr>
          <w:rFonts w:ascii="仿宋" w:hAnsi="仿宋" w:eastAsia="仿宋" w:cs="仿宋"/>
          <w:color w:val="auto"/>
          <w:szCs w:val="21"/>
          <w:highlight w:val="none"/>
        </w:rPr>
      </w:pPr>
    </w:p>
    <w:p w14:paraId="5ED22511">
      <w:pPr>
        <w:numPr>
          <w:ilvl w:val="0"/>
          <w:numId w:val="8"/>
        </w:numPr>
        <w:ind w:left="-150" w:leftChars="0" w:firstLine="363" w:firstLineChars="0"/>
        <w:jc w:val="both"/>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技术方案（投标人自行编写的技术文件</w:t>
      </w:r>
      <w:r>
        <w:rPr>
          <w:rFonts w:hint="eastAsia" w:ascii="仿宋" w:hAnsi="仿宋" w:eastAsia="仿宋" w:cs="仿宋"/>
          <w:b/>
          <w:color w:val="auto"/>
          <w:sz w:val="28"/>
          <w:szCs w:val="28"/>
          <w:highlight w:val="none"/>
          <w:lang w:eastAsia="zh-CN"/>
        </w:rPr>
        <w:t>，包括但不限于</w:t>
      </w:r>
      <w:r>
        <w:rPr>
          <w:rFonts w:hint="eastAsia" w:ascii="仿宋" w:hAnsi="仿宋" w:eastAsia="仿宋" w:cs="仿宋"/>
          <w:b/>
          <w:color w:val="auto"/>
          <w:sz w:val="28"/>
          <w:szCs w:val="28"/>
          <w:highlight w:val="none"/>
        </w:rPr>
        <w:t>）</w:t>
      </w:r>
    </w:p>
    <w:p w14:paraId="48C7AC88">
      <w:pPr>
        <w:pStyle w:val="2"/>
        <w:keepNext/>
        <w:keepLines/>
        <w:pageBreakBefore w:val="0"/>
        <w:widowControl w:val="0"/>
        <w:numPr>
          <w:ilvl w:val="0"/>
          <w:numId w:val="0"/>
        </w:numPr>
        <w:kinsoku/>
        <w:wordWrap/>
        <w:overflowPunct/>
        <w:topLinePunct w:val="0"/>
        <w:autoSpaceDE/>
        <w:autoSpaceDN/>
        <w:bidi w:val="0"/>
        <w:adjustRightInd/>
        <w:snapToGrid/>
        <w:spacing w:line="300" w:lineRule="exact"/>
        <w:textAlignment w:val="baseline"/>
        <w:rPr>
          <w:rFonts w:hint="eastAsia"/>
          <w:b w:val="0"/>
          <w:bCs w:val="0"/>
          <w:sz w:val="22"/>
          <w:szCs w:val="22"/>
          <w:lang w:eastAsia="zh-CN"/>
        </w:rPr>
      </w:pPr>
      <w:r>
        <w:rPr>
          <w:rFonts w:hint="eastAsia"/>
          <w:b w:val="0"/>
          <w:bCs w:val="0"/>
          <w:sz w:val="22"/>
          <w:szCs w:val="22"/>
          <w:lang w:eastAsia="zh-CN"/>
        </w:rPr>
        <w:t>（</w:t>
      </w:r>
      <w:r>
        <w:rPr>
          <w:rFonts w:hint="eastAsia"/>
          <w:b w:val="0"/>
          <w:bCs w:val="0"/>
          <w:sz w:val="22"/>
          <w:szCs w:val="22"/>
          <w:lang w:val="en-US" w:eastAsia="zh-CN"/>
        </w:rPr>
        <w:t>1</w:t>
      </w:r>
      <w:r>
        <w:rPr>
          <w:rFonts w:hint="eastAsia"/>
          <w:b w:val="0"/>
          <w:bCs w:val="0"/>
          <w:sz w:val="22"/>
          <w:szCs w:val="22"/>
          <w:lang w:eastAsia="zh-CN"/>
        </w:rPr>
        <w:t>）针对本次招标内容的实施方案</w:t>
      </w:r>
    </w:p>
    <w:p w14:paraId="3F79B9CF">
      <w:pPr>
        <w:pStyle w:val="2"/>
        <w:keepNext/>
        <w:keepLines/>
        <w:pageBreakBefore w:val="0"/>
        <w:widowControl w:val="0"/>
        <w:numPr>
          <w:ilvl w:val="0"/>
          <w:numId w:val="0"/>
        </w:numPr>
        <w:kinsoku/>
        <w:wordWrap/>
        <w:overflowPunct/>
        <w:topLinePunct w:val="0"/>
        <w:autoSpaceDE/>
        <w:autoSpaceDN/>
        <w:bidi w:val="0"/>
        <w:adjustRightInd/>
        <w:snapToGrid/>
        <w:spacing w:line="300" w:lineRule="exact"/>
        <w:textAlignment w:val="baseline"/>
        <w:rPr>
          <w:rFonts w:hint="eastAsia"/>
          <w:b w:val="0"/>
          <w:bCs w:val="0"/>
          <w:sz w:val="22"/>
          <w:szCs w:val="22"/>
          <w:lang w:eastAsia="zh-CN"/>
        </w:rPr>
      </w:pPr>
      <w:r>
        <w:rPr>
          <w:rFonts w:hint="eastAsia"/>
          <w:b w:val="0"/>
          <w:bCs w:val="0"/>
          <w:sz w:val="22"/>
          <w:szCs w:val="22"/>
          <w:lang w:eastAsia="zh-CN"/>
        </w:rPr>
        <w:t>（2）服务质量保证措施。</w:t>
      </w:r>
      <w:r>
        <w:rPr>
          <w:rFonts w:hint="eastAsia"/>
          <w:b w:val="0"/>
          <w:bCs w:val="0"/>
          <w:sz w:val="22"/>
          <w:szCs w:val="22"/>
          <w:lang w:eastAsia="zh-CN"/>
        </w:rPr>
        <w:softHyphen/>
      </w:r>
    </w:p>
    <w:p w14:paraId="4D6A67C7">
      <w:pPr>
        <w:pStyle w:val="2"/>
        <w:keepNext/>
        <w:keepLines/>
        <w:pageBreakBefore w:val="0"/>
        <w:widowControl w:val="0"/>
        <w:numPr>
          <w:ilvl w:val="0"/>
          <w:numId w:val="0"/>
        </w:numPr>
        <w:kinsoku/>
        <w:wordWrap/>
        <w:overflowPunct/>
        <w:topLinePunct w:val="0"/>
        <w:autoSpaceDE/>
        <w:autoSpaceDN/>
        <w:bidi w:val="0"/>
        <w:adjustRightInd/>
        <w:snapToGrid/>
        <w:spacing w:line="300" w:lineRule="exact"/>
        <w:textAlignment w:val="baseline"/>
        <w:rPr>
          <w:rFonts w:hint="eastAsia"/>
          <w:b w:val="0"/>
          <w:bCs w:val="0"/>
          <w:sz w:val="22"/>
          <w:szCs w:val="22"/>
          <w:lang w:eastAsia="zh-CN"/>
        </w:rPr>
      </w:pPr>
      <w:r>
        <w:rPr>
          <w:rFonts w:hint="eastAsia"/>
          <w:b w:val="0"/>
          <w:bCs w:val="0"/>
          <w:sz w:val="22"/>
          <w:szCs w:val="22"/>
          <w:lang w:eastAsia="zh-CN"/>
        </w:rPr>
        <w:t>（3）售后与承诺（范围、标准及期限等）。</w:t>
      </w:r>
    </w:p>
    <w:p w14:paraId="0085AFEE">
      <w:pPr>
        <w:pStyle w:val="2"/>
        <w:keepNext/>
        <w:keepLines/>
        <w:pageBreakBefore w:val="0"/>
        <w:widowControl w:val="0"/>
        <w:numPr>
          <w:ilvl w:val="0"/>
          <w:numId w:val="0"/>
        </w:numPr>
        <w:kinsoku/>
        <w:wordWrap/>
        <w:overflowPunct/>
        <w:topLinePunct w:val="0"/>
        <w:autoSpaceDE/>
        <w:autoSpaceDN/>
        <w:bidi w:val="0"/>
        <w:adjustRightInd/>
        <w:snapToGrid/>
        <w:spacing w:line="300" w:lineRule="exact"/>
        <w:textAlignment w:val="baseline"/>
        <w:rPr>
          <w:rFonts w:hint="eastAsia"/>
          <w:b w:val="0"/>
          <w:bCs w:val="0"/>
          <w:sz w:val="22"/>
          <w:szCs w:val="22"/>
          <w:lang w:eastAsia="zh-CN"/>
        </w:rPr>
      </w:pPr>
      <w:r>
        <w:rPr>
          <w:rFonts w:hint="eastAsia"/>
          <w:b w:val="0"/>
          <w:bCs w:val="0"/>
          <w:sz w:val="22"/>
          <w:szCs w:val="22"/>
          <w:lang w:eastAsia="zh-CN"/>
        </w:rPr>
        <w:t>（4）优惠措施（后期服务费用及方式）。</w:t>
      </w:r>
    </w:p>
    <w:p w14:paraId="3AB0964E">
      <w:pPr>
        <w:pStyle w:val="2"/>
        <w:keepNext/>
        <w:keepLines/>
        <w:pageBreakBefore w:val="0"/>
        <w:widowControl w:val="0"/>
        <w:numPr>
          <w:ilvl w:val="0"/>
          <w:numId w:val="0"/>
        </w:numPr>
        <w:kinsoku/>
        <w:wordWrap/>
        <w:overflowPunct/>
        <w:topLinePunct w:val="0"/>
        <w:autoSpaceDE/>
        <w:autoSpaceDN/>
        <w:bidi w:val="0"/>
        <w:adjustRightInd/>
        <w:snapToGrid/>
        <w:spacing w:line="300" w:lineRule="exact"/>
        <w:textAlignment w:val="baseline"/>
        <w:rPr>
          <w:rFonts w:hint="eastAsia"/>
          <w:b w:val="0"/>
          <w:bCs w:val="0"/>
          <w:sz w:val="22"/>
          <w:szCs w:val="22"/>
          <w:lang w:eastAsia="zh-CN"/>
        </w:rPr>
      </w:pPr>
      <w:r>
        <w:rPr>
          <w:rFonts w:hint="eastAsia"/>
          <w:b w:val="0"/>
          <w:bCs w:val="0"/>
          <w:sz w:val="22"/>
          <w:szCs w:val="22"/>
          <w:lang w:eastAsia="zh-CN"/>
        </w:rPr>
        <w:t>（5）投标服务符合竞争性磋商文件规定的其他证明文件及磋商响应人认为需加以说明的其他内容。</w:t>
      </w:r>
    </w:p>
    <w:p w14:paraId="14255A2B">
      <w:pPr>
        <w:pStyle w:val="2"/>
        <w:keepNext/>
        <w:keepLines/>
        <w:pageBreakBefore w:val="0"/>
        <w:widowControl w:val="0"/>
        <w:numPr>
          <w:ilvl w:val="0"/>
          <w:numId w:val="0"/>
        </w:numPr>
        <w:kinsoku/>
        <w:wordWrap/>
        <w:overflowPunct/>
        <w:topLinePunct w:val="0"/>
        <w:autoSpaceDE/>
        <w:autoSpaceDN/>
        <w:bidi w:val="0"/>
        <w:adjustRightInd/>
        <w:snapToGrid/>
        <w:spacing w:line="300" w:lineRule="exact"/>
        <w:textAlignment w:val="baseline"/>
        <w:rPr>
          <w:rFonts w:hint="default"/>
          <w:b w:val="0"/>
          <w:bCs w:val="0"/>
          <w:sz w:val="22"/>
          <w:szCs w:val="22"/>
          <w:lang w:val="en-US" w:eastAsia="zh-CN"/>
        </w:rPr>
      </w:pPr>
      <w:r>
        <w:rPr>
          <w:rFonts w:hint="eastAsia"/>
          <w:b w:val="0"/>
          <w:bCs w:val="0"/>
          <w:sz w:val="22"/>
          <w:szCs w:val="22"/>
          <w:lang w:eastAsia="zh-CN"/>
        </w:rPr>
        <w:t>（6）投标承诺书（附件</w:t>
      </w:r>
      <w:r>
        <w:rPr>
          <w:rFonts w:hint="eastAsia"/>
          <w:b w:val="0"/>
          <w:bCs w:val="0"/>
          <w:sz w:val="22"/>
          <w:szCs w:val="22"/>
          <w:lang w:val="en-US" w:eastAsia="zh-CN"/>
        </w:rPr>
        <w:t>1）</w:t>
      </w:r>
    </w:p>
    <w:p w14:paraId="72FAAAF9">
      <w:pPr>
        <w:pStyle w:val="2"/>
        <w:keepNext/>
        <w:keepLines/>
        <w:pageBreakBefore w:val="0"/>
        <w:widowControl w:val="0"/>
        <w:numPr>
          <w:ilvl w:val="0"/>
          <w:numId w:val="0"/>
        </w:numPr>
        <w:kinsoku/>
        <w:wordWrap/>
        <w:overflowPunct/>
        <w:topLinePunct w:val="0"/>
        <w:autoSpaceDE/>
        <w:autoSpaceDN/>
        <w:bidi w:val="0"/>
        <w:adjustRightInd/>
        <w:snapToGrid/>
        <w:spacing w:line="300" w:lineRule="exact"/>
        <w:textAlignment w:val="baseline"/>
        <w:rPr>
          <w:rFonts w:hint="eastAsia"/>
          <w:b w:val="0"/>
          <w:bCs w:val="0"/>
          <w:sz w:val="22"/>
          <w:szCs w:val="22"/>
          <w:lang w:eastAsia="zh-CN"/>
        </w:rPr>
      </w:pPr>
      <w:r>
        <w:rPr>
          <w:rFonts w:hint="eastAsia"/>
          <w:b w:val="0"/>
          <w:bCs w:val="0"/>
          <w:sz w:val="22"/>
          <w:szCs w:val="22"/>
          <w:lang w:eastAsia="zh-CN"/>
        </w:rPr>
        <w:t>（7）评分标准和细则中技术部分证明材料（格式自拟）</w:t>
      </w:r>
    </w:p>
    <w:p w14:paraId="58B1A450">
      <w:pPr>
        <w:pStyle w:val="2"/>
        <w:keepNext/>
        <w:keepLines/>
        <w:pageBreakBefore w:val="0"/>
        <w:widowControl w:val="0"/>
        <w:numPr>
          <w:ilvl w:val="0"/>
          <w:numId w:val="0"/>
        </w:numPr>
        <w:kinsoku/>
        <w:wordWrap/>
        <w:overflowPunct/>
        <w:topLinePunct w:val="0"/>
        <w:autoSpaceDE/>
        <w:autoSpaceDN/>
        <w:bidi w:val="0"/>
        <w:adjustRightInd/>
        <w:snapToGrid/>
        <w:spacing w:line="300" w:lineRule="exact"/>
        <w:textAlignment w:val="baseline"/>
        <w:rPr>
          <w:rFonts w:hint="eastAsia" w:eastAsia="宋体"/>
          <w:b w:val="0"/>
          <w:bCs w:val="0"/>
          <w:sz w:val="22"/>
          <w:szCs w:val="22"/>
          <w:lang w:eastAsia="zh-CN"/>
        </w:rPr>
      </w:pPr>
      <w:r>
        <w:rPr>
          <w:rFonts w:hint="eastAsia"/>
          <w:b w:val="0"/>
          <w:bCs w:val="0"/>
          <w:sz w:val="22"/>
          <w:szCs w:val="22"/>
          <w:lang w:eastAsia="zh-CN"/>
        </w:rPr>
        <w:t>（8）投标人认为有必要提供的其他证明材料（格式自拟）</w:t>
      </w:r>
    </w:p>
    <w:p w14:paraId="29F5DBDC">
      <w:pPr>
        <w:pStyle w:val="10"/>
        <w:ind w:left="0" w:leftChars="0" w:firstLine="0" w:firstLineChars="0"/>
        <w:rPr>
          <w:rFonts w:hint="eastAsia" w:ascii="仿宋" w:hAnsi="仿宋" w:eastAsia="仿宋" w:cs="仿宋"/>
          <w:b/>
          <w:color w:val="auto"/>
          <w:sz w:val="36"/>
          <w:szCs w:val="36"/>
          <w:highlight w:val="none"/>
          <w:lang w:eastAsia="zh-CN"/>
        </w:rPr>
      </w:pPr>
    </w:p>
    <w:p w14:paraId="17670910">
      <w:pPr>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lang w:eastAsia="zh-CN"/>
        </w:rPr>
        <w:br w:type="page"/>
      </w:r>
    </w:p>
    <w:p w14:paraId="2A397BB5">
      <w:pPr>
        <w:spacing w:line="348" w:lineRule="auto"/>
        <w:jc w:val="center"/>
        <w:rPr>
          <w:rFonts w:hint="eastAsia" w:ascii="仿宋" w:hAnsi="仿宋" w:eastAsia="仿宋" w:cs="仿宋"/>
          <w:b/>
          <w:sz w:val="32"/>
          <w:szCs w:val="28"/>
        </w:rPr>
      </w:pPr>
      <w:r>
        <w:rPr>
          <w:rFonts w:hint="eastAsia" w:ascii="仿宋" w:hAnsi="仿宋" w:eastAsia="仿宋" w:cs="仿宋"/>
          <w:b/>
          <w:sz w:val="32"/>
          <w:szCs w:val="28"/>
          <w:lang w:eastAsia="zh-CN"/>
        </w:rPr>
        <w:t>附件</w:t>
      </w:r>
      <w:r>
        <w:rPr>
          <w:rFonts w:hint="eastAsia" w:ascii="仿宋" w:hAnsi="仿宋" w:eastAsia="仿宋" w:cs="仿宋"/>
          <w:b/>
          <w:sz w:val="32"/>
          <w:szCs w:val="28"/>
          <w:lang w:val="en-US" w:eastAsia="zh-CN"/>
        </w:rPr>
        <w:t>1：</w:t>
      </w:r>
      <w:r>
        <w:rPr>
          <w:rFonts w:hint="eastAsia" w:ascii="仿宋" w:hAnsi="仿宋" w:eastAsia="仿宋" w:cs="仿宋"/>
          <w:b/>
          <w:sz w:val="32"/>
          <w:szCs w:val="28"/>
        </w:rPr>
        <w:t>投标承诺书</w:t>
      </w:r>
    </w:p>
    <w:p w14:paraId="3F37056A">
      <w:pPr>
        <w:spacing w:line="348" w:lineRule="auto"/>
        <w:rPr>
          <w:rFonts w:hint="eastAsia" w:ascii="仿宋" w:hAnsi="仿宋" w:eastAsia="仿宋" w:cs="仿宋"/>
          <w:sz w:val="24"/>
          <w:u w:val="single"/>
        </w:rPr>
      </w:pPr>
      <w:r>
        <w:rPr>
          <w:rFonts w:hint="eastAsia" w:ascii="仿宋" w:hAnsi="仿宋" w:eastAsia="仿宋" w:cs="仿宋"/>
          <w:sz w:val="24"/>
        </w:rPr>
        <w:t>招标人：</w:t>
      </w:r>
      <w:r>
        <w:rPr>
          <w:rFonts w:hint="eastAsia" w:ascii="仿宋" w:hAnsi="仿宋" w:eastAsia="仿宋" w:cs="仿宋"/>
          <w:sz w:val="24"/>
          <w:u w:val="single"/>
        </w:rPr>
        <w:t xml:space="preserve">                                        </w:t>
      </w:r>
    </w:p>
    <w:p w14:paraId="155206DC">
      <w:pPr>
        <w:spacing w:line="348" w:lineRule="auto"/>
        <w:rPr>
          <w:rFonts w:hint="eastAsia" w:ascii="仿宋" w:hAnsi="仿宋" w:eastAsia="仿宋" w:cs="仿宋"/>
          <w:sz w:val="24"/>
        </w:rPr>
      </w:pPr>
      <w:r>
        <w:rPr>
          <w:rFonts w:hint="eastAsia" w:ascii="仿宋" w:hAnsi="仿宋" w:eastAsia="仿宋" w:cs="仿宋"/>
          <w:sz w:val="24"/>
        </w:rPr>
        <w:t>1、根据已收到的</w:t>
      </w:r>
      <w:r>
        <w:rPr>
          <w:rFonts w:hint="eastAsia" w:ascii="仿宋" w:hAnsi="仿宋" w:eastAsia="仿宋" w:cs="仿宋"/>
          <w:sz w:val="24"/>
          <w:u w:val="single"/>
        </w:rPr>
        <w:t xml:space="preserve">                           </w:t>
      </w:r>
      <w:r>
        <w:rPr>
          <w:rFonts w:hint="eastAsia" w:ascii="仿宋" w:hAnsi="仿宋" w:eastAsia="仿宋" w:cs="仿宋"/>
          <w:sz w:val="24"/>
        </w:rPr>
        <w:t>采购项目的竞争性磋商文件，遵照国家、自治区招标投标法律法规的规定，我单位经研究贵方的竞争性磋商文件后愿以投标书的经济标部分所报投标价格承揽本招标范围内的全部内容。</w:t>
      </w:r>
    </w:p>
    <w:p w14:paraId="462B3107">
      <w:pPr>
        <w:spacing w:line="348" w:lineRule="auto"/>
        <w:rPr>
          <w:rFonts w:hint="eastAsia" w:ascii="仿宋" w:hAnsi="仿宋" w:eastAsia="仿宋" w:cs="仿宋"/>
          <w:sz w:val="24"/>
        </w:rPr>
      </w:pPr>
      <w:r>
        <w:rPr>
          <w:rFonts w:hint="eastAsia" w:ascii="仿宋" w:hAnsi="仿宋" w:eastAsia="仿宋" w:cs="仿宋"/>
          <w:sz w:val="24"/>
        </w:rPr>
        <w:t>2、一旦我方中标，我方承诺：</w:t>
      </w:r>
    </w:p>
    <w:p w14:paraId="29FA896A">
      <w:pPr>
        <w:numPr>
          <w:ilvl w:val="1"/>
          <w:numId w:val="9"/>
        </w:numPr>
        <w:tabs>
          <w:tab w:val="left" w:pos="1440"/>
        </w:tabs>
        <w:adjustRightInd w:val="0"/>
        <w:snapToGrid w:val="0"/>
        <w:spacing w:line="348" w:lineRule="auto"/>
        <w:ind w:firstLine="60"/>
        <w:jc w:val="left"/>
        <w:rPr>
          <w:rFonts w:hint="eastAsia" w:ascii="仿宋" w:hAnsi="仿宋" w:eastAsia="仿宋" w:cs="仿宋"/>
          <w:sz w:val="24"/>
        </w:rPr>
      </w:pPr>
      <w:r>
        <w:rPr>
          <w:rFonts w:hint="eastAsia" w:ascii="仿宋" w:hAnsi="仿宋" w:eastAsia="仿宋" w:cs="仿宋"/>
          <w:sz w:val="24"/>
          <w:lang w:eastAsia="zh-CN"/>
        </w:rPr>
        <w:t>根据签订的合同和</w:t>
      </w:r>
      <w:r>
        <w:rPr>
          <w:rFonts w:hint="eastAsia" w:ascii="仿宋" w:hAnsi="仿宋" w:eastAsia="仿宋" w:cs="仿宋"/>
          <w:sz w:val="24"/>
        </w:rPr>
        <w:t>磋商</w:t>
      </w:r>
      <w:r>
        <w:rPr>
          <w:rFonts w:hint="eastAsia" w:ascii="仿宋" w:hAnsi="仿宋" w:eastAsia="仿宋" w:cs="仿宋"/>
          <w:sz w:val="24"/>
          <w:lang w:eastAsia="zh-CN"/>
        </w:rPr>
        <w:t>文件的规定严格按照</w:t>
      </w:r>
      <w:r>
        <w:rPr>
          <w:rFonts w:hint="eastAsia" w:ascii="仿宋" w:hAnsi="仿宋" w:eastAsia="仿宋" w:cs="仿宋"/>
          <w:sz w:val="24"/>
        </w:rPr>
        <w:t>磋商</w:t>
      </w:r>
      <w:r>
        <w:rPr>
          <w:rFonts w:hint="eastAsia" w:ascii="仿宋" w:hAnsi="仿宋" w:eastAsia="仿宋" w:cs="仿宋"/>
          <w:sz w:val="24"/>
          <w:lang w:eastAsia="zh-CN"/>
        </w:rPr>
        <w:t>文件内容执行</w:t>
      </w:r>
    </w:p>
    <w:p w14:paraId="73363592">
      <w:pPr>
        <w:numPr>
          <w:ilvl w:val="1"/>
          <w:numId w:val="9"/>
        </w:numPr>
        <w:tabs>
          <w:tab w:val="left" w:pos="1440"/>
        </w:tabs>
        <w:adjustRightInd w:val="0"/>
        <w:snapToGrid w:val="0"/>
        <w:spacing w:line="348" w:lineRule="auto"/>
        <w:ind w:firstLine="60"/>
        <w:rPr>
          <w:rFonts w:hint="eastAsia" w:ascii="仿宋" w:hAnsi="仿宋" w:eastAsia="仿宋" w:cs="仿宋"/>
          <w:sz w:val="24"/>
        </w:rPr>
      </w:pPr>
      <w:r>
        <w:rPr>
          <w:rFonts w:hint="eastAsia" w:ascii="仿宋" w:hAnsi="仿宋" w:eastAsia="仿宋" w:cs="仿宋"/>
          <w:sz w:val="24"/>
        </w:rPr>
        <w:t>完全履约的承诺；</w:t>
      </w:r>
    </w:p>
    <w:p w14:paraId="5D52F6B1">
      <w:pPr>
        <w:numPr>
          <w:ilvl w:val="1"/>
          <w:numId w:val="9"/>
        </w:numPr>
        <w:tabs>
          <w:tab w:val="left" w:pos="1440"/>
        </w:tabs>
        <w:adjustRightInd w:val="0"/>
        <w:snapToGrid w:val="0"/>
        <w:spacing w:line="348" w:lineRule="auto"/>
        <w:ind w:firstLine="60"/>
        <w:rPr>
          <w:rFonts w:hint="eastAsia" w:ascii="仿宋" w:hAnsi="仿宋" w:eastAsia="仿宋" w:cs="仿宋"/>
          <w:sz w:val="24"/>
        </w:rPr>
      </w:pPr>
      <w:r>
        <w:rPr>
          <w:rFonts w:hint="eastAsia" w:ascii="仿宋" w:hAnsi="仿宋" w:eastAsia="仿宋" w:cs="仿宋"/>
          <w:sz w:val="24"/>
        </w:rPr>
        <w:t>磋商响应人中标后，不转包的承诺；</w:t>
      </w:r>
    </w:p>
    <w:p w14:paraId="7BAAC6AC">
      <w:pPr>
        <w:numPr>
          <w:ilvl w:val="1"/>
          <w:numId w:val="9"/>
        </w:numPr>
        <w:tabs>
          <w:tab w:val="left" w:pos="1440"/>
        </w:tabs>
        <w:adjustRightInd w:val="0"/>
        <w:snapToGrid w:val="0"/>
        <w:spacing w:line="348" w:lineRule="auto"/>
        <w:ind w:firstLine="60"/>
        <w:rPr>
          <w:rFonts w:hint="eastAsia" w:ascii="仿宋" w:hAnsi="仿宋" w:eastAsia="仿宋" w:cs="仿宋"/>
          <w:sz w:val="24"/>
        </w:rPr>
      </w:pPr>
      <w:r>
        <w:rPr>
          <w:rFonts w:hint="eastAsia" w:ascii="仿宋" w:hAnsi="仿宋" w:eastAsia="仿宋" w:cs="仿宋"/>
          <w:sz w:val="24"/>
        </w:rPr>
        <w:t>保证服务质量符合国家规范及行业标准的承诺；</w:t>
      </w:r>
    </w:p>
    <w:p w14:paraId="54DE8C63">
      <w:pPr>
        <w:spacing w:line="348" w:lineRule="auto"/>
        <w:rPr>
          <w:rFonts w:hint="eastAsia" w:ascii="仿宋" w:hAnsi="仿宋" w:eastAsia="仿宋" w:cs="仿宋"/>
          <w:sz w:val="24"/>
        </w:rPr>
      </w:pPr>
      <w:r>
        <w:rPr>
          <w:rFonts w:hint="eastAsia" w:ascii="仿宋" w:hAnsi="仿宋" w:eastAsia="仿宋" w:cs="仿宋"/>
          <w:sz w:val="24"/>
        </w:rPr>
        <w:t>如达不到上述承诺要求之一的：我方自报赔偿金：合同价格的</w:t>
      </w:r>
      <w:r>
        <w:rPr>
          <w:rFonts w:hint="eastAsia" w:ascii="仿宋" w:hAnsi="仿宋" w:eastAsia="仿宋" w:cs="仿宋"/>
          <w:sz w:val="24"/>
          <w:u w:val="single"/>
        </w:rPr>
        <w:t xml:space="preserve"> 10  </w:t>
      </w:r>
      <w:r>
        <w:rPr>
          <w:rFonts w:hint="eastAsia" w:ascii="仿宋" w:hAnsi="仿宋" w:eastAsia="仿宋" w:cs="仿宋"/>
          <w:sz w:val="24"/>
        </w:rPr>
        <w:t>%。</w:t>
      </w:r>
    </w:p>
    <w:p w14:paraId="7819BEE6">
      <w:pPr>
        <w:spacing w:line="348" w:lineRule="auto"/>
        <w:rPr>
          <w:rFonts w:hint="eastAsia" w:ascii="仿宋" w:hAnsi="仿宋" w:eastAsia="仿宋" w:cs="仿宋"/>
          <w:sz w:val="24"/>
        </w:rPr>
      </w:pPr>
      <w:r>
        <w:rPr>
          <w:rFonts w:hint="eastAsia" w:ascii="仿宋" w:hAnsi="仿宋" w:eastAsia="仿宋" w:cs="仿宋"/>
          <w:sz w:val="24"/>
        </w:rPr>
        <w:t>3、如果我方中标，我方将在竞争性磋商文件规定的时间内签订合同。如果我方违约，除投标保证金外，另外，我方愿以中标价的</w:t>
      </w:r>
      <w:r>
        <w:rPr>
          <w:rFonts w:hint="eastAsia" w:ascii="仿宋" w:hAnsi="仿宋" w:eastAsia="仿宋" w:cs="仿宋"/>
          <w:sz w:val="24"/>
          <w:u w:val="single"/>
        </w:rPr>
        <w:t xml:space="preserve"> 10  </w:t>
      </w:r>
      <w:r>
        <w:rPr>
          <w:rFonts w:hint="eastAsia" w:ascii="仿宋" w:hAnsi="仿宋" w:eastAsia="仿宋" w:cs="仿宋"/>
          <w:sz w:val="24"/>
        </w:rPr>
        <w:t>%作为赔偿金，同时贵方有权终止我方中标并选择其他中标人。</w:t>
      </w:r>
    </w:p>
    <w:p w14:paraId="48970509">
      <w:pPr>
        <w:spacing w:line="348" w:lineRule="auto"/>
        <w:rPr>
          <w:rFonts w:hint="eastAsia" w:ascii="仿宋" w:hAnsi="仿宋" w:eastAsia="仿宋" w:cs="仿宋"/>
          <w:sz w:val="24"/>
        </w:rPr>
      </w:pPr>
      <w:r>
        <w:rPr>
          <w:rFonts w:hint="eastAsia" w:ascii="仿宋" w:hAnsi="仿宋" w:eastAsia="仿宋" w:cs="仿宋"/>
          <w:sz w:val="24"/>
        </w:rPr>
        <w:t>4、贵方的竞争性磋商文件、本投标书和中标通知书将构成约束双方的合同。</w:t>
      </w:r>
    </w:p>
    <w:p w14:paraId="6E49D9C5">
      <w:pPr>
        <w:spacing w:line="348" w:lineRule="auto"/>
        <w:rPr>
          <w:rFonts w:hint="eastAsia" w:ascii="仿宋" w:hAnsi="仿宋" w:eastAsia="仿宋" w:cs="仿宋"/>
          <w:sz w:val="24"/>
        </w:rPr>
      </w:pPr>
    </w:p>
    <w:p w14:paraId="3694B1FC">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00" w:lineRule="auto"/>
        <w:ind w:left="1087"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传真</w:t>
      </w:r>
      <w:r>
        <w:rPr>
          <w:rFonts w:hint="eastAsia" w:ascii="仿宋" w:hAnsi="仿宋" w:eastAsia="仿宋" w:cs="仿宋"/>
          <w:color w:val="auto"/>
          <w:sz w:val="24"/>
          <w:highlight w:val="none"/>
          <w:u w:val="single"/>
          <w:lang w:val="en-US" w:eastAsia="zh-CN"/>
        </w:rPr>
        <w:tab/>
      </w:r>
      <w:r>
        <w:rPr>
          <w:rFonts w:hint="eastAsia" w:ascii="仿宋" w:hAnsi="仿宋" w:eastAsia="仿宋" w:cs="仿宋"/>
          <w:color w:val="auto"/>
          <w:sz w:val="24"/>
          <w:highlight w:val="none"/>
          <w:u w:val="single"/>
          <w:lang w:val="en-US" w:eastAsia="zh-CN"/>
        </w:rPr>
        <w:tab/>
      </w:r>
      <w:r>
        <w:rPr>
          <w:rFonts w:hint="eastAsia" w:ascii="仿宋" w:hAnsi="仿宋" w:eastAsia="仿宋" w:cs="仿宋"/>
          <w:color w:val="auto"/>
          <w:sz w:val="24"/>
          <w:highlight w:val="none"/>
          <w:u w:val="single"/>
          <w:lang w:val="en-US" w:eastAsia="zh-CN"/>
        </w:rPr>
        <w:tab/>
      </w:r>
      <w:r>
        <w:rPr>
          <w:rFonts w:hint="eastAsia" w:ascii="仿宋" w:hAnsi="仿宋" w:eastAsia="仿宋" w:cs="仿宋"/>
          <w:color w:val="auto"/>
          <w:sz w:val="24"/>
          <w:highlight w:val="none"/>
          <w:u w:val="single"/>
          <w:lang w:val="en-US" w:eastAsia="zh-CN"/>
        </w:rPr>
        <w:tab/>
      </w:r>
      <w:r>
        <w:rPr>
          <w:rFonts w:hint="eastAsia" w:ascii="仿宋" w:hAnsi="仿宋" w:eastAsia="仿宋" w:cs="仿宋"/>
          <w:color w:val="auto"/>
          <w:sz w:val="24"/>
          <w:highlight w:val="none"/>
          <w:u w:val="single"/>
          <w:lang w:val="en-US" w:eastAsia="zh-CN"/>
        </w:rPr>
        <w:tab/>
      </w:r>
      <w:r>
        <w:rPr>
          <w:rFonts w:hint="eastAsia" w:ascii="仿宋" w:hAnsi="仿宋" w:eastAsia="仿宋" w:cs="仿宋"/>
          <w:color w:val="auto"/>
          <w:sz w:val="24"/>
          <w:highlight w:val="none"/>
          <w:u w:val="single"/>
          <w:lang w:val="en-US" w:eastAsia="zh-CN"/>
        </w:rPr>
        <w:tab/>
      </w:r>
      <w:r>
        <w:rPr>
          <w:rFonts w:hint="eastAsia" w:ascii="仿宋" w:hAnsi="仿宋" w:eastAsia="仿宋" w:cs="仿宋"/>
          <w:color w:val="auto"/>
          <w:sz w:val="24"/>
          <w:highlight w:val="none"/>
          <w:u w:val="single"/>
          <w:lang w:val="en-US" w:eastAsia="zh-CN"/>
        </w:rPr>
        <w:tab/>
      </w:r>
      <w:r>
        <w:rPr>
          <w:rFonts w:hint="eastAsia" w:ascii="仿宋" w:hAnsi="仿宋" w:eastAsia="仿宋" w:cs="仿宋"/>
          <w:color w:val="auto"/>
          <w:sz w:val="24"/>
          <w:highlight w:val="none"/>
          <w:u w:val="single"/>
        </w:rPr>
        <w:t xml:space="preserve">                             </w:t>
      </w:r>
    </w:p>
    <w:p w14:paraId="16D10266">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00" w:lineRule="auto"/>
        <w:ind w:left="1087" w:leftChars="257" w:hanging="54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电子函件</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lang w:val="en-US" w:eastAsia="zh-CN"/>
        </w:rPr>
        <w:tab/>
      </w:r>
      <w:r>
        <w:rPr>
          <w:rFonts w:hint="eastAsia" w:ascii="仿宋" w:hAnsi="仿宋" w:eastAsia="仿宋" w:cs="仿宋"/>
          <w:color w:val="auto"/>
          <w:sz w:val="24"/>
          <w:highlight w:val="none"/>
          <w:u w:val="single"/>
          <w:lang w:val="en-US" w:eastAsia="zh-CN"/>
        </w:rPr>
        <w:tab/>
      </w:r>
      <w:r>
        <w:rPr>
          <w:rFonts w:hint="eastAsia" w:ascii="仿宋" w:hAnsi="仿宋" w:eastAsia="仿宋" w:cs="仿宋"/>
          <w:color w:val="auto"/>
          <w:sz w:val="24"/>
          <w:highlight w:val="none"/>
          <w:u w:val="single"/>
          <w:lang w:val="en-US" w:eastAsia="zh-CN"/>
        </w:rPr>
        <w:tab/>
      </w:r>
      <w:r>
        <w:rPr>
          <w:rFonts w:hint="eastAsia" w:ascii="仿宋" w:hAnsi="仿宋" w:eastAsia="仿宋" w:cs="仿宋"/>
          <w:color w:val="auto"/>
          <w:sz w:val="24"/>
          <w:highlight w:val="none"/>
          <w:u w:val="single"/>
          <w:lang w:val="en-US" w:eastAsia="zh-CN"/>
        </w:rPr>
        <w:tab/>
      </w:r>
      <w:r>
        <w:rPr>
          <w:rFonts w:hint="eastAsia" w:ascii="仿宋" w:hAnsi="仿宋" w:eastAsia="仿宋" w:cs="仿宋"/>
          <w:color w:val="auto"/>
          <w:sz w:val="24"/>
          <w:highlight w:val="none"/>
          <w:u w:val="single"/>
          <w:lang w:val="en-US" w:eastAsia="zh-CN"/>
        </w:rPr>
        <w:tab/>
      </w:r>
      <w:r>
        <w:rPr>
          <w:rFonts w:hint="eastAsia" w:ascii="仿宋" w:hAnsi="仿宋" w:eastAsia="仿宋" w:cs="仿宋"/>
          <w:color w:val="auto"/>
          <w:sz w:val="24"/>
          <w:highlight w:val="none"/>
          <w:u w:val="single"/>
          <w:lang w:val="en-US" w:eastAsia="zh-CN"/>
        </w:rPr>
        <w:tab/>
      </w:r>
    </w:p>
    <w:p w14:paraId="7269E8A3">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00" w:lineRule="auto"/>
        <w:ind w:left="1087"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lang w:val="en-US" w:eastAsia="zh-CN"/>
        </w:rPr>
        <w:tab/>
      </w:r>
      <w:r>
        <w:rPr>
          <w:rFonts w:hint="eastAsia" w:ascii="仿宋" w:hAnsi="仿宋" w:eastAsia="仿宋" w:cs="仿宋"/>
          <w:color w:val="auto"/>
          <w:sz w:val="24"/>
          <w:highlight w:val="none"/>
          <w:u w:val="single"/>
          <w:lang w:val="en-US" w:eastAsia="zh-CN"/>
        </w:rPr>
        <w:tab/>
      </w:r>
      <w:r>
        <w:rPr>
          <w:rFonts w:hint="eastAsia" w:ascii="仿宋" w:hAnsi="仿宋" w:eastAsia="仿宋" w:cs="仿宋"/>
          <w:color w:val="auto"/>
          <w:sz w:val="24"/>
          <w:highlight w:val="none"/>
          <w:u w:val="single"/>
          <w:lang w:val="en-US" w:eastAsia="zh-CN"/>
        </w:rPr>
        <w:tab/>
      </w:r>
      <w:r>
        <w:rPr>
          <w:rFonts w:hint="eastAsia" w:ascii="仿宋" w:hAnsi="仿宋" w:eastAsia="仿宋" w:cs="仿宋"/>
          <w:color w:val="auto"/>
          <w:sz w:val="24"/>
          <w:highlight w:val="none"/>
          <w:u w:val="single"/>
          <w:lang w:val="en-US" w:eastAsia="zh-CN"/>
        </w:rPr>
        <w:tab/>
      </w:r>
      <w:r>
        <w:rPr>
          <w:rFonts w:hint="eastAsia" w:ascii="仿宋" w:hAnsi="仿宋" w:eastAsia="仿宋" w:cs="仿宋"/>
          <w:color w:val="auto"/>
          <w:sz w:val="24"/>
          <w:highlight w:val="none"/>
          <w:u w:val="single"/>
          <w:lang w:val="en-US" w:eastAsia="zh-CN"/>
        </w:rPr>
        <w:tab/>
      </w:r>
      <w:r>
        <w:rPr>
          <w:rFonts w:hint="eastAsia" w:ascii="仿宋" w:hAnsi="仿宋" w:eastAsia="仿宋" w:cs="仿宋"/>
          <w:color w:val="auto"/>
          <w:sz w:val="24"/>
          <w:highlight w:val="none"/>
          <w:u w:val="single"/>
          <w:lang w:val="en-US" w:eastAsia="zh-CN"/>
        </w:rPr>
        <w:tab/>
      </w:r>
      <w:r>
        <w:rPr>
          <w:rFonts w:hint="eastAsia" w:ascii="仿宋" w:hAnsi="仿宋" w:eastAsia="仿宋" w:cs="仿宋"/>
          <w:color w:val="auto"/>
          <w:sz w:val="24"/>
          <w:highlight w:val="none"/>
          <w:u w:val="single"/>
          <w:lang w:val="en-US" w:eastAsia="zh-CN"/>
        </w:rPr>
        <w:tab/>
      </w:r>
    </w:p>
    <w:p w14:paraId="2EC74994">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00" w:lineRule="auto"/>
        <w:ind w:left="1087"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投标人名称（全称）</w:t>
      </w:r>
      <w:r>
        <w:rPr>
          <w:rFonts w:hint="eastAsia" w:ascii="仿宋" w:hAnsi="仿宋" w:eastAsia="仿宋" w:cs="仿宋"/>
          <w:color w:val="auto"/>
          <w:sz w:val="24"/>
          <w:highlight w:val="none"/>
          <w:u w:val="single"/>
          <w:lang w:val="en-US" w:eastAsia="zh-CN"/>
        </w:rPr>
        <w:tab/>
      </w:r>
      <w:r>
        <w:rPr>
          <w:rFonts w:hint="eastAsia" w:ascii="仿宋" w:hAnsi="仿宋" w:eastAsia="仿宋" w:cs="仿宋"/>
          <w:color w:val="auto"/>
          <w:sz w:val="24"/>
          <w:highlight w:val="none"/>
          <w:u w:val="single"/>
          <w:lang w:val="en-US" w:eastAsia="zh-CN"/>
        </w:rPr>
        <w:tab/>
      </w:r>
      <w:r>
        <w:rPr>
          <w:rFonts w:hint="eastAsia" w:ascii="仿宋" w:hAnsi="仿宋" w:eastAsia="仿宋" w:cs="仿宋"/>
          <w:color w:val="auto"/>
          <w:sz w:val="24"/>
          <w:highlight w:val="none"/>
          <w:u w:val="single"/>
          <w:lang w:val="en-US" w:eastAsia="zh-CN"/>
        </w:rPr>
        <w:tab/>
      </w:r>
      <w:r>
        <w:rPr>
          <w:rFonts w:hint="eastAsia" w:ascii="仿宋" w:hAnsi="仿宋" w:eastAsia="仿宋" w:cs="仿宋"/>
          <w:color w:val="auto"/>
          <w:sz w:val="24"/>
          <w:highlight w:val="none"/>
          <w:u w:val="single"/>
          <w:lang w:val="en-US" w:eastAsia="zh-CN"/>
        </w:rPr>
        <w:tab/>
      </w:r>
      <w:r>
        <w:rPr>
          <w:rFonts w:hint="eastAsia" w:ascii="仿宋" w:hAnsi="仿宋" w:eastAsia="仿宋" w:cs="仿宋"/>
          <w:color w:val="auto"/>
          <w:sz w:val="24"/>
          <w:highlight w:val="none"/>
          <w:u w:val="single"/>
          <w:lang w:val="en-US" w:eastAsia="zh-CN"/>
        </w:rPr>
        <w:tab/>
      </w:r>
      <w:r>
        <w:rPr>
          <w:rFonts w:hint="eastAsia" w:ascii="仿宋" w:hAnsi="仿宋" w:eastAsia="仿宋" w:cs="仿宋"/>
          <w:color w:val="auto"/>
          <w:sz w:val="24"/>
          <w:highlight w:val="none"/>
          <w:u w:val="single"/>
          <w:lang w:val="en-US" w:eastAsia="zh-CN"/>
        </w:rPr>
        <w:tab/>
      </w:r>
      <w:r>
        <w:rPr>
          <w:rFonts w:hint="eastAsia" w:ascii="仿宋" w:hAnsi="仿宋" w:eastAsia="仿宋" w:cs="仿宋"/>
          <w:color w:val="auto"/>
          <w:sz w:val="24"/>
          <w:highlight w:val="none"/>
          <w:u w:val="single"/>
          <w:lang w:val="en-US" w:eastAsia="zh-CN"/>
        </w:rPr>
        <w:tab/>
      </w:r>
    </w:p>
    <w:p w14:paraId="45E2CB9C">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00" w:lineRule="auto"/>
        <w:ind w:left="1087"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投标人开户银行（全称）</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u w:val="single"/>
          <w:lang w:val="en-US" w:eastAsia="zh-CN"/>
        </w:rPr>
        <w:tab/>
      </w:r>
      <w:r>
        <w:rPr>
          <w:rFonts w:hint="eastAsia" w:ascii="仿宋" w:hAnsi="仿宋" w:eastAsia="仿宋" w:cs="仿宋"/>
          <w:color w:val="auto"/>
          <w:sz w:val="24"/>
          <w:highlight w:val="none"/>
          <w:u w:val="single"/>
          <w:lang w:val="en-US" w:eastAsia="zh-CN"/>
        </w:rPr>
        <w:tab/>
      </w:r>
      <w:r>
        <w:rPr>
          <w:rFonts w:hint="eastAsia" w:ascii="仿宋" w:hAnsi="仿宋" w:eastAsia="仿宋" w:cs="仿宋"/>
          <w:color w:val="auto"/>
          <w:sz w:val="24"/>
          <w:highlight w:val="none"/>
          <w:u w:val="single"/>
          <w:lang w:val="en-US" w:eastAsia="zh-CN"/>
        </w:rPr>
        <w:tab/>
      </w:r>
      <w:r>
        <w:rPr>
          <w:rFonts w:hint="eastAsia" w:ascii="仿宋" w:hAnsi="仿宋" w:eastAsia="仿宋" w:cs="仿宋"/>
          <w:color w:val="auto"/>
          <w:sz w:val="24"/>
          <w:highlight w:val="none"/>
          <w:u w:val="single"/>
          <w:lang w:val="en-US" w:eastAsia="zh-CN"/>
        </w:rPr>
        <w:tab/>
      </w:r>
      <w:r>
        <w:rPr>
          <w:rFonts w:hint="eastAsia" w:ascii="仿宋" w:hAnsi="仿宋" w:eastAsia="仿宋" w:cs="仿宋"/>
          <w:color w:val="auto"/>
          <w:sz w:val="24"/>
          <w:highlight w:val="none"/>
          <w:u w:val="single"/>
        </w:rPr>
        <w:t xml:space="preserve">　　　　　 </w:t>
      </w:r>
    </w:p>
    <w:p w14:paraId="1E67009E">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00" w:lineRule="auto"/>
        <w:ind w:left="1087"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r>
        <w:rPr>
          <w:rFonts w:hint="eastAsia" w:ascii="仿宋" w:hAnsi="仿宋" w:eastAsia="仿宋" w:cs="仿宋"/>
          <w:color w:val="auto"/>
          <w:sz w:val="24"/>
          <w:highlight w:val="none"/>
          <w:lang w:eastAsia="zh-CN"/>
        </w:rPr>
        <w:t>银行账号</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u w:val="single"/>
          <w:lang w:val="en-US" w:eastAsia="zh-CN"/>
        </w:rPr>
        <w:tab/>
      </w:r>
      <w:r>
        <w:rPr>
          <w:rFonts w:hint="eastAsia" w:ascii="仿宋" w:hAnsi="仿宋" w:eastAsia="仿宋" w:cs="仿宋"/>
          <w:color w:val="auto"/>
          <w:sz w:val="24"/>
          <w:highlight w:val="none"/>
          <w:u w:val="single"/>
          <w:lang w:val="en-US" w:eastAsia="zh-CN"/>
        </w:rPr>
        <w:tab/>
      </w:r>
      <w:r>
        <w:rPr>
          <w:rFonts w:hint="eastAsia" w:ascii="仿宋" w:hAnsi="仿宋" w:eastAsia="仿宋" w:cs="仿宋"/>
          <w:color w:val="auto"/>
          <w:sz w:val="24"/>
          <w:highlight w:val="none"/>
          <w:u w:val="single"/>
          <w:lang w:val="en-US" w:eastAsia="zh-CN"/>
        </w:rPr>
        <w:tab/>
      </w:r>
      <w:r>
        <w:rPr>
          <w:rFonts w:hint="eastAsia" w:ascii="仿宋" w:hAnsi="仿宋" w:eastAsia="仿宋" w:cs="仿宋"/>
          <w:color w:val="auto"/>
          <w:sz w:val="24"/>
          <w:highlight w:val="none"/>
          <w:u w:val="single"/>
        </w:rPr>
        <w:t>　　　　　 　</w:t>
      </w:r>
    </w:p>
    <w:p w14:paraId="48386351">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00" w:lineRule="auto"/>
        <w:ind w:left="1087" w:leftChars="257" w:hanging="540"/>
        <w:textAlignment w:val="auto"/>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投标人单位章</w:t>
      </w:r>
      <w:r>
        <w:rPr>
          <w:rFonts w:hint="eastAsia" w:ascii="仿宋" w:hAnsi="仿宋" w:eastAsia="仿宋" w:cs="仿宋"/>
          <w:color w:val="auto"/>
          <w:sz w:val="24"/>
          <w:highlight w:val="none"/>
          <w:u w:val="single"/>
          <w:lang w:val="en-US" w:eastAsia="zh-CN"/>
        </w:rPr>
        <w:tab/>
      </w:r>
      <w:r>
        <w:rPr>
          <w:rFonts w:hint="eastAsia" w:ascii="仿宋" w:hAnsi="仿宋" w:eastAsia="仿宋" w:cs="仿宋"/>
          <w:color w:val="auto"/>
          <w:sz w:val="24"/>
          <w:highlight w:val="none"/>
          <w:u w:val="single"/>
          <w:lang w:val="en-US" w:eastAsia="zh-CN"/>
        </w:rPr>
        <w:tab/>
      </w:r>
      <w:r>
        <w:rPr>
          <w:rFonts w:hint="eastAsia" w:ascii="仿宋" w:hAnsi="仿宋" w:eastAsia="仿宋" w:cs="仿宋"/>
          <w:color w:val="auto"/>
          <w:sz w:val="24"/>
          <w:highlight w:val="none"/>
          <w:u w:val="single"/>
          <w:lang w:val="en-US" w:eastAsia="zh-CN"/>
        </w:rPr>
        <w:tab/>
      </w:r>
      <w:r>
        <w:rPr>
          <w:rFonts w:hint="eastAsia" w:ascii="仿宋" w:hAnsi="仿宋" w:eastAsia="仿宋" w:cs="仿宋"/>
          <w:color w:val="auto"/>
          <w:sz w:val="24"/>
          <w:highlight w:val="none"/>
          <w:u w:val="single"/>
          <w:lang w:val="en-US" w:eastAsia="zh-CN"/>
        </w:rPr>
        <w:tab/>
      </w:r>
      <w:r>
        <w:rPr>
          <w:rFonts w:hint="eastAsia" w:ascii="仿宋" w:hAnsi="仿宋" w:eastAsia="仿宋" w:cs="仿宋"/>
          <w:color w:val="auto"/>
          <w:sz w:val="24"/>
          <w:highlight w:val="none"/>
          <w:u w:val="single"/>
          <w:lang w:val="en-US" w:eastAsia="zh-CN"/>
        </w:rPr>
        <w:tab/>
      </w:r>
      <w:r>
        <w:rPr>
          <w:rFonts w:hint="eastAsia" w:ascii="仿宋" w:hAnsi="仿宋" w:eastAsia="仿宋" w:cs="仿宋"/>
          <w:color w:val="auto"/>
          <w:sz w:val="24"/>
          <w:highlight w:val="none"/>
          <w:u w:val="single"/>
          <w:lang w:val="en-US" w:eastAsia="zh-CN"/>
        </w:rPr>
        <w:tab/>
      </w:r>
      <w:r>
        <w:rPr>
          <w:rFonts w:hint="eastAsia" w:ascii="仿宋" w:hAnsi="仿宋" w:eastAsia="仿宋" w:cs="仿宋"/>
          <w:color w:val="auto"/>
          <w:sz w:val="24"/>
          <w:highlight w:val="none"/>
          <w:u w:val="single"/>
          <w:lang w:val="en-US" w:eastAsia="zh-CN"/>
        </w:rPr>
        <w:tab/>
      </w:r>
    </w:p>
    <w:p w14:paraId="2F54123D">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00" w:lineRule="auto"/>
        <w:ind w:left="1087" w:leftChars="257" w:hanging="540"/>
        <w:textAlignment w:val="auto"/>
        <w:rPr>
          <w:rFonts w:hint="default" w:ascii="仿宋" w:hAnsi="仿宋" w:eastAsia="仿宋" w:cs="仿宋"/>
          <w:b w:val="0"/>
          <w:bCs/>
          <w:sz w:val="24"/>
          <w:szCs w:val="24"/>
          <w:lang w:val="en-US" w:eastAsia="zh-CN"/>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lang w:val="en-US" w:eastAsia="zh-CN"/>
        </w:rPr>
        <w:tab/>
      </w:r>
      <w:r>
        <w:rPr>
          <w:rFonts w:hint="eastAsia" w:ascii="仿宋" w:hAnsi="仿宋" w:eastAsia="仿宋" w:cs="仿宋"/>
          <w:color w:val="auto"/>
          <w:sz w:val="24"/>
          <w:highlight w:val="none"/>
          <w:u w:val="single"/>
          <w:lang w:val="en-US" w:eastAsia="zh-CN"/>
        </w:rPr>
        <w:tab/>
      </w:r>
      <w:r>
        <w:rPr>
          <w:rFonts w:hint="eastAsia" w:ascii="仿宋" w:hAnsi="仿宋" w:eastAsia="仿宋" w:cs="仿宋"/>
          <w:color w:val="auto"/>
          <w:sz w:val="24"/>
          <w:highlight w:val="none"/>
          <w:u w:val="single"/>
          <w:lang w:val="en-US" w:eastAsia="zh-CN"/>
        </w:rPr>
        <w:tab/>
      </w:r>
      <w:r>
        <w:rPr>
          <w:rFonts w:hint="eastAsia" w:ascii="仿宋" w:hAnsi="仿宋" w:eastAsia="仿宋" w:cs="仿宋"/>
          <w:color w:val="auto"/>
          <w:sz w:val="24"/>
          <w:highlight w:val="none"/>
          <w:u w:val="single"/>
          <w:lang w:val="en-US" w:eastAsia="zh-CN"/>
        </w:rPr>
        <w:tab/>
      </w:r>
      <w:r>
        <w:rPr>
          <w:rFonts w:hint="eastAsia" w:ascii="仿宋" w:hAnsi="仿宋" w:eastAsia="仿宋" w:cs="仿宋"/>
          <w:color w:val="auto"/>
          <w:sz w:val="24"/>
          <w:highlight w:val="none"/>
          <w:u w:val="single"/>
          <w:lang w:val="en-US" w:eastAsia="zh-CN"/>
        </w:rPr>
        <w:tab/>
      </w:r>
      <w:r>
        <w:rPr>
          <w:rFonts w:hint="eastAsia" w:ascii="仿宋" w:hAnsi="仿宋" w:eastAsia="仿宋" w:cs="仿宋"/>
          <w:color w:val="auto"/>
          <w:sz w:val="24"/>
          <w:highlight w:val="none"/>
          <w:u w:val="single"/>
          <w:lang w:val="en-US" w:eastAsia="zh-CN"/>
        </w:rPr>
        <w:tab/>
      </w:r>
      <w:r>
        <w:rPr>
          <w:rFonts w:hint="eastAsia" w:ascii="仿宋" w:hAnsi="仿宋" w:eastAsia="仿宋" w:cs="仿宋"/>
          <w:color w:val="auto"/>
          <w:sz w:val="24"/>
          <w:highlight w:val="none"/>
          <w:u w:val="single"/>
          <w:lang w:val="en-US" w:eastAsia="zh-CN"/>
        </w:rPr>
        <w:tab/>
      </w:r>
      <w:r>
        <w:rPr>
          <w:rFonts w:hint="eastAsia" w:ascii="仿宋" w:hAnsi="仿宋" w:eastAsia="仿宋" w:cs="仿宋"/>
          <w:color w:val="auto"/>
          <w:sz w:val="24"/>
          <w:highlight w:val="none"/>
          <w:u w:val="single"/>
          <w:lang w:val="en-US" w:eastAsia="zh-CN"/>
        </w:rPr>
        <w:tab/>
      </w:r>
    </w:p>
    <w:p w14:paraId="60B1C16B">
      <w:pPr>
        <w:tabs>
          <w:tab w:val="left" w:pos="6300"/>
        </w:tabs>
        <w:snapToGrid w:val="0"/>
        <w:spacing w:line="348" w:lineRule="auto"/>
        <w:jc w:val="left"/>
        <w:outlineLvl w:val="0"/>
        <w:rPr>
          <w:rFonts w:hint="eastAsia" w:ascii="仿宋" w:hAnsi="仿宋" w:eastAsia="仿宋" w:cs="仿宋"/>
          <w:color w:val="000000"/>
          <w:sz w:val="24"/>
          <w:szCs w:val="24"/>
        </w:rPr>
      </w:pPr>
    </w:p>
    <w:p w14:paraId="6DFFC4D3">
      <w:pPr>
        <w:keepNext w:val="0"/>
        <w:keepLines w:val="0"/>
        <w:pageBreakBefore w:val="0"/>
        <w:widowControl w:val="0"/>
        <w:kinsoku/>
        <w:wordWrap/>
        <w:overflowPunct/>
        <w:topLinePunct w:val="0"/>
        <w:autoSpaceDE/>
        <w:autoSpaceDN/>
        <w:bidi w:val="0"/>
        <w:adjustRightInd w:val="0"/>
        <w:snapToGrid w:val="0"/>
        <w:spacing w:line="480" w:lineRule="auto"/>
        <w:ind w:firstLine="566" w:firstLineChars="200"/>
        <w:jc w:val="center"/>
        <w:textAlignment w:val="auto"/>
        <w:rPr>
          <w:rFonts w:hint="eastAsia" w:ascii="仿宋" w:hAnsi="仿宋" w:eastAsia="仿宋" w:cs="仿宋"/>
          <w:b/>
          <w:bCs/>
          <w:sz w:val="28"/>
          <w:szCs w:val="28"/>
        </w:rPr>
      </w:pPr>
    </w:p>
    <w:p w14:paraId="1C8D468D">
      <w:pPr>
        <w:keepNext w:val="0"/>
        <w:keepLines w:val="0"/>
        <w:pageBreakBefore w:val="0"/>
        <w:widowControl w:val="0"/>
        <w:kinsoku/>
        <w:wordWrap/>
        <w:overflowPunct/>
        <w:topLinePunct w:val="0"/>
        <w:autoSpaceDE/>
        <w:autoSpaceDN/>
        <w:bidi w:val="0"/>
        <w:adjustRightInd w:val="0"/>
        <w:snapToGrid w:val="0"/>
        <w:spacing w:line="480" w:lineRule="auto"/>
        <w:ind w:firstLine="566" w:firstLineChars="200"/>
        <w:jc w:val="center"/>
        <w:textAlignment w:val="auto"/>
        <w:rPr>
          <w:rFonts w:hint="eastAsia" w:ascii="仿宋" w:hAnsi="仿宋" w:eastAsia="仿宋" w:cs="仿宋"/>
          <w:b/>
          <w:bCs/>
          <w:sz w:val="28"/>
          <w:szCs w:val="28"/>
        </w:rPr>
      </w:pPr>
    </w:p>
    <w:p w14:paraId="780670F4">
      <w:pPr>
        <w:keepNext w:val="0"/>
        <w:keepLines w:val="0"/>
        <w:pageBreakBefore w:val="0"/>
        <w:widowControl w:val="0"/>
        <w:kinsoku/>
        <w:wordWrap/>
        <w:overflowPunct/>
        <w:topLinePunct w:val="0"/>
        <w:autoSpaceDE/>
        <w:autoSpaceDN/>
        <w:bidi w:val="0"/>
        <w:adjustRightInd w:val="0"/>
        <w:snapToGrid w:val="0"/>
        <w:spacing w:line="480" w:lineRule="auto"/>
        <w:ind w:firstLine="566" w:firstLineChars="200"/>
        <w:jc w:val="center"/>
        <w:textAlignment w:val="auto"/>
        <w:rPr>
          <w:rFonts w:hint="eastAsia" w:ascii="仿宋" w:hAnsi="仿宋" w:eastAsia="仿宋" w:cs="仿宋"/>
          <w:b/>
          <w:bCs/>
          <w:sz w:val="28"/>
          <w:szCs w:val="28"/>
        </w:rPr>
      </w:pPr>
    </w:p>
    <w:p w14:paraId="6290F873">
      <w:pPr>
        <w:keepNext w:val="0"/>
        <w:keepLines w:val="0"/>
        <w:pageBreakBefore w:val="0"/>
        <w:widowControl w:val="0"/>
        <w:kinsoku/>
        <w:wordWrap/>
        <w:overflowPunct/>
        <w:topLinePunct w:val="0"/>
        <w:autoSpaceDE/>
        <w:autoSpaceDN/>
        <w:bidi w:val="0"/>
        <w:adjustRightInd w:val="0"/>
        <w:snapToGrid w:val="0"/>
        <w:spacing w:line="480" w:lineRule="auto"/>
        <w:ind w:firstLine="566" w:firstLineChars="200"/>
        <w:jc w:val="center"/>
        <w:textAlignment w:val="auto"/>
        <w:rPr>
          <w:rFonts w:hint="eastAsia" w:ascii="仿宋" w:hAnsi="仿宋" w:eastAsia="仿宋" w:cs="仿宋"/>
          <w:sz w:val="28"/>
          <w:szCs w:val="28"/>
        </w:rPr>
      </w:pPr>
      <w:r>
        <w:rPr>
          <w:rFonts w:hint="eastAsia" w:ascii="仿宋" w:hAnsi="仿宋" w:eastAsia="仿宋" w:cs="仿宋"/>
          <w:b/>
          <w:bCs/>
          <w:sz w:val="28"/>
          <w:szCs w:val="28"/>
        </w:rPr>
        <w:t>中小企业声明函（</w:t>
      </w:r>
      <w:r>
        <w:rPr>
          <w:rFonts w:hint="eastAsia" w:ascii="仿宋" w:hAnsi="仿宋" w:eastAsia="仿宋" w:cs="仿宋"/>
          <w:b/>
          <w:bCs/>
          <w:sz w:val="28"/>
          <w:szCs w:val="28"/>
          <w:lang w:val="en-US" w:eastAsia="zh-CN"/>
        </w:rPr>
        <w:t>服务</w:t>
      </w:r>
      <w:r>
        <w:rPr>
          <w:rFonts w:hint="eastAsia" w:ascii="仿宋" w:hAnsi="仿宋" w:eastAsia="仿宋" w:cs="仿宋"/>
          <w:b/>
          <w:bCs/>
          <w:sz w:val="28"/>
          <w:szCs w:val="28"/>
        </w:rPr>
        <w:t>）</w:t>
      </w:r>
    </w:p>
    <w:p w14:paraId="7B9439E1">
      <w:pPr>
        <w:wordWrap/>
        <w:spacing w:line="480" w:lineRule="auto"/>
        <w:ind w:firstLine="426" w:firstLineChars="200"/>
        <w:jc w:val="left"/>
        <w:rPr>
          <w:rFonts w:hint="eastAsia" w:ascii="仿宋" w:hAnsi="仿宋" w:eastAsia="仿宋" w:cs="仿宋"/>
        </w:rPr>
      </w:pPr>
      <w:r>
        <w:rPr>
          <w:rFonts w:hint="eastAsia" w:ascii="仿宋" w:hAnsi="仿宋" w:eastAsia="仿宋" w:cs="仿宋"/>
          <w:lang w:val="en-US" w:eastAsia="zh-CN"/>
        </w:rPr>
        <w:t>本公司（联合体）郑重声明，根据《政府采购促进中小企业发展管理办法》（财库﹝2020﹞46 号）的规定，本公司（联合体）参加</w:t>
      </w:r>
      <w:r>
        <w:rPr>
          <w:rFonts w:hint="eastAsia" w:ascii="仿宋" w:hAnsi="仿宋" w:eastAsia="仿宋" w:cs="仿宋"/>
          <w:u w:val="single"/>
          <w:lang w:val="en-US" w:eastAsia="zh-CN"/>
        </w:rPr>
        <w:t>（单位名称）</w:t>
      </w:r>
      <w:r>
        <w:rPr>
          <w:rFonts w:hint="eastAsia" w:ascii="仿宋" w:hAnsi="仿宋" w:eastAsia="仿宋" w:cs="仿宋"/>
          <w:lang w:val="en-US" w:eastAsia="zh-CN"/>
        </w:rPr>
        <w:t>的</w:t>
      </w:r>
      <w:r>
        <w:rPr>
          <w:rFonts w:hint="eastAsia" w:ascii="仿宋" w:hAnsi="仿宋" w:eastAsia="仿宋" w:cs="仿宋"/>
          <w:u w:val="single"/>
          <w:lang w:val="en-US" w:eastAsia="zh-CN"/>
        </w:rPr>
        <w:t>（项目名称）</w:t>
      </w:r>
      <w:r>
        <w:rPr>
          <w:rFonts w:hint="eastAsia" w:ascii="仿宋" w:hAnsi="仿宋" w:eastAsia="仿宋" w:cs="仿宋"/>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4060A271">
      <w:pPr>
        <w:wordWrap/>
        <w:spacing w:line="480" w:lineRule="auto"/>
        <w:ind w:firstLine="426" w:firstLineChars="200"/>
        <w:jc w:val="left"/>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u w:val="single"/>
          <w:lang w:val="en-US" w:eastAsia="zh-CN"/>
        </w:rPr>
        <w:t>（标的名称）</w:t>
      </w:r>
      <w:r>
        <w:rPr>
          <w:rFonts w:hint="eastAsia" w:ascii="仿宋" w:hAnsi="仿宋" w:eastAsia="仿宋" w:cs="仿宋"/>
          <w:lang w:val="en-US" w:eastAsia="zh-CN"/>
        </w:rPr>
        <w:t>，属于</w:t>
      </w:r>
      <w:r>
        <w:rPr>
          <w:rFonts w:hint="eastAsia" w:ascii="仿宋" w:hAnsi="仿宋" w:eastAsia="仿宋" w:cs="仿宋"/>
          <w:u w:val="single"/>
          <w:lang w:val="en-US" w:eastAsia="zh-CN"/>
        </w:rPr>
        <w:t>（招标文件明确所属行业）</w:t>
      </w:r>
      <w:r>
        <w:rPr>
          <w:rFonts w:hint="eastAsia" w:ascii="仿宋" w:hAnsi="仿宋" w:eastAsia="仿宋" w:cs="仿宋"/>
          <w:lang w:val="en-US" w:eastAsia="zh-CN"/>
        </w:rPr>
        <w:t>；承</w:t>
      </w:r>
      <w:r>
        <w:rPr>
          <w:rFonts w:hint="eastAsia" w:ascii="仿宋" w:hAnsi="仿宋" w:eastAsia="仿宋" w:cs="仿宋"/>
          <w:u w:val="none"/>
          <w:lang w:val="en-US" w:eastAsia="zh-CN"/>
        </w:rPr>
        <w:t>建（承接）</w:t>
      </w:r>
      <w:r>
        <w:rPr>
          <w:rFonts w:hint="eastAsia" w:ascii="仿宋" w:hAnsi="仿宋" w:eastAsia="仿宋" w:cs="仿宋"/>
          <w:lang w:val="en-US" w:eastAsia="zh-CN"/>
        </w:rPr>
        <w:t>企业为</w:t>
      </w:r>
      <w:r>
        <w:rPr>
          <w:rFonts w:hint="eastAsia" w:ascii="仿宋" w:hAnsi="仿宋" w:eastAsia="仿宋" w:cs="仿宋"/>
          <w:u w:val="single"/>
          <w:lang w:val="en-US" w:eastAsia="zh-CN"/>
        </w:rPr>
        <w:t>（企业名称）</w:t>
      </w:r>
      <w:r>
        <w:rPr>
          <w:rFonts w:hint="eastAsia" w:ascii="仿宋" w:hAnsi="仿宋" w:eastAsia="仿宋" w:cs="仿宋"/>
          <w:lang w:val="en-US" w:eastAsia="zh-CN"/>
        </w:rPr>
        <w:t>，从业人员</w:t>
      </w:r>
      <w:r>
        <w:rPr>
          <w:rFonts w:hint="eastAsia" w:ascii="仿宋" w:hAnsi="仿宋" w:eastAsia="仿宋" w:cs="仿宋"/>
          <w:u w:val="single"/>
          <w:lang w:val="en-US" w:eastAsia="zh-CN"/>
        </w:rPr>
        <w:t xml:space="preserve">   </w:t>
      </w:r>
      <w:r>
        <w:rPr>
          <w:rFonts w:hint="eastAsia" w:ascii="仿宋" w:hAnsi="仿宋" w:eastAsia="仿宋" w:cs="仿宋"/>
          <w:lang w:val="en-US" w:eastAsia="zh-CN"/>
        </w:rPr>
        <w:t>人，营业收入为</w:t>
      </w:r>
      <w:r>
        <w:rPr>
          <w:rFonts w:hint="eastAsia" w:ascii="仿宋" w:hAnsi="仿宋" w:eastAsia="仿宋" w:cs="仿宋"/>
          <w:u w:val="single"/>
          <w:lang w:val="en-US" w:eastAsia="zh-CN"/>
        </w:rPr>
        <w:t>     </w:t>
      </w:r>
      <w:r>
        <w:rPr>
          <w:rFonts w:hint="eastAsia" w:ascii="仿宋" w:hAnsi="仿宋" w:eastAsia="仿宋" w:cs="仿宋"/>
          <w:lang w:val="en-US" w:eastAsia="zh-CN"/>
        </w:rPr>
        <w:t>万元，资产总额为</w:t>
      </w:r>
      <w:r>
        <w:rPr>
          <w:rFonts w:hint="eastAsia" w:ascii="仿宋" w:hAnsi="仿宋" w:eastAsia="仿宋" w:cs="仿宋"/>
          <w:u w:val="single"/>
          <w:lang w:val="en-US" w:eastAsia="zh-CN"/>
        </w:rPr>
        <w:t xml:space="preserve">    </w:t>
      </w:r>
      <w:r>
        <w:rPr>
          <w:rFonts w:hint="eastAsia" w:ascii="仿宋" w:hAnsi="仿宋" w:eastAsia="仿宋" w:cs="仿宋"/>
          <w:lang w:val="en-US" w:eastAsia="zh-CN"/>
        </w:rPr>
        <w:t>万元，属于（中型企业、小型企业、微型企业）；</w:t>
      </w:r>
    </w:p>
    <w:p w14:paraId="7F2A8922">
      <w:pPr>
        <w:wordWrap/>
        <w:spacing w:line="480" w:lineRule="auto"/>
        <w:ind w:firstLine="486" w:firstLineChars="200"/>
        <w:jc w:val="left"/>
        <w:rPr>
          <w:rFonts w:hint="eastAsia" w:ascii="仿宋" w:hAnsi="仿宋" w:eastAsia="仿宋" w:cs="仿宋"/>
          <w:lang w:val="en-US" w:eastAsia="zh-CN"/>
        </w:rPr>
      </w:pPr>
      <w:r>
        <w:rPr>
          <w:rFonts w:ascii="宋体" w:hAnsi="宋体" w:eastAsia="宋体" w:cs="宋体"/>
          <w:sz w:val="24"/>
          <w:szCs w:val="24"/>
        </w:rPr>
        <w:t>……</w:t>
      </w:r>
    </w:p>
    <w:p w14:paraId="6C7F8F15">
      <w:pPr>
        <w:wordWrap/>
        <w:spacing w:line="480" w:lineRule="auto"/>
        <w:ind w:firstLine="426" w:firstLineChars="200"/>
        <w:jc w:val="left"/>
        <w:rPr>
          <w:rFonts w:hint="eastAsia" w:ascii="仿宋" w:hAnsi="仿宋" w:eastAsia="仿宋" w:cs="仿宋"/>
        </w:rPr>
      </w:pPr>
      <w:r>
        <w:rPr>
          <w:rFonts w:hint="eastAsia" w:ascii="仿宋" w:hAnsi="仿宋" w:eastAsia="仿宋" w:cs="仿宋"/>
          <w:lang w:val="en-US" w:eastAsia="zh-CN"/>
        </w:rPr>
        <w:t>以上企业，不属于大企业的分支机构，不存在控股股东为大企业的情形，也不存在与大企业的负责人为同一人的情形。</w:t>
      </w:r>
    </w:p>
    <w:p w14:paraId="4725EE3C">
      <w:pPr>
        <w:wordWrap/>
        <w:spacing w:line="480" w:lineRule="auto"/>
        <w:ind w:firstLine="426" w:firstLineChars="200"/>
        <w:jc w:val="left"/>
        <w:rPr>
          <w:rFonts w:hint="eastAsia" w:ascii="仿宋" w:hAnsi="仿宋" w:eastAsia="仿宋" w:cs="仿宋"/>
          <w:lang w:val="en-US" w:eastAsia="zh-CN"/>
        </w:rPr>
      </w:pPr>
      <w:r>
        <w:rPr>
          <w:rFonts w:hint="eastAsia" w:ascii="仿宋" w:hAnsi="仿宋" w:eastAsia="仿宋" w:cs="仿宋"/>
          <w:lang w:val="en-US" w:eastAsia="zh-CN"/>
        </w:rPr>
        <w:t>本企业对上述声明内容的真实性负责。如有虚假，将依法承担相应责任。</w:t>
      </w:r>
    </w:p>
    <w:p w14:paraId="6EAF30C6">
      <w:pPr>
        <w:wordWrap/>
        <w:spacing w:line="480" w:lineRule="auto"/>
        <w:ind w:firstLine="426" w:firstLineChars="200"/>
        <w:jc w:val="left"/>
        <w:rPr>
          <w:rFonts w:hint="eastAsia" w:ascii="仿宋" w:hAnsi="仿宋" w:eastAsia="仿宋" w:cs="仿宋"/>
        </w:rPr>
      </w:pPr>
      <w:r>
        <w:rPr>
          <w:rFonts w:hint="eastAsia" w:ascii="仿宋" w:hAnsi="仿宋" w:eastAsia="仿宋" w:cs="仿宋"/>
          <w:lang w:val="en-US" w:eastAsia="zh-CN"/>
        </w:rPr>
        <w:t> 企业名称（盖章）：</w:t>
      </w:r>
    </w:p>
    <w:p w14:paraId="7638F626">
      <w:pPr>
        <w:wordWrap/>
        <w:spacing w:line="480" w:lineRule="auto"/>
        <w:ind w:firstLine="426" w:firstLineChars="200"/>
        <w:jc w:val="left"/>
        <w:rPr>
          <w:rFonts w:hint="eastAsia" w:ascii="仿宋" w:hAnsi="仿宋" w:eastAsia="仿宋" w:cs="仿宋"/>
        </w:rPr>
      </w:pPr>
      <w:r>
        <w:rPr>
          <w:rFonts w:hint="eastAsia" w:ascii="仿宋" w:hAnsi="仿宋" w:eastAsia="仿宋" w:cs="仿宋"/>
          <w:lang w:val="en-US" w:eastAsia="zh-CN"/>
        </w:rPr>
        <w:t>日  期：</w:t>
      </w:r>
      <w:r>
        <w:rPr>
          <w:rFonts w:hint="eastAsia" w:ascii="仿宋" w:hAnsi="仿宋" w:eastAsia="仿宋" w:cs="仿宋"/>
        </w:rPr>
        <w:t xml:space="preserve"> </w:t>
      </w:r>
    </w:p>
    <w:p w14:paraId="099B1FC4">
      <w:pPr>
        <w:spacing w:line="480" w:lineRule="auto"/>
        <w:ind w:right="480" w:firstLine="426" w:firstLineChars="200"/>
        <w:jc w:val="right"/>
        <w:rPr>
          <w:rFonts w:hint="eastAsia" w:ascii="仿宋" w:hAnsi="仿宋" w:eastAsia="仿宋" w:cs="仿宋"/>
        </w:rPr>
      </w:pPr>
    </w:p>
    <w:p w14:paraId="7900E36A">
      <w:pPr>
        <w:spacing w:line="480" w:lineRule="auto"/>
        <w:rPr>
          <w:rFonts w:hint="eastAsia" w:ascii="仿宋" w:hAnsi="仿宋" w:eastAsia="仿宋" w:cs="仿宋"/>
          <w:b/>
          <w:bCs/>
          <w:sz w:val="28"/>
          <w:szCs w:val="36"/>
        </w:rPr>
      </w:pPr>
      <w:r>
        <w:rPr>
          <w:rFonts w:hint="eastAsia" w:ascii="仿宋" w:hAnsi="仿宋" w:eastAsia="仿宋" w:cs="仿宋"/>
          <w:vertAlign w:val="superscript"/>
        </w:rPr>
        <w:t>1</w:t>
      </w:r>
      <w:r>
        <w:rPr>
          <w:rFonts w:hint="eastAsia" w:ascii="仿宋" w:hAnsi="仿宋" w:eastAsia="仿宋" w:cs="仿宋"/>
        </w:rPr>
        <w:t>从业人员、 营业收入、 资产总额填报上一年度数据， 无上一年度数据的新成立企业可不填报。</w:t>
      </w:r>
    </w:p>
    <w:p w14:paraId="14C1F4A0">
      <w:pPr>
        <w:pStyle w:val="8"/>
        <w:jc w:val="center"/>
        <w:rPr>
          <w:rFonts w:hint="eastAsia" w:ascii="仿宋" w:hAnsi="仿宋" w:eastAsia="仿宋" w:cs="仿宋"/>
          <w:b/>
          <w:bCs/>
          <w:sz w:val="24"/>
          <w:szCs w:val="32"/>
        </w:rPr>
      </w:pPr>
    </w:p>
    <w:p w14:paraId="78FC7F76">
      <w:pPr>
        <w:pStyle w:val="8"/>
        <w:jc w:val="center"/>
        <w:rPr>
          <w:rFonts w:hint="eastAsia" w:ascii="仿宋" w:hAnsi="仿宋" w:eastAsia="仿宋" w:cs="仿宋"/>
          <w:b/>
          <w:bCs/>
          <w:sz w:val="24"/>
          <w:szCs w:val="32"/>
        </w:rPr>
      </w:pPr>
    </w:p>
    <w:p w14:paraId="680B483A">
      <w:pPr>
        <w:pStyle w:val="8"/>
        <w:jc w:val="center"/>
        <w:rPr>
          <w:rFonts w:hint="eastAsia" w:ascii="仿宋" w:hAnsi="仿宋" w:eastAsia="仿宋" w:cs="仿宋"/>
          <w:b/>
          <w:bCs/>
          <w:sz w:val="24"/>
          <w:szCs w:val="32"/>
        </w:rPr>
      </w:pPr>
    </w:p>
    <w:p w14:paraId="2C307579">
      <w:pPr>
        <w:pStyle w:val="8"/>
        <w:jc w:val="center"/>
        <w:rPr>
          <w:rFonts w:hint="eastAsia" w:ascii="仿宋" w:hAnsi="仿宋" w:eastAsia="仿宋" w:cs="仿宋"/>
          <w:b/>
          <w:bCs/>
          <w:sz w:val="24"/>
          <w:szCs w:val="32"/>
        </w:rPr>
      </w:pPr>
    </w:p>
    <w:p w14:paraId="6BAA62C5">
      <w:pPr>
        <w:pStyle w:val="8"/>
        <w:jc w:val="center"/>
        <w:rPr>
          <w:rFonts w:hint="eastAsia" w:ascii="仿宋" w:hAnsi="仿宋" w:eastAsia="仿宋" w:cs="仿宋"/>
          <w:b/>
          <w:bCs/>
          <w:sz w:val="24"/>
          <w:szCs w:val="32"/>
        </w:rPr>
      </w:pPr>
      <w:r>
        <w:rPr>
          <w:rFonts w:hint="eastAsia" w:ascii="仿宋" w:hAnsi="仿宋" w:eastAsia="仿宋" w:cs="仿宋"/>
          <w:b/>
          <w:bCs/>
          <w:sz w:val="24"/>
          <w:szCs w:val="32"/>
        </w:rPr>
        <w:t>关于对本投标文件（响应文件）中资料真实性的承诺</w:t>
      </w:r>
    </w:p>
    <w:p w14:paraId="7E504137">
      <w:pPr>
        <w:pStyle w:val="10"/>
        <w:rPr>
          <w:rFonts w:hint="eastAsia" w:ascii="仿宋" w:hAnsi="仿宋" w:eastAsia="仿宋" w:cs="仿宋"/>
        </w:rPr>
      </w:pPr>
    </w:p>
    <w:p w14:paraId="2E4174AD">
      <w:pPr>
        <w:spacing w:line="360" w:lineRule="auto"/>
        <w:ind w:left="486" w:hanging="486" w:hangingChars="200"/>
        <w:jc w:val="left"/>
        <w:rPr>
          <w:rFonts w:hint="eastAsia" w:ascii="仿宋" w:hAnsi="仿宋" w:eastAsia="仿宋" w:cs="仿宋"/>
          <w:sz w:val="24"/>
        </w:rPr>
      </w:pPr>
      <w:r>
        <w:rPr>
          <w:rFonts w:hint="eastAsia" w:ascii="仿宋" w:hAnsi="仿宋" w:eastAsia="仿宋" w:cs="仿宋"/>
          <w:sz w:val="24"/>
        </w:rPr>
        <w:t>至：</w:t>
      </w:r>
      <w:r>
        <w:rPr>
          <w:rFonts w:hint="eastAsia" w:ascii="仿宋" w:hAnsi="仿宋" w:eastAsia="仿宋" w:cs="仿宋"/>
          <w:sz w:val="24"/>
          <w:u w:val="single"/>
        </w:rPr>
        <w:t> （项目、包段名称）</w:t>
      </w:r>
      <w:r>
        <w:rPr>
          <w:rFonts w:hint="eastAsia" w:ascii="仿宋" w:hAnsi="仿宋" w:eastAsia="仿宋" w:cs="仿宋"/>
          <w:sz w:val="24"/>
        </w:rPr>
        <w:t>评标委员会（磋商小组）  </w:t>
      </w:r>
    </w:p>
    <w:p w14:paraId="7062D37E">
      <w:pPr>
        <w:spacing w:line="360" w:lineRule="auto"/>
        <w:ind w:left="490" w:leftChars="116" w:hanging="243" w:hangingChars="100"/>
        <w:jc w:val="left"/>
        <w:rPr>
          <w:rFonts w:hint="eastAsia" w:ascii="仿宋" w:hAnsi="仿宋" w:eastAsia="仿宋" w:cs="仿宋"/>
          <w:sz w:val="24"/>
        </w:rPr>
      </w:pPr>
      <w:r>
        <w:rPr>
          <w:rFonts w:hint="eastAsia" w:ascii="仿宋" w:hAnsi="仿宋" w:eastAsia="仿宋" w:cs="仿宋"/>
          <w:sz w:val="24"/>
        </w:rPr>
        <w:t>根据《中华人民共和国政府采购法》、《中华人民共和国政府采购法实施条例》等有关法律、法规的规定和</w:t>
      </w:r>
      <w:r>
        <w:rPr>
          <w:rFonts w:hint="eastAsia" w:ascii="仿宋" w:hAnsi="仿宋" w:eastAsia="仿宋" w:cs="仿宋"/>
          <w:sz w:val="24"/>
          <w:u w:val="single"/>
        </w:rPr>
        <w:t>    （项目、包段名称）    </w:t>
      </w:r>
      <w:r>
        <w:rPr>
          <w:rFonts w:hint="eastAsia" w:ascii="仿宋" w:hAnsi="仿宋" w:eastAsia="仿宋" w:cs="仿宋"/>
          <w:sz w:val="24"/>
        </w:rPr>
        <w:t>的招标文件（竞争性磋商文件）的要求，我公司愿意参加投标，并有能力提供</w:t>
      </w:r>
      <w:r>
        <w:rPr>
          <w:rFonts w:hint="eastAsia" w:ascii="仿宋" w:hAnsi="仿宋" w:eastAsia="仿宋" w:cs="仿宋"/>
          <w:sz w:val="24"/>
          <w:u w:val="single"/>
        </w:rPr>
        <w:t xml:space="preserve">  （项目名称） </w:t>
      </w:r>
      <w:r>
        <w:rPr>
          <w:rFonts w:hint="eastAsia" w:ascii="仿宋" w:hAnsi="仿宋" w:eastAsia="仿宋" w:cs="仿宋"/>
          <w:sz w:val="24"/>
        </w:rPr>
        <w:t>项目中的（包号及</w:t>
      </w:r>
      <w:r>
        <w:rPr>
          <w:rFonts w:hint="eastAsia" w:ascii="仿宋" w:hAnsi="仿宋" w:eastAsia="仿宋" w:cs="仿宋"/>
          <w:sz w:val="24"/>
          <w:lang w:val="en-US" w:eastAsia="zh-CN"/>
        </w:rPr>
        <w:t>服务</w:t>
      </w:r>
      <w:r>
        <w:rPr>
          <w:rFonts w:hint="eastAsia" w:ascii="仿宋" w:hAnsi="仿宋" w:eastAsia="仿宋" w:cs="仿宋"/>
          <w:sz w:val="24"/>
        </w:rPr>
        <w:t>名称）招标</w:t>
      </w:r>
      <w:r>
        <w:rPr>
          <w:rFonts w:hint="eastAsia" w:ascii="仿宋" w:hAnsi="仿宋" w:eastAsia="仿宋" w:cs="仿宋"/>
          <w:sz w:val="24"/>
          <w:lang w:val="en-US" w:eastAsia="zh-CN"/>
        </w:rPr>
        <w:t>服务内容</w:t>
      </w:r>
      <w:r>
        <w:rPr>
          <w:rFonts w:hint="eastAsia" w:ascii="仿宋" w:hAnsi="仿宋" w:eastAsia="仿宋" w:cs="仿宋"/>
          <w:sz w:val="24"/>
        </w:rPr>
        <w:t>，我公司在</w:t>
      </w:r>
      <w:r>
        <w:rPr>
          <w:rFonts w:hint="eastAsia" w:ascii="仿宋" w:hAnsi="仿宋" w:eastAsia="仿宋" w:cs="仿宋"/>
          <w:sz w:val="24"/>
          <w:u w:val="single"/>
        </w:rPr>
        <w:t>   （项目、包段名称）  </w:t>
      </w:r>
      <w:r>
        <w:rPr>
          <w:rFonts w:hint="eastAsia" w:ascii="仿宋" w:hAnsi="仿宋" w:eastAsia="仿宋" w:cs="仿宋"/>
          <w:sz w:val="24"/>
        </w:rPr>
        <w:t>投标文件（响应文件）中所提供资料真实性作如下承诺：</w:t>
      </w:r>
    </w:p>
    <w:p w14:paraId="60148FB5">
      <w:pPr>
        <w:spacing w:line="360" w:lineRule="auto"/>
        <w:ind w:left="490" w:leftChars="116" w:hanging="243" w:hangingChars="100"/>
        <w:jc w:val="left"/>
        <w:rPr>
          <w:rFonts w:hint="eastAsia" w:ascii="仿宋" w:hAnsi="仿宋" w:eastAsia="仿宋" w:cs="仿宋"/>
          <w:sz w:val="24"/>
        </w:rPr>
      </w:pPr>
      <w:r>
        <w:rPr>
          <w:rFonts w:hint="eastAsia" w:ascii="仿宋" w:hAnsi="仿宋" w:eastAsia="仿宋" w:cs="仿宋"/>
          <w:sz w:val="24"/>
        </w:rPr>
        <w:t>我公司将严格按招标文件（竞争性磋商文件）要求，在编制本投标文件（响应文件）时，对投标文件中所提供的资料全部真实和正确，并对提供的所有资料（资格、业绩、其他材料等）的真实性负责！ </w:t>
      </w:r>
    </w:p>
    <w:p w14:paraId="1EB2A0ED">
      <w:pPr>
        <w:spacing w:line="360" w:lineRule="auto"/>
        <w:ind w:left="486" w:hanging="486" w:hangingChars="200"/>
        <w:jc w:val="left"/>
        <w:rPr>
          <w:rFonts w:hint="eastAsia" w:ascii="仿宋" w:hAnsi="仿宋" w:eastAsia="仿宋" w:cs="仿宋"/>
          <w:sz w:val="24"/>
        </w:rPr>
      </w:pPr>
      <w:r>
        <w:rPr>
          <w:rFonts w:hint="eastAsia" w:ascii="仿宋" w:hAnsi="仿宋" w:eastAsia="仿宋" w:cs="仿宋"/>
          <w:sz w:val="24"/>
        </w:rPr>
        <w:t>对提供的全部资料中有存在不真实（伪造或租借等虚假资料）情形，将无条件接受任何处罚，自行承担由此引起的一切责任！</w:t>
      </w:r>
    </w:p>
    <w:p w14:paraId="12F763A2">
      <w:pPr>
        <w:spacing w:line="360" w:lineRule="auto"/>
        <w:ind w:left="486" w:hanging="486" w:hangingChars="200"/>
        <w:jc w:val="left"/>
        <w:rPr>
          <w:rFonts w:hint="eastAsia" w:ascii="仿宋" w:hAnsi="仿宋" w:eastAsia="仿宋" w:cs="仿宋"/>
          <w:sz w:val="24"/>
        </w:rPr>
      </w:pPr>
      <w:r>
        <w:rPr>
          <w:rFonts w:hint="eastAsia" w:ascii="仿宋" w:hAnsi="仿宋" w:eastAsia="仿宋" w:cs="仿宋"/>
          <w:sz w:val="24"/>
        </w:rPr>
        <w:t>特此承诺</w:t>
      </w:r>
    </w:p>
    <w:p w14:paraId="451D4EA5">
      <w:pPr>
        <w:pStyle w:val="4"/>
        <w:numPr>
          <w:ilvl w:val="1"/>
          <w:numId w:val="0"/>
        </w:numPr>
        <w:ind w:left="431"/>
        <w:jc w:val="left"/>
        <w:rPr>
          <w:rFonts w:hint="eastAsia" w:ascii="仿宋" w:hAnsi="仿宋" w:eastAsia="仿宋" w:cs="仿宋"/>
        </w:rPr>
      </w:pPr>
    </w:p>
    <w:p w14:paraId="464924DE">
      <w:pPr>
        <w:spacing w:line="360" w:lineRule="auto"/>
        <w:ind w:left="486" w:hanging="486" w:hangingChars="200"/>
        <w:jc w:val="left"/>
        <w:rPr>
          <w:rFonts w:hint="eastAsia" w:ascii="仿宋" w:hAnsi="仿宋" w:eastAsia="仿宋" w:cs="仿宋"/>
          <w:sz w:val="24"/>
        </w:rPr>
      </w:pPr>
      <w:r>
        <w:rPr>
          <w:rFonts w:hint="eastAsia" w:ascii="仿宋" w:hAnsi="仿宋" w:eastAsia="仿宋" w:cs="仿宋"/>
          <w:sz w:val="24"/>
        </w:rPr>
        <w:t>供应商（全称）： </w:t>
      </w:r>
      <w:r>
        <w:rPr>
          <w:rFonts w:hint="eastAsia" w:ascii="仿宋" w:hAnsi="仿宋" w:eastAsia="仿宋" w:cs="仿宋"/>
          <w:sz w:val="24"/>
          <w:u w:val="single"/>
        </w:rPr>
        <w:t>            </w:t>
      </w:r>
      <w:r>
        <w:rPr>
          <w:rFonts w:hint="eastAsia" w:ascii="仿宋" w:hAnsi="仿宋" w:eastAsia="仿宋" w:cs="仿宋"/>
          <w:sz w:val="24"/>
        </w:rPr>
        <w:t>（盖单位章）</w:t>
      </w:r>
    </w:p>
    <w:p w14:paraId="0B8EA552">
      <w:pPr>
        <w:spacing w:line="360" w:lineRule="auto"/>
        <w:ind w:left="486" w:hanging="486" w:hangingChars="200"/>
        <w:jc w:val="left"/>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u w:val="single"/>
        </w:rPr>
        <w:t>               </w:t>
      </w:r>
      <w:r>
        <w:rPr>
          <w:rFonts w:hint="eastAsia" w:ascii="仿宋" w:hAnsi="仿宋" w:eastAsia="仿宋" w:cs="仿宋"/>
          <w:sz w:val="24"/>
        </w:rPr>
        <w:t>（签字）</w:t>
      </w:r>
    </w:p>
    <w:p w14:paraId="0795C1EA">
      <w:pPr>
        <w:spacing w:line="360" w:lineRule="auto"/>
        <w:ind w:left="486" w:hanging="486" w:hangingChars="200"/>
        <w:jc w:val="left"/>
        <w:rPr>
          <w:rFonts w:hint="eastAsia" w:ascii="仿宋" w:hAnsi="仿宋" w:eastAsia="仿宋" w:cs="仿宋"/>
          <w:sz w:val="24"/>
        </w:rPr>
      </w:pPr>
      <w:r>
        <w:rPr>
          <w:rFonts w:hint="eastAsia" w:ascii="仿宋" w:hAnsi="仿宋" w:eastAsia="仿宋" w:cs="仿宋"/>
          <w:sz w:val="24"/>
        </w:rPr>
        <w:t>有效的联系方式 </w:t>
      </w:r>
      <w:r>
        <w:rPr>
          <w:rFonts w:hint="eastAsia" w:ascii="仿宋" w:hAnsi="仿宋" w:eastAsia="仿宋" w:cs="仿宋"/>
          <w:sz w:val="24"/>
          <w:u w:val="single"/>
        </w:rPr>
        <w:t>             </w:t>
      </w:r>
      <w:r>
        <w:rPr>
          <w:rFonts w:hint="eastAsia" w:ascii="仿宋" w:hAnsi="仿宋" w:eastAsia="仿宋" w:cs="仿宋"/>
          <w:sz w:val="24"/>
        </w:rPr>
        <w:t>    </w:t>
      </w:r>
    </w:p>
    <w:p w14:paraId="6A0141DD">
      <w:pPr>
        <w:spacing w:line="360" w:lineRule="auto"/>
        <w:jc w:val="left"/>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AE413D1">
      <w:pPr>
        <w:pStyle w:val="18"/>
        <w:rPr>
          <w:rFonts w:hint="eastAsia" w:ascii="仿宋" w:hAnsi="仿宋" w:eastAsia="仿宋" w:cs="仿宋"/>
          <w:b/>
          <w:bCs/>
          <w:color w:val="000000"/>
          <w:kern w:val="0"/>
          <w:sz w:val="24"/>
          <w:szCs w:val="24"/>
          <w:lang w:val="zh-CN"/>
        </w:rPr>
      </w:pPr>
      <w:r>
        <w:rPr>
          <w:rFonts w:hint="eastAsia" w:ascii="仿宋" w:hAnsi="仿宋" w:eastAsia="仿宋" w:cs="仿宋"/>
          <w:b/>
          <w:bCs/>
          <w:sz w:val="24"/>
        </w:rPr>
        <w:t>说明：投标（磋商或询价）供应商提供此承诺的，内容应填写完整</w:t>
      </w:r>
    </w:p>
    <w:p w14:paraId="63E85C3D"/>
    <w:p w14:paraId="239444E3">
      <w:pPr>
        <w:pStyle w:val="2"/>
      </w:pPr>
    </w:p>
    <w:p w14:paraId="71F3B772"/>
    <w:p w14:paraId="5B533C7B">
      <w:pPr>
        <w:pStyle w:val="2"/>
      </w:pPr>
    </w:p>
    <w:p w14:paraId="70C7E193">
      <w:r>
        <w:rPr>
          <w:rFonts w:hint="eastAsia" w:ascii="仿宋" w:hAnsi="仿宋" w:eastAsia="仿宋" w:cs="仿宋"/>
          <w:b/>
          <w:color w:val="auto"/>
          <w:sz w:val="36"/>
          <w:szCs w:val="36"/>
          <w:highlight w:val="none"/>
        </w:rPr>
        <w:t>十</w:t>
      </w:r>
      <w:r>
        <w:rPr>
          <w:rFonts w:hint="eastAsia" w:ascii="仿宋" w:hAnsi="仿宋" w:eastAsia="仿宋" w:cs="仿宋"/>
          <w:b/>
          <w:color w:val="auto"/>
          <w:sz w:val="36"/>
          <w:szCs w:val="36"/>
          <w:highlight w:val="none"/>
          <w:lang w:eastAsia="zh-CN"/>
        </w:rPr>
        <w:t>二</w:t>
      </w:r>
      <w:r>
        <w:rPr>
          <w:rFonts w:hint="eastAsia" w:ascii="仿宋" w:hAnsi="仿宋" w:eastAsia="仿宋" w:cs="仿宋"/>
          <w:b/>
          <w:color w:val="auto"/>
          <w:sz w:val="36"/>
          <w:szCs w:val="36"/>
          <w:highlight w:val="none"/>
        </w:rPr>
        <w:t>、投标人认为需要提交的技术资料</w:t>
      </w:r>
      <w:r>
        <w:rPr>
          <w:rFonts w:hint="eastAsia" w:ascii="仿宋" w:hAnsi="仿宋" w:eastAsia="仿宋" w:cs="仿宋"/>
          <w:b/>
          <w:color w:val="auto"/>
          <w:sz w:val="36"/>
          <w:szCs w:val="36"/>
          <w:highlight w:val="none"/>
          <w:lang w:eastAsia="zh-CN"/>
        </w:rPr>
        <w:t>（根据评审标准自行添加）</w:t>
      </w:r>
    </w:p>
    <w:sectPr>
      <w:headerReference r:id="rId6" w:type="default"/>
      <w:footerReference r:id="rId7" w:type="default"/>
      <w:pgSz w:w="11905" w:h="16838"/>
      <w:pgMar w:top="1440" w:right="1797" w:bottom="1440" w:left="1797" w:header="850" w:footer="992" w:gutter="0"/>
      <w:cols w:space="720" w:num="1"/>
      <w:docGrid w:type="linesAndChars" w:linePitch="325" w:charSpace="6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504020202020204"/>
    <w:charset w:val="00"/>
    <w:family w:val="swiss"/>
    <w:pitch w:val="default"/>
    <w:sig w:usb0="00000000" w:usb1="00000000" w:usb2="00000000" w:usb3="00000000" w:csb0="00000001" w:csb1="00000000"/>
  </w:font>
  <w:font w:name="ヒラギノ角ゴ Pro W3">
    <w:altName w:val="Yu Gothic"/>
    <w:panose1 w:val="00000000000000000000"/>
    <w:charset w:val="80"/>
    <w:family w:val="auto"/>
    <w:pitch w:val="default"/>
    <w:sig w:usb0="00000000" w:usb1="00000000" w:usb2="00000012" w:usb3="00000000" w:csb0="0002000D" w:csb1="00000000"/>
  </w:font>
  <w:font w:name="Meiryo">
    <w:altName w:val="Yu Gothic UI"/>
    <w:panose1 w:val="020B0604030504040204"/>
    <w:charset w:val="80"/>
    <w:family w:val="auto"/>
    <w:pitch w:val="default"/>
    <w:sig w:usb0="00000000" w:usb1="00000000" w:usb2="00010012" w:usb3="00000000" w:csb0="6002009F" w:csb1="DFD70000"/>
  </w:font>
  <w:font w:name="_x000B__x000C_">
    <w:altName w:val="Courier New"/>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283" w:usb1="288F0000" w:usb2="00000006" w:usb3="00000000" w:csb0="00040001" w:csb1="00000000"/>
  </w:font>
  <w:font w:name="宋体-18030">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810B9">
    <w:pPr>
      <w:pStyle w:val="15"/>
      <w:ind w:right="360"/>
      <w:jc w:val="both"/>
      <w:rPr>
        <w:color w:val="800000"/>
        <w:sz w:val="20"/>
        <w:szCs w:val="20"/>
      </w:rPr>
    </w:pPr>
    <w:r>
      <w:rPr>
        <w:sz w:val="16"/>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0128B7">
                          <w:pPr>
                            <w:pStyle w:val="15"/>
                          </w:pPr>
                          <w:r>
                            <w:fldChar w:fldCharType="begin"/>
                          </w:r>
                          <w:r>
                            <w:instrText xml:space="preserve"> PAGE  \* MERGEFORMAT </w:instrText>
                          </w:r>
                          <w:r>
                            <w:fldChar w:fldCharType="separate"/>
                          </w:r>
                          <w:r>
                            <w:t>8</w:t>
                          </w:r>
                          <w:r>
                            <w:fldChar w:fldCharType="end"/>
                          </w:r>
                        </w:p>
                      </w:txbxContent>
                    </wps:txbx>
                    <wps:bodyPr vert="horz" wrap="none" lIns="0" tIns="0" rIns="0" bIns="0" anchor="t" anchorCtr="0">
                      <a:spAutoFit/>
                    </wps:bodyPr>
                  </wps:wsp>
                </a:graphicData>
              </a:graphic>
            </wp:anchor>
          </w:drawing>
        </mc:Choice>
        <mc:Fallback>
          <w:pict>
            <v:shape id="文本框 18"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A9Vr9cBAACzAwAADgAAAGRycy9lMm9Eb2MueG1srVNBrtMwEN0jcQfL&#10;e5q0C4iqpl9A9RESAqQPB3Adp7FkeyyP26QcAG7Aig17ztVzMHaSfvhs/oJNMp4Zv3lvZry5Gaxh&#10;JxVQg6v5clFyppyERrtDzT9/un1WcYZRuEYYcKrmZ4X8Zvv0yab3a7WCDkyjAiMQh+ve17yL0a+L&#10;AmWnrMAFeOUo2EKwItIxHIomiJ7QrSlWZfm86CE0PoBUiOTdjUE+IYbHAELbaql2II9WuTiiBmVE&#10;JEnYaY98m9m2rZLxQ9uiiszUnJTG/KUiZO/Tt9huxPoQhO+0nCiIx1B4oMkK7ajoFWonomDHoP+B&#10;sloGQGjjQoItRiG5I6RiWT7ozV0nvMpaqNXor03H/wcr358+Bqabmr/gzAlLA798/3b58evy8ytb&#10;Vqk/vcc1pd15SozDKxhoa2Y/kjPJHtpg058EMYpTd8/X7qohMpkuVauqKikkKTYfCL+4v+4DxjcK&#10;LEtGzQONL3dVnN5hHFPnlFTNwa02Jo/QuL8chJk8ReI+ckxWHPbDJGgPzZn00DugOh2EL5z1tAU1&#10;d7T0nJm3jpqcFmY2wmzsZ0M4SRdrHjkbzdcxL1Yigv7lMRK7TDqVHutNjGiWWfa0d2lZ/jznrPu3&#10;tv0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EwPVa/XAQAAswMAAA4AAAAAAAAAAQAgAAAA&#10;HgEAAGRycy9lMm9Eb2MueG1sUEsFBgAAAAAGAAYAWQEAAGcFAAAAAA==&#10;">
              <v:fill on="f" focussize="0,0"/>
              <v:stroke on="f"/>
              <v:imagedata o:title=""/>
              <o:lock v:ext="edit" aspectratio="f"/>
              <v:textbox inset="0mm,0mm,0mm,0mm" style="mso-fit-shape-to-text:t;">
                <w:txbxContent>
                  <w:p w14:paraId="660128B7">
                    <w:pPr>
                      <w:pStyle w:val="15"/>
                    </w:pPr>
                    <w:r>
                      <w:fldChar w:fldCharType="begin"/>
                    </w:r>
                    <w:r>
                      <w:instrText xml:space="preserve"> PAGE  \* MERGEFORMAT </w:instrText>
                    </w:r>
                    <w:r>
                      <w:fldChar w:fldCharType="separate"/>
                    </w:r>
                    <w:r>
                      <w:t>8</w:t>
                    </w:r>
                    <w:r>
                      <w:fldChar w:fldCharType="end"/>
                    </w:r>
                  </w:p>
                </w:txbxContent>
              </v:textbox>
            </v:shape>
          </w:pict>
        </mc:Fallback>
      </mc:AlternateContent>
    </w:r>
    <w:r>
      <w:rPr>
        <w:rFonts w:hint="eastAsia"/>
        <w:color w:val="800000"/>
        <w:sz w:val="16"/>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6DD87">
    <w:pPr>
      <w:pStyle w:val="15"/>
      <w:ind w:right="360"/>
      <w:jc w:val="both"/>
    </w:pPr>
    <w:r>
      <w:rPr>
        <w:sz w:val="13"/>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矩形 1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DCC98B6">
                          <w:pPr>
                            <w:pStyle w:val="15"/>
                          </w:pPr>
                          <w:r>
                            <w:fldChar w:fldCharType="begin"/>
                          </w:r>
                          <w:r>
                            <w:instrText xml:space="preserve"> PAGE  \* MERGEFORMAT </w:instrText>
                          </w:r>
                          <w:r>
                            <w:fldChar w:fldCharType="separate"/>
                          </w:r>
                          <w:r>
                            <w:t>23</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DuGuXAAQAAjgMAAA4AAABkcnMvZTJvRG9jLnhtbK1TS27bMBDdF8gd&#10;CO5jyV4UhmA5CGCkKFAkAdIegKYoiwB/mKEt+TQFuushepyi1+iQkpw03WSRjTQzHL1573G0uRms&#10;YScFqL2r+XJRcqac9I12h5p/+3p3veYMo3CNMN6pmp8V8pvt1YdNHyq18p03jQJGIA6rPtS8izFU&#10;RYGyU1bgwgfl6LD1YEWkFA5FA6IndGuKVVl+LHoPTQAvFSJVd+MhnxDhLYC+bbVUOy+PVrk4ooIy&#10;IpIk7HRAvs1s21bJ+NC2qCIzNSelMT9pCMX79Cy2G1EdQIROy4mCeAuFV5qs0I6GXqB2Igp2BP0f&#10;lNUSPPo2LqS3xSgkO0IqluUrb546EVTWQlZjuJiO7wcr70+PwHRDm0CWOGHpxv98//n71w9GBXKn&#10;D1hR01N4hClDCpPUoQWb3iSCDdnR88VRNUQmqbhcr9brkpAlnc0J4RTPnwfA+El5y1JQc6Ary06K&#10;0xeMY+vckqY5f6eNobqojPunQJipUiTGI8cUxWE/TMT3vjmT2J5uu+aOlpsz89mRmWkx5gDmYD8H&#10;xwD60BG1ZeaF4fYYiUTmliaMsNNguqasblqptAcv89z1/Btt/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wO4a5cABAACOAwAADgAAAAAAAAABACAAAAAfAQAAZHJzL2Uyb0RvYy54bWxQSwUG&#10;AAAAAAYABgBZAQAAUQUAAAAA&#10;">
              <v:fill on="f" focussize="0,0"/>
              <v:stroke on="f"/>
              <v:imagedata o:title=""/>
              <o:lock v:ext="edit" aspectratio="f"/>
              <v:textbox inset="0mm,0mm,0mm,0mm" style="mso-fit-shape-to-text:t;">
                <w:txbxContent>
                  <w:p w14:paraId="1DCC98B6">
                    <w:pPr>
                      <w:pStyle w:val="15"/>
                    </w:pPr>
                    <w:r>
                      <w:fldChar w:fldCharType="begin"/>
                    </w:r>
                    <w:r>
                      <w:instrText xml:space="preserve"> PAGE  \* MERGEFORMAT </w:instrText>
                    </w:r>
                    <w:r>
                      <w:fldChar w:fldCharType="separate"/>
                    </w:r>
                    <w:r>
                      <w:t>23</w:t>
                    </w:r>
                    <w:r>
                      <w:fldChar w:fldCharType="end"/>
                    </w:r>
                  </w:p>
                </w:txbxContent>
              </v:textbox>
            </v:rect>
          </w:pict>
        </mc:Fallback>
      </mc:AlternateContent>
    </w:r>
    <w:r>
      <w:rPr>
        <w:rFonts w:hint="eastAsia"/>
        <w:sz w:val="13"/>
        <w:szCs w:val="13"/>
      </w:rPr>
      <w:t xml:space="preserve"> </w:t>
    </w:r>
    <w:r>
      <w:rPr>
        <w:rFonts w:hint="eastAsia"/>
      </w:rPr>
      <w:t xml:space="preserve">  </w:t>
    </w:r>
  </w:p>
  <w:p w14:paraId="2A0919A5">
    <w:pPr>
      <w:pStyle w:val="15"/>
      <w:tabs>
        <w:tab w:val="center" w:pos="4320"/>
        <w:tab w:val="right" w:pos="8640"/>
        <w:tab w:val="clear" w:pos="4153"/>
        <w:tab w:val="clear" w:pos="8306"/>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9A575">
    <w:pPr>
      <w:pStyle w:val="15"/>
      <w:ind w:right="360"/>
      <w:jc w:val="both"/>
      <w:rPr>
        <w:rFonts w:hint="eastAsia" w:eastAsia="宋体"/>
        <w:lang w:eastAsia="zh-CN"/>
      </w:rPr>
    </w:pPr>
    <w:r>
      <w:rPr>
        <w:sz w:val="24"/>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D8951C">
                          <w:pPr>
                            <w:pStyle w:val="15"/>
                          </w:pPr>
                          <w:r>
                            <w:fldChar w:fldCharType="begin"/>
                          </w:r>
                          <w:r>
                            <w:instrText xml:space="preserve"> PAGE  \* MERGEFORMAT </w:instrText>
                          </w:r>
                          <w:r>
                            <w:fldChar w:fldCharType="separate"/>
                          </w:r>
                          <w:r>
                            <w:t>80</w:t>
                          </w:r>
                          <w:r>
                            <w:fldChar w:fldCharType="end"/>
                          </w:r>
                        </w:p>
                      </w:txbxContent>
                    </wps:txbx>
                    <wps:bodyPr vert="horz" wrap="none" lIns="0" tIns="0" rIns="0" bIns="0" anchor="t" anchorCtr="0">
                      <a:spAutoFit/>
                    </wps:bodyPr>
                  </wps:wsp>
                </a:graphicData>
              </a:graphic>
            </wp:anchor>
          </w:drawing>
        </mc:Choice>
        <mc:Fallback>
          <w:pict>
            <v:shape id="文本框 23"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Xpie9gBAACzAwAADgAAAGRycy9lMm9Eb2MueG1srVPBjtMwEL0j8Q+W&#10;7zTZIqESNV0B1SIkBEgLH+A6TmPJ9lget0n5APgDTly48139jh07SReWyx64JOOZ8Zv3Zsbr68Ea&#10;dlQBNbiaXy1KzpST0Gi3r/mXzzfPVpxhFK4RBpyq+Ukhv948fbLufaWW0IFpVGAE4rDqfc27GH1V&#10;FCg7ZQUuwCtHwRaCFZGOYV80QfSEbk2xLMsXRQ+h8QGkQiTvdgzyCTE8BhDaVku1BXmwysURNSgj&#10;IknCTnvkm8y2bZWMH9sWVWSm5qQ05i8VIXuXvsVmLap9EL7TcqIgHkPhgSYrtKOiF6itiIIdgv4H&#10;ymoZAKGNCwm2GIXkjpCKq/JBb2474VXWQq1Gf2k6/j9Y+eH4KTDd1PwlZ05YGvj5x/fzz9/nX9/Y&#10;8nnqT++xorRbT4lxeA0Dbc3sR3Im2UMbbPqTIEZx6u7p0l01RCbTpdVytSopJCk2Hwi/uL/uA8a3&#10;CixLRs0DjS93VRzfYxxT55RUzcGNNiaP0Li/HISZPEXiPnJMVhx2wyRoB82J9NA7oDodhK+c9bQF&#10;NXe09JyZd46anBZmNsJs7GZDOEkXax45G803MS9WIoL+1SESu0w6lR7rTYxolln2tHdpWf4856z7&#10;t7a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5emJ72AEAALMDAAAOAAAAAAAAAAEAIAAA&#10;AB4BAABkcnMvZTJvRG9jLnhtbFBLBQYAAAAABgAGAFkBAABoBQAAAAA=&#10;">
              <v:fill on="f" focussize="0,0"/>
              <v:stroke on="f"/>
              <v:imagedata o:title=""/>
              <o:lock v:ext="edit" aspectratio="f"/>
              <v:textbox inset="0mm,0mm,0mm,0mm" style="mso-fit-shape-to-text:t;">
                <w:txbxContent>
                  <w:p w14:paraId="3AD8951C">
                    <w:pPr>
                      <w:pStyle w:val="15"/>
                    </w:pPr>
                    <w:r>
                      <w:fldChar w:fldCharType="begin"/>
                    </w:r>
                    <w:r>
                      <w:instrText xml:space="preserve"> PAGE  \* MERGEFORMAT </w:instrText>
                    </w:r>
                    <w:r>
                      <w:fldChar w:fldCharType="separate"/>
                    </w:r>
                    <w:r>
                      <w:t>80</w:t>
                    </w:r>
                    <w:r>
                      <w:fldChar w:fldCharType="end"/>
                    </w:r>
                  </w:p>
                </w:txbxContent>
              </v:textbox>
            </v:shape>
          </w:pict>
        </mc:Fallback>
      </mc:AlternateContent>
    </w:r>
    <w:r>
      <w:rPr>
        <w:rFonts w:hint="eastAsia" w:ascii="宋体" w:hAnsi="宋体" w:cs="宋体"/>
        <w:sz w:val="24"/>
        <w:szCs w:val="24"/>
      </w:rPr>
      <w:t xml:space="preserve">  </w:t>
    </w:r>
  </w:p>
  <w:p w14:paraId="288AFDDE">
    <w:pPr>
      <w:pStyle w:val="15"/>
      <w:autoSpaceDE w:val="0"/>
      <w:autoSpaceDN w:val="0"/>
      <w:adjustRightInd w:val="0"/>
      <w:ind w:left="7200" w:hanging="7200" w:hangingChars="4000"/>
      <w:jc w:val="both"/>
    </w:pPr>
  </w:p>
  <w:p w14:paraId="14A7DD39">
    <w:pPr>
      <w:pStyle w:val="15"/>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0E7FA">
    <w:pPr>
      <w:pStyle w:val="16"/>
      <w:pBdr>
        <w:bottom w:val="none" w:color="auto" w:sz="0" w:space="0"/>
      </w:pBdr>
      <w:tabs>
        <w:tab w:val="clear" w:pos="4153"/>
        <w:tab w:val="clear" w:pos="8306"/>
      </w:tabs>
      <w:jc w:val="both"/>
    </w:pPr>
    <w:r>
      <w:rPr>
        <w:rFonts w:hint="eastAsia"/>
        <w:u w:val="none"/>
      </w:rPr>
      <w:t xml:space="preserve"> </w:t>
    </w:r>
    <w:r>
      <w:rPr>
        <w:rFonts w:hint="eastAsia"/>
        <w:u w:val="none"/>
        <w:lang w:eastAsia="zh-CN"/>
      </w:rPr>
      <w:t>克州财政局惠民惠农“一卡通”补贴资金金融机构代发项目</w:t>
    </w:r>
    <w:r>
      <w:rPr>
        <w:rFonts w:hint="eastAsia"/>
        <w:u w:val="none"/>
      </w:rPr>
      <w:t xml:space="preserve"> </w:t>
    </w:r>
    <w:r>
      <w:rPr>
        <w:rFonts w:hint="eastAsia"/>
      </w:rPr>
      <w:t xml:space="preserve">          </w:t>
    </w:r>
    <w:r>
      <w:rPr>
        <w:rFonts w:hint="eastAsia"/>
        <w:lang w:val="en-US" w:eastAsia="zh-CN"/>
      </w:rPr>
      <w:t xml:space="preserve">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56829">
    <w:pPr>
      <w:pStyle w:val="16"/>
      <w:jc w:val="both"/>
      <w:rPr>
        <w:rFonts w:ascii="宋体" w:hAnsi="宋体" w:cs="宋体"/>
        <w:sz w:val="21"/>
        <w:szCs w:val="21"/>
      </w:rPr>
    </w:pPr>
    <w:r>
      <w:rPr>
        <w:rFonts w:hint="eastAsia"/>
        <w:u w:val="none"/>
        <w:lang w:eastAsia="zh-CN"/>
      </w:rPr>
      <w:t>克州财政局惠民惠农“一卡通”补贴资金金融机构代发项目</w:t>
    </w:r>
    <w:r>
      <w:rPr>
        <w:rFonts w:hint="eastAsia"/>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62E016"/>
    <w:multiLevelType w:val="singleLevel"/>
    <w:tmpl w:val="9262E016"/>
    <w:lvl w:ilvl="0" w:tentative="0">
      <w:start w:val="11"/>
      <w:numFmt w:val="chineseCounting"/>
      <w:suff w:val="nothing"/>
      <w:lvlText w:val="%1、"/>
      <w:lvlJc w:val="left"/>
      <w:pPr>
        <w:ind w:left="-150"/>
      </w:pPr>
      <w:rPr>
        <w:rFonts w:hint="eastAsia"/>
      </w:rPr>
    </w:lvl>
  </w:abstractNum>
  <w:abstractNum w:abstractNumId="1">
    <w:nsid w:val="B0ABFF80"/>
    <w:multiLevelType w:val="singleLevel"/>
    <w:tmpl w:val="B0ABFF80"/>
    <w:lvl w:ilvl="0" w:tentative="0">
      <w:start w:val="4"/>
      <w:numFmt w:val="chineseCounting"/>
      <w:suff w:val="space"/>
      <w:lvlText w:val="第%1章"/>
      <w:lvlJc w:val="left"/>
      <w:rPr>
        <w:rFonts w:hint="eastAsia"/>
      </w:rPr>
    </w:lvl>
  </w:abstractNum>
  <w:abstractNum w:abstractNumId="2">
    <w:nsid w:val="DD02DD23"/>
    <w:multiLevelType w:val="singleLevel"/>
    <w:tmpl w:val="DD02DD23"/>
    <w:lvl w:ilvl="0" w:tentative="0">
      <w:start w:val="1"/>
      <w:numFmt w:val="decimal"/>
      <w:suff w:val="nothing"/>
      <w:lvlText w:val="%1、"/>
      <w:lvlJc w:val="left"/>
    </w:lvl>
  </w:abstractNum>
  <w:abstractNum w:abstractNumId="3">
    <w:nsid w:val="0000000E"/>
    <w:multiLevelType w:val="multilevel"/>
    <w:tmpl w:val="0000000E"/>
    <w:lvl w:ilvl="0" w:tentative="0">
      <w:start w:val="1"/>
      <w:numFmt w:val="decimal"/>
      <w:lvlText w:val="%1、"/>
      <w:lvlJc w:val="left"/>
      <w:pPr>
        <w:tabs>
          <w:tab w:val="left" w:pos="720"/>
        </w:tabs>
        <w:ind w:left="720" w:hanging="720"/>
      </w:pPr>
    </w:lvl>
    <w:lvl w:ilvl="1" w:tentative="0">
      <w:start w:val="1"/>
      <w:numFmt w:val="bullet"/>
      <w:lvlText w:val=""/>
      <w:lvlJc w:val="left"/>
      <w:pPr>
        <w:tabs>
          <w:tab w:val="left" w:pos="840"/>
        </w:tabs>
        <w:ind w:left="840" w:hanging="420"/>
      </w:pPr>
      <w:rPr>
        <w:rFonts w:hint="default" w:ascii="Wingdings" w:hAnsi="Wingdings"/>
        <w:sz w:val="16"/>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1715540"/>
    <w:multiLevelType w:val="multilevel"/>
    <w:tmpl w:val="11715540"/>
    <w:lvl w:ilvl="0" w:tentative="0">
      <w:start w:val="1"/>
      <w:numFmt w:val="japaneseCounting"/>
      <w:lvlText w:val="（%1）"/>
      <w:lvlJc w:val="left"/>
      <w:pPr>
        <w:tabs>
          <w:tab w:val="left" w:pos="1725"/>
        </w:tabs>
        <w:ind w:left="1932"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5">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4"/>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7">
    <w:nsid w:val="55CD4C99"/>
    <w:multiLevelType w:val="singleLevel"/>
    <w:tmpl w:val="55CD4C99"/>
    <w:lvl w:ilvl="0" w:tentative="0">
      <w:start w:val="1"/>
      <w:numFmt w:val="chineseCounting"/>
      <w:suff w:val="nothing"/>
      <w:lvlText w:val="%1、"/>
      <w:lvlJc w:val="left"/>
    </w:lvl>
  </w:abstractNum>
  <w:abstractNum w:abstractNumId="8">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5"/>
  </w:num>
  <w:num w:numId="2">
    <w:abstractNumId w:val="6"/>
  </w:num>
  <w:num w:numId="3">
    <w:abstractNumId w:val="7"/>
  </w:num>
  <w:num w:numId="4">
    <w:abstractNumId w:val="4"/>
  </w:num>
  <w:num w:numId="5">
    <w:abstractNumId w:val="8"/>
  </w:num>
  <w:num w:numId="6">
    <w:abstractNumId w:val="2"/>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6"/>
  <w:drawingGridVerticalSpacing w:val="157"/>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iNWFhZjMyNTM3N2ZmN2I0NjJiYmJiYWE0ZDE4YjUifQ=="/>
  </w:docVars>
  <w:rsids>
    <w:rsidRoot w:val="00AE79E0"/>
    <w:rsid w:val="000008FD"/>
    <w:rsid w:val="00003231"/>
    <w:rsid w:val="00003B78"/>
    <w:rsid w:val="00003F23"/>
    <w:rsid w:val="00005025"/>
    <w:rsid w:val="0000620B"/>
    <w:rsid w:val="0000681E"/>
    <w:rsid w:val="0000682D"/>
    <w:rsid w:val="00011FD2"/>
    <w:rsid w:val="000126C8"/>
    <w:rsid w:val="00012CFA"/>
    <w:rsid w:val="00013187"/>
    <w:rsid w:val="000137F2"/>
    <w:rsid w:val="00014B17"/>
    <w:rsid w:val="000165AB"/>
    <w:rsid w:val="000201C1"/>
    <w:rsid w:val="00021187"/>
    <w:rsid w:val="00021198"/>
    <w:rsid w:val="00021864"/>
    <w:rsid w:val="00023055"/>
    <w:rsid w:val="00023185"/>
    <w:rsid w:val="000242CE"/>
    <w:rsid w:val="00024AD6"/>
    <w:rsid w:val="00026A08"/>
    <w:rsid w:val="000279EA"/>
    <w:rsid w:val="000305D5"/>
    <w:rsid w:val="000319B0"/>
    <w:rsid w:val="00034387"/>
    <w:rsid w:val="00034B72"/>
    <w:rsid w:val="00034BA3"/>
    <w:rsid w:val="00034CDA"/>
    <w:rsid w:val="00034F63"/>
    <w:rsid w:val="0003627F"/>
    <w:rsid w:val="0003679A"/>
    <w:rsid w:val="00040E67"/>
    <w:rsid w:val="00041F06"/>
    <w:rsid w:val="000423B1"/>
    <w:rsid w:val="0004299A"/>
    <w:rsid w:val="000429F1"/>
    <w:rsid w:val="000437CC"/>
    <w:rsid w:val="00043E1C"/>
    <w:rsid w:val="00046FC5"/>
    <w:rsid w:val="00047373"/>
    <w:rsid w:val="000476D9"/>
    <w:rsid w:val="0005173F"/>
    <w:rsid w:val="00051864"/>
    <w:rsid w:val="00051ECE"/>
    <w:rsid w:val="000520FE"/>
    <w:rsid w:val="00053450"/>
    <w:rsid w:val="000538D1"/>
    <w:rsid w:val="00054A43"/>
    <w:rsid w:val="00055123"/>
    <w:rsid w:val="00055AB6"/>
    <w:rsid w:val="00055F34"/>
    <w:rsid w:val="00056350"/>
    <w:rsid w:val="00056A13"/>
    <w:rsid w:val="000576A3"/>
    <w:rsid w:val="00063B93"/>
    <w:rsid w:val="00064417"/>
    <w:rsid w:val="000649EF"/>
    <w:rsid w:val="00065388"/>
    <w:rsid w:val="00065665"/>
    <w:rsid w:val="00067D7A"/>
    <w:rsid w:val="00070288"/>
    <w:rsid w:val="00070340"/>
    <w:rsid w:val="000708C5"/>
    <w:rsid w:val="000712BD"/>
    <w:rsid w:val="000719DB"/>
    <w:rsid w:val="00072AC0"/>
    <w:rsid w:val="000738C2"/>
    <w:rsid w:val="000742BD"/>
    <w:rsid w:val="0007479D"/>
    <w:rsid w:val="00075123"/>
    <w:rsid w:val="00075390"/>
    <w:rsid w:val="0007565B"/>
    <w:rsid w:val="00075BB9"/>
    <w:rsid w:val="00076436"/>
    <w:rsid w:val="00076558"/>
    <w:rsid w:val="00077C43"/>
    <w:rsid w:val="00077D8B"/>
    <w:rsid w:val="0008094E"/>
    <w:rsid w:val="00080A6F"/>
    <w:rsid w:val="000816F2"/>
    <w:rsid w:val="00082869"/>
    <w:rsid w:val="00083463"/>
    <w:rsid w:val="00083CDC"/>
    <w:rsid w:val="00084CC1"/>
    <w:rsid w:val="000852D7"/>
    <w:rsid w:val="00085489"/>
    <w:rsid w:val="00085BF6"/>
    <w:rsid w:val="000863D1"/>
    <w:rsid w:val="00086A7A"/>
    <w:rsid w:val="00086B28"/>
    <w:rsid w:val="000874E4"/>
    <w:rsid w:val="0008796E"/>
    <w:rsid w:val="00087E9D"/>
    <w:rsid w:val="000901E9"/>
    <w:rsid w:val="00090BD9"/>
    <w:rsid w:val="00090F00"/>
    <w:rsid w:val="00091C9B"/>
    <w:rsid w:val="00091DC7"/>
    <w:rsid w:val="000926F6"/>
    <w:rsid w:val="000942A8"/>
    <w:rsid w:val="00094641"/>
    <w:rsid w:val="00094AC9"/>
    <w:rsid w:val="00095245"/>
    <w:rsid w:val="000955A6"/>
    <w:rsid w:val="00095B6E"/>
    <w:rsid w:val="0009686F"/>
    <w:rsid w:val="000A1761"/>
    <w:rsid w:val="000A184E"/>
    <w:rsid w:val="000A1B3C"/>
    <w:rsid w:val="000A2970"/>
    <w:rsid w:val="000A35E1"/>
    <w:rsid w:val="000A3813"/>
    <w:rsid w:val="000A4619"/>
    <w:rsid w:val="000A48D7"/>
    <w:rsid w:val="000A5705"/>
    <w:rsid w:val="000A6219"/>
    <w:rsid w:val="000A6DD1"/>
    <w:rsid w:val="000A7BFA"/>
    <w:rsid w:val="000A7E34"/>
    <w:rsid w:val="000B0CDF"/>
    <w:rsid w:val="000B19BA"/>
    <w:rsid w:val="000B21F3"/>
    <w:rsid w:val="000B5B49"/>
    <w:rsid w:val="000B5CD6"/>
    <w:rsid w:val="000B5D8E"/>
    <w:rsid w:val="000B71A8"/>
    <w:rsid w:val="000B7353"/>
    <w:rsid w:val="000B7627"/>
    <w:rsid w:val="000B7FDE"/>
    <w:rsid w:val="000C062A"/>
    <w:rsid w:val="000C0D0A"/>
    <w:rsid w:val="000C0D63"/>
    <w:rsid w:val="000C1047"/>
    <w:rsid w:val="000C2C5E"/>
    <w:rsid w:val="000C4AF2"/>
    <w:rsid w:val="000C58C5"/>
    <w:rsid w:val="000C627A"/>
    <w:rsid w:val="000C6774"/>
    <w:rsid w:val="000C68DD"/>
    <w:rsid w:val="000C742F"/>
    <w:rsid w:val="000C7D1B"/>
    <w:rsid w:val="000D07C7"/>
    <w:rsid w:val="000D16D6"/>
    <w:rsid w:val="000D1955"/>
    <w:rsid w:val="000D1963"/>
    <w:rsid w:val="000D260B"/>
    <w:rsid w:val="000D296C"/>
    <w:rsid w:val="000D2BE7"/>
    <w:rsid w:val="000D3BE4"/>
    <w:rsid w:val="000D3FDF"/>
    <w:rsid w:val="000D3FE5"/>
    <w:rsid w:val="000D5BFA"/>
    <w:rsid w:val="000D77C3"/>
    <w:rsid w:val="000E0018"/>
    <w:rsid w:val="000E169F"/>
    <w:rsid w:val="000E18AA"/>
    <w:rsid w:val="000E1F61"/>
    <w:rsid w:val="000E30EA"/>
    <w:rsid w:val="000E3822"/>
    <w:rsid w:val="000E416E"/>
    <w:rsid w:val="000E4260"/>
    <w:rsid w:val="000E4C55"/>
    <w:rsid w:val="000E57CE"/>
    <w:rsid w:val="000E5BD2"/>
    <w:rsid w:val="000E6242"/>
    <w:rsid w:val="000E689E"/>
    <w:rsid w:val="000E6A46"/>
    <w:rsid w:val="000E6ED7"/>
    <w:rsid w:val="000F0113"/>
    <w:rsid w:val="000F1DED"/>
    <w:rsid w:val="000F2698"/>
    <w:rsid w:val="000F3E84"/>
    <w:rsid w:val="000F3FFF"/>
    <w:rsid w:val="000F4B95"/>
    <w:rsid w:val="000F6140"/>
    <w:rsid w:val="000F6A98"/>
    <w:rsid w:val="000F6AB9"/>
    <w:rsid w:val="000F6B00"/>
    <w:rsid w:val="000F6D6B"/>
    <w:rsid w:val="000F6DA7"/>
    <w:rsid w:val="000F7DEB"/>
    <w:rsid w:val="001008C8"/>
    <w:rsid w:val="00103AEE"/>
    <w:rsid w:val="00104E2B"/>
    <w:rsid w:val="00104E64"/>
    <w:rsid w:val="0010538C"/>
    <w:rsid w:val="001057AF"/>
    <w:rsid w:val="00110A45"/>
    <w:rsid w:val="00111249"/>
    <w:rsid w:val="001123E7"/>
    <w:rsid w:val="001135FE"/>
    <w:rsid w:val="00113871"/>
    <w:rsid w:val="0011439C"/>
    <w:rsid w:val="00114702"/>
    <w:rsid w:val="00116424"/>
    <w:rsid w:val="001167DB"/>
    <w:rsid w:val="00116D76"/>
    <w:rsid w:val="00117062"/>
    <w:rsid w:val="001170CE"/>
    <w:rsid w:val="001178E2"/>
    <w:rsid w:val="00117DEA"/>
    <w:rsid w:val="00117FAC"/>
    <w:rsid w:val="0012043E"/>
    <w:rsid w:val="001209D4"/>
    <w:rsid w:val="001209D7"/>
    <w:rsid w:val="00120A18"/>
    <w:rsid w:val="00120C83"/>
    <w:rsid w:val="00121289"/>
    <w:rsid w:val="001233FB"/>
    <w:rsid w:val="0012425E"/>
    <w:rsid w:val="0012511F"/>
    <w:rsid w:val="00125392"/>
    <w:rsid w:val="001255D4"/>
    <w:rsid w:val="001263BA"/>
    <w:rsid w:val="00126A4E"/>
    <w:rsid w:val="00126AD8"/>
    <w:rsid w:val="00126DF1"/>
    <w:rsid w:val="001276ED"/>
    <w:rsid w:val="00127742"/>
    <w:rsid w:val="00130067"/>
    <w:rsid w:val="00130C17"/>
    <w:rsid w:val="0013112F"/>
    <w:rsid w:val="0013118B"/>
    <w:rsid w:val="001311ED"/>
    <w:rsid w:val="0013431D"/>
    <w:rsid w:val="00134648"/>
    <w:rsid w:val="001348DF"/>
    <w:rsid w:val="00134FD5"/>
    <w:rsid w:val="0013509E"/>
    <w:rsid w:val="00135535"/>
    <w:rsid w:val="00135667"/>
    <w:rsid w:val="00135AED"/>
    <w:rsid w:val="00135BC4"/>
    <w:rsid w:val="00135F38"/>
    <w:rsid w:val="001369C3"/>
    <w:rsid w:val="00137B6B"/>
    <w:rsid w:val="00137D64"/>
    <w:rsid w:val="00137E4C"/>
    <w:rsid w:val="00141038"/>
    <w:rsid w:val="0014151F"/>
    <w:rsid w:val="00141941"/>
    <w:rsid w:val="00142184"/>
    <w:rsid w:val="0014311D"/>
    <w:rsid w:val="00144467"/>
    <w:rsid w:val="001449E6"/>
    <w:rsid w:val="0014579A"/>
    <w:rsid w:val="00145A0C"/>
    <w:rsid w:val="00145E17"/>
    <w:rsid w:val="00147477"/>
    <w:rsid w:val="0015038C"/>
    <w:rsid w:val="001508B1"/>
    <w:rsid w:val="00152331"/>
    <w:rsid w:val="00152403"/>
    <w:rsid w:val="00152CE0"/>
    <w:rsid w:val="00155001"/>
    <w:rsid w:val="001553F5"/>
    <w:rsid w:val="001554EC"/>
    <w:rsid w:val="00155CDB"/>
    <w:rsid w:val="00156646"/>
    <w:rsid w:val="001568CF"/>
    <w:rsid w:val="00157E12"/>
    <w:rsid w:val="00160800"/>
    <w:rsid w:val="00160863"/>
    <w:rsid w:val="0016087F"/>
    <w:rsid w:val="00160A88"/>
    <w:rsid w:val="001613E7"/>
    <w:rsid w:val="0016174A"/>
    <w:rsid w:val="001620F9"/>
    <w:rsid w:val="00165DAF"/>
    <w:rsid w:val="00167DD2"/>
    <w:rsid w:val="0017046D"/>
    <w:rsid w:val="0017080E"/>
    <w:rsid w:val="00171430"/>
    <w:rsid w:val="001714A4"/>
    <w:rsid w:val="00171FC2"/>
    <w:rsid w:val="001729B3"/>
    <w:rsid w:val="00172D11"/>
    <w:rsid w:val="00172FE9"/>
    <w:rsid w:val="001736ED"/>
    <w:rsid w:val="00173D1D"/>
    <w:rsid w:val="00174925"/>
    <w:rsid w:val="00174E84"/>
    <w:rsid w:val="00175BB3"/>
    <w:rsid w:val="00176570"/>
    <w:rsid w:val="00176A44"/>
    <w:rsid w:val="00176CDE"/>
    <w:rsid w:val="00177851"/>
    <w:rsid w:val="00180275"/>
    <w:rsid w:val="0018175A"/>
    <w:rsid w:val="00182153"/>
    <w:rsid w:val="00183525"/>
    <w:rsid w:val="00183724"/>
    <w:rsid w:val="00184539"/>
    <w:rsid w:val="00184EF2"/>
    <w:rsid w:val="0018523C"/>
    <w:rsid w:val="00186A8D"/>
    <w:rsid w:val="0019046D"/>
    <w:rsid w:val="00191194"/>
    <w:rsid w:val="00192441"/>
    <w:rsid w:val="001924AF"/>
    <w:rsid w:val="00192969"/>
    <w:rsid w:val="00192AB0"/>
    <w:rsid w:val="00193398"/>
    <w:rsid w:val="001935E2"/>
    <w:rsid w:val="00193A65"/>
    <w:rsid w:val="00194057"/>
    <w:rsid w:val="0019444D"/>
    <w:rsid w:val="001966AA"/>
    <w:rsid w:val="00196974"/>
    <w:rsid w:val="00196D5E"/>
    <w:rsid w:val="00196F4B"/>
    <w:rsid w:val="001972EB"/>
    <w:rsid w:val="001A0B29"/>
    <w:rsid w:val="001A12FE"/>
    <w:rsid w:val="001A406A"/>
    <w:rsid w:val="001A62A1"/>
    <w:rsid w:val="001A74C3"/>
    <w:rsid w:val="001B0B9D"/>
    <w:rsid w:val="001B1C75"/>
    <w:rsid w:val="001B2BBF"/>
    <w:rsid w:val="001B522A"/>
    <w:rsid w:val="001B560A"/>
    <w:rsid w:val="001B5738"/>
    <w:rsid w:val="001B6E93"/>
    <w:rsid w:val="001B70B5"/>
    <w:rsid w:val="001B7B84"/>
    <w:rsid w:val="001B7F39"/>
    <w:rsid w:val="001C05AB"/>
    <w:rsid w:val="001C1F35"/>
    <w:rsid w:val="001C2A8A"/>
    <w:rsid w:val="001C3B70"/>
    <w:rsid w:val="001C5539"/>
    <w:rsid w:val="001C59BE"/>
    <w:rsid w:val="001C5DC4"/>
    <w:rsid w:val="001C5E26"/>
    <w:rsid w:val="001C6220"/>
    <w:rsid w:val="001C6B18"/>
    <w:rsid w:val="001D0A93"/>
    <w:rsid w:val="001D2F5F"/>
    <w:rsid w:val="001D446C"/>
    <w:rsid w:val="001D5688"/>
    <w:rsid w:val="001D58FF"/>
    <w:rsid w:val="001D629D"/>
    <w:rsid w:val="001D63FD"/>
    <w:rsid w:val="001D6F3F"/>
    <w:rsid w:val="001D6F45"/>
    <w:rsid w:val="001D7E45"/>
    <w:rsid w:val="001E04F1"/>
    <w:rsid w:val="001E20D3"/>
    <w:rsid w:val="001E2E22"/>
    <w:rsid w:val="001E2FC4"/>
    <w:rsid w:val="001E36B7"/>
    <w:rsid w:val="001E47CD"/>
    <w:rsid w:val="001E5159"/>
    <w:rsid w:val="001E5832"/>
    <w:rsid w:val="001E591A"/>
    <w:rsid w:val="001E68D0"/>
    <w:rsid w:val="001F07C5"/>
    <w:rsid w:val="001F1324"/>
    <w:rsid w:val="001F134E"/>
    <w:rsid w:val="001F14AE"/>
    <w:rsid w:val="001F1946"/>
    <w:rsid w:val="001F26BA"/>
    <w:rsid w:val="001F3378"/>
    <w:rsid w:val="001F4661"/>
    <w:rsid w:val="001F4719"/>
    <w:rsid w:val="001F66D5"/>
    <w:rsid w:val="001F6A1F"/>
    <w:rsid w:val="001F7137"/>
    <w:rsid w:val="001F770C"/>
    <w:rsid w:val="00200094"/>
    <w:rsid w:val="00200808"/>
    <w:rsid w:val="00200C69"/>
    <w:rsid w:val="00201148"/>
    <w:rsid w:val="00202825"/>
    <w:rsid w:val="00202D5B"/>
    <w:rsid w:val="00202F2A"/>
    <w:rsid w:val="002036F3"/>
    <w:rsid w:val="00203F5C"/>
    <w:rsid w:val="00204191"/>
    <w:rsid w:val="0020421A"/>
    <w:rsid w:val="002047D3"/>
    <w:rsid w:val="0020497C"/>
    <w:rsid w:val="00205798"/>
    <w:rsid w:val="00205A83"/>
    <w:rsid w:val="00205DEE"/>
    <w:rsid w:val="00207016"/>
    <w:rsid w:val="0021092F"/>
    <w:rsid w:val="00210BCE"/>
    <w:rsid w:val="002111F8"/>
    <w:rsid w:val="002112B7"/>
    <w:rsid w:val="0021169E"/>
    <w:rsid w:val="00211789"/>
    <w:rsid w:val="00211B64"/>
    <w:rsid w:val="00211C86"/>
    <w:rsid w:val="00211FEE"/>
    <w:rsid w:val="002122F0"/>
    <w:rsid w:val="00212CA5"/>
    <w:rsid w:val="00212EB3"/>
    <w:rsid w:val="00213256"/>
    <w:rsid w:val="0021421B"/>
    <w:rsid w:val="0021435E"/>
    <w:rsid w:val="00217577"/>
    <w:rsid w:val="00217846"/>
    <w:rsid w:val="002203C0"/>
    <w:rsid w:val="002209E8"/>
    <w:rsid w:val="002215D0"/>
    <w:rsid w:val="0022309F"/>
    <w:rsid w:val="00224266"/>
    <w:rsid w:val="002248D5"/>
    <w:rsid w:val="00224BDB"/>
    <w:rsid w:val="00225A4D"/>
    <w:rsid w:val="00225E3E"/>
    <w:rsid w:val="00225E4A"/>
    <w:rsid w:val="00227FEE"/>
    <w:rsid w:val="00230CC1"/>
    <w:rsid w:val="00230D14"/>
    <w:rsid w:val="002314E9"/>
    <w:rsid w:val="00231CB1"/>
    <w:rsid w:val="00232C8A"/>
    <w:rsid w:val="0023334B"/>
    <w:rsid w:val="00234A89"/>
    <w:rsid w:val="00234E10"/>
    <w:rsid w:val="00235478"/>
    <w:rsid w:val="002358C7"/>
    <w:rsid w:val="002362AF"/>
    <w:rsid w:val="002362CC"/>
    <w:rsid w:val="00237506"/>
    <w:rsid w:val="002378D0"/>
    <w:rsid w:val="00237B57"/>
    <w:rsid w:val="00243A1C"/>
    <w:rsid w:val="00243B5E"/>
    <w:rsid w:val="00243C20"/>
    <w:rsid w:val="00243D7D"/>
    <w:rsid w:val="00243ECE"/>
    <w:rsid w:val="00245ACA"/>
    <w:rsid w:val="00246F54"/>
    <w:rsid w:val="0025249A"/>
    <w:rsid w:val="0025326E"/>
    <w:rsid w:val="002541D3"/>
    <w:rsid w:val="00254D18"/>
    <w:rsid w:val="00255705"/>
    <w:rsid w:val="00255C2F"/>
    <w:rsid w:val="00255D4D"/>
    <w:rsid w:val="00257088"/>
    <w:rsid w:val="002574B1"/>
    <w:rsid w:val="0025775C"/>
    <w:rsid w:val="0025785F"/>
    <w:rsid w:val="0026096A"/>
    <w:rsid w:val="00260B60"/>
    <w:rsid w:val="0026120E"/>
    <w:rsid w:val="00261315"/>
    <w:rsid w:val="0026223A"/>
    <w:rsid w:val="002632DC"/>
    <w:rsid w:val="00263F02"/>
    <w:rsid w:val="002648FB"/>
    <w:rsid w:val="00264E69"/>
    <w:rsid w:val="00266892"/>
    <w:rsid w:val="00266CC0"/>
    <w:rsid w:val="002672ED"/>
    <w:rsid w:val="0027024E"/>
    <w:rsid w:val="00272390"/>
    <w:rsid w:val="0027543F"/>
    <w:rsid w:val="00275F7E"/>
    <w:rsid w:val="002760E4"/>
    <w:rsid w:val="002768B5"/>
    <w:rsid w:val="00277378"/>
    <w:rsid w:val="0028110D"/>
    <w:rsid w:val="00281371"/>
    <w:rsid w:val="002813D2"/>
    <w:rsid w:val="002819B4"/>
    <w:rsid w:val="0028291E"/>
    <w:rsid w:val="00282FBB"/>
    <w:rsid w:val="00283B88"/>
    <w:rsid w:val="00285CC4"/>
    <w:rsid w:val="00286851"/>
    <w:rsid w:val="00290235"/>
    <w:rsid w:val="00290EB7"/>
    <w:rsid w:val="00291B90"/>
    <w:rsid w:val="00291EBD"/>
    <w:rsid w:val="00293933"/>
    <w:rsid w:val="00295F38"/>
    <w:rsid w:val="00296FAA"/>
    <w:rsid w:val="002970FB"/>
    <w:rsid w:val="00297E16"/>
    <w:rsid w:val="002A07DB"/>
    <w:rsid w:val="002A1959"/>
    <w:rsid w:val="002A3638"/>
    <w:rsid w:val="002A484A"/>
    <w:rsid w:val="002A49E9"/>
    <w:rsid w:val="002A4C87"/>
    <w:rsid w:val="002A4E7F"/>
    <w:rsid w:val="002A51FE"/>
    <w:rsid w:val="002A79FB"/>
    <w:rsid w:val="002A7C46"/>
    <w:rsid w:val="002A7D6F"/>
    <w:rsid w:val="002B08C1"/>
    <w:rsid w:val="002B0A6F"/>
    <w:rsid w:val="002B12D0"/>
    <w:rsid w:val="002B17E9"/>
    <w:rsid w:val="002B1A43"/>
    <w:rsid w:val="002B1ABC"/>
    <w:rsid w:val="002B220A"/>
    <w:rsid w:val="002B28DF"/>
    <w:rsid w:val="002B3EF5"/>
    <w:rsid w:val="002B4721"/>
    <w:rsid w:val="002B635D"/>
    <w:rsid w:val="002B6423"/>
    <w:rsid w:val="002B6D27"/>
    <w:rsid w:val="002B6EAE"/>
    <w:rsid w:val="002B7C85"/>
    <w:rsid w:val="002C1472"/>
    <w:rsid w:val="002C1DFD"/>
    <w:rsid w:val="002C316D"/>
    <w:rsid w:val="002C324F"/>
    <w:rsid w:val="002C32A4"/>
    <w:rsid w:val="002C34A7"/>
    <w:rsid w:val="002C404C"/>
    <w:rsid w:val="002C44F8"/>
    <w:rsid w:val="002C48D8"/>
    <w:rsid w:val="002C50D1"/>
    <w:rsid w:val="002C53E5"/>
    <w:rsid w:val="002C5959"/>
    <w:rsid w:val="002C66EA"/>
    <w:rsid w:val="002C6EE6"/>
    <w:rsid w:val="002C76A3"/>
    <w:rsid w:val="002D16A5"/>
    <w:rsid w:val="002D1856"/>
    <w:rsid w:val="002D4063"/>
    <w:rsid w:val="002D6C02"/>
    <w:rsid w:val="002D6F6A"/>
    <w:rsid w:val="002D702A"/>
    <w:rsid w:val="002D73D4"/>
    <w:rsid w:val="002D73FE"/>
    <w:rsid w:val="002E00B8"/>
    <w:rsid w:val="002E023A"/>
    <w:rsid w:val="002E05E3"/>
    <w:rsid w:val="002E0CF1"/>
    <w:rsid w:val="002E131F"/>
    <w:rsid w:val="002E3A5F"/>
    <w:rsid w:val="002E3A69"/>
    <w:rsid w:val="002E3A88"/>
    <w:rsid w:val="002E3B8A"/>
    <w:rsid w:val="002E5DDC"/>
    <w:rsid w:val="002E6CBA"/>
    <w:rsid w:val="002E70C0"/>
    <w:rsid w:val="002E779E"/>
    <w:rsid w:val="002F0126"/>
    <w:rsid w:val="002F1C05"/>
    <w:rsid w:val="002F3E1E"/>
    <w:rsid w:val="002F5154"/>
    <w:rsid w:val="002F5668"/>
    <w:rsid w:val="002F6350"/>
    <w:rsid w:val="002F726F"/>
    <w:rsid w:val="002F7307"/>
    <w:rsid w:val="002F775E"/>
    <w:rsid w:val="003002FC"/>
    <w:rsid w:val="00301764"/>
    <w:rsid w:val="0030256A"/>
    <w:rsid w:val="003049E1"/>
    <w:rsid w:val="00304EE7"/>
    <w:rsid w:val="003064DC"/>
    <w:rsid w:val="0030763F"/>
    <w:rsid w:val="0030791A"/>
    <w:rsid w:val="00311D1C"/>
    <w:rsid w:val="00311FE2"/>
    <w:rsid w:val="00312912"/>
    <w:rsid w:val="00312B46"/>
    <w:rsid w:val="003135CA"/>
    <w:rsid w:val="00314E48"/>
    <w:rsid w:val="00315218"/>
    <w:rsid w:val="003169FF"/>
    <w:rsid w:val="0031704D"/>
    <w:rsid w:val="00317374"/>
    <w:rsid w:val="0031782B"/>
    <w:rsid w:val="00317903"/>
    <w:rsid w:val="00317929"/>
    <w:rsid w:val="00320797"/>
    <w:rsid w:val="00321351"/>
    <w:rsid w:val="003215D0"/>
    <w:rsid w:val="003219FF"/>
    <w:rsid w:val="00321B0F"/>
    <w:rsid w:val="00323327"/>
    <w:rsid w:val="003233D3"/>
    <w:rsid w:val="0032368B"/>
    <w:rsid w:val="00323B3C"/>
    <w:rsid w:val="00323B9B"/>
    <w:rsid w:val="00323EE0"/>
    <w:rsid w:val="003250B5"/>
    <w:rsid w:val="00325C3D"/>
    <w:rsid w:val="00327B00"/>
    <w:rsid w:val="00330EEC"/>
    <w:rsid w:val="00331614"/>
    <w:rsid w:val="003316A2"/>
    <w:rsid w:val="003316AA"/>
    <w:rsid w:val="00331951"/>
    <w:rsid w:val="00333612"/>
    <w:rsid w:val="00333F5A"/>
    <w:rsid w:val="00334464"/>
    <w:rsid w:val="00335143"/>
    <w:rsid w:val="0033520E"/>
    <w:rsid w:val="003355DB"/>
    <w:rsid w:val="003360C0"/>
    <w:rsid w:val="00337E3A"/>
    <w:rsid w:val="00341701"/>
    <w:rsid w:val="00341E1B"/>
    <w:rsid w:val="00342063"/>
    <w:rsid w:val="00343AFA"/>
    <w:rsid w:val="00345340"/>
    <w:rsid w:val="00345DC6"/>
    <w:rsid w:val="00347D7F"/>
    <w:rsid w:val="0035000C"/>
    <w:rsid w:val="0035054D"/>
    <w:rsid w:val="00350672"/>
    <w:rsid w:val="003520CF"/>
    <w:rsid w:val="00352130"/>
    <w:rsid w:val="00352629"/>
    <w:rsid w:val="00352961"/>
    <w:rsid w:val="00352F5E"/>
    <w:rsid w:val="003535C3"/>
    <w:rsid w:val="00355078"/>
    <w:rsid w:val="003554BE"/>
    <w:rsid w:val="00355BD8"/>
    <w:rsid w:val="0035755D"/>
    <w:rsid w:val="00357634"/>
    <w:rsid w:val="003607F7"/>
    <w:rsid w:val="0036156D"/>
    <w:rsid w:val="00361C08"/>
    <w:rsid w:val="00362C15"/>
    <w:rsid w:val="003635A5"/>
    <w:rsid w:val="003639F7"/>
    <w:rsid w:val="00363A88"/>
    <w:rsid w:val="00364D6D"/>
    <w:rsid w:val="003660EB"/>
    <w:rsid w:val="0036682B"/>
    <w:rsid w:val="00366A3F"/>
    <w:rsid w:val="00366D2F"/>
    <w:rsid w:val="00367050"/>
    <w:rsid w:val="0036779C"/>
    <w:rsid w:val="00370079"/>
    <w:rsid w:val="00370746"/>
    <w:rsid w:val="003714B5"/>
    <w:rsid w:val="003727AA"/>
    <w:rsid w:val="003730CA"/>
    <w:rsid w:val="003733A8"/>
    <w:rsid w:val="00373B52"/>
    <w:rsid w:val="00374236"/>
    <w:rsid w:val="00374A30"/>
    <w:rsid w:val="0037500F"/>
    <w:rsid w:val="00375EBC"/>
    <w:rsid w:val="00376B56"/>
    <w:rsid w:val="00377293"/>
    <w:rsid w:val="003773A5"/>
    <w:rsid w:val="003773CE"/>
    <w:rsid w:val="003773E1"/>
    <w:rsid w:val="0037755A"/>
    <w:rsid w:val="0037765D"/>
    <w:rsid w:val="0037791B"/>
    <w:rsid w:val="00380988"/>
    <w:rsid w:val="003810A2"/>
    <w:rsid w:val="00381168"/>
    <w:rsid w:val="003827D4"/>
    <w:rsid w:val="00382C45"/>
    <w:rsid w:val="00383BED"/>
    <w:rsid w:val="00385827"/>
    <w:rsid w:val="00385E4B"/>
    <w:rsid w:val="0038654B"/>
    <w:rsid w:val="00386A77"/>
    <w:rsid w:val="00386B6F"/>
    <w:rsid w:val="00387676"/>
    <w:rsid w:val="00387770"/>
    <w:rsid w:val="00390418"/>
    <w:rsid w:val="003906A3"/>
    <w:rsid w:val="00390901"/>
    <w:rsid w:val="00390A55"/>
    <w:rsid w:val="00390D6E"/>
    <w:rsid w:val="00391153"/>
    <w:rsid w:val="0039119C"/>
    <w:rsid w:val="00392149"/>
    <w:rsid w:val="00392690"/>
    <w:rsid w:val="00392DE4"/>
    <w:rsid w:val="0039363C"/>
    <w:rsid w:val="00393D4C"/>
    <w:rsid w:val="00394FFF"/>
    <w:rsid w:val="00396C19"/>
    <w:rsid w:val="003A1A8E"/>
    <w:rsid w:val="003A1C83"/>
    <w:rsid w:val="003A1CE5"/>
    <w:rsid w:val="003A1FAF"/>
    <w:rsid w:val="003A24EE"/>
    <w:rsid w:val="003A4F37"/>
    <w:rsid w:val="003A6060"/>
    <w:rsid w:val="003A797D"/>
    <w:rsid w:val="003A7E53"/>
    <w:rsid w:val="003B03F9"/>
    <w:rsid w:val="003B0499"/>
    <w:rsid w:val="003B14CC"/>
    <w:rsid w:val="003B16BA"/>
    <w:rsid w:val="003B25CE"/>
    <w:rsid w:val="003B436D"/>
    <w:rsid w:val="003B4CAB"/>
    <w:rsid w:val="003B6267"/>
    <w:rsid w:val="003B76FC"/>
    <w:rsid w:val="003C01E5"/>
    <w:rsid w:val="003C1D2A"/>
    <w:rsid w:val="003C1E0B"/>
    <w:rsid w:val="003C2AF5"/>
    <w:rsid w:val="003C36AD"/>
    <w:rsid w:val="003C4FF3"/>
    <w:rsid w:val="003C5BF9"/>
    <w:rsid w:val="003C6429"/>
    <w:rsid w:val="003C6DB2"/>
    <w:rsid w:val="003C7068"/>
    <w:rsid w:val="003C7A1D"/>
    <w:rsid w:val="003D1587"/>
    <w:rsid w:val="003D1C4D"/>
    <w:rsid w:val="003D302B"/>
    <w:rsid w:val="003D32A3"/>
    <w:rsid w:val="003D38BA"/>
    <w:rsid w:val="003D44D8"/>
    <w:rsid w:val="003D4675"/>
    <w:rsid w:val="003D6965"/>
    <w:rsid w:val="003E04A9"/>
    <w:rsid w:val="003E0849"/>
    <w:rsid w:val="003E1E30"/>
    <w:rsid w:val="003E2182"/>
    <w:rsid w:val="003E333B"/>
    <w:rsid w:val="003E37E5"/>
    <w:rsid w:val="003E3BF0"/>
    <w:rsid w:val="003E4056"/>
    <w:rsid w:val="003E44EB"/>
    <w:rsid w:val="003E4507"/>
    <w:rsid w:val="003E54FB"/>
    <w:rsid w:val="003E5587"/>
    <w:rsid w:val="003E571E"/>
    <w:rsid w:val="003E5FB3"/>
    <w:rsid w:val="003E6E74"/>
    <w:rsid w:val="003E6F20"/>
    <w:rsid w:val="003E7AEF"/>
    <w:rsid w:val="003F101A"/>
    <w:rsid w:val="003F15CD"/>
    <w:rsid w:val="003F2112"/>
    <w:rsid w:val="003F3F4E"/>
    <w:rsid w:val="003F4963"/>
    <w:rsid w:val="003F51D0"/>
    <w:rsid w:val="003F5810"/>
    <w:rsid w:val="003F5F57"/>
    <w:rsid w:val="003F6082"/>
    <w:rsid w:val="003F60E2"/>
    <w:rsid w:val="003F6180"/>
    <w:rsid w:val="003F6452"/>
    <w:rsid w:val="003F659B"/>
    <w:rsid w:val="003F7825"/>
    <w:rsid w:val="003F7D6D"/>
    <w:rsid w:val="0040044F"/>
    <w:rsid w:val="00400942"/>
    <w:rsid w:val="00400AAA"/>
    <w:rsid w:val="0040108E"/>
    <w:rsid w:val="004019B0"/>
    <w:rsid w:val="00402C0A"/>
    <w:rsid w:val="004039CF"/>
    <w:rsid w:val="00403F19"/>
    <w:rsid w:val="00404DF2"/>
    <w:rsid w:val="00404F09"/>
    <w:rsid w:val="0040537E"/>
    <w:rsid w:val="00405A3C"/>
    <w:rsid w:val="00407458"/>
    <w:rsid w:val="00407A64"/>
    <w:rsid w:val="004100F4"/>
    <w:rsid w:val="00410282"/>
    <w:rsid w:val="0041072B"/>
    <w:rsid w:val="00411E24"/>
    <w:rsid w:val="004126E0"/>
    <w:rsid w:val="00415A8A"/>
    <w:rsid w:val="00415CBE"/>
    <w:rsid w:val="00415D23"/>
    <w:rsid w:val="004161D1"/>
    <w:rsid w:val="00416645"/>
    <w:rsid w:val="00416864"/>
    <w:rsid w:val="00416D19"/>
    <w:rsid w:val="0041780A"/>
    <w:rsid w:val="00417A6E"/>
    <w:rsid w:val="00417BC7"/>
    <w:rsid w:val="00417E88"/>
    <w:rsid w:val="00420C05"/>
    <w:rsid w:val="00420E6D"/>
    <w:rsid w:val="004211C4"/>
    <w:rsid w:val="00421C2B"/>
    <w:rsid w:val="004223C5"/>
    <w:rsid w:val="00422EDA"/>
    <w:rsid w:val="0042307D"/>
    <w:rsid w:val="004237BE"/>
    <w:rsid w:val="00423B8C"/>
    <w:rsid w:val="00423FF8"/>
    <w:rsid w:val="00426294"/>
    <w:rsid w:val="00426B59"/>
    <w:rsid w:val="0042715C"/>
    <w:rsid w:val="00427EEC"/>
    <w:rsid w:val="004310A8"/>
    <w:rsid w:val="00431381"/>
    <w:rsid w:val="004313CD"/>
    <w:rsid w:val="00431502"/>
    <w:rsid w:val="0043170A"/>
    <w:rsid w:val="004321AD"/>
    <w:rsid w:val="00432D5F"/>
    <w:rsid w:val="00432EA8"/>
    <w:rsid w:val="004338B0"/>
    <w:rsid w:val="00434745"/>
    <w:rsid w:val="0043632B"/>
    <w:rsid w:val="00441BE1"/>
    <w:rsid w:val="00441FA2"/>
    <w:rsid w:val="004424AF"/>
    <w:rsid w:val="004425B4"/>
    <w:rsid w:val="00442945"/>
    <w:rsid w:val="00442AA4"/>
    <w:rsid w:val="00443251"/>
    <w:rsid w:val="0044358F"/>
    <w:rsid w:val="0044399C"/>
    <w:rsid w:val="00444061"/>
    <w:rsid w:val="004441B5"/>
    <w:rsid w:val="0044427D"/>
    <w:rsid w:val="004451E6"/>
    <w:rsid w:val="004460F3"/>
    <w:rsid w:val="0044663D"/>
    <w:rsid w:val="0044683C"/>
    <w:rsid w:val="0045012A"/>
    <w:rsid w:val="004511E3"/>
    <w:rsid w:val="00453782"/>
    <w:rsid w:val="00453849"/>
    <w:rsid w:val="004542CB"/>
    <w:rsid w:val="0045480C"/>
    <w:rsid w:val="00454D19"/>
    <w:rsid w:val="00455612"/>
    <w:rsid w:val="00460038"/>
    <w:rsid w:val="0046010D"/>
    <w:rsid w:val="0046069B"/>
    <w:rsid w:val="004607F9"/>
    <w:rsid w:val="00460B47"/>
    <w:rsid w:val="00460F46"/>
    <w:rsid w:val="00461338"/>
    <w:rsid w:val="00461382"/>
    <w:rsid w:val="00462552"/>
    <w:rsid w:val="004630FD"/>
    <w:rsid w:val="0046401C"/>
    <w:rsid w:val="00464999"/>
    <w:rsid w:val="004658CB"/>
    <w:rsid w:val="00465A0C"/>
    <w:rsid w:val="004667AD"/>
    <w:rsid w:val="004668B1"/>
    <w:rsid w:val="004670CE"/>
    <w:rsid w:val="00471C43"/>
    <w:rsid w:val="00472037"/>
    <w:rsid w:val="00473549"/>
    <w:rsid w:val="0047382F"/>
    <w:rsid w:val="00473AFE"/>
    <w:rsid w:val="00474D40"/>
    <w:rsid w:val="00474DB3"/>
    <w:rsid w:val="0047507D"/>
    <w:rsid w:val="00476EE9"/>
    <w:rsid w:val="004776DB"/>
    <w:rsid w:val="00477F37"/>
    <w:rsid w:val="00481B35"/>
    <w:rsid w:val="0048235F"/>
    <w:rsid w:val="00482CF4"/>
    <w:rsid w:val="00483728"/>
    <w:rsid w:val="004845DF"/>
    <w:rsid w:val="004849C7"/>
    <w:rsid w:val="004851F9"/>
    <w:rsid w:val="0049006E"/>
    <w:rsid w:val="0049015B"/>
    <w:rsid w:val="004918CC"/>
    <w:rsid w:val="00492569"/>
    <w:rsid w:val="00492EA5"/>
    <w:rsid w:val="00493251"/>
    <w:rsid w:val="004946A1"/>
    <w:rsid w:val="00494B71"/>
    <w:rsid w:val="004962AD"/>
    <w:rsid w:val="004974CC"/>
    <w:rsid w:val="004A381A"/>
    <w:rsid w:val="004A44AE"/>
    <w:rsid w:val="004A4C5E"/>
    <w:rsid w:val="004A5D0F"/>
    <w:rsid w:val="004A6E1F"/>
    <w:rsid w:val="004A7AB9"/>
    <w:rsid w:val="004A7B48"/>
    <w:rsid w:val="004B1083"/>
    <w:rsid w:val="004B2FCE"/>
    <w:rsid w:val="004B3258"/>
    <w:rsid w:val="004B339D"/>
    <w:rsid w:val="004B411D"/>
    <w:rsid w:val="004B4880"/>
    <w:rsid w:val="004B522D"/>
    <w:rsid w:val="004B580C"/>
    <w:rsid w:val="004B6147"/>
    <w:rsid w:val="004B6214"/>
    <w:rsid w:val="004B6278"/>
    <w:rsid w:val="004B7182"/>
    <w:rsid w:val="004B74DD"/>
    <w:rsid w:val="004B7850"/>
    <w:rsid w:val="004C0519"/>
    <w:rsid w:val="004C084D"/>
    <w:rsid w:val="004C0F35"/>
    <w:rsid w:val="004C193F"/>
    <w:rsid w:val="004C1E29"/>
    <w:rsid w:val="004C2023"/>
    <w:rsid w:val="004C2C02"/>
    <w:rsid w:val="004C36C7"/>
    <w:rsid w:val="004C4656"/>
    <w:rsid w:val="004C49F4"/>
    <w:rsid w:val="004C5351"/>
    <w:rsid w:val="004C5697"/>
    <w:rsid w:val="004C5836"/>
    <w:rsid w:val="004C6035"/>
    <w:rsid w:val="004C6194"/>
    <w:rsid w:val="004C6E98"/>
    <w:rsid w:val="004D067C"/>
    <w:rsid w:val="004D072B"/>
    <w:rsid w:val="004D0C9D"/>
    <w:rsid w:val="004D1634"/>
    <w:rsid w:val="004D1A3A"/>
    <w:rsid w:val="004D3FCF"/>
    <w:rsid w:val="004D5837"/>
    <w:rsid w:val="004D5C9E"/>
    <w:rsid w:val="004D7796"/>
    <w:rsid w:val="004E1166"/>
    <w:rsid w:val="004E33E6"/>
    <w:rsid w:val="004E355E"/>
    <w:rsid w:val="004E3A33"/>
    <w:rsid w:val="004E3FCB"/>
    <w:rsid w:val="004E4947"/>
    <w:rsid w:val="004E5558"/>
    <w:rsid w:val="004E628E"/>
    <w:rsid w:val="004F0179"/>
    <w:rsid w:val="004F07B4"/>
    <w:rsid w:val="004F0E55"/>
    <w:rsid w:val="004F1A17"/>
    <w:rsid w:val="004F2179"/>
    <w:rsid w:val="004F2F65"/>
    <w:rsid w:val="004F4107"/>
    <w:rsid w:val="004F4817"/>
    <w:rsid w:val="004F4CE8"/>
    <w:rsid w:val="004F5E5D"/>
    <w:rsid w:val="005005CA"/>
    <w:rsid w:val="00503F0C"/>
    <w:rsid w:val="005049C2"/>
    <w:rsid w:val="00505000"/>
    <w:rsid w:val="00505F35"/>
    <w:rsid w:val="00506243"/>
    <w:rsid w:val="0051007B"/>
    <w:rsid w:val="005109B4"/>
    <w:rsid w:val="00510FF3"/>
    <w:rsid w:val="0051101A"/>
    <w:rsid w:val="005110F6"/>
    <w:rsid w:val="005123B0"/>
    <w:rsid w:val="00512C46"/>
    <w:rsid w:val="005133F8"/>
    <w:rsid w:val="00516E05"/>
    <w:rsid w:val="0051736C"/>
    <w:rsid w:val="0051783C"/>
    <w:rsid w:val="00520213"/>
    <w:rsid w:val="00521398"/>
    <w:rsid w:val="005216F4"/>
    <w:rsid w:val="00521CF7"/>
    <w:rsid w:val="005230ED"/>
    <w:rsid w:val="005238A4"/>
    <w:rsid w:val="00523F17"/>
    <w:rsid w:val="005241CD"/>
    <w:rsid w:val="00524DC0"/>
    <w:rsid w:val="00525CF8"/>
    <w:rsid w:val="00527504"/>
    <w:rsid w:val="0052792F"/>
    <w:rsid w:val="00527D7D"/>
    <w:rsid w:val="00530019"/>
    <w:rsid w:val="00530C83"/>
    <w:rsid w:val="0053165F"/>
    <w:rsid w:val="005324E4"/>
    <w:rsid w:val="0053342C"/>
    <w:rsid w:val="00533A96"/>
    <w:rsid w:val="005355C1"/>
    <w:rsid w:val="005360E0"/>
    <w:rsid w:val="0053718C"/>
    <w:rsid w:val="00537E7F"/>
    <w:rsid w:val="0054056B"/>
    <w:rsid w:val="00541337"/>
    <w:rsid w:val="00541E82"/>
    <w:rsid w:val="00542409"/>
    <w:rsid w:val="0054258E"/>
    <w:rsid w:val="00543761"/>
    <w:rsid w:val="0054384F"/>
    <w:rsid w:val="005438A9"/>
    <w:rsid w:val="00543A5B"/>
    <w:rsid w:val="00544669"/>
    <w:rsid w:val="0054546A"/>
    <w:rsid w:val="00546F61"/>
    <w:rsid w:val="00547251"/>
    <w:rsid w:val="00550481"/>
    <w:rsid w:val="00550683"/>
    <w:rsid w:val="00551490"/>
    <w:rsid w:val="00551BCD"/>
    <w:rsid w:val="00551CEA"/>
    <w:rsid w:val="00552194"/>
    <w:rsid w:val="00552507"/>
    <w:rsid w:val="0055255E"/>
    <w:rsid w:val="00555A2D"/>
    <w:rsid w:val="0055608D"/>
    <w:rsid w:val="00556248"/>
    <w:rsid w:val="005567A5"/>
    <w:rsid w:val="005600B6"/>
    <w:rsid w:val="0056070C"/>
    <w:rsid w:val="0056129C"/>
    <w:rsid w:val="00561DE3"/>
    <w:rsid w:val="00562825"/>
    <w:rsid w:val="00562CB9"/>
    <w:rsid w:val="00563609"/>
    <w:rsid w:val="00563C9B"/>
    <w:rsid w:val="005651DF"/>
    <w:rsid w:val="0056536A"/>
    <w:rsid w:val="005669E9"/>
    <w:rsid w:val="00567C7B"/>
    <w:rsid w:val="005713D9"/>
    <w:rsid w:val="00573793"/>
    <w:rsid w:val="00573BFA"/>
    <w:rsid w:val="0057417D"/>
    <w:rsid w:val="00576042"/>
    <w:rsid w:val="00576110"/>
    <w:rsid w:val="00576136"/>
    <w:rsid w:val="00577718"/>
    <w:rsid w:val="00577870"/>
    <w:rsid w:val="0058030A"/>
    <w:rsid w:val="0058170B"/>
    <w:rsid w:val="00581D96"/>
    <w:rsid w:val="00584303"/>
    <w:rsid w:val="00584D60"/>
    <w:rsid w:val="0058516E"/>
    <w:rsid w:val="005851F3"/>
    <w:rsid w:val="00586659"/>
    <w:rsid w:val="00586D56"/>
    <w:rsid w:val="00587298"/>
    <w:rsid w:val="005904F0"/>
    <w:rsid w:val="00590CD1"/>
    <w:rsid w:val="00592D2A"/>
    <w:rsid w:val="0059415A"/>
    <w:rsid w:val="00594EC0"/>
    <w:rsid w:val="00595493"/>
    <w:rsid w:val="005A1204"/>
    <w:rsid w:val="005A2ABF"/>
    <w:rsid w:val="005A5F79"/>
    <w:rsid w:val="005A5F8B"/>
    <w:rsid w:val="005A72E5"/>
    <w:rsid w:val="005A7A1D"/>
    <w:rsid w:val="005A7AEA"/>
    <w:rsid w:val="005B06D3"/>
    <w:rsid w:val="005B0BE5"/>
    <w:rsid w:val="005B1CAE"/>
    <w:rsid w:val="005B214C"/>
    <w:rsid w:val="005B2527"/>
    <w:rsid w:val="005B2632"/>
    <w:rsid w:val="005B33BF"/>
    <w:rsid w:val="005B3815"/>
    <w:rsid w:val="005B4E15"/>
    <w:rsid w:val="005B5A7C"/>
    <w:rsid w:val="005B7348"/>
    <w:rsid w:val="005B79A8"/>
    <w:rsid w:val="005C0C02"/>
    <w:rsid w:val="005C0E14"/>
    <w:rsid w:val="005C14DC"/>
    <w:rsid w:val="005C21FF"/>
    <w:rsid w:val="005C3BA3"/>
    <w:rsid w:val="005C4719"/>
    <w:rsid w:val="005C486A"/>
    <w:rsid w:val="005C528A"/>
    <w:rsid w:val="005C53AD"/>
    <w:rsid w:val="005C5B8B"/>
    <w:rsid w:val="005C5C66"/>
    <w:rsid w:val="005C62AB"/>
    <w:rsid w:val="005C7C3E"/>
    <w:rsid w:val="005C7C54"/>
    <w:rsid w:val="005D0271"/>
    <w:rsid w:val="005D03FC"/>
    <w:rsid w:val="005D1EE1"/>
    <w:rsid w:val="005D2E94"/>
    <w:rsid w:val="005D32B9"/>
    <w:rsid w:val="005D3FF4"/>
    <w:rsid w:val="005D4094"/>
    <w:rsid w:val="005D4866"/>
    <w:rsid w:val="005D50B8"/>
    <w:rsid w:val="005E0B12"/>
    <w:rsid w:val="005E2911"/>
    <w:rsid w:val="005E3267"/>
    <w:rsid w:val="005E37AB"/>
    <w:rsid w:val="005E3CB5"/>
    <w:rsid w:val="005E645C"/>
    <w:rsid w:val="005E7A4E"/>
    <w:rsid w:val="005F0D9A"/>
    <w:rsid w:val="005F265C"/>
    <w:rsid w:val="005F328D"/>
    <w:rsid w:val="005F34DC"/>
    <w:rsid w:val="005F3DE4"/>
    <w:rsid w:val="005F3E1C"/>
    <w:rsid w:val="005F3F5F"/>
    <w:rsid w:val="005F472D"/>
    <w:rsid w:val="005F4F61"/>
    <w:rsid w:val="005F78D5"/>
    <w:rsid w:val="0060096E"/>
    <w:rsid w:val="00600A38"/>
    <w:rsid w:val="00600F75"/>
    <w:rsid w:val="006020B2"/>
    <w:rsid w:val="006026B5"/>
    <w:rsid w:val="00602AF5"/>
    <w:rsid w:val="00603A0D"/>
    <w:rsid w:val="00604420"/>
    <w:rsid w:val="00604D8B"/>
    <w:rsid w:val="0060572C"/>
    <w:rsid w:val="00605E01"/>
    <w:rsid w:val="00605FB4"/>
    <w:rsid w:val="00610392"/>
    <w:rsid w:val="006107B7"/>
    <w:rsid w:val="006130F4"/>
    <w:rsid w:val="00614329"/>
    <w:rsid w:val="006147E7"/>
    <w:rsid w:val="006148C0"/>
    <w:rsid w:val="0061506A"/>
    <w:rsid w:val="006156B1"/>
    <w:rsid w:val="00615D13"/>
    <w:rsid w:val="00615F86"/>
    <w:rsid w:val="00616603"/>
    <w:rsid w:val="00620A41"/>
    <w:rsid w:val="00621166"/>
    <w:rsid w:val="0062163B"/>
    <w:rsid w:val="00621C81"/>
    <w:rsid w:val="0062339E"/>
    <w:rsid w:val="00623D09"/>
    <w:rsid w:val="00623DFC"/>
    <w:rsid w:val="0062440C"/>
    <w:rsid w:val="00624524"/>
    <w:rsid w:val="0062472F"/>
    <w:rsid w:val="00625550"/>
    <w:rsid w:val="00626629"/>
    <w:rsid w:val="00627474"/>
    <w:rsid w:val="00627610"/>
    <w:rsid w:val="00630DA0"/>
    <w:rsid w:val="00632B09"/>
    <w:rsid w:val="00633555"/>
    <w:rsid w:val="00633D90"/>
    <w:rsid w:val="00633EC2"/>
    <w:rsid w:val="006347A2"/>
    <w:rsid w:val="00634E5B"/>
    <w:rsid w:val="00635711"/>
    <w:rsid w:val="00635DBA"/>
    <w:rsid w:val="00635EA4"/>
    <w:rsid w:val="00637445"/>
    <w:rsid w:val="00641F14"/>
    <w:rsid w:val="00642501"/>
    <w:rsid w:val="0064308A"/>
    <w:rsid w:val="00643FD1"/>
    <w:rsid w:val="00644099"/>
    <w:rsid w:val="00644E89"/>
    <w:rsid w:val="00645F55"/>
    <w:rsid w:val="00646A25"/>
    <w:rsid w:val="006476B7"/>
    <w:rsid w:val="006510E8"/>
    <w:rsid w:val="006516DC"/>
    <w:rsid w:val="00651C53"/>
    <w:rsid w:val="0065308D"/>
    <w:rsid w:val="00654004"/>
    <w:rsid w:val="0065443A"/>
    <w:rsid w:val="006600B9"/>
    <w:rsid w:val="0066164D"/>
    <w:rsid w:val="00661C1D"/>
    <w:rsid w:val="00661D5F"/>
    <w:rsid w:val="00662E06"/>
    <w:rsid w:val="00662FB6"/>
    <w:rsid w:val="00663CF3"/>
    <w:rsid w:val="00664193"/>
    <w:rsid w:val="006647FA"/>
    <w:rsid w:val="00664E12"/>
    <w:rsid w:val="0066518D"/>
    <w:rsid w:val="006653DB"/>
    <w:rsid w:val="00666349"/>
    <w:rsid w:val="006665F2"/>
    <w:rsid w:val="00666FE8"/>
    <w:rsid w:val="006671DE"/>
    <w:rsid w:val="006704EB"/>
    <w:rsid w:val="0067089D"/>
    <w:rsid w:val="00671C63"/>
    <w:rsid w:val="006723D5"/>
    <w:rsid w:val="006726D4"/>
    <w:rsid w:val="0067287C"/>
    <w:rsid w:val="00672D10"/>
    <w:rsid w:val="006733E5"/>
    <w:rsid w:val="006736C1"/>
    <w:rsid w:val="00674496"/>
    <w:rsid w:val="00674497"/>
    <w:rsid w:val="006744CD"/>
    <w:rsid w:val="0067499E"/>
    <w:rsid w:val="006756EF"/>
    <w:rsid w:val="00676BD2"/>
    <w:rsid w:val="00677784"/>
    <w:rsid w:val="0068018B"/>
    <w:rsid w:val="00680B45"/>
    <w:rsid w:val="006810F1"/>
    <w:rsid w:val="00681A38"/>
    <w:rsid w:val="00681D83"/>
    <w:rsid w:val="00682F92"/>
    <w:rsid w:val="006847D7"/>
    <w:rsid w:val="006856B6"/>
    <w:rsid w:val="0068609C"/>
    <w:rsid w:val="00686B0B"/>
    <w:rsid w:val="0068706D"/>
    <w:rsid w:val="006874D8"/>
    <w:rsid w:val="00687F19"/>
    <w:rsid w:val="00690638"/>
    <w:rsid w:val="00691076"/>
    <w:rsid w:val="00691098"/>
    <w:rsid w:val="00691980"/>
    <w:rsid w:val="00693E86"/>
    <w:rsid w:val="00694648"/>
    <w:rsid w:val="0069481D"/>
    <w:rsid w:val="00694B5F"/>
    <w:rsid w:val="00694C91"/>
    <w:rsid w:val="00695104"/>
    <w:rsid w:val="00696109"/>
    <w:rsid w:val="00696144"/>
    <w:rsid w:val="00696684"/>
    <w:rsid w:val="00696B27"/>
    <w:rsid w:val="006A10C7"/>
    <w:rsid w:val="006A10D8"/>
    <w:rsid w:val="006A10EF"/>
    <w:rsid w:val="006A1B03"/>
    <w:rsid w:val="006A2518"/>
    <w:rsid w:val="006A39AF"/>
    <w:rsid w:val="006A40CB"/>
    <w:rsid w:val="006A46F3"/>
    <w:rsid w:val="006A5308"/>
    <w:rsid w:val="006A577F"/>
    <w:rsid w:val="006A6B2B"/>
    <w:rsid w:val="006A753C"/>
    <w:rsid w:val="006B0351"/>
    <w:rsid w:val="006B0578"/>
    <w:rsid w:val="006B2A74"/>
    <w:rsid w:val="006B2C55"/>
    <w:rsid w:val="006B32A5"/>
    <w:rsid w:val="006B5339"/>
    <w:rsid w:val="006B5367"/>
    <w:rsid w:val="006B54DA"/>
    <w:rsid w:val="006B5D9B"/>
    <w:rsid w:val="006B5EF9"/>
    <w:rsid w:val="006B66C8"/>
    <w:rsid w:val="006B705F"/>
    <w:rsid w:val="006B7579"/>
    <w:rsid w:val="006B7FDD"/>
    <w:rsid w:val="006C012F"/>
    <w:rsid w:val="006C05A8"/>
    <w:rsid w:val="006C0731"/>
    <w:rsid w:val="006C1DF0"/>
    <w:rsid w:val="006C5277"/>
    <w:rsid w:val="006C61AA"/>
    <w:rsid w:val="006C6996"/>
    <w:rsid w:val="006D2000"/>
    <w:rsid w:val="006D3D6F"/>
    <w:rsid w:val="006D5E67"/>
    <w:rsid w:val="006D6704"/>
    <w:rsid w:val="006D693D"/>
    <w:rsid w:val="006E06DF"/>
    <w:rsid w:val="006E08DB"/>
    <w:rsid w:val="006E13F6"/>
    <w:rsid w:val="006E17C0"/>
    <w:rsid w:val="006E188C"/>
    <w:rsid w:val="006E190E"/>
    <w:rsid w:val="006E19E5"/>
    <w:rsid w:val="006E1FBF"/>
    <w:rsid w:val="006E37EA"/>
    <w:rsid w:val="006E3D4E"/>
    <w:rsid w:val="006E49ED"/>
    <w:rsid w:val="006E5612"/>
    <w:rsid w:val="006E56B3"/>
    <w:rsid w:val="006E6620"/>
    <w:rsid w:val="006E7385"/>
    <w:rsid w:val="006E7B1E"/>
    <w:rsid w:val="006F0A3E"/>
    <w:rsid w:val="006F1BBF"/>
    <w:rsid w:val="006F20E6"/>
    <w:rsid w:val="006F258F"/>
    <w:rsid w:val="006F2DED"/>
    <w:rsid w:val="006F3ACD"/>
    <w:rsid w:val="006F3E63"/>
    <w:rsid w:val="006F46C4"/>
    <w:rsid w:val="006F62AF"/>
    <w:rsid w:val="006F7536"/>
    <w:rsid w:val="0070173D"/>
    <w:rsid w:val="0070339D"/>
    <w:rsid w:val="007033FB"/>
    <w:rsid w:val="007040AD"/>
    <w:rsid w:val="00705C81"/>
    <w:rsid w:val="00705D76"/>
    <w:rsid w:val="0070660A"/>
    <w:rsid w:val="007068A4"/>
    <w:rsid w:val="00707CF0"/>
    <w:rsid w:val="00707F3F"/>
    <w:rsid w:val="00711531"/>
    <w:rsid w:val="00712C7E"/>
    <w:rsid w:val="00712D53"/>
    <w:rsid w:val="007132EF"/>
    <w:rsid w:val="007136B0"/>
    <w:rsid w:val="00714D93"/>
    <w:rsid w:val="00716395"/>
    <w:rsid w:val="00716C51"/>
    <w:rsid w:val="00716CC4"/>
    <w:rsid w:val="00716E17"/>
    <w:rsid w:val="007176FE"/>
    <w:rsid w:val="0071790B"/>
    <w:rsid w:val="00717D6B"/>
    <w:rsid w:val="00721CC5"/>
    <w:rsid w:val="00721D24"/>
    <w:rsid w:val="00721D81"/>
    <w:rsid w:val="00722543"/>
    <w:rsid w:val="007230A0"/>
    <w:rsid w:val="00723224"/>
    <w:rsid w:val="0072329B"/>
    <w:rsid w:val="00723C85"/>
    <w:rsid w:val="00725FB7"/>
    <w:rsid w:val="00726199"/>
    <w:rsid w:val="007272AF"/>
    <w:rsid w:val="007272F7"/>
    <w:rsid w:val="00730B1B"/>
    <w:rsid w:val="007312DA"/>
    <w:rsid w:val="0073162E"/>
    <w:rsid w:val="00731D13"/>
    <w:rsid w:val="00732771"/>
    <w:rsid w:val="007349FD"/>
    <w:rsid w:val="00734A42"/>
    <w:rsid w:val="00737C5E"/>
    <w:rsid w:val="00737D64"/>
    <w:rsid w:val="00740DCB"/>
    <w:rsid w:val="007424E4"/>
    <w:rsid w:val="00742777"/>
    <w:rsid w:val="00742D47"/>
    <w:rsid w:val="00743AB1"/>
    <w:rsid w:val="00743E21"/>
    <w:rsid w:val="0074550E"/>
    <w:rsid w:val="00745A35"/>
    <w:rsid w:val="00745A48"/>
    <w:rsid w:val="00745B06"/>
    <w:rsid w:val="00745C40"/>
    <w:rsid w:val="007471FA"/>
    <w:rsid w:val="00747369"/>
    <w:rsid w:val="007473D8"/>
    <w:rsid w:val="00747C72"/>
    <w:rsid w:val="007500CF"/>
    <w:rsid w:val="00750850"/>
    <w:rsid w:val="00750D66"/>
    <w:rsid w:val="00751160"/>
    <w:rsid w:val="00752854"/>
    <w:rsid w:val="007535AE"/>
    <w:rsid w:val="00754C61"/>
    <w:rsid w:val="00754F7F"/>
    <w:rsid w:val="00755347"/>
    <w:rsid w:val="00755C51"/>
    <w:rsid w:val="00755C99"/>
    <w:rsid w:val="00756853"/>
    <w:rsid w:val="007568B6"/>
    <w:rsid w:val="007571A1"/>
    <w:rsid w:val="00757DCD"/>
    <w:rsid w:val="00760288"/>
    <w:rsid w:val="00760490"/>
    <w:rsid w:val="00760A2B"/>
    <w:rsid w:val="007618D8"/>
    <w:rsid w:val="0076208F"/>
    <w:rsid w:val="007625DB"/>
    <w:rsid w:val="00762EF7"/>
    <w:rsid w:val="00763199"/>
    <w:rsid w:val="0076430C"/>
    <w:rsid w:val="00764A1D"/>
    <w:rsid w:val="00764DD4"/>
    <w:rsid w:val="00764F2B"/>
    <w:rsid w:val="00765C55"/>
    <w:rsid w:val="007666F9"/>
    <w:rsid w:val="007709DA"/>
    <w:rsid w:val="00770ABF"/>
    <w:rsid w:val="00770BAD"/>
    <w:rsid w:val="007719B5"/>
    <w:rsid w:val="00771D46"/>
    <w:rsid w:val="00772869"/>
    <w:rsid w:val="00772C02"/>
    <w:rsid w:val="00772F8D"/>
    <w:rsid w:val="00773132"/>
    <w:rsid w:val="00773831"/>
    <w:rsid w:val="00773B01"/>
    <w:rsid w:val="00774875"/>
    <w:rsid w:val="00774E2D"/>
    <w:rsid w:val="00774F6E"/>
    <w:rsid w:val="007802A7"/>
    <w:rsid w:val="00780F12"/>
    <w:rsid w:val="007813CF"/>
    <w:rsid w:val="0078213C"/>
    <w:rsid w:val="0078237E"/>
    <w:rsid w:val="00782936"/>
    <w:rsid w:val="0078381E"/>
    <w:rsid w:val="007844C8"/>
    <w:rsid w:val="0078470F"/>
    <w:rsid w:val="007855F1"/>
    <w:rsid w:val="00785690"/>
    <w:rsid w:val="007903F8"/>
    <w:rsid w:val="00790432"/>
    <w:rsid w:val="007904B9"/>
    <w:rsid w:val="007907E1"/>
    <w:rsid w:val="00790808"/>
    <w:rsid w:val="00790FA5"/>
    <w:rsid w:val="00791822"/>
    <w:rsid w:val="007930D5"/>
    <w:rsid w:val="007936DC"/>
    <w:rsid w:val="007936EA"/>
    <w:rsid w:val="007971A4"/>
    <w:rsid w:val="007974FA"/>
    <w:rsid w:val="00797555"/>
    <w:rsid w:val="00797F1D"/>
    <w:rsid w:val="007A0AC9"/>
    <w:rsid w:val="007A1FAF"/>
    <w:rsid w:val="007A2F88"/>
    <w:rsid w:val="007A3752"/>
    <w:rsid w:val="007A38B9"/>
    <w:rsid w:val="007A427A"/>
    <w:rsid w:val="007A45AA"/>
    <w:rsid w:val="007A4B5E"/>
    <w:rsid w:val="007A59E3"/>
    <w:rsid w:val="007A5F57"/>
    <w:rsid w:val="007A6174"/>
    <w:rsid w:val="007A6A9E"/>
    <w:rsid w:val="007A7059"/>
    <w:rsid w:val="007B13EC"/>
    <w:rsid w:val="007B233C"/>
    <w:rsid w:val="007B2825"/>
    <w:rsid w:val="007B31B9"/>
    <w:rsid w:val="007B462B"/>
    <w:rsid w:val="007B57F4"/>
    <w:rsid w:val="007B78B0"/>
    <w:rsid w:val="007B7E15"/>
    <w:rsid w:val="007C0309"/>
    <w:rsid w:val="007C03E0"/>
    <w:rsid w:val="007C0935"/>
    <w:rsid w:val="007C1BF5"/>
    <w:rsid w:val="007C1F01"/>
    <w:rsid w:val="007C27E1"/>
    <w:rsid w:val="007C31F9"/>
    <w:rsid w:val="007C3DE6"/>
    <w:rsid w:val="007C4012"/>
    <w:rsid w:val="007C460F"/>
    <w:rsid w:val="007C49DF"/>
    <w:rsid w:val="007C4CB0"/>
    <w:rsid w:val="007C57AA"/>
    <w:rsid w:val="007D2649"/>
    <w:rsid w:val="007D269D"/>
    <w:rsid w:val="007D3189"/>
    <w:rsid w:val="007D4838"/>
    <w:rsid w:val="007D51D1"/>
    <w:rsid w:val="007D548E"/>
    <w:rsid w:val="007D6896"/>
    <w:rsid w:val="007D7E77"/>
    <w:rsid w:val="007E022F"/>
    <w:rsid w:val="007E0419"/>
    <w:rsid w:val="007E0A1D"/>
    <w:rsid w:val="007E19D9"/>
    <w:rsid w:val="007E3F20"/>
    <w:rsid w:val="007E4803"/>
    <w:rsid w:val="007E4E45"/>
    <w:rsid w:val="007E61C8"/>
    <w:rsid w:val="007E62E8"/>
    <w:rsid w:val="007E6894"/>
    <w:rsid w:val="007E7E6F"/>
    <w:rsid w:val="007F0E76"/>
    <w:rsid w:val="007F1A84"/>
    <w:rsid w:val="007F411B"/>
    <w:rsid w:val="007F4373"/>
    <w:rsid w:val="007F5CC6"/>
    <w:rsid w:val="007F5DA7"/>
    <w:rsid w:val="007F6DD8"/>
    <w:rsid w:val="007F7A3F"/>
    <w:rsid w:val="00800E1B"/>
    <w:rsid w:val="008011CA"/>
    <w:rsid w:val="00802115"/>
    <w:rsid w:val="0080297F"/>
    <w:rsid w:val="00802AEB"/>
    <w:rsid w:val="00804AA7"/>
    <w:rsid w:val="008050D4"/>
    <w:rsid w:val="00805C97"/>
    <w:rsid w:val="00807409"/>
    <w:rsid w:val="00810D7D"/>
    <w:rsid w:val="0081224C"/>
    <w:rsid w:val="008122F0"/>
    <w:rsid w:val="0081255C"/>
    <w:rsid w:val="008130BC"/>
    <w:rsid w:val="008139AE"/>
    <w:rsid w:val="00814482"/>
    <w:rsid w:val="00814613"/>
    <w:rsid w:val="00815814"/>
    <w:rsid w:val="0081713C"/>
    <w:rsid w:val="00817A3E"/>
    <w:rsid w:val="00817E38"/>
    <w:rsid w:val="008203A0"/>
    <w:rsid w:val="0082098C"/>
    <w:rsid w:val="00821049"/>
    <w:rsid w:val="008221ED"/>
    <w:rsid w:val="0082324A"/>
    <w:rsid w:val="00823410"/>
    <w:rsid w:val="00823934"/>
    <w:rsid w:val="00823C0E"/>
    <w:rsid w:val="00825C04"/>
    <w:rsid w:val="00825FD1"/>
    <w:rsid w:val="0082732D"/>
    <w:rsid w:val="00827D38"/>
    <w:rsid w:val="00830D77"/>
    <w:rsid w:val="00833F56"/>
    <w:rsid w:val="00834226"/>
    <w:rsid w:val="00835041"/>
    <w:rsid w:val="00835338"/>
    <w:rsid w:val="00837C25"/>
    <w:rsid w:val="00837CF8"/>
    <w:rsid w:val="0084055A"/>
    <w:rsid w:val="008409F6"/>
    <w:rsid w:val="00841666"/>
    <w:rsid w:val="0084180C"/>
    <w:rsid w:val="00842054"/>
    <w:rsid w:val="00842DBE"/>
    <w:rsid w:val="00843E13"/>
    <w:rsid w:val="00844277"/>
    <w:rsid w:val="00844DE2"/>
    <w:rsid w:val="00844E9F"/>
    <w:rsid w:val="008477BC"/>
    <w:rsid w:val="008477D1"/>
    <w:rsid w:val="008500B8"/>
    <w:rsid w:val="00853B3C"/>
    <w:rsid w:val="00853BF2"/>
    <w:rsid w:val="008579B9"/>
    <w:rsid w:val="00857D81"/>
    <w:rsid w:val="00860125"/>
    <w:rsid w:val="00860281"/>
    <w:rsid w:val="00864DFD"/>
    <w:rsid w:val="00864EE5"/>
    <w:rsid w:val="0086594A"/>
    <w:rsid w:val="008659FF"/>
    <w:rsid w:val="00870BED"/>
    <w:rsid w:val="00871639"/>
    <w:rsid w:val="008722A9"/>
    <w:rsid w:val="00872B76"/>
    <w:rsid w:val="00874032"/>
    <w:rsid w:val="008742D4"/>
    <w:rsid w:val="00875160"/>
    <w:rsid w:val="00877D18"/>
    <w:rsid w:val="0088034E"/>
    <w:rsid w:val="0088059E"/>
    <w:rsid w:val="00880A20"/>
    <w:rsid w:val="00881014"/>
    <w:rsid w:val="00881613"/>
    <w:rsid w:val="008819D7"/>
    <w:rsid w:val="00882328"/>
    <w:rsid w:val="00882CE4"/>
    <w:rsid w:val="008842B3"/>
    <w:rsid w:val="00884581"/>
    <w:rsid w:val="008848A4"/>
    <w:rsid w:val="00885487"/>
    <w:rsid w:val="0088623C"/>
    <w:rsid w:val="00887001"/>
    <w:rsid w:val="008875EC"/>
    <w:rsid w:val="008876A1"/>
    <w:rsid w:val="00887A30"/>
    <w:rsid w:val="0089204A"/>
    <w:rsid w:val="008925C1"/>
    <w:rsid w:val="00892823"/>
    <w:rsid w:val="00892E73"/>
    <w:rsid w:val="00893590"/>
    <w:rsid w:val="00893596"/>
    <w:rsid w:val="00893C65"/>
    <w:rsid w:val="008946D9"/>
    <w:rsid w:val="00894794"/>
    <w:rsid w:val="0089578A"/>
    <w:rsid w:val="00895FEA"/>
    <w:rsid w:val="00896309"/>
    <w:rsid w:val="00896CB1"/>
    <w:rsid w:val="00896D30"/>
    <w:rsid w:val="008973DD"/>
    <w:rsid w:val="008977E0"/>
    <w:rsid w:val="00897C4E"/>
    <w:rsid w:val="008A084B"/>
    <w:rsid w:val="008A0BEC"/>
    <w:rsid w:val="008A1976"/>
    <w:rsid w:val="008A3A8C"/>
    <w:rsid w:val="008A44AB"/>
    <w:rsid w:val="008A5646"/>
    <w:rsid w:val="008A60BD"/>
    <w:rsid w:val="008A646C"/>
    <w:rsid w:val="008A6591"/>
    <w:rsid w:val="008A68A6"/>
    <w:rsid w:val="008A6CCF"/>
    <w:rsid w:val="008A7BCB"/>
    <w:rsid w:val="008B0347"/>
    <w:rsid w:val="008B20D8"/>
    <w:rsid w:val="008B2C6E"/>
    <w:rsid w:val="008B37D1"/>
    <w:rsid w:val="008B4609"/>
    <w:rsid w:val="008B4713"/>
    <w:rsid w:val="008B4CFE"/>
    <w:rsid w:val="008B6593"/>
    <w:rsid w:val="008B7D9A"/>
    <w:rsid w:val="008C0275"/>
    <w:rsid w:val="008C06ED"/>
    <w:rsid w:val="008C1255"/>
    <w:rsid w:val="008C2893"/>
    <w:rsid w:val="008C2B3A"/>
    <w:rsid w:val="008C2DDF"/>
    <w:rsid w:val="008C382F"/>
    <w:rsid w:val="008C4945"/>
    <w:rsid w:val="008C594C"/>
    <w:rsid w:val="008C59D3"/>
    <w:rsid w:val="008C6AC6"/>
    <w:rsid w:val="008C6DBE"/>
    <w:rsid w:val="008D049E"/>
    <w:rsid w:val="008D08B1"/>
    <w:rsid w:val="008D1ADD"/>
    <w:rsid w:val="008D33DB"/>
    <w:rsid w:val="008D3CBB"/>
    <w:rsid w:val="008D489B"/>
    <w:rsid w:val="008D5020"/>
    <w:rsid w:val="008D6086"/>
    <w:rsid w:val="008D6221"/>
    <w:rsid w:val="008D6FA8"/>
    <w:rsid w:val="008E0008"/>
    <w:rsid w:val="008E111A"/>
    <w:rsid w:val="008E1189"/>
    <w:rsid w:val="008E1259"/>
    <w:rsid w:val="008E265B"/>
    <w:rsid w:val="008E31C0"/>
    <w:rsid w:val="008E3C48"/>
    <w:rsid w:val="008E3C68"/>
    <w:rsid w:val="008E4E76"/>
    <w:rsid w:val="008E5C69"/>
    <w:rsid w:val="008E65EC"/>
    <w:rsid w:val="008E6792"/>
    <w:rsid w:val="008E7021"/>
    <w:rsid w:val="008E7ED9"/>
    <w:rsid w:val="008F0C15"/>
    <w:rsid w:val="008F1365"/>
    <w:rsid w:val="008F1512"/>
    <w:rsid w:val="008F1903"/>
    <w:rsid w:val="008F28AA"/>
    <w:rsid w:val="008F385E"/>
    <w:rsid w:val="008F5A54"/>
    <w:rsid w:val="008F5C39"/>
    <w:rsid w:val="008F5D8C"/>
    <w:rsid w:val="008F63D2"/>
    <w:rsid w:val="008F6C65"/>
    <w:rsid w:val="00900279"/>
    <w:rsid w:val="009009D3"/>
    <w:rsid w:val="0090149D"/>
    <w:rsid w:val="00901BC8"/>
    <w:rsid w:val="009027B1"/>
    <w:rsid w:val="00902A61"/>
    <w:rsid w:val="00902D57"/>
    <w:rsid w:val="00903801"/>
    <w:rsid w:val="009041D4"/>
    <w:rsid w:val="00905320"/>
    <w:rsid w:val="00905904"/>
    <w:rsid w:val="00906B8F"/>
    <w:rsid w:val="00907CB6"/>
    <w:rsid w:val="009100A1"/>
    <w:rsid w:val="009102B6"/>
    <w:rsid w:val="009102F3"/>
    <w:rsid w:val="009106B7"/>
    <w:rsid w:val="00910D50"/>
    <w:rsid w:val="0091102A"/>
    <w:rsid w:val="009113B6"/>
    <w:rsid w:val="009119E7"/>
    <w:rsid w:val="009131EA"/>
    <w:rsid w:val="00913747"/>
    <w:rsid w:val="00913E62"/>
    <w:rsid w:val="00914157"/>
    <w:rsid w:val="00914B70"/>
    <w:rsid w:val="00914D00"/>
    <w:rsid w:val="00916340"/>
    <w:rsid w:val="00917B17"/>
    <w:rsid w:val="00920CBB"/>
    <w:rsid w:val="009215B3"/>
    <w:rsid w:val="0092176E"/>
    <w:rsid w:val="00921771"/>
    <w:rsid w:val="00921855"/>
    <w:rsid w:val="00923804"/>
    <w:rsid w:val="009239A8"/>
    <w:rsid w:val="00924006"/>
    <w:rsid w:val="009250CC"/>
    <w:rsid w:val="009250E4"/>
    <w:rsid w:val="00925B70"/>
    <w:rsid w:val="00925D5A"/>
    <w:rsid w:val="009263DA"/>
    <w:rsid w:val="009269D9"/>
    <w:rsid w:val="00927530"/>
    <w:rsid w:val="0093028F"/>
    <w:rsid w:val="009311BF"/>
    <w:rsid w:val="00931895"/>
    <w:rsid w:val="009339B3"/>
    <w:rsid w:val="00934DF3"/>
    <w:rsid w:val="00934ED4"/>
    <w:rsid w:val="009359C1"/>
    <w:rsid w:val="00936246"/>
    <w:rsid w:val="00936BB8"/>
    <w:rsid w:val="00937A5C"/>
    <w:rsid w:val="009407CC"/>
    <w:rsid w:val="0094119C"/>
    <w:rsid w:val="00941460"/>
    <w:rsid w:val="009416A8"/>
    <w:rsid w:val="009422E8"/>
    <w:rsid w:val="00943EB7"/>
    <w:rsid w:val="00944BB1"/>
    <w:rsid w:val="00947807"/>
    <w:rsid w:val="00947CF9"/>
    <w:rsid w:val="00951727"/>
    <w:rsid w:val="00951F8F"/>
    <w:rsid w:val="00954165"/>
    <w:rsid w:val="00955535"/>
    <w:rsid w:val="00955EEC"/>
    <w:rsid w:val="00956106"/>
    <w:rsid w:val="009568E6"/>
    <w:rsid w:val="0095690D"/>
    <w:rsid w:val="00960C65"/>
    <w:rsid w:val="00960CD9"/>
    <w:rsid w:val="00960E15"/>
    <w:rsid w:val="009615D9"/>
    <w:rsid w:val="00961831"/>
    <w:rsid w:val="0096221C"/>
    <w:rsid w:val="00962495"/>
    <w:rsid w:val="009647EF"/>
    <w:rsid w:val="009670ED"/>
    <w:rsid w:val="00967352"/>
    <w:rsid w:val="00967700"/>
    <w:rsid w:val="0096771D"/>
    <w:rsid w:val="00967DB9"/>
    <w:rsid w:val="00970120"/>
    <w:rsid w:val="00970E0E"/>
    <w:rsid w:val="00971384"/>
    <w:rsid w:val="00971916"/>
    <w:rsid w:val="00971EAA"/>
    <w:rsid w:val="00972013"/>
    <w:rsid w:val="00973749"/>
    <w:rsid w:val="00974546"/>
    <w:rsid w:val="0097537A"/>
    <w:rsid w:val="00975419"/>
    <w:rsid w:val="00975464"/>
    <w:rsid w:val="00975672"/>
    <w:rsid w:val="0097685F"/>
    <w:rsid w:val="0098056A"/>
    <w:rsid w:val="009806FE"/>
    <w:rsid w:val="009816D9"/>
    <w:rsid w:val="009818C1"/>
    <w:rsid w:val="00981A95"/>
    <w:rsid w:val="00981D12"/>
    <w:rsid w:val="00983221"/>
    <w:rsid w:val="0098329F"/>
    <w:rsid w:val="00984000"/>
    <w:rsid w:val="009843FC"/>
    <w:rsid w:val="00985ECF"/>
    <w:rsid w:val="00986A3E"/>
    <w:rsid w:val="009870C7"/>
    <w:rsid w:val="009902FB"/>
    <w:rsid w:val="0099063B"/>
    <w:rsid w:val="0099116A"/>
    <w:rsid w:val="00991417"/>
    <w:rsid w:val="00991503"/>
    <w:rsid w:val="00992311"/>
    <w:rsid w:val="0099271E"/>
    <w:rsid w:val="00992C09"/>
    <w:rsid w:val="00993279"/>
    <w:rsid w:val="00993604"/>
    <w:rsid w:val="00994FDE"/>
    <w:rsid w:val="00995928"/>
    <w:rsid w:val="00995F70"/>
    <w:rsid w:val="009964C4"/>
    <w:rsid w:val="009968A9"/>
    <w:rsid w:val="00997029"/>
    <w:rsid w:val="009973BB"/>
    <w:rsid w:val="009979EA"/>
    <w:rsid w:val="009A01DD"/>
    <w:rsid w:val="009A0E02"/>
    <w:rsid w:val="009A28C4"/>
    <w:rsid w:val="009A36FE"/>
    <w:rsid w:val="009A4126"/>
    <w:rsid w:val="009A48AF"/>
    <w:rsid w:val="009A6664"/>
    <w:rsid w:val="009A786A"/>
    <w:rsid w:val="009B15F0"/>
    <w:rsid w:val="009B1E7B"/>
    <w:rsid w:val="009B20FF"/>
    <w:rsid w:val="009B2A02"/>
    <w:rsid w:val="009B2A70"/>
    <w:rsid w:val="009B572B"/>
    <w:rsid w:val="009B5D14"/>
    <w:rsid w:val="009B6080"/>
    <w:rsid w:val="009B695D"/>
    <w:rsid w:val="009B71DA"/>
    <w:rsid w:val="009B756F"/>
    <w:rsid w:val="009C0D73"/>
    <w:rsid w:val="009C11A8"/>
    <w:rsid w:val="009C3E8F"/>
    <w:rsid w:val="009C44D2"/>
    <w:rsid w:val="009C4DA6"/>
    <w:rsid w:val="009C514B"/>
    <w:rsid w:val="009C52C5"/>
    <w:rsid w:val="009C7253"/>
    <w:rsid w:val="009C796C"/>
    <w:rsid w:val="009C7D7A"/>
    <w:rsid w:val="009C7D96"/>
    <w:rsid w:val="009D176A"/>
    <w:rsid w:val="009D256C"/>
    <w:rsid w:val="009D39E9"/>
    <w:rsid w:val="009D3A7E"/>
    <w:rsid w:val="009D406F"/>
    <w:rsid w:val="009D46A1"/>
    <w:rsid w:val="009D4A03"/>
    <w:rsid w:val="009D506D"/>
    <w:rsid w:val="009D5FBF"/>
    <w:rsid w:val="009E1C4C"/>
    <w:rsid w:val="009E2240"/>
    <w:rsid w:val="009E29A8"/>
    <w:rsid w:val="009E3E09"/>
    <w:rsid w:val="009E4001"/>
    <w:rsid w:val="009E48CC"/>
    <w:rsid w:val="009E5B01"/>
    <w:rsid w:val="009F0055"/>
    <w:rsid w:val="009F113B"/>
    <w:rsid w:val="009F2064"/>
    <w:rsid w:val="009F2164"/>
    <w:rsid w:val="009F2CF8"/>
    <w:rsid w:val="009F33CE"/>
    <w:rsid w:val="009F3D24"/>
    <w:rsid w:val="009F3E85"/>
    <w:rsid w:val="009F4552"/>
    <w:rsid w:val="009F5866"/>
    <w:rsid w:val="009F587C"/>
    <w:rsid w:val="009F628B"/>
    <w:rsid w:val="009F6D38"/>
    <w:rsid w:val="009F70D5"/>
    <w:rsid w:val="00A01176"/>
    <w:rsid w:val="00A02C34"/>
    <w:rsid w:val="00A03F0D"/>
    <w:rsid w:val="00A0458E"/>
    <w:rsid w:val="00A04F33"/>
    <w:rsid w:val="00A0612A"/>
    <w:rsid w:val="00A070EA"/>
    <w:rsid w:val="00A0748F"/>
    <w:rsid w:val="00A0753F"/>
    <w:rsid w:val="00A07754"/>
    <w:rsid w:val="00A10C44"/>
    <w:rsid w:val="00A10F8C"/>
    <w:rsid w:val="00A117A1"/>
    <w:rsid w:val="00A11FFF"/>
    <w:rsid w:val="00A12A65"/>
    <w:rsid w:val="00A12B90"/>
    <w:rsid w:val="00A12DA2"/>
    <w:rsid w:val="00A13A72"/>
    <w:rsid w:val="00A15A35"/>
    <w:rsid w:val="00A16338"/>
    <w:rsid w:val="00A168AC"/>
    <w:rsid w:val="00A20282"/>
    <w:rsid w:val="00A202C8"/>
    <w:rsid w:val="00A202D9"/>
    <w:rsid w:val="00A208DF"/>
    <w:rsid w:val="00A2121E"/>
    <w:rsid w:val="00A21AA1"/>
    <w:rsid w:val="00A21C4D"/>
    <w:rsid w:val="00A21C7D"/>
    <w:rsid w:val="00A223FD"/>
    <w:rsid w:val="00A22490"/>
    <w:rsid w:val="00A22EC8"/>
    <w:rsid w:val="00A2338A"/>
    <w:rsid w:val="00A24C2E"/>
    <w:rsid w:val="00A25559"/>
    <w:rsid w:val="00A25C50"/>
    <w:rsid w:val="00A2784A"/>
    <w:rsid w:val="00A27CB5"/>
    <w:rsid w:val="00A3003E"/>
    <w:rsid w:val="00A3093E"/>
    <w:rsid w:val="00A3095C"/>
    <w:rsid w:val="00A30CD0"/>
    <w:rsid w:val="00A312FE"/>
    <w:rsid w:val="00A3196C"/>
    <w:rsid w:val="00A31CD2"/>
    <w:rsid w:val="00A31CD8"/>
    <w:rsid w:val="00A328EB"/>
    <w:rsid w:val="00A32B6C"/>
    <w:rsid w:val="00A33D86"/>
    <w:rsid w:val="00A34848"/>
    <w:rsid w:val="00A34E38"/>
    <w:rsid w:val="00A35020"/>
    <w:rsid w:val="00A35F68"/>
    <w:rsid w:val="00A3734F"/>
    <w:rsid w:val="00A374B9"/>
    <w:rsid w:val="00A37FDE"/>
    <w:rsid w:val="00A40184"/>
    <w:rsid w:val="00A4065C"/>
    <w:rsid w:val="00A4174E"/>
    <w:rsid w:val="00A41B9C"/>
    <w:rsid w:val="00A42695"/>
    <w:rsid w:val="00A42D81"/>
    <w:rsid w:val="00A443A9"/>
    <w:rsid w:val="00A444D0"/>
    <w:rsid w:val="00A44AC4"/>
    <w:rsid w:val="00A450FD"/>
    <w:rsid w:val="00A45114"/>
    <w:rsid w:val="00A45AC9"/>
    <w:rsid w:val="00A4620E"/>
    <w:rsid w:val="00A467FD"/>
    <w:rsid w:val="00A46894"/>
    <w:rsid w:val="00A501B7"/>
    <w:rsid w:val="00A50BD4"/>
    <w:rsid w:val="00A516DD"/>
    <w:rsid w:val="00A51E34"/>
    <w:rsid w:val="00A52588"/>
    <w:rsid w:val="00A567D2"/>
    <w:rsid w:val="00A572A2"/>
    <w:rsid w:val="00A6010A"/>
    <w:rsid w:val="00A605F8"/>
    <w:rsid w:val="00A60EE0"/>
    <w:rsid w:val="00A61456"/>
    <w:rsid w:val="00A6193F"/>
    <w:rsid w:val="00A629C1"/>
    <w:rsid w:val="00A62A44"/>
    <w:rsid w:val="00A62B99"/>
    <w:rsid w:val="00A632EB"/>
    <w:rsid w:val="00A632FE"/>
    <w:rsid w:val="00A63AD6"/>
    <w:rsid w:val="00A64448"/>
    <w:rsid w:val="00A64BD8"/>
    <w:rsid w:val="00A64FBA"/>
    <w:rsid w:val="00A64FCD"/>
    <w:rsid w:val="00A659F2"/>
    <w:rsid w:val="00A65BEE"/>
    <w:rsid w:val="00A67496"/>
    <w:rsid w:val="00A67AF8"/>
    <w:rsid w:val="00A705DC"/>
    <w:rsid w:val="00A70F7E"/>
    <w:rsid w:val="00A71179"/>
    <w:rsid w:val="00A715E1"/>
    <w:rsid w:val="00A71CD7"/>
    <w:rsid w:val="00A72559"/>
    <w:rsid w:val="00A72866"/>
    <w:rsid w:val="00A75B6D"/>
    <w:rsid w:val="00A75FDF"/>
    <w:rsid w:val="00A76242"/>
    <w:rsid w:val="00A76347"/>
    <w:rsid w:val="00A7657F"/>
    <w:rsid w:val="00A76874"/>
    <w:rsid w:val="00A77171"/>
    <w:rsid w:val="00A7793E"/>
    <w:rsid w:val="00A77B5C"/>
    <w:rsid w:val="00A807C2"/>
    <w:rsid w:val="00A81149"/>
    <w:rsid w:val="00A81926"/>
    <w:rsid w:val="00A81E2D"/>
    <w:rsid w:val="00A82819"/>
    <w:rsid w:val="00A8392C"/>
    <w:rsid w:val="00A84379"/>
    <w:rsid w:val="00A845F6"/>
    <w:rsid w:val="00A84C32"/>
    <w:rsid w:val="00A858B6"/>
    <w:rsid w:val="00A858E9"/>
    <w:rsid w:val="00A86180"/>
    <w:rsid w:val="00A86990"/>
    <w:rsid w:val="00A86C04"/>
    <w:rsid w:val="00A9048C"/>
    <w:rsid w:val="00A91899"/>
    <w:rsid w:val="00A91B2B"/>
    <w:rsid w:val="00A931B2"/>
    <w:rsid w:val="00A93736"/>
    <w:rsid w:val="00A93CA9"/>
    <w:rsid w:val="00A94933"/>
    <w:rsid w:val="00A94E4F"/>
    <w:rsid w:val="00A952A6"/>
    <w:rsid w:val="00A957A7"/>
    <w:rsid w:val="00A95C8D"/>
    <w:rsid w:val="00A96147"/>
    <w:rsid w:val="00A96E07"/>
    <w:rsid w:val="00A96E12"/>
    <w:rsid w:val="00A972C5"/>
    <w:rsid w:val="00AA0587"/>
    <w:rsid w:val="00AA0801"/>
    <w:rsid w:val="00AA0DE8"/>
    <w:rsid w:val="00AA273D"/>
    <w:rsid w:val="00AA2CC1"/>
    <w:rsid w:val="00AA2EFA"/>
    <w:rsid w:val="00AA3951"/>
    <w:rsid w:val="00AA3ADB"/>
    <w:rsid w:val="00AA441B"/>
    <w:rsid w:val="00AB1091"/>
    <w:rsid w:val="00AB1E5B"/>
    <w:rsid w:val="00AB227C"/>
    <w:rsid w:val="00AB2B6F"/>
    <w:rsid w:val="00AB3477"/>
    <w:rsid w:val="00AB357C"/>
    <w:rsid w:val="00AB44E6"/>
    <w:rsid w:val="00AB4A2B"/>
    <w:rsid w:val="00AB572F"/>
    <w:rsid w:val="00AB60CD"/>
    <w:rsid w:val="00AB6F2C"/>
    <w:rsid w:val="00AB7B80"/>
    <w:rsid w:val="00AC048B"/>
    <w:rsid w:val="00AC1C9C"/>
    <w:rsid w:val="00AC267E"/>
    <w:rsid w:val="00AC3246"/>
    <w:rsid w:val="00AC36A0"/>
    <w:rsid w:val="00AC399B"/>
    <w:rsid w:val="00AC47E1"/>
    <w:rsid w:val="00AC4AC9"/>
    <w:rsid w:val="00AC4EE1"/>
    <w:rsid w:val="00AC50A4"/>
    <w:rsid w:val="00AC6335"/>
    <w:rsid w:val="00AC6A0C"/>
    <w:rsid w:val="00AC7020"/>
    <w:rsid w:val="00AD0CC2"/>
    <w:rsid w:val="00AD12F6"/>
    <w:rsid w:val="00AD15B0"/>
    <w:rsid w:val="00AD1CBD"/>
    <w:rsid w:val="00AD1D1A"/>
    <w:rsid w:val="00AD1E38"/>
    <w:rsid w:val="00AD221E"/>
    <w:rsid w:val="00AD2DB6"/>
    <w:rsid w:val="00AD307C"/>
    <w:rsid w:val="00AD30C8"/>
    <w:rsid w:val="00AD34D4"/>
    <w:rsid w:val="00AD3D94"/>
    <w:rsid w:val="00AD41CC"/>
    <w:rsid w:val="00AD4205"/>
    <w:rsid w:val="00AD46EE"/>
    <w:rsid w:val="00AD50CD"/>
    <w:rsid w:val="00AD5273"/>
    <w:rsid w:val="00AD6858"/>
    <w:rsid w:val="00AD74D5"/>
    <w:rsid w:val="00AD763C"/>
    <w:rsid w:val="00AE0D5E"/>
    <w:rsid w:val="00AE22CE"/>
    <w:rsid w:val="00AE2C01"/>
    <w:rsid w:val="00AE3804"/>
    <w:rsid w:val="00AE3CBE"/>
    <w:rsid w:val="00AE5C9B"/>
    <w:rsid w:val="00AE6772"/>
    <w:rsid w:val="00AE79E0"/>
    <w:rsid w:val="00AE7D55"/>
    <w:rsid w:val="00AF0194"/>
    <w:rsid w:val="00AF0580"/>
    <w:rsid w:val="00AF06CF"/>
    <w:rsid w:val="00AF1302"/>
    <w:rsid w:val="00AF1827"/>
    <w:rsid w:val="00AF2006"/>
    <w:rsid w:val="00AF208F"/>
    <w:rsid w:val="00AF26A1"/>
    <w:rsid w:val="00AF3DAD"/>
    <w:rsid w:val="00AF5BD3"/>
    <w:rsid w:val="00AF5E95"/>
    <w:rsid w:val="00AF7329"/>
    <w:rsid w:val="00B0068A"/>
    <w:rsid w:val="00B00F74"/>
    <w:rsid w:val="00B02336"/>
    <w:rsid w:val="00B02486"/>
    <w:rsid w:val="00B04C8D"/>
    <w:rsid w:val="00B04D5F"/>
    <w:rsid w:val="00B05154"/>
    <w:rsid w:val="00B0534F"/>
    <w:rsid w:val="00B05DCC"/>
    <w:rsid w:val="00B12215"/>
    <w:rsid w:val="00B12BE1"/>
    <w:rsid w:val="00B13674"/>
    <w:rsid w:val="00B13953"/>
    <w:rsid w:val="00B16A4F"/>
    <w:rsid w:val="00B16DEE"/>
    <w:rsid w:val="00B17192"/>
    <w:rsid w:val="00B208E7"/>
    <w:rsid w:val="00B2316F"/>
    <w:rsid w:val="00B232AF"/>
    <w:rsid w:val="00B23F83"/>
    <w:rsid w:val="00B2454B"/>
    <w:rsid w:val="00B24814"/>
    <w:rsid w:val="00B2524B"/>
    <w:rsid w:val="00B2573C"/>
    <w:rsid w:val="00B25DE3"/>
    <w:rsid w:val="00B2626F"/>
    <w:rsid w:val="00B26F34"/>
    <w:rsid w:val="00B27682"/>
    <w:rsid w:val="00B319D1"/>
    <w:rsid w:val="00B330C3"/>
    <w:rsid w:val="00B336C1"/>
    <w:rsid w:val="00B34A54"/>
    <w:rsid w:val="00B34D79"/>
    <w:rsid w:val="00B36C44"/>
    <w:rsid w:val="00B379A1"/>
    <w:rsid w:val="00B37C87"/>
    <w:rsid w:val="00B4003E"/>
    <w:rsid w:val="00B400EF"/>
    <w:rsid w:val="00B41572"/>
    <w:rsid w:val="00B42D59"/>
    <w:rsid w:val="00B4334D"/>
    <w:rsid w:val="00B45C0B"/>
    <w:rsid w:val="00B45C89"/>
    <w:rsid w:val="00B47177"/>
    <w:rsid w:val="00B47A2D"/>
    <w:rsid w:val="00B5021E"/>
    <w:rsid w:val="00B502E8"/>
    <w:rsid w:val="00B5056D"/>
    <w:rsid w:val="00B506FF"/>
    <w:rsid w:val="00B50FF6"/>
    <w:rsid w:val="00B52414"/>
    <w:rsid w:val="00B5343C"/>
    <w:rsid w:val="00B535F4"/>
    <w:rsid w:val="00B53A6F"/>
    <w:rsid w:val="00B53CAD"/>
    <w:rsid w:val="00B54769"/>
    <w:rsid w:val="00B5599A"/>
    <w:rsid w:val="00B55ECC"/>
    <w:rsid w:val="00B56D38"/>
    <w:rsid w:val="00B57380"/>
    <w:rsid w:val="00B60944"/>
    <w:rsid w:val="00B61A33"/>
    <w:rsid w:val="00B61DBE"/>
    <w:rsid w:val="00B61E45"/>
    <w:rsid w:val="00B620C9"/>
    <w:rsid w:val="00B62560"/>
    <w:rsid w:val="00B634CE"/>
    <w:rsid w:val="00B635D6"/>
    <w:rsid w:val="00B639F0"/>
    <w:rsid w:val="00B6438D"/>
    <w:rsid w:val="00B6469B"/>
    <w:rsid w:val="00B6518D"/>
    <w:rsid w:val="00B652EA"/>
    <w:rsid w:val="00B65545"/>
    <w:rsid w:val="00B65886"/>
    <w:rsid w:val="00B6594F"/>
    <w:rsid w:val="00B67247"/>
    <w:rsid w:val="00B67F68"/>
    <w:rsid w:val="00B70670"/>
    <w:rsid w:val="00B71259"/>
    <w:rsid w:val="00B719E8"/>
    <w:rsid w:val="00B71C06"/>
    <w:rsid w:val="00B71FE4"/>
    <w:rsid w:val="00B723D1"/>
    <w:rsid w:val="00B72466"/>
    <w:rsid w:val="00B72A0C"/>
    <w:rsid w:val="00B74320"/>
    <w:rsid w:val="00B743FE"/>
    <w:rsid w:val="00B753CD"/>
    <w:rsid w:val="00B75D60"/>
    <w:rsid w:val="00B7710E"/>
    <w:rsid w:val="00B801AA"/>
    <w:rsid w:val="00B803B2"/>
    <w:rsid w:val="00B80855"/>
    <w:rsid w:val="00B827BF"/>
    <w:rsid w:val="00B82D67"/>
    <w:rsid w:val="00B82EB1"/>
    <w:rsid w:val="00B83506"/>
    <w:rsid w:val="00B83C43"/>
    <w:rsid w:val="00B85F5D"/>
    <w:rsid w:val="00B86290"/>
    <w:rsid w:val="00B86722"/>
    <w:rsid w:val="00B86BF9"/>
    <w:rsid w:val="00B87949"/>
    <w:rsid w:val="00B87968"/>
    <w:rsid w:val="00B87D47"/>
    <w:rsid w:val="00B907DE"/>
    <w:rsid w:val="00B90B20"/>
    <w:rsid w:val="00B91A97"/>
    <w:rsid w:val="00B92058"/>
    <w:rsid w:val="00B93275"/>
    <w:rsid w:val="00B93847"/>
    <w:rsid w:val="00B940D6"/>
    <w:rsid w:val="00B94110"/>
    <w:rsid w:val="00B95DB5"/>
    <w:rsid w:val="00B95EA9"/>
    <w:rsid w:val="00B96128"/>
    <w:rsid w:val="00BA086D"/>
    <w:rsid w:val="00BA27B9"/>
    <w:rsid w:val="00BA29A3"/>
    <w:rsid w:val="00BA2B5A"/>
    <w:rsid w:val="00BA396A"/>
    <w:rsid w:val="00BA3B4D"/>
    <w:rsid w:val="00BA440E"/>
    <w:rsid w:val="00BA46D5"/>
    <w:rsid w:val="00BA4761"/>
    <w:rsid w:val="00BA5988"/>
    <w:rsid w:val="00BA5EA9"/>
    <w:rsid w:val="00BA6677"/>
    <w:rsid w:val="00BA6CF0"/>
    <w:rsid w:val="00BA7B5F"/>
    <w:rsid w:val="00BA7D53"/>
    <w:rsid w:val="00BB07CA"/>
    <w:rsid w:val="00BB13B0"/>
    <w:rsid w:val="00BB2243"/>
    <w:rsid w:val="00BB2472"/>
    <w:rsid w:val="00BB26BD"/>
    <w:rsid w:val="00BB3071"/>
    <w:rsid w:val="00BB4DA8"/>
    <w:rsid w:val="00BB5C9B"/>
    <w:rsid w:val="00BB654C"/>
    <w:rsid w:val="00BB7259"/>
    <w:rsid w:val="00BB78E4"/>
    <w:rsid w:val="00BB7D10"/>
    <w:rsid w:val="00BC08F9"/>
    <w:rsid w:val="00BC2FB5"/>
    <w:rsid w:val="00BC7E1A"/>
    <w:rsid w:val="00BD0CCA"/>
    <w:rsid w:val="00BD0E1B"/>
    <w:rsid w:val="00BD14DA"/>
    <w:rsid w:val="00BD1520"/>
    <w:rsid w:val="00BD16A2"/>
    <w:rsid w:val="00BD17B8"/>
    <w:rsid w:val="00BD4A82"/>
    <w:rsid w:val="00BD4AF5"/>
    <w:rsid w:val="00BD581A"/>
    <w:rsid w:val="00BD6B29"/>
    <w:rsid w:val="00BE021F"/>
    <w:rsid w:val="00BE0B77"/>
    <w:rsid w:val="00BE1113"/>
    <w:rsid w:val="00BE2894"/>
    <w:rsid w:val="00BE28BA"/>
    <w:rsid w:val="00BE418D"/>
    <w:rsid w:val="00BE43EF"/>
    <w:rsid w:val="00BE4D39"/>
    <w:rsid w:val="00BE6C75"/>
    <w:rsid w:val="00BE6CE2"/>
    <w:rsid w:val="00BE6E37"/>
    <w:rsid w:val="00BE6F01"/>
    <w:rsid w:val="00BF0CD5"/>
    <w:rsid w:val="00BF2BAC"/>
    <w:rsid w:val="00BF35F2"/>
    <w:rsid w:val="00BF3885"/>
    <w:rsid w:val="00BF4700"/>
    <w:rsid w:val="00BF5832"/>
    <w:rsid w:val="00BF60FB"/>
    <w:rsid w:val="00BF61DA"/>
    <w:rsid w:val="00BF7616"/>
    <w:rsid w:val="00C012D5"/>
    <w:rsid w:val="00C03ECB"/>
    <w:rsid w:val="00C0410F"/>
    <w:rsid w:val="00C04D71"/>
    <w:rsid w:val="00C055D0"/>
    <w:rsid w:val="00C05A43"/>
    <w:rsid w:val="00C05BD9"/>
    <w:rsid w:val="00C06C13"/>
    <w:rsid w:val="00C074CA"/>
    <w:rsid w:val="00C11480"/>
    <w:rsid w:val="00C1189D"/>
    <w:rsid w:val="00C120BB"/>
    <w:rsid w:val="00C12496"/>
    <w:rsid w:val="00C124FE"/>
    <w:rsid w:val="00C12A5C"/>
    <w:rsid w:val="00C1366B"/>
    <w:rsid w:val="00C136D9"/>
    <w:rsid w:val="00C149D9"/>
    <w:rsid w:val="00C16774"/>
    <w:rsid w:val="00C20685"/>
    <w:rsid w:val="00C2267C"/>
    <w:rsid w:val="00C2287D"/>
    <w:rsid w:val="00C22FE8"/>
    <w:rsid w:val="00C23066"/>
    <w:rsid w:val="00C235C9"/>
    <w:rsid w:val="00C23A65"/>
    <w:rsid w:val="00C23C09"/>
    <w:rsid w:val="00C24E48"/>
    <w:rsid w:val="00C255CB"/>
    <w:rsid w:val="00C261D6"/>
    <w:rsid w:val="00C27ACA"/>
    <w:rsid w:val="00C308AD"/>
    <w:rsid w:val="00C30E75"/>
    <w:rsid w:val="00C31167"/>
    <w:rsid w:val="00C31EAC"/>
    <w:rsid w:val="00C348FC"/>
    <w:rsid w:val="00C34A09"/>
    <w:rsid w:val="00C35560"/>
    <w:rsid w:val="00C36D02"/>
    <w:rsid w:val="00C40878"/>
    <w:rsid w:val="00C408BB"/>
    <w:rsid w:val="00C40B12"/>
    <w:rsid w:val="00C40BF0"/>
    <w:rsid w:val="00C41E74"/>
    <w:rsid w:val="00C41EEE"/>
    <w:rsid w:val="00C42716"/>
    <w:rsid w:val="00C428C5"/>
    <w:rsid w:val="00C4294E"/>
    <w:rsid w:val="00C448B7"/>
    <w:rsid w:val="00C45DB4"/>
    <w:rsid w:val="00C45F58"/>
    <w:rsid w:val="00C469A0"/>
    <w:rsid w:val="00C46E5A"/>
    <w:rsid w:val="00C47624"/>
    <w:rsid w:val="00C47AC3"/>
    <w:rsid w:val="00C5028A"/>
    <w:rsid w:val="00C504A0"/>
    <w:rsid w:val="00C5082A"/>
    <w:rsid w:val="00C50869"/>
    <w:rsid w:val="00C51262"/>
    <w:rsid w:val="00C52038"/>
    <w:rsid w:val="00C525D6"/>
    <w:rsid w:val="00C53851"/>
    <w:rsid w:val="00C55002"/>
    <w:rsid w:val="00C55728"/>
    <w:rsid w:val="00C55B56"/>
    <w:rsid w:val="00C56EFF"/>
    <w:rsid w:val="00C6012A"/>
    <w:rsid w:val="00C612F0"/>
    <w:rsid w:val="00C61852"/>
    <w:rsid w:val="00C61AEE"/>
    <w:rsid w:val="00C625B0"/>
    <w:rsid w:val="00C631A9"/>
    <w:rsid w:val="00C633B9"/>
    <w:rsid w:val="00C63952"/>
    <w:rsid w:val="00C63D99"/>
    <w:rsid w:val="00C6488D"/>
    <w:rsid w:val="00C65AE3"/>
    <w:rsid w:val="00C66EE0"/>
    <w:rsid w:val="00C672F4"/>
    <w:rsid w:val="00C700B2"/>
    <w:rsid w:val="00C704CE"/>
    <w:rsid w:val="00C70CCA"/>
    <w:rsid w:val="00C72F5C"/>
    <w:rsid w:val="00C7318D"/>
    <w:rsid w:val="00C731B6"/>
    <w:rsid w:val="00C74632"/>
    <w:rsid w:val="00C74FB7"/>
    <w:rsid w:val="00C7504C"/>
    <w:rsid w:val="00C75318"/>
    <w:rsid w:val="00C7575F"/>
    <w:rsid w:val="00C75938"/>
    <w:rsid w:val="00C759C1"/>
    <w:rsid w:val="00C76BB7"/>
    <w:rsid w:val="00C76D91"/>
    <w:rsid w:val="00C80471"/>
    <w:rsid w:val="00C809B8"/>
    <w:rsid w:val="00C810F3"/>
    <w:rsid w:val="00C82E85"/>
    <w:rsid w:val="00C83C54"/>
    <w:rsid w:val="00C83E16"/>
    <w:rsid w:val="00C84924"/>
    <w:rsid w:val="00C84E8A"/>
    <w:rsid w:val="00C8793D"/>
    <w:rsid w:val="00C87B1E"/>
    <w:rsid w:val="00C90018"/>
    <w:rsid w:val="00C90BFA"/>
    <w:rsid w:val="00C92600"/>
    <w:rsid w:val="00C93782"/>
    <w:rsid w:val="00C93E4A"/>
    <w:rsid w:val="00C94BBA"/>
    <w:rsid w:val="00C94EA9"/>
    <w:rsid w:val="00C95513"/>
    <w:rsid w:val="00C95C89"/>
    <w:rsid w:val="00C96C17"/>
    <w:rsid w:val="00CA0FEE"/>
    <w:rsid w:val="00CA1540"/>
    <w:rsid w:val="00CA1659"/>
    <w:rsid w:val="00CA2763"/>
    <w:rsid w:val="00CA3355"/>
    <w:rsid w:val="00CA3699"/>
    <w:rsid w:val="00CA3BB0"/>
    <w:rsid w:val="00CA3D6A"/>
    <w:rsid w:val="00CA4DA6"/>
    <w:rsid w:val="00CA6301"/>
    <w:rsid w:val="00CA7A4C"/>
    <w:rsid w:val="00CB1B6F"/>
    <w:rsid w:val="00CB1E84"/>
    <w:rsid w:val="00CB289A"/>
    <w:rsid w:val="00CB328A"/>
    <w:rsid w:val="00CB37BA"/>
    <w:rsid w:val="00CB4157"/>
    <w:rsid w:val="00CB4437"/>
    <w:rsid w:val="00CB4A4F"/>
    <w:rsid w:val="00CB5402"/>
    <w:rsid w:val="00CB5AB1"/>
    <w:rsid w:val="00CB5C99"/>
    <w:rsid w:val="00CB637D"/>
    <w:rsid w:val="00CB7BB1"/>
    <w:rsid w:val="00CB7F68"/>
    <w:rsid w:val="00CC3265"/>
    <w:rsid w:val="00CC3EB7"/>
    <w:rsid w:val="00CC4C2A"/>
    <w:rsid w:val="00CC55FF"/>
    <w:rsid w:val="00CC69A1"/>
    <w:rsid w:val="00CC6EFE"/>
    <w:rsid w:val="00CC7BAB"/>
    <w:rsid w:val="00CD0675"/>
    <w:rsid w:val="00CD0684"/>
    <w:rsid w:val="00CD148C"/>
    <w:rsid w:val="00CD185E"/>
    <w:rsid w:val="00CD1D2C"/>
    <w:rsid w:val="00CD21B9"/>
    <w:rsid w:val="00CD2FC8"/>
    <w:rsid w:val="00CD3933"/>
    <w:rsid w:val="00CD3D29"/>
    <w:rsid w:val="00CD3D4F"/>
    <w:rsid w:val="00CD3E25"/>
    <w:rsid w:val="00CD3FB0"/>
    <w:rsid w:val="00CD4F6D"/>
    <w:rsid w:val="00CD5121"/>
    <w:rsid w:val="00CD5A03"/>
    <w:rsid w:val="00CD67D6"/>
    <w:rsid w:val="00CD6B69"/>
    <w:rsid w:val="00CD7CAF"/>
    <w:rsid w:val="00CE11E9"/>
    <w:rsid w:val="00CE11FE"/>
    <w:rsid w:val="00CE17F2"/>
    <w:rsid w:val="00CE24B4"/>
    <w:rsid w:val="00CE258D"/>
    <w:rsid w:val="00CE279C"/>
    <w:rsid w:val="00CE30D5"/>
    <w:rsid w:val="00CE470E"/>
    <w:rsid w:val="00CE58BA"/>
    <w:rsid w:val="00CE7CA4"/>
    <w:rsid w:val="00CE7E87"/>
    <w:rsid w:val="00CF0E20"/>
    <w:rsid w:val="00CF1B95"/>
    <w:rsid w:val="00CF210B"/>
    <w:rsid w:val="00CF2CDE"/>
    <w:rsid w:val="00CF2F34"/>
    <w:rsid w:val="00CF302C"/>
    <w:rsid w:val="00CF3462"/>
    <w:rsid w:val="00CF4433"/>
    <w:rsid w:val="00CF55CB"/>
    <w:rsid w:val="00CF572B"/>
    <w:rsid w:val="00CF5C36"/>
    <w:rsid w:val="00CF6C37"/>
    <w:rsid w:val="00CF6F8E"/>
    <w:rsid w:val="00CF711F"/>
    <w:rsid w:val="00CF7C7A"/>
    <w:rsid w:val="00CF7E51"/>
    <w:rsid w:val="00CF7F16"/>
    <w:rsid w:val="00D001EF"/>
    <w:rsid w:val="00D01418"/>
    <w:rsid w:val="00D01613"/>
    <w:rsid w:val="00D0287F"/>
    <w:rsid w:val="00D02E1A"/>
    <w:rsid w:val="00D02E6B"/>
    <w:rsid w:val="00D0475A"/>
    <w:rsid w:val="00D05A65"/>
    <w:rsid w:val="00D05CE8"/>
    <w:rsid w:val="00D079E0"/>
    <w:rsid w:val="00D1002A"/>
    <w:rsid w:val="00D10107"/>
    <w:rsid w:val="00D10AE1"/>
    <w:rsid w:val="00D1291A"/>
    <w:rsid w:val="00D133F8"/>
    <w:rsid w:val="00D136C0"/>
    <w:rsid w:val="00D13798"/>
    <w:rsid w:val="00D14704"/>
    <w:rsid w:val="00D149CA"/>
    <w:rsid w:val="00D14B54"/>
    <w:rsid w:val="00D15181"/>
    <w:rsid w:val="00D153B0"/>
    <w:rsid w:val="00D16DF7"/>
    <w:rsid w:val="00D16F70"/>
    <w:rsid w:val="00D1768D"/>
    <w:rsid w:val="00D17B8B"/>
    <w:rsid w:val="00D17DCF"/>
    <w:rsid w:val="00D20F6E"/>
    <w:rsid w:val="00D21313"/>
    <w:rsid w:val="00D213C7"/>
    <w:rsid w:val="00D222CF"/>
    <w:rsid w:val="00D242C6"/>
    <w:rsid w:val="00D255C8"/>
    <w:rsid w:val="00D2600A"/>
    <w:rsid w:val="00D26BF4"/>
    <w:rsid w:val="00D3001E"/>
    <w:rsid w:val="00D31C9B"/>
    <w:rsid w:val="00D32354"/>
    <w:rsid w:val="00D328D6"/>
    <w:rsid w:val="00D32C4F"/>
    <w:rsid w:val="00D34183"/>
    <w:rsid w:val="00D3432B"/>
    <w:rsid w:val="00D353D9"/>
    <w:rsid w:val="00D3573E"/>
    <w:rsid w:val="00D36292"/>
    <w:rsid w:val="00D36BE7"/>
    <w:rsid w:val="00D400FF"/>
    <w:rsid w:val="00D402A3"/>
    <w:rsid w:val="00D405CB"/>
    <w:rsid w:val="00D414D6"/>
    <w:rsid w:val="00D429C3"/>
    <w:rsid w:val="00D438DE"/>
    <w:rsid w:val="00D441B4"/>
    <w:rsid w:val="00D4616E"/>
    <w:rsid w:val="00D463AA"/>
    <w:rsid w:val="00D50142"/>
    <w:rsid w:val="00D50CF9"/>
    <w:rsid w:val="00D51288"/>
    <w:rsid w:val="00D51578"/>
    <w:rsid w:val="00D52C26"/>
    <w:rsid w:val="00D52CB4"/>
    <w:rsid w:val="00D53932"/>
    <w:rsid w:val="00D53F62"/>
    <w:rsid w:val="00D555F9"/>
    <w:rsid w:val="00D556F1"/>
    <w:rsid w:val="00D5619D"/>
    <w:rsid w:val="00D56ADB"/>
    <w:rsid w:val="00D56C5D"/>
    <w:rsid w:val="00D56F77"/>
    <w:rsid w:val="00D6008F"/>
    <w:rsid w:val="00D60DB7"/>
    <w:rsid w:val="00D613AE"/>
    <w:rsid w:val="00D61943"/>
    <w:rsid w:val="00D62BD7"/>
    <w:rsid w:val="00D63369"/>
    <w:rsid w:val="00D63413"/>
    <w:rsid w:val="00D64361"/>
    <w:rsid w:val="00D64870"/>
    <w:rsid w:val="00D64AAF"/>
    <w:rsid w:val="00D64C8B"/>
    <w:rsid w:val="00D659E4"/>
    <w:rsid w:val="00D661E3"/>
    <w:rsid w:val="00D66282"/>
    <w:rsid w:val="00D6681A"/>
    <w:rsid w:val="00D66BEA"/>
    <w:rsid w:val="00D6722E"/>
    <w:rsid w:val="00D6731B"/>
    <w:rsid w:val="00D70410"/>
    <w:rsid w:val="00D71682"/>
    <w:rsid w:val="00D72721"/>
    <w:rsid w:val="00D74EA2"/>
    <w:rsid w:val="00D75089"/>
    <w:rsid w:val="00D75A42"/>
    <w:rsid w:val="00D81951"/>
    <w:rsid w:val="00D819E4"/>
    <w:rsid w:val="00D829CD"/>
    <w:rsid w:val="00D8305D"/>
    <w:rsid w:val="00D83759"/>
    <w:rsid w:val="00D84259"/>
    <w:rsid w:val="00D842AF"/>
    <w:rsid w:val="00D844AF"/>
    <w:rsid w:val="00D849CC"/>
    <w:rsid w:val="00D85D34"/>
    <w:rsid w:val="00D86AB3"/>
    <w:rsid w:val="00D86D1E"/>
    <w:rsid w:val="00D87115"/>
    <w:rsid w:val="00D87B1F"/>
    <w:rsid w:val="00D9013D"/>
    <w:rsid w:val="00D90539"/>
    <w:rsid w:val="00D90B62"/>
    <w:rsid w:val="00D912FA"/>
    <w:rsid w:val="00D91D17"/>
    <w:rsid w:val="00D91D38"/>
    <w:rsid w:val="00D927DD"/>
    <w:rsid w:val="00D92C17"/>
    <w:rsid w:val="00D934D8"/>
    <w:rsid w:val="00D9467E"/>
    <w:rsid w:val="00D95823"/>
    <w:rsid w:val="00D958FA"/>
    <w:rsid w:val="00D974CF"/>
    <w:rsid w:val="00D97904"/>
    <w:rsid w:val="00D97E0B"/>
    <w:rsid w:val="00DA02A1"/>
    <w:rsid w:val="00DA0F36"/>
    <w:rsid w:val="00DA21E6"/>
    <w:rsid w:val="00DA2DBF"/>
    <w:rsid w:val="00DA2F8B"/>
    <w:rsid w:val="00DA2FDB"/>
    <w:rsid w:val="00DA3FC0"/>
    <w:rsid w:val="00DA475F"/>
    <w:rsid w:val="00DA50C3"/>
    <w:rsid w:val="00DA5358"/>
    <w:rsid w:val="00DA5E0D"/>
    <w:rsid w:val="00DA618B"/>
    <w:rsid w:val="00DA6A3B"/>
    <w:rsid w:val="00DA6C8E"/>
    <w:rsid w:val="00DA6E25"/>
    <w:rsid w:val="00DA7549"/>
    <w:rsid w:val="00DA7628"/>
    <w:rsid w:val="00DA78ED"/>
    <w:rsid w:val="00DA79B2"/>
    <w:rsid w:val="00DA7AEB"/>
    <w:rsid w:val="00DA7BB8"/>
    <w:rsid w:val="00DB0546"/>
    <w:rsid w:val="00DB0570"/>
    <w:rsid w:val="00DB0B57"/>
    <w:rsid w:val="00DB1A0B"/>
    <w:rsid w:val="00DB1A8A"/>
    <w:rsid w:val="00DB22EC"/>
    <w:rsid w:val="00DB2842"/>
    <w:rsid w:val="00DB5120"/>
    <w:rsid w:val="00DB5AE9"/>
    <w:rsid w:val="00DB63E0"/>
    <w:rsid w:val="00DB67B2"/>
    <w:rsid w:val="00DB6970"/>
    <w:rsid w:val="00DB6E92"/>
    <w:rsid w:val="00DB7515"/>
    <w:rsid w:val="00DC0B7E"/>
    <w:rsid w:val="00DC1C58"/>
    <w:rsid w:val="00DC2451"/>
    <w:rsid w:val="00DC2610"/>
    <w:rsid w:val="00DC2A70"/>
    <w:rsid w:val="00DC2BB3"/>
    <w:rsid w:val="00DC4673"/>
    <w:rsid w:val="00DC4CE9"/>
    <w:rsid w:val="00DC5812"/>
    <w:rsid w:val="00DC5C08"/>
    <w:rsid w:val="00DC634F"/>
    <w:rsid w:val="00DC749B"/>
    <w:rsid w:val="00DC7FE1"/>
    <w:rsid w:val="00DD0974"/>
    <w:rsid w:val="00DD1BE8"/>
    <w:rsid w:val="00DD2808"/>
    <w:rsid w:val="00DD472F"/>
    <w:rsid w:val="00DD4954"/>
    <w:rsid w:val="00DD4C91"/>
    <w:rsid w:val="00DD5F88"/>
    <w:rsid w:val="00DD6AF7"/>
    <w:rsid w:val="00DD7F04"/>
    <w:rsid w:val="00DE03AC"/>
    <w:rsid w:val="00DE0744"/>
    <w:rsid w:val="00DE0912"/>
    <w:rsid w:val="00DE0CE7"/>
    <w:rsid w:val="00DE11AA"/>
    <w:rsid w:val="00DE250C"/>
    <w:rsid w:val="00DE2D9B"/>
    <w:rsid w:val="00DE35DC"/>
    <w:rsid w:val="00DE4C68"/>
    <w:rsid w:val="00DE5439"/>
    <w:rsid w:val="00DE547D"/>
    <w:rsid w:val="00DE69D6"/>
    <w:rsid w:val="00DE6D58"/>
    <w:rsid w:val="00DE7091"/>
    <w:rsid w:val="00DE7C48"/>
    <w:rsid w:val="00DE7F94"/>
    <w:rsid w:val="00DF05BF"/>
    <w:rsid w:val="00DF0BFC"/>
    <w:rsid w:val="00DF1933"/>
    <w:rsid w:val="00DF2054"/>
    <w:rsid w:val="00DF2B2F"/>
    <w:rsid w:val="00DF383A"/>
    <w:rsid w:val="00DF3C46"/>
    <w:rsid w:val="00DF7B68"/>
    <w:rsid w:val="00E006FE"/>
    <w:rsid w:val="00E00923"/>
    <w:rsid w:val="00E00A9F"/>
    <w:rsid w:val="00E02DFF"/>
    <w:rsid w:val="00E03F70"/>
    <w:rsid w:val="00E042CE"/>
    <w:rsid w:val="00E055A6"/>
    <w:rsid w:val="00E10940"/>
    <w:rsid w:val="00E112B0"/>
    <w:rsid w:val="00E11603"/>
    <w:rsid w:val="00E12696"/>
    <w:rsid w:val="00E12FC8"/>
    <w:rsid w:val="00E13276"/>
    <w:rsid w:val="00E133DB"/>
    <w:rsid w:val="00E140D6"/>
    <w:rsid w:val="00E14B8C"/>
    <w:rsid w:val="00E163FB"/>
    <w:rsid w:val="00E1664D"/>
    <w:rsid w:val="00E16941"/>
    <w:rsid w:val="00E16BC3"/>
    <w:rsid w:val="00E20B42"/>
    <w:rsid w:val="00E22006"/>
    <w:rsid w:val="00E2221B"/>
    <w:rsid w:val="00E22A59"/>
    <w:rsid w:val="00E236A0"/>
    <w:rsid w:val="00E26279"/>
    <w:rsid w:val="00E27B8C"/>
    <w:rsid w:val="00E3247D"/>
    <w:rsid w:val="00E329E8"/>
    <w:rsid w:val="00E32C2F"/>
    <w:rsid w:val="00E32E78"/>
    <w:rsid w:val="00E33305"/>
    <w:rsid w:val="00E3376D"/>
    <w:rsid w:val="00E33A5A"/>
    <w:rsid w:val="00E342A5"/>
    <w:rsid w:val="00E346CB"/>
    <w:rsid w:val="00E35217"/>
    <w:rsid w:val="00E373F6"/>
    <w:rsid w:val="00E37DFC"/>
    <w:rsid w:val="00E37E76"/>
    <w:rsid w:val="00E410E7"/>
    <w:rsid w:val="00E417AC"/>
    <w:rsid w:val="00E41B52"/>
    <w:rsid w:val="00E433B4"/>
    <w:rsid w:val="00E44618"/>
    <w:rsid w:val="00E4489E"/>
    <w:rsid w:val="00E453E2"/>
    <w:rsid w:val="00E46769"/>
    <w:rsid w:val="00E4694A"/>
    <w:rsid w:val="00E5115E"/>
    <w:rsid w:val="00E512E4"/>
    <w:rsid w:val="00E51AA6"/>
    <w:rsid w:val="00E53016"/>
    <w:rsid w:val="00E530BF"/>
    <w:rsid w:val="00E53911"/>
    <w:rsid w:val="00E53AD9"/>
    <w:rsid w:val="00E53EDA"/>
    <w:rsid w:val="00E546B0"/>
    <w:rsid w:val="00E54C1A"/>
    <w:rsid w:val="00E54E1B"/>
    <w:rsid w:val="00E56A0C"/>
    <w:rsid w:val="00E57FD7"/>
    <w:rsid w:val="00E605CA"/>
    <w:rsid w:val="00E60D97"/>
    <w:rsid w:val="00E62D0A"/>
    <w:rsid w:val="00E63ADC"/>
    <w:rsid w:val="00E64A01"/>
    <w:rsid w:val="00E64D67"/>
    <w:rsid w:val="00E6520C"/>
    <w:rsid w:val="00E65C38"/>
    <w:rsid w:val="00E66CE3"/>
    <w:rsid w:val="00E67725"/>
    <w:rsid w:val="00E67BE5"/>
    <w:rsid w:val="00E70134"/>
    <w:rsid w:val="00E701D5"/>
    <w:rsid w:val="00E71065"/>
    <w:rsid w:val="00E7150A"/>
    <w:rsid w:val="00E716B6"/>
    <w:rsid w:val="00E7190B"/>
    <w:rsid w:val="00E7341C"/>
    <w:rsid w:val="00E7398E"/>
    <w:rsid w:val="00E73B80"/>
    <w:rsid w:val="00E73D2F"/>
    <w:rsid w:val="00E74078"/>
    <w:rsid w:val="00E74536"/>
    <w:rsid w:val="00E74992"/>
    <w:rsid w:val="00E74C71"/>
    <w:rsid w:val="00E74E3A"/>
    <w:rsid w:val="00E7605E"/>
    <w:rsid w:val="00E76DE1"/>
    <w:rsid w:val="00E77574"/>
    <w:rsid w:val="00E77AC8"/>
    <w:rsid w:val="00E8081E"/>
    <w:rsid w:val="00E80E44"/>
    <w:rsid w:val="00E81909"/>
    <w:rsid w:val="00E84074"/>
    <w:rsid w:val="00E84877"/>
    <w:rsid w:val="00E84A88"/>
    <w:rsid w:val="00E85453"/>
    <w:rsid w:val="00E863F8"/>
    <w:rsid w:val="00E86CC2"/>
    <w:rsid w:val="00E86E07"/>
    <w:rsid w:val="00E86E5E"/>
    <w:rsid w:val="00E876B6"/>
    <w:rsid w:val="00E9005B"/>
    <w:rsid w:val="00E90F76"/>
    <w:rsid w:val="00E91F98"/>
    <w:rsid w:val="00E924F6"/>
    <w:rsid w:val="00E92561"/>
    <w:rsid w:val="00E9292D"/>
    <w:rsid w:val="00E9395D"/>
    <w:rsid w:val="00E943F3"/>
    <w:rsid w:val="00E961FD"/>
    <w:rsid w:val="00E96E96"/>
    <w:rsid w:val="00E97FDF"/>
    <w:rsid w:val="00EA0702"/>
    <w:rsid w:val="00EA1CC0"/>
    <w:rsid w:val="00EA42C7"/>
    <w:rsid w:val="00EA4449"/>
    <w:rsid w:val="00EA4579"/>
    <w:rsid w:val="00EA5675"/>
    <w:rsid w:val="00EA66D1"/>
    <w:rsid w:val="00EA7677"/>
    <w:rsid w:val="00EB2D3E"/>
    <w:rsid w:val="00EB2F2E"/>
    <w:rsid w:val="00EB3E30"/>
    <w:rsid w:val="00EB4A95"/>
    <w:rsid w:val="00EB533C"/>
    <w:rsid w:val="00EB641D"/>
    <w:rsid w:val="00EB6EC1"/>
    <w:rsid w:val="00EB6FB3"/>
    <w:rsid w:val="00EB7189"/>
    <w:rsid w:val="00EB789B"/>
    <w:rsid w:val="00EC02CD"/>
    <w:rsid w:val="00EC0ABA"/>
    <w:rsid w:val="00EC1FC3"/>
    <w:rsid w:val="00EC2D5A"/>
    <w:rsid w:val="00EC30CB"/>
    <w:rsid w:val="00EC375B"/>
    <w:rsid w:val="00EC40C3"/>
    <w:rsid w:val="00EC4F2E"/>
    <w:rsid w:val="00EC6E5C"/>
    <w:rsid w:val="00EC6F9C"/>
    <w:rsid w:val="00EC7131"/>
    <w:rsid w:val="00EC720E"/>
    <w:rsid w:val="00EC7C65"/>
    <w:rsid w:val="00EC7F98"/>
    <w:rsid w:val="00ED2248"/>
    <w:rsid w:val="00ED2A3A"/>
    <w:rsid w:val="00ED3A1F"/>
    <w:rsid w:val="00ED3EFC"/>
    <w:rsid w:val="00ED4054"/>
    <w:rsid w:val="00ED4956"/>
    <w:rsid w:val="00ED5AB8"/>
    <w:rsid w:val="00ED7B42"/>
    <w:rsid w:val="00EE124D"/>
    <w:rsid w:val="00EE332D"/>
    <w:rsid w:val="00EE3592"/>
    <w:rsid w:val="00EE36F9"/>
    <w:rsid w:val="00EE4177"/>
    <w:rsid w:val="00EE648B"/>
    <w:rsid w:val="00EE68FD"/>
    <w:rsid w:val="00EE7C38"/>
    <w:rsid w:val="00EF0BB8"/>
    <w:rsid w:val="00EF0E62"/>
    <w:rsid w:val="00EF0EBF"/>
    <w:rsid w:val="00EF1922"/>
    <w:rsid w:val="00EF1FC9"/>
    <w:rsid w:val="00EF262F"/>
    <w:rsid w:val="00EF2817"/>
    <w:rsid w:val="00EF2A7B"/>
    <w:rsid w:val="00EF3BA9"/>
    <w:rsid w:val="00EF4457"/>
    <w:rsid w:val="00EF4D8E"/>
    <w:rsid w:val="00EF52FD"/>
    <w:rsid w:val="00EF5B50"/>
    <w:rsid w:val="00EF63E9"/>
    <w:rsid w:val="00EF6CBB"/>
    <w:rsid w:val="00EF7015"/>
    <w:rsid w:val="00EF7271"/>
    <w:rsid w:val="00EF7A2C"/>
    <w:rsid w:val="00F001FE"/>
    <w:rsid w:val="00F00500"/>
    <w:rsid w:val="00F00A68"/>
    <w:rsid w:val="00F00A84"/>
    <w:rsid w:val="00F01554"/>
    <w:rsid w:val="00F02A29"/>
    <w:rsid w:val="00F033D9"/>
    <w:rsid w:val="00F03723"/>
    <w:rsid w:val="00F037C6"/>
    <w:rsid w:val="00F03E68"/>
    <w:rsid w:val="00F04239"/>
    <w:rsid w:val="00F04FEA"/>
    <w:rsid w:val="00F05A1D"/>
    <w:rsid w:val="00F0698C"/>
    <w:rsid w:val="00F06CDD"/>
    <w:rsid w:val="00F070AC"/>
    <w:rsid w:val="00F07BFF"/>
    <w:rsid w:val="00F105E7"/>
    <w:rsid w:val="00F11B1D"/>
    <w:rsid w:val="00F1226A"/>
    <w:rsid w:val="00F1258C"/>
    <w:rsid w:val="00F131AB"/>
    <w:rsid w:val="00F151AC"/>
    <w:rsid w:val="00F15514"/>
    <w:rsid w:val="00F1568B"/>
    <w:rsid w:val="00F16B36"/>
    <w:rsid w:val="00F17B6E"/>
    <w:rsid w:val="00F2036F"/>
    <w:rsid w:val="00F20924"/>
    <w:rsid w:val="00F21178"/>
    <w:rsid w:val="00F22270"/>
    <w:rsid w:val="00F22CA5"/>
    <w:rsid w:val="00F2307A"/>
    <w:rsid w:val="00F23E3B"/>
    <w:rsid w:val="00F240B0"/>
    <w:rsid w:val="00F261CC"/>
    <w:rsid w:val="00F30086"/>
    <w:rsid w:val="00F30959"/>
    <w:rsid w:val="00F312A0"/>
    <w:rsid w:val="00F3159C"/>
    <w:rsid w:val="00F31E22"/>
    <w:rsid w:val="00F31E26"/>
    <w:rsid w:val="00F31FC6"/>
    <w:rsid w:val="00F31FF4"/>
    <w:rsid w:val="00F32175"/>
    <w:rsid w:val="00F3233D"/>
    <w:rsid w:val="00F325B2"/>
    <w:rsid w:val="00F33C79"/>
    <w:rsid w:val="00F354F4"/>
    <w:rsid w:val="00F35940"/>
    <w:rsid w:val="00F36936"/>
    <w:rsid w:val="00F36A38"/>
    <w:rsid w:val="00F3735B"/>
    <w:rsid w:val="00F37467"/>
    <w:rsid w:val="00F37779"/>
    <w:rsid w:val="00F37B12"/>
    <w:rsid w:val="00F37B74"/>
    <w:rsid w:val="00F40DF4"/>
    <w:rsid w:val="00F4130C"/>
    <w:rsid w:val="00F41788"/>
    <w:rsid w:val="00F41D7B"/>
    <w:rsid w:val="00F42085"/>
    <w:rsid w:val="00F43602"/>
    <w:rsid w:val="00F43736"/>
    <w:rsid w:val="00F45082"/>
    <w:rsid w:val="00F45675"/>
    <w:rsid w:val="00F45B5A"/>
    <w:rsid w:val="00F46670"/>
    <w:rsid w:val="00F4686A"/>
    <w:rsid w:val="00F46DD5"/>
    <w:rsid w:val="00F5006D"/>
    <w:rsid w:val="00F508E4"/>
    <w:rsid w:val="00F51128"/>
    <w:rsid w:val="00F5277E"/>
    <w:rsid w:val="00F55257"/>
    <w:rsid w:val="00F553A9"/>
    <w:rsid w:val="00F558D1"/>
    <w:rsid w:val="00F55ADC"/>
    <w:rsid w:val="00F56628"/>
    <w:rsid w:val="00F5666C"/>
    <w:rsid w:val="00F566BA"/>
    <w:rsid w:val="00F56CC8"/>
    <w:rsid w:val="00F57B80"/>
    <w:rsid w:val="00F60472"/>
    <w:rsid w:val="00F604D1"/>
    <w:rsid w:val="00F61447"/>
    <w:rsid w:val="00F61698"/>
    <w:rsid w:val="00F61AF2"/>
    <w:rsid w:val="00F6209B"/>
    <w:rsid w:val="00F6252F"/>
    <w:rsid w:val="00F6253A"/>
    <w:rsid w:val="00F628FE"/>
    <w:rsid w:val="00F63A74"/>
    <w:rsid w:val="00F64798"/>
    <w:rsid w:val="00F64A4B"/>
    <w:rsid w:val="00F64B74"/>
    <w:rsid w:val="00F653F9"/>
    <w:rsid w:val="00F66F40"/>
    <w:rsid w:val="00F66FFC"/>
    <w:rsid w:val="00F6732E"/>
    <w:rsid w:val="00F67835"/>
    <w:rsid w:val="00F70005"/>
    <w:rsid w:val="00F704A5"/>
    <w:rsid w:val="00F72D0E"/>
    <w:rsid w:val="00F73507"/>
    <w:rsid w:val="00F75724"/>
    <w:rsid w:val="00F75DAA"/>
    <w:rsid w:val="00F76380"/>
    <w:rsid w:val="00F76509"/>
    <w:rsid w:val="00F7681B"/>
    <w:rsid w:val="00F76EDB"/>
    <w:rsid w:val="00F7717A"/>
    <w:rsid w:val="00F77419"/>
    <w:rsid w:val="00F80AB8"/>
    <w:rsid w:val="00F812D5"/>
    <w:rsid w:val="00F836BB"/>
    <w:rsid w:val="00F851C1"/>
    <w:rsid w:val="00F85C26"/>
    <w:rsid w:val="00F86142"/>
    <w:rsid w:val="00F8753B"/>
    <w:rsid w:val="00F92A28"/>
    <w:rsid w:val="00F92C0D"/>
    <w:rsid w:val="00F92C86"/>
    <w:rsid w:val="00F92F34"/>
    <w:rsid w:val="00F9336D"/>
    <w:rsid w:val="00F9400D"/>
    <w:rsid w:val="00F948A4"/>
    <w:rsid w:val="00F963DD"/>
    <w:rsid w:val="00F972CD"/>
    <w:rsid w:val="00F97950"/>
    <w:rsid w:val="00F97EA2"/>
    <w:rsid w:val="00FA155D"/>
    <w:rsid w:val="00FA2094"/>
    <w:rsid w:val="00FA2EB8"/>
    <w:rsid w:val="00FA365D"/>
    <w:rsid w:val="00FA36E8"/>
    <w:rsid w:val="00FA37CC"/>
    <w:rsid w:val="00FA7A2E"/>
    <w:rsid w:val="00FB1492"/>
    <w:rsid w:val="00FB1BF3"/>
    <w:rsid w:val="00FB1C90"/>
    <w:rsid w:val="00FB1EA1"/>
    <w:rsid w:val="00FB2E6A"/>
    <w:rsid w:val="00FB3ADF"/>
    <w:rsid w:val="00FB4720"/>
    <w:rsid w:val="00FB49F4"/>
    <w:rsid w:val="00FB4B82"/>
    <w:rsid w:val="00FB4F70"/>
    <w:rsid w:val="00FB67B4"/>
    <w:rsid w:val="00FB71F1"/>
    <w:rsid w:val="00FB731B"/>
    <w:rsid w:val="00FB7FB0"/>
    <w:rsid w:val="00FC052F"/>
    <w:rsid w:val="00FC2C14"/>
    <w:rsid w:val="00FC30FA"/>
    <w:rsid w:val="00FC38F4"/>
    <w:rsid w:val="00FC3C14"/>
    <w:rsid w:val="00FC45B8"/>
    <w:rsid w:val="00FC5154"/>
    <w:rsid w:val="00FC6FC5"/>
    <w:rsid w:val="00FC747E"/>
    <w:rsid w:val="00FC74B8"/>
    <w:rsid w:val="00FD134E"/>
    <w:rsid w:val="00FD173C"/>
    <w:rsid w:val="00FD1750"/>
    <w:rsid w:val="00FD1DD8"/>
    <w:rsid w:val="00FD34D9"/>
    <w:rsid w:val="00FD3564"/>
    <w:rsid w:val="00FD480F"/>
    <w:rsid w:val="00FD487A"/>
    <w:rsid w:val="00FD751A"/>
    <w:rsid w:val="00FE0B38"/>
    <w:rsid w:val="00FE1206"/>
    <w:rsid w:val="00FE1797"/>
    <w:rsid w:val="00FE190E"/>
    <w:rsid w:val="00FE1D88"/>
    <w:rsid w:val="00FE2703"/>
    <w:rsid w:val="00FE60E1"/>
    <w:rsid w:val="00FE67CB"/>
    <w:rsid w:val="00FE7E4B"/>
    <w:rsid w:val="00FF0585"/>
    <w:rsid w:val="00FF151A"/>
    <w:rsid w:val="00FF191B"/>
    <w:rsid w:val="00FF2228"/>
    <w:rsid w:val="00FF2493"/>
    <w:rsid w:val="00FF25EF"/>
    <w:rsid w:val="00FF2A4E"/>
    <w:rsid w:val="00FF3172"/>
    <w:rsid w:val="00FF366A"/>
    <w:rsid w:val="00FF41B1"/>
    <w:rsid w:val="00FF452F"/>
    <w:rsid w:val="00FF4CA8"/>
    <w:rsid w:val="00FF4E67"/>
    <w:rsid w:val="00FF4F99"/>
    <w:rsid w:val="00FF695D"/>
    <w:rsid w:val="00FF70A0"/>
    <w:rsid w:val="00FF7322"/>
    <w:rsid w:val="00FF77A2"/>
    <w:rsid w:val="00FF792F"/>
    <w:rsid w:val="00FF7B66"/>
    <w:rsid w:val="00FF7F07"/>
    <w:rsid w:val="01137C69"/>
    <w:rsid w:val="014F04E5"/>
    <w:rsid w:val="01920401"/>
    <w:rsid w:val="0195644C"/>
    <w:rsid w:val="019E4202"/>
    <w:rsid w:val="01B16E65"/>
    <w:rsid w:val="01B87B26"/>
    <w:rsid w:val="01EA1125"/>
    <w:rsid w:val="02505505"/>
    <w:rsid w:val="0255198A"/>
    <w:rsid w:val="026844A3"/>
    <w:rsid w:val="027423B3"/>
    <w:rsid w:val="028E7BDF"/>
    <w:rsid w:val="02D34744"/>
    <w:rsid w:val="0308778C"/>
    <w:rsid w:val="03634626"/>
    <w:rsid w:val="037800D1"/>
    <w:rsid w:val="03EA6FAA"/>
    <w:rsid w:val="03EE2A56"/>
    <w:rsid w:val="04016320"/>
    <w:rsid w:val="04814D63"/>
    <w:rsid w:val="04B05277"/>
    <w:rsid w:val="050D4295"/>
    <w:rsid w:val="0530678A"/>
    <w:rsid w:val="05371AF0"/>
    <w:rsid w:val="054116CB"/>
    <w:rsid w:val="0548574A"/>
    <w:rsid w:val="055038BC"/>
    <w:rsid w:val="05544350"/>
    <w:rsid w:val="055D1B12"/>
    <w:rsid w:val="05A65CF5"/>
    <w:rsid w:val="05AF71B0"/>
    <w:rsid w:val="060519C4"/>
    <w:rsid w:val="064F03AA"/>
    <w:rsid w:val="066C1A43"/>
    <w:rsid w:val="06787432"/>
    <w:rsid w:val="06C23618"/>
    <w:rsid w:val="06C427AE"/>
    <w:rsid w:val="06DF5D71"/>
    <w:rsid w:val="074C0952"/>
    <w:rsid w:val="074E6108"/>
    <w:rsid w:val="0765096C"/>
    <w:rsid w:val="07854B6B"/>
    <w:rsid w:val="079C734A"/>
    <w:rsid w:val="07E76B46"/>
    <w:rsid w:val="07EF451C"/>
    <w:rsid w:val="0830547E"/>
    <w:rsid w:val="08305869"/>
    <w:rsid w:val="08597DA5"/>
    <w:rsid w:val="087D4360"/>
    <w:rsid w:val="08E421C5"/>
    <w:rsid w:val="08F4718E"/>
    <w:rsid w:val="0977292C"/>
    <w:rsid w:val="09982D4A"/>
    <w:rsid w:val="09F6762F"/>
    <w:rsid w:val="0A003984"/>
    <w:rsid w:val="0A0A57FB"/>
    <w:rsid w:val="0A425D09"/>
    <w:rsid w:val="0A615213"/>
    <w:rsid w:val="0A761D42"/>
    <w:rsid w:val="0A962227"/>
    <w:rsid w:val="0ACB590F"/>
    <w:rsid w:val="0AD361DF"/>
    <w:rsid w:val="0AD55E09"/>
    <w:rsid w:val="0AFD6B67"/>
    <w:rsid w:val="0BB0345C"/>
    <w:rsid w:val="0BCE4606"/>
    <w:rsid w:val="0C0E4E32"/>
    <w:rsid w:val="0C1E5D62"/>
    <w:rsid w:val="0C96326B"/>
    <w:rsid w:val="0C9B41E0"/>
    <w:rsid w:val="0CB8726D"/>
    <w:rsid w:val="0CBB3996"/>
    <w:rsid w:val="0CCE5B94"/>
    <w:rsid w:val="0D09727C"/>
    <w:rsid w:val="0D2A4B10"/>
    <w:rsid w:val="0D3B47C9"/>
    <w:rsid w:val="0D3F1B32"/>
    <w:rsid w:val="0D873BD3"/>
    <w:rsid w:val="0D9B7F82"/>
    <w:rsid w:val="0DC009E4"/>
    <w:rsid w:val="0DF72D4B"/>
    <w:rsid w:val="0E3966AF"/>
    <w:rsid w:val="0E6514CE"/>
    <w:rsid w:val="0EC850B8"/>
    <w:rsid w:val="0F2C78B5"/>
    <w:rsid w:val="0F4A0448"/>
    <w:rsid w:val="0F8001C0"/>
    <w:rsid w:val="0FB2671F"/>
    <w:rsid w:val="0FBF4B97"/>
    <w:rsid w:val="10130368"/>
    <w:rsid w:val="1061783B"/>
    <w:rsid w:val="10BF71E9"/>
    <w:rsid w:val="11105DEF"/>
    <w:rsid w:val="1132247A"/>
    <w:rsid w:val="1185656A"/>
    <w:rsid w:val="11FE7ED2"/>
    <w:rsid w:val="1204469C"/>
    <w:rsid w:val="121E04E8"/>
    <w:rsid w:val="12200177"/>
    <w:rsid w:val="123F499D"/>
    <w:rsid w:val="124047DA"/>
    <w:rsid w:val="126E04C4"/>
    <w:rsid w:val="12B00FFB"/>
    <w:rsid w:val="12F61C03"/>
    <w:rsid w:val="134A0A16"/>
    <w:rsid w:val="135F18E9"/>
    <w:rsid w:val="13684705"/>
    <w:rsid w:val="13F07810"/>
    <w:rsid w:val="1405689D"/>
    <w:rsid w:val="141334FE"/>
    <w:rsid w:val="14AD4DB8"/>
    <w:rsid w:val="14AE2E3A"/>
    <w:rsid w:val="150017B7"/>
    <w:rsid w:val="15157722"/>
    <w:rsid w:val="151E215B"/>
    <w:rsid w:val="154C271C"/>
    <w:rsid w:val="15775A8C"/>
    <w:rsid w:val="15EC220C"/>
    <w:rsid w:val="16BD36CC"/>
    <w:rsid w:val="16C36D06"/>
    <w:rsid w:val="170C218F"/>
    <w:rsid w:val="17351EB0"/>
    <w:rsid w:val="1740319E"/>
    <w:rsid w:val="17747CFC"/>
    <w:rsid w:val="177D1D83"/>
    <w:rsid w:val="18151AED"/>
    <w:rsid w:val="183A09B0"/>
    <w:rsid w:val="186576DB"/>
    <w:rsid w:val="1870581D"/>
    <w:rsid w:val="18AE7A18"/>
    <w:rsid w:val="18B03A11"/>
    <w:rsid w:val="18FE121D"/>
    <w:rsid w:val="19491AD7"/>
    <w:rsid w:val="198B16F3"/>
    <w:rsid w:val="19940024"/>
    <w:rsid w:val="19A8476A"/>
    <w:rsid w:val="19AF2DCC"/>
    <w:rsid w:val="19C66C22"/>
    <w:rsid w:val="19E16A10"/>
    <w:rsid w:val="1A555846"/>
    <w:rsid w:val="1ACB068F"/>
    <w:rsid w:val="1ADC3C25"/>
    <w:rsid w:val="1AE8631D"/>
    <w:rsid w:val="1B1A7868"/>
    <w:rsid w:val="1BD179B9"/>
    <w:rsid w:val="1C3B7159"/>
    <w:rsid w:val="1C46552A"/>
    <w:rsid w:val="1C8C41A9"/>
    <w:rsid w:val="1C982E58"/>
    <w:rsid w:val="1CB338B2"/>
    <w:rsid w:val="1CF42E6E"/>
    <w:rsid w:val="1CF852BE"/>
    <w:rsid w:val="1D2A5E93"/>
    <w:rsid w:val="1D2F3EC2"/>
    <w:rsid w:val="1D644556"/>
    <w:rsid w:val="1D674430"/>
    <w:rsid w:val="1DBD623B"/>
    <w:rsid w:val="1DC96A0D"/>
    <w:rsid w:val="1DE25432"/>
    <w:rsid w:val="1DFE291F"/>
    <w:rsid w:val="1E385966"/>
    <w:rsid w:val="1ECC70CB"/>
    <w:rsid w:val="1F5E0AEF"/>
    <w:rsid w:val="1FA73631"/>
    <w:rsid w:val="1FA83492"/>
    <w:rsid w:val="1FA93AE5"/>
    <w:rsid w:val="1FAD44AE"/>
    <w:rsid w:val="201448F3"/>
    <w:rsid w:val="205F5715"/>
    <w:rsid w:val="206B2007"/>
    <w:rsid w:val="20BD7D18"/>
    <w:rsid w:val="20C20C31"/>
    <w:rsid w:val="20C84D12"/>
    <w:rsid w:val="21543824"/>
    <w:rsid w:val="21B005DE"/>
    <w:rsid w:val="21C43CC6"/>
    <w:rsid w:val="21E06B06"/>
    <w:rsid w:val="22505310"/>
    <w:rsid w:val="226B2757"/>
    <w:rsid w:val="227F3C44"/>
    <w:rsid w:val="22D14F53"/>
    <w:rsid w:val="230F7587"/>
    <w:rsid w:val="23563868"/>
    <w:rsid w:val="239F2708"/>
    <w:rsid w:val="23C93BD9"/>
    <w:rsid w:val="240E27FB"/>
    <w:rsid w:val="24311F11"/>
    <w:rsid w:val="24DD7F37"/>
    <w:rsid w:val="25011339"/>
    <w:rsid w:val="2529314D"/>
    <w:rsid w:val="2594352C"/>
    <w:rsid w:val="260C44CD"/>
    <w:rsid w:val="26163EB5"/>
    <w:rsid w:val="263E265D"/>
    <w:rsid w:val="264B42F1"/>
    <w:rsid w:val="26A17794"/>
    <w:rsid w:val="26D657B7"/>
    <w:rsid w:val="276B6060"/>
    <w:rsid w:val="27B2145C"/>
    <w:rsid w:val="27E403E2"/>
    <w:rsid w:val="27EB411E"/>
    <w:rsid w:val="27F136FF"/>
    <w:rsid w:val="27FA7131"/>
    <w:rsid w:val="284035F2"/>
    <w:rsid w:val="28836A4D"/>
    <w:rsid w:val="28962D82"/>
    <w:rsid w:val="28C22024"/>
    <w:rsid w:val="290129D3"/>
    <w:rsid w:val="2905171F"/>
    <w:rsid w:val="292A4047"/>
    <w:rsid w:val="2951316E"/>
    <w:rsid w:val="29600F4E"/>
    <w:rsid w:val="297468CD"/>
    <w:rsid w:val="29EB5041"/>
    <w:rsid w:val="29F319B0"/>
    <w:rsid w:val="2A014ED6"/>
    <w:rsid w:val="2A1B2201"/>
    <w:rsid w:val="2A1D2EF1"/>
    <w:rsid w:val="2A3F0864"/>
    <w:rsid w:val="2A677CA8"/>
    <w:rsid w:val="2A7F1496"/>
    <w:rsid w:val="2A9071FF"/>
    <w:rsid w:val="2A9C2D33"/>
    <w:rsid w:val="2AC8240E"/>
    <w:rsid w:val="2AE91610"/>
    <w:rsid w:val="2B2471D4"/>
    <w:rsid w:val="2B4E7BAF"/>
    <w:rsid w:val="2B8D1001"/>
    <w:rsid w:val="2BA21234"/>
    <w:rsid w:val="2BAE7D76"/>
    <w:rsid w:val="2BCD7395"/>
    <w:rsid w:val="2C2253F3"/>
    <w:rsid w:val="2CFE750E"/>
    <w:rsid w:val="2D05394C"/>
    <w:rsid w:val="2D0F7889"/>
    <w:rsid w:val="2D40315E"/>
    <w:rsid w:val="2D5B636E"/>
    <w:rsid w:val="2D8F0C49"/>
    <w:rsid w:val="2DA566E7"/>
    <w:rsid w:val="2DEF1375"/>
    <w:rsid w:val="2E11396D"/>
    <w:rsid w:val="2E4C1B74"/>
    <w:rsid w:val="2EE46E89"/>
    <w:rsid w:val="2EE95C88"/>
    <w:rsid w:val="2EF37D5C"/>
    <w:rsid w:val="2F3B5F63"/>
    <w:rsid w:val="2F3C2100"/>
    <w:rsid w:val="2F971030"/>
    <w:rsid w:val="2FC607EE"/>
    <w:rsid w:val="2FF63802"/>
    <w:rsid w:val="30392D61"/>
    <w:rsid w:val="30724A0E"/>
    <w:rsid w:val="307325D9"/>
    <w:rsid w:val="30C51EF2"/>
    <w:rsid w:val="30DC1948"/>
    <w:rsid w:val="30E060E4"/>
    <w:rsid w:val="30F7069D"/>
    <w:rsid w:val="310A12DF"/>
    <w:rsid w:val="311116F3"/>
    <w:rsid w:val="31870817"/>
    <w:rsid w:val="31F2015C"/>
    <w:rsid w:val="3204159C"/>
    <w:rsid w:val="321F1705"/>
    <w:rsid w:val="329B0E37"/>
    <w:rsid w:val="32DD50BF"/>
    <w:rsid w:val="33171D0F"/>
    <w:rsid w:val="334E7C57"/>
    <w:rsid w:val="338F34FE"/>
    <w:rsid w:val="33A55C06"/>
    <w:rsid w:val="33D755DC"/>
    <w:rsid w:val="345B262C"/>
    <w:rsid w:val="345F6B83"/>
    <w:rsid w:val="34DB703E"/>
    <w:rsid w:val="355D1BDD"/>
    <w:rsid w:val="356E26F7"/>
    <w:rsid w:val="35FF1075"/>
    <w:rsid w:val="36312BA6"/>
    <w:rsid w:val="3676199F"/>
    <w:rsid w:val="367C6D9B"/>
    <w:rsid w:val="3681660E"/>
    <w:rsid w:val="36AB0D07"/>
    <w:rsid w:val="36C3270A"/>
    <w:rsid w:val="36D84407"/>
    <w:rsid w:val="36EF12D2"/>
    <w:rsid w:val="370D3660"/>
    <w:rsid w:val="371562DB"/>
    <w:rsid w:val="373553B6"/>
    <w:rsid w:val="37432253"/>
    <w:rsid w:val="37825166"/>
    <w:rsid w:val="37B26BC7"/>
    <w:rsid w:val="37D33BB4"/>
    <w:rsid w:val="37D843A8"/>
    <w:rsid w:val="37DF7667"/>
    <w:rsid w:val="383270EA"/>
    <w:rsid w:val="385555E4"/>
    <w:rsid w:val="386E24EE"/>
    <w:rsid w:val="38765E93"/>
    <w:rsid w:val="38B32C64"/>
    <w:rsid w:val="390B7D65"/>
    <w:rsid w:val="39247742"/>
    <w:rsid w:val="3927078A"/>
    <w:rsid w:val="3950329E"/>
    <w:rsid w:val="396948F7"/>
    <w:rsid w:val="39875A38"/>
    <w:rsid w:val="39C0030D"/>
    <w:rsid w:val="3A32322C"/>
    <w:rsid w:val="3A881CA1"/>
    <w:rsid w:val="3B0A0908"/>
    <w:rsid w:val="3B1C5C24"/>
    <w:rsid w:val="3B4E03C5"/>
    <w:rsid w:val="3B4E1274"/>
    <w:rsid w:val="3B83077B"/>
    <w:rsid w:val="3BA20BFD"/>
    <w:rsid w:val="3BC85AEF"/>
    <w:rsid w:val="3CB5559F"/>
    <w:rsid w:val="3CB709DF"/>
    <w:rsid w:val="3D405675"/>
    <w:rsid w:val="3D436353"/>
    <w:rsid w:val="3D534CEE"/>
    <w:rsid w:val="3D6A7724"/>
    <w:rsid w:val="3DAB4624"/>
    <w:rsid w:val="3DCB25D0"/>
    <w:rsid w:val="3DD13F45"/>
    <w:rsid w:val="3E421533"/>
    <w:rsid w:val="3E4E44C1"/>
    <w:rsid w:val="3E612161"/>
    <w:rsid w:val="3E8D5E6B"/>
    <w:rsid w:val="3E975D9B"/>
    <w:rsid w:val="3F746C78"/>
    <w:rsid w:val="3F796D91"/>
    <w:rsid w:val="3F876A33"/>
    <w:rsid w:val="3F985066"/>
    <w:rsid w:val="3FA30497"/>
    <w:rsid w:val="3FBA61CD"/>
    <w:rsid w:val="3FC91903"/>
    <w:rsid w:val="3FD247CD"/>
    <w:rsid w:val="3FDD1EA2"/>
    <w:rsid w:val="40E81C84"/>
    <w:rsid w:val="40F94293"/>
    <w:rsid w:val="41250EA4"/>
    <w:rsid w:val="415A7879"/>
    <w:rsid w:val="41A47E1B"/>
    <w:rsid w:val="42621693"/>
    <w:rsid w:val="427D0EBF"/>
    <w:rsid w:val="42AA6865"/>
    <w:rsid w:val="42BC352D"/>
    <w:rsid w:val="42D33CD5"/>
    <w:rsid w:val="432B7EEF"/>
    <w:rsid w:val="434A46EC"/>
    <w:rsid w:val="436E5BE5"/>
    <w:rsid w:val="4386267B"/>
    <w:rsid w:val="43C301D8"/>
    <w:rsid w:val="43CB2F74"/>
    <w:rsid w:val="43D46D69"/>
    <w:rsid w:val="442B7132"/>
    <w:rsid w:val="44971B57"/>
    <w:rsid w:val="44B93D3A"/>
    <w:rsid w:val="44E977E0"/>
    <w:rsid w:val="450F3328"/>
    <w:rsid w:val="453252CE"/>
    <w:rsid w:val="453A4CCF"/>
    <w:rsid w:val="455117A9"/>
    <w:rsid w:val="45763405"/>
    <w:rsid w:val="45D049C6"/>
    <w:rsid w:val="45E85D49"/>
    <w:rsid w:val="46002DD3"/>
    <w:rsid w:val="46166F98"/>
    <w:rsid w:val="46293689"/>
    <w:rsid w:val="465A35BD"/>
    <w:rsid w:val="465A6BE7"/>
    <w:rsid w:val="465F0134"/>
    <w:rsid w:val="47113641"/>
    <w:rsid w:val="47842674"/>
    <w:rsid w:val="4795427E"/>
    <w:rsid w:val="47A17BED"/>
    <w:rsid w:val="47AC1DC2"/>
    <w:rsid w:val="47B9126E"/>
    <w:rsid w:val="48315726"/>
    <w:rsid w:val="4866371A"/>
    <w:rsid w:val="48A67C34"/>
    <w:rsid w:val="48CE652C"/>
    <w:rsid w:val="491E2A22"/>
    <w:rsid w:val="492275A4"/>
    <w:rsid w:val="493354CD"/>
    <w:rsid w:val="49470F79"/>
    <w:rsid w:val="49610F4C"/>
    <w:rsid w:val="49C9699B"/>
    <w:rsid w:val="4A6632DA"/>
    <w:rsid w:val="4AA06B93"/>
    <w:rsid w:val="4AA76A01"/>
    <w:rsid w:val="4AC11C68"/>
    <w:rsid w:val="4AF018C8"/>
    <w:rsid w:val="4AF33166"/>
    <w:rsid w:val="4AF60B8B"/>
    <w:rsid w:val="4B036369"/>
    <w:rsid w:val="4B2F3C11"/>
    <w:rsid w:val="4B506EDA"/>
    <w:rsid w:val="4B6649E4"/>
    <w:rsid w:val="4B7A0F54"/>
    <w:rsid w:val="4C3D5727"/>
    <w:rsid w:val="4C8A219B"/>
    <w:rsid w:val="4CBA35FB"/>
    <w:rsid w:val="4CD60A27"/>
    <w:rsid w:val="4D0E714B"/>
    <w:rsid w:val="4D141FE0"/>
    <w:rsid w:val="4D785BA5"/>
    <w:rsid w:val="4DAC05E6"/>
    <w:rsid w:val="4E0524B6"/>
    <w:rsid w:val="4E084FD4"/>
    <w:rsid w:val="4E1C4782"/>
    <w:rsid w:val="4E5668E7"/>
    <w:rsid w:val="4E5F5F0E"/>
    <w:rsid w:val="4E677615"/>
    <w:rsid w:val="4E9F1EC2"/>
    <w:rsid w:val="4E9F2FAC"/>
    <w:rsid w:val="4ED84B4D"/>
    <w:rsid w:val="4ED96A7E"/>
    <w:rsid w:val="4F361873"/>
    <w:rsid w:val="4F6C1A77"/>
    <w:rsid w:val="4FB22195"/>
    <w:rsid w:val="4FBB0B69"/>
    <w:rsid w:val="500372D1"/>
    <w:rsid w:val="500D4E33"/>
    <w:rsid w:val="5023004A"/>
    <w:rsid w:val="504F0E3F"/>
    <w:rsid w:val="50533F76"/>
    <w:rsid w:val="50955F2A"/>
    <w:rsid w:val="50E028B4"/>
    <w:rsid w:val="50F11F70"/>
    <w:rsid w:val="51205BE3"/>
    <w:rsid w:val="51247002"/>
    <w:rsid w:val="513D33E2"/>
    <w:rsid w:val="51453FF0"/>
    <w:rsid w:val="51B11960"/>
    <w:rsid w:val="51D73D9E"/>
    <w:rsid w:val="51E517A3"/>
    <w:rsid w:val="520B596A"/>
    <w:rsid w:val="52A871D4"/>
    <w:rsid w:val="52AE3E89"/>
    <w:rsid w:val="52C27FEE"/>
    <w:rsid w:val="52ED5A1D"/>
    <w:rsid w:val="53AC1EF9"/>
    <w:rsid w:val="53D310CB"/>
    <w:rsid w:val="53DE35D5"/>
    <w:rsid w:val="54056FB1"/>
    <w:rsid w:val="541920D0"/>
    <w:rsid w:val="543E122D"/>
    <w:rsid w:val="544337D2"/>
    <w:rsid w:val="546E6143"/>
    <w:rsid w:val="54866DF9"/>
    <w:rsid w:val="54C44B46"/>
    <w:rsid w:val="54ED35AA"/>
    <w:rsid w:val="54FF6D7A"/>
    <w:rsid w:val="551D40DC"/>
    <w:rsid w:val="55455503"/>
    <w:rsid w:val="55482300"/>
    <w:rsid w:val="555C5838"/>
    <w:rsid w:val="55637EE4"/>
    <w:rsid w:val="55A04CAF"/>
    <w:rsid w:val="55A91966"/>
    <w:rsid w:val="55C217A6"/>
    <w:rsid w:val="564F25FE"/>
    <w:rsid w:val="565A665B"/>
    <w:rsid w:val="56752120"/>
    <w:rsid w:val="569F4299"/>
    <w:rsid w:val="56CE1E48"/>
    <w:rsid w:val="570B10AD"/>
    <w:rsid w:val="5752573D"/>
    <w:rsid w:val="575628A5"/>
    <w:rsid w:val="579B5FEE"/>
    <w:rsid w:val="57D27E9C"/>
    <w:rsid w:val="57DD4F82"/>
    <w:rsid w:val="580E03AC"/>
    <w:rsid w:val="584E6149"/>
    <w:rsid w:val="58580246"/>
    <w:rsid w:val="587D598D"/>
    <w:rsid w:val="58BC090E"/>
    <w:rsid w:val="59103135"/>
    <w:rsid w:val="59154646"/>
    <w:rsid w:val="592E6609"/>
    <w:rsid w:val="597D4C6F"/>
    <w:rsid w:val="59C02DAD"/>
    <w:rsid w:val="59D06384"/>
    <w:rsid w:val="59E629DC"/>
    <w:rsid w:val="5A9F6E67"/>
    <w:rsid w:val="5AA93841"/>
    <w:rsid w:val="5AF32F02"/>
    <w:rsid w:val="5B1043AE"/>
    <w:rsid w:val="5B2B19EA"/>
    <w:rsid w:val="5B2B4256"/>
    <w:rsid w:val="5B314FB8"/>
    <w:rsid w:val="5B5136E8"/>
    <w:rsid w:val="5C36729C"/>
    <w:rsid w:val="5C520E7C"/>
    <w:rsid w:val="5C5611D3"/>
    <w:rsid w:val="5C5B4901"/>
    <w:rsid w:val="5C9014E4"/>
    <w:rsid w:val="5CC055C4"/>
    <w:rsid w:val="5CC07DD9"/>
    <w:rsid w:val="5CD050B5"/>
    <w:rsid w:val="5CD57B38"/>
    <w:rsid w:val="5D2017FC"/>
    <w:rsid w:val="5D325D70"/>
    <w:rsid w:val="5D656B1E"/>
    <w:rsid w:val="5D7B1E4D"/>
    <w:rsid w:val="5D8F3BEA"/>
    <w:rsid w:val="5DC23869"/>
    <w:rsid w:val="5E6D4E5F"/>
    <w:rsid w:val="5EC4310E"/>
    <w:rsid w:val="5EFA2F5D"/>
    <w:rsid w:val="5F1405A9"/>
    <w:rsid w:val="5F692CB3"/>
    <w:rsid w:val="5F697A43"/>
    <w:rsid w:val="5F8968E7"/>
    <w:rsid w:val="5FA8056B"/>
    <w:rsid w:val="5FDC07C6"/>
    <w:rsid w:val="600C0AFA"/>
    <w:rsid w:val="60736014"/>
    <w:rsid w:val="609E54CA"/>
    <w:rsid w:val="60C5005E"/>
    <w:rsid w:val="611475B8"/>
    <w:rsid w:val="61152866"/>
    <w:rsid w:val="617A1A94"/>
    <w:rsid w:val="61990230"/>
    <w:rsid w:val="61AB1547"/>
    <w:rsid w:val="61EB288B"/>
    <w:rsid w:val="6222226E"/>
    <w:rsid w:val="62352A8D"/>
    <w:rsid w:val="62A36DC8"/>
    <w:rsid w:val="63154001"/>
    <w:rsid w:val="63475D27"/>
    <w:rsid w:val="63AB43E3"/>
    <w:rsid w:val="63F35B2D"/>
    <w:rsid w:val="64837769"/>
    <w:rsid w:val="64BD1D66"/>
    <w:rsid w:val="64E341A7"/>
    <w:rsid w:val="64EC3D37"/>
    <w:rsid w:val="64F61D79"/>
    <w:rsid w:val="65580870"/>
    <w:rsid w:val="65D8641E"/>
    <w:rsid w:val="6612135A"/>
    <w:rsid w:val="66364FB0"/>
    <w:rsid w:val="66B3546E"/>
    <w:rsid w:val="66B52FA4"/>
    <w:rsid w:val="67487ECD"/>
    <w:rsid w:val="674D4335"/>
    <w:rsid w:val="67BA210E"/>
    <w:rsid w:val="680F4066"/>
    <w:rsid w:val="68120612"/>
    <w:rsid w:val="68246BFD"/>
    <w:rsid w:val="68393700"/>
    <w:rsid w:val="683C5CF5"/>
    <w:rsid w:val="686B482C"/>
    <w:rsid w:val="687A05CB"/>
    <w:rsid w:val="688A35DC"/>
    <w:rsid w:val="68E929F2"/>
    <w:rsid w:val="68F41093"/>
    <w:rsid w:val="68FD194E"/>
    <w:rsid w:val="69553709"/>
    <w:rsid w:val="695E2B47"/>
    <w:rsid w:val="69721525"/>
    <w:rsid w:val="698060B5"/>
    <w:rsid w:val="699E6EDB"/>
    <w:rsid w:val="6A0C5CC5"/>
    <w:rsid w:val="6A1F310C"/>
    <w:rsid w:val="6A580B27"/>
    <w:rsid w:val="6A62486A"/>
    <w:rsid w:val="6A9C5931"/>
    <w:rsid w:val="6AA638F9"/>
    <w:rsid w:val="6B293D9A"/>
    <w:rsid w:val="6B4231FD"/>
    <w:rsid w:val="6B6506FF"/>
    <w:rsid w:val="6BC3064C"/>
    <w:rsid w:val="6BD20370"/>
    <w:rsid w:val="6BDC2A11"/>
    <w:rsid w:val="6BDD7D8E"/>
    <w:rsid w:val="6C4179F9"/>
    <w:rsid w:val="6C4C59CB"/>
    <w:rsid w:val="6D924ED4"/>
    <w:rsid w:val="6E0A61CA"/>
    <w:rsid w:val="6E112BCB"/>
    <w:rsid w:val="6EF235B1"/>
    <w:rsid w:val="6F3D6CAA"/>
    <w:rsid w:val="6F7E2977"/>
    <w:rsid w:val="6F944336"/>
    <w:rsid w:val="6F97449F"/>
    <w:rsid w:val="6F9E54E7"/>
    <w:rsid w:val="6FA6078D"/>
    <w:rsid w:val="6FAD4F96"/>
    <w:rsid w:val="6FF5292A"/>
    <w:rsid w:val="702A28D7"/>
    <w:rsid w:val="70894D06"/>
    <w:rsid w:val="709F0BEB"/>
    <w:rsid w:val="716A0369"/>
    <w:rsid w:val="71EA4A14"/>
    <w:rsid w:val="72BB5F8B"/>
    <w:rsid w:val="72BB6655"/>
    <w:rsid w:val="72DF5BFA"/>
    <w:rsid w:val="72FA1A10"/>
    <w:rsid w:val="73290307"/>
    <w:rsid w:val="733D0B73"/>
    <w:rsid w:val="73662167"/>
    <w:rsid w:val="73760D55"/>
    <w:rsid w:val="737F2B52"/>
    <w:rsid w:val="73952CB3"/>
    <w:rsid w:val="73BB3031"/>
    <w:rsid w:val="73DE2356"/>
    <w:rsid w:val="73DE5E35"/>
    <w:rsid w:val="73E3255B"/>
    <w:rsid w:val="74485A21"/>
    <w:rsid w:val="74B4133C"/>
    <w:rsid w:val="74D10E1E"/>
    <w:rsid w:val="74D80B53"/>
    <w:rsid w:val="75976C60"/>
    <w:rsid w:val="75BF7803"/>
    <w:rsid w:val="75ED4C66"/>
    <w:rsid w:val="75F537A2"/>
    <w:rsid w:val="761A4816"/>
    <w:rsid w:val="769D3F76"/>
    <w:rsid w:val="770143E1"/>
    <w:rsid w:val="7707379D"/>
    <w:rsid w:val="774769D9"/>
    <w:rsid w:val="77802750"/>
    <w:rsid w:val="77B70EF4"/>
    <w:rsid w:val="77C60C9B"/>
    <w:rsid w:val="77DE145E"/>
    <w:rsid w:val="77E51F05"/>
    <w:rsid w:val="78343564"/>
    <w:rsid w:val="78463590"/>
    <w:rsid w:val="786960F5"/>
    <w:rsid w:val="78D26A7E"/>
    <w:rsid w:val="790463BB"/>
    <w:rsid w:val="79115F2B"/>
    <w:rsid w:val="793D5770"/>
    <w:rsid w:val="797D2FE0"/>
    <w:rsid w:val="79940026"/>
    <w:rsid w:val="79A13787"/>
    <w:rsid w:val="79C97604"/>
    <w:rsid w:val="7A162C99"/>
    <w:rsid w:val="7A1D1ABC"/>
    <w:rsid w:val="7A550D56"/>
    <w:rsid w:val="7B18439F"/>
    <w:rsid w:val="7B406A51"/>
    <w:rsid w:val="7B582291"/>
    <w:rsid w:val="7B776F27"/>
    <w:rsid w:val="7B810197"/>
    <w:rsid w:val="7B951B50"/>
    <w:rsid w:val="7BA479E1"/>
    <w:rsid w:val="7BAF10A7"/>
    <w:rsid w:val="7BD303AD"/>
    <w:rsid w:val="7BE81FC4"/>
    <w:rsid w:val="7C184A57"/>
    <w:rsid w:val="7C28078E"/>
    <w:rsid w:val="7C4B4301"/>
    <w:rsid w:val="7C675C0A"/>
    <w:rsid w:val="7C6B587F"/>
    <w:rsid w:val="7C7C3179"/>
    <w:rsid w:val="7C860105"/>
    <w:rsid w:val="7CB2089F"/>
    <w:rsid w:val="7CF02627"/>
    <w:rsid w:val="7CFF4E1C"/>
    <w:rsid w:val="7D6513F2"/>
    <w:rsid w:val="7D690930"/>
    <w:rsid w:val="7DB67EA0"/>
    <w:rsid w:val="7E23216E"/>
    <w:rsid w:val="7E636592"/>
    <w:rsid w:val="7E8E57B1"/>
    <w:rsid w:val="7EAC1347"/>
    <w:rsid w:val="7F0D5859"/>
    <w:rsid w:val="7F3C676E"/>
    <w:rsid w:val="7FA22F78"/>
    <w:rsid w:val="7FA27CF2"/>
    <w:rsid w:val="7FA637C6"/>
    <w:rsid w:val="7FB201B2"/>
    <w:rsid w:val="7FB3011B"/>
    <w:rsid w:val="7FBA3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6"/>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2">
    <w:name w:val="heading 3"/>
    <w:basedOn w:val="1"/>
    <w:next w:val="1"/>
    <w:autoRedefine/>
    <w:qFormat/>
    <w:uiPriority w:val="0"/>
    <w:pPr>
      <w:keepNext/>
      <w:keepLines/>
      <w:spacing w:before="260" w:after="260" w:line="416" w:lineRule="atLeast"/>
      <w:textAlignment w:val="baseline"/>
      <w:outlineLvl w:val="2"/>
    </w:pPr>
    <w:rPr>
      <w:b/>
      <w:bCs/>
      <w:color w:val="000000"/>
      <w:sz w:val="32"/>
      <w:szCs w:val="32"/>
      <w:u w:color="000000"/>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adjustRightInd w:val="0"/>
      <w:spacing w:line="360" w:lineRule="atLeast"/>
      <w:ind w:firstLine="482"/>
      <w:textAlignment w:val="baseline"/>
    </w:pPr>
    <w:rPr>
      <w:kern w:val="0"/>
      <w:sz w:val="24"/>
      <w:szCs w:val="20"/>
    </w:rPr>
  </w:style>
  <w:style w:type="paragraph" w:styleId="6">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7">
    <w:name w:val="annotation text"/>
    <w:basedOn w:val="1"/>
    <w:autoRedefine/>
    <w:qFormat/>
    <w:uiPriority w:val="0"/>
    <w:pPr>
      <w:jc w:val="left"/>
    </w:pPr>
  </w:style>
  <w:style w:type="paragraph" w:styleId="8">
    <w:name w:val="Body Text"/>
    <w:basedOn w:val="1"/>
    <w:next w:val="9"/>
    <w:link w:val="44"/>
    <w:autoRedefine/>
    <w:qFormat/>
    <w:uiPriority w:val="0"/>
    <w:pPr>
      <w:spacing w:after="120"/>
    </w:pPr>
  </w:style>
  <w:style w:type="paragraph" w:customStyle="1" w:styleId="9">
    <w:name w:val="_Style 2"/>
    <w:basedOn w:val="1"/>
    <w:next w:val="1"/>
    <w:autoRedefine/>
    <w:qFormat/>
    <w:uiPriority w:val="0"/>
    <w:pPr>
      <w:ind w:firstLine="200" w:firstLineChars="200"/>
    </w:pPr>
    <w:rPr>
      <w:rFonts w:ascii="Calibri" w:hAnsi="Calibri"/>
      <w:sz w:val="28"/>
      <w:szCs w:val="22"/>
    </w:rPr>
  </w:style>
  <w:style w:type="paragraph" w:styleId="10">
    <w:name w:val="Body Text Indent"/>
    <w:basedOn w:val="1"/>
    <w:next w:val="1"/>
    <w:autoRedefine/>
    <w:qFormat/>
    <w:uiPriority w:val="0"/>
    <w:pPr>
      <w:spacing w:after="120"/>
      <w:ind w:left="200" w:leftChars="200"/>
    </w:pPr>
  </w:style>
  <w:style w:type="paragraph" w:styleId="11">
    <w:name w:val="toc 3"/>
    <w:basedOn w:val="1"/>
    <w:next w:val="1"/>
    <w:autoRedefine/>
    <w:qFormat/>
    <w:uiPriority w:val="39"/>
    <w:pPr>
      <w:tabs>
        <w:tab w:val="right" w:leader="dot" w:pos="9288"/>
      </w:tabs>
      <w:ind w:left="400" w:leftChars="400"/>
    </w:pPr>
    <w:rPr>
      <w:rFonts w:ascii="宋体"/>
    </w:rPr>
  </w:style>
  <w:style w:type="paragraph" w:styleId="12">
    <w:name w:val="Plain Text"/>
    <w:basedOn w:val="1"/>
    <w:next w:val="13"/>
    <w:link w:val="45"/>
    <w:autoRedefine/>
    <w:qFormat/>
    <w:uiPriority w:val="0"/>
    <w:rPr>
      <w:rFonts w:ascii="宋体"/>
      <w:color w:val="000000"/>
      <w:szCs w:val="20"/>
      <w:u w:color="000000"/>
    </w:rPr>
  </w:style>
  <w:style w:type="paragraph" w:styleId="13">
    <w:name w:val="index 7"/>
    <w:basedOn w:val="1"/>
    <w:next w:val="1"/>
    <w:autoRedefine/>
    <w:qFormat/>
    <w:uiPriority w:val="0"/>
    <w:pPr>
      <w:ind w:left="1200" w:leftChars="1200"/>
    </w:pPr>
  </w:style>
  <w:style w:type="paragraph" w:styleId="14">
    <w:name w:val="Date"/>
    <w:basedOn w:val="1"/>
    <w:next w:val="1"/>
    <w:link w:val="46"/>
    <w:autoRedefine/>
    <w:qFormat/>
    <w:uiPriority w:val="0"/>
    <w:rPr>
      <w:rFonts w:ascii="Arial" w:hAnsi="Arial" w:eastAsia="仿宋_GB2312"/>
      <w:color w:val="000000"/>
      <w:sz w:val="32"/>
      <w:szCs w:val="20"/>
      <w:u w:color="000000"/>
    </w:rPr>
  </w:style>
  <w:style w:type="paragraph" w:styleId="15">
    <w:name w:val="footer"/>
    <w:basedOn w:val="1"/>
    <w:link w:val="47"/>
    <w:autoRedefine/>
    <w:qFormat/>
    <w:uiPriority w:val="0"/>
    <w:pPr>
      <w:tabs>
        <w:tab w:val="center" w:pos="4153"/>
        <w:tab w:val="right" w:pos="8306"/>
      </w:tabs>
      <w:snapToGrid w:val="0"/>
      <w:jc w:val="left"/>
    </w:pPr>
    <w:rPr>
      <w:sz w:val="18"/>
      <w:szCs w:val="18"/>
    </w:rPr>
  </w:style>
  <w:style w:type="paragraph" w:styleId="16">
    <w:name w:val="header"/>
    <w:basedOn w:val="1"/>
    <w:link w:val="48"/>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style>
  <w:style w:type="paragraph" w:styleId="18">
    <w:name w:val="footnote text"/>
    <w:basedOn w:val="1"/>
    <w:autoRedefine/>
    <w:qFormat/>
    <w:uiPriority w:val="0"/>
    <w:pPr>
      <w:adjustRightInd w:val="0"/>
      <w:spacing w:line="312" w:lineRule="atLeast"/>
      <w:jc w:val="left"/>
      <w:textAlignment w:val="baseline"/>
    </w:pPr>
    <w:rPr>
      <w:kern w:val="0"/>
      <w:sz w:val="18"/>
      <w:szCs w:val="20"/>
    </w:rPr>
  </w:style>
  <w:style w:type="paragraph" w:styleId="19">
    <w:name w:val="toc 2"/>
    <w:basedOn w:val="1"/>
    <w:next w:val="1"/>
    <w:autoRedefine/>
    <w:qFormat/>
    <w:uiPriority w:val="39"/>
    <w:pPr>
      <w:ind w:left="200" w:leftChars="200"/>
    </w:pPr>
  </w:style>
  <w:style w:type="paragraph" w:styleId="20">
    <w:name w:val="Body Text 2"/>
    <w:basedOn w:val="1"/>
    <w:autoRedefine/>
    <w:qFormat/>
    <w:uiPriority w:val="0"/>
    <w:pPr>
      <w:tabs>
        <w:tab w:val="left" w:pos="0"/>
      </w:tabs>
      <w:spacing w:line="400" w:lineRule="atLeast"/>
    </w:pPr>
    <w:rPr>
      <w:rFonts w:ascii="Arial" w:hAnsi="Arial"/>
      <w:color w:val="000000"/>
    </w:rPr>
  </w:style>
  <w:style w:type="paragraph" w:styleId="21">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2">
    <w:name w:val="Body Text First Indent"/>
    <w:basedOn w:val="8"/>
    <w:autoRedefine/>
    <w:unhideWhenUsed/>
    <w:qFormat/>
    <w:uiPriority w:val="0"/>
    <w:pPr>
      <w:ind w:firstLine="420" w:firstLineChars="100"/>
    </w:pPr>
  </w:style>
  <w:style w:type="paragraph" w:styleId="23">
    <w:name w:val="Body Text First Indent 2"/>
    <w:basedOn w:val="10"/>
    <w:next w:val="5"/>
    <w:autoRedefine/>
    <w:unhideWhenUsed/>
    <w:qFormat/>
    <w:uiPriority w:val="99"/>
    <w:pPr>
      <w:ind w:left="420" w:firstLine="420"/>
    </w:pPr>
    <w:rPr>
      <w:rFonts w:cs="宋体"/>
      <w:szCs w:val="21"/>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autoRedefine/>
    <w:qFormat/>
    <w:uiPriority w:val="0"/>
    <w:rPr>
      <w:b/>
    </w:rPr>
  </w:style>
  <w:style w:type="character" w:styleId="28">
    <w:name w:val="page number"/>
    <w:basedOn w:val="26"/>
    <w:autoRedefine/>
    <w:qFormat/>
    <w:uiPriority w:val="0"/>
  </w:style>
  <w:style w:type="character" w:styleId="29">
    <w:name w:val="FollowedHyperlink"/>
    <w:autoRedefine/>
    <w:qFormat/>
    <w:uiPriority w:val="0"/>
    <w:rPr>
      <w:color w:val="333333"/>
      <w:u w:val="none"/>
    </w:rPr>
  </w:style>
  <w:style w:type="character" w:styleId="30">
    <w:name w:val="HTML Definition"/>
    <w:basedOn w:val="26"/>
    <w:autoRedefine/>
    <w:qFormat/>
    <w:uiPriority w:val="0"/>
  </w:style>
  <w:style w:type="character" w:styleId="31">
    <w:name w:val="HTML Typewriter"/>
    <w:basedOn w:val="26"/>
    <w:autoRedefine/>
    <w:qFormat/>
    <w:uiPriority w:val="0"/>
    <w:rPr>
      <w:rFonts w:hint="default" w:ascii="monospace" w:hAnsi="monospace" w:eastAsia="monospace" w:cs="monospace"/>
      <w:sz w:val="20"/>
    </w:rPr>
  </w:style>
  <w:style w:type="character" w:styleId="32">
    <w:name w:val="HTML Acronym"/>
    <w:basedOn w:val="26"/>
    <w:autoRedefine/>
    <w:qFormat/>
    <w:uiPriority w:val="0"/>
  </w:style>
  <w:style w:type="character" w:styleId="33">
    <w:name w:val="HTML Variable"/>
    <w:basedOn w:val="26"/>
    <w:autoRedefine/>
    <w:qFormat/>
    <w:uiPriority w:val="0"/>
  </w:style>
  <w:style w:type="character" w:styleId="34">
    <w:name w:val="Hyperlink"/>
    <w:basedOn w:val="26"/>
    <w:autoRedefine/>
    <w:qFormat/>
    <w:uiPriority w:val="99"/>
    <w:rPr>
      <w:color w:val="0000FF"/>
      <w:u w:val="single"/>
    </w:rPr>
  </w:style>
  <w:style w:type="character" w:styleId="35">
    <w:name w:val="HTML Code"/>
    <w:basedOn w:val="26"/>
    <w:autoRedefine/>
    <w:qFormat/>
    <w:uiPriority w:val="0"/>
    <w:rPr>
      <w:rFonts w:ascii="monospace" w:hAnsi="monospace" w:eastAsia="monospace" w:cs="monospace"/>
      <w:sz w:val="20"/>
    </w:rPr>
  </w:style>
  <w:style w:type="character" w:styleId="36">
    <w:name w:val="HTML Cite"/>
    <w:basedOn w:val="26"/>
    <w:autoRedefine/>
    <w:qFormat/>
    <w:uiPriority w:val="0"/>
  </w:style>
  <w:style w:type="character" w:styleId="37">
    <w:name w:val="HTML Keyboard"/>
    <w:basedOn w:val="26"/>
    <w:autoRedefine/>
    <w:qFormat/>
    <w:uiPriority w:val="0"/>
    <w:rPr>
      <w:rFonts w:hint="default" w:ascii="monospace" w:hAnsi="monospace" w:eastAsia="monospace" w:cs="monospace"/>
      <w:sz w:val="20"/>
    </w:rPr>
  </w:style>
  <w:style w:type="character" w:styleId="38">
    <w:name w:val="HTML Sample"/>
    <w:basedOn w:val="26"/>
    <w:autoRedefine/>
    <w:qFormat/>
    <w:uiPriority w:val="0"/>
    <w:rPr>
      <w:rFonts w:hint="default" w:ascii="monospace" w:hAnsi="monospace" w:eastAsia="monospace" w:cs="monospace"/>
    </w:rPr>
  </w:style>
  <w:style w:type="paragraph" w:customStyle="1" w:styleId="39">
    <w:name w:val="正文格式"/>
    <w:basedOn w:val="1"/>
    <w:autoRedefine/>
    <w:qFormat/>
    <w:uiPriority w:val="99"/>
    <w:pPr>
      <w:widowControl/>
      <w:adjustRightInd w:val="0"/>
      <w:snapToGrid w:val="0"/>
      <w:spacing w:line="400" w:lineRule="atLeast"/>
      <w:ind w:firstLine="482"/>
      <w:textAlignment w:val="baseline"/>
    </w:pPr>
    <w:rPr>
      <w:kern w:val="0"/>
      <w:sz w:val="24"/>
    </w:rPr>
  </w:style>
  <w:style w:type="paragraph" w:customStyle="1" w:styleId="40">
    <w:name w:val="标题 5（有编号）（绿盟科技）"/>
    <w:basedOn w:val="1"/>
    <w:next w:val="41"/>
    <w:autoRedefine/>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41">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4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3">
    <w:name w:val="[Normal]"/>
    <w:autoRedefine/>
    <w:qFormat/>
    <w:uiPriority w:val="0"/>
    <w:rPr>
      <w:rFonts w:ascii="宋体" w:hAnsi="宋体" w:eastAsia="宋体" w:cs="Times New Roman"/>
      <w:sz w:val="24"/>
      <w:szCs w:val="22"/>
      <w:lang w:val="zh-CN" w:eastAsia="zh-CN" w:bidi="ar-SA"/>
    </w:rPr>
  </w:style>
  <w:style w:type="character" w:customStyle="1" w:styleId="44">
    <w:name w:val="正文文本 Char"/>
    <w:link w:val="8"/>
    <w:autoRedefine/>
    <w:semiHidden/>
    <w:qFormat/>
    <w:locked/>
    <w:uiPriority w:val="0"/>
    <w:rPr>
      <w:rFonts w:eastAsia="宋体"/>
      <w:kern w:val="2"/>
      <w:sz w:val="21"/>
      <w:szCs w:val="24"/>
      <w:lang w:val="en-US" w:eastAsia="zh-CN" w:bidi="ar-SA"/>
    </w:rPr>
  </w:style>
  <w:style w:type="character" w:customStyle="1" w:styleId="45">
    <w:name w:val="纯文本 Char"/>
    <w:link w:val="12"/>
    <w:autoRedefine/>
    <w:qFormat/>
    <w:uiPriority w:val="0"/>
    <w:rPr>
      <w:rFonts w:ascii="宋体"/>
      <w:color w:val="000000"/>
      <w:kern w:val="2"/>
      <w:sz w:val="21"/>
      <w:u w:val="none" w:color="000000"/>
    </w:rPr>
  </w:style>
  <w:style w:type="character" w:customStyle="1" w:styleId="46">
    <w:name w:val="日期 Char"/>
    <w:link w:val="14"/>
    <w:autoRedefine/>
    <w:qFormat/>
    <w:uiPriority w:val="0"/>
    <w:rPr>
      <w:rFonts w:ascii="Arial" w:hAnsi="Arial" w:eastAsia="仿宋_GB2312"/>
      <w:color w:val="000000"/>
      <w:kern w:val="2"/>
      <w:sz w:val="32"/>
      <w:u w:val="none" w:color="000000"/>
      <w:lang w:val="en-US" w:eastAsia="zh-CN" w:bidi="ar-SA"/>
    </w:rPr>
  </w:style>
  <w:style w:type="character" w:customStyle="1" w:styleId="47">
    <w:name w:val="页脚 Char"/>
    <w:link w:val="15"/>
    <w:autoRedefine/>
    <w:qFormat/>
    <w:locked/>
    <w:uiPriority w:val="0"/>
    <w:rPr>
      <w:rFonts w:eastAsia="宋体"/>
      <w:kern w:val="2"/>
      <w:sz w:val="18"/>
      <w:szCs w:val="18"/>
      <w:lang w:val="en-US" w:eastAsia="zh-CN" w:bidi="ar-SA"/>
    </w:rPr>
  </w:style>
  <w:style w:type="character" w:customStyle="1" w:styleId="48">
    <w:name w:val="页眉 Char"/>
    <w:link w:val="16"/>
    <w:autoRedefine/>
    <w:qFormat/>
    <w:locked/>
    <w:uiPriority w:val="0"/>
    <w:rPr>
      <w:rFonts w:eastAsia="宋体"/>
      <w:kern w:val="2"/>
      <w:sz w:val="18"/>
      <w:szCs w:val="18"/>
      <w:lang w:val="en-US" w:eastAsia="zh-CN" w:bidi="ar-SA"/>
    </w:rPr>
  </w:style>
  <w:style w:type="character" w:customStyle="1" w:styleId="49">
    <w:name w:val="Body Text Char"/>
    <w:autoRedefine/>
    <w:qFormat/>
    <w:locked/>
    <w:uiPriority w:val="0"/>
    <w:rPr>
      <w:rFonts w:ascii="宋体" w:hAnsi="Arial"/>
      <w:sz w:val="28"/>
    </w:rPr>
  </w:style>
  <w:style w:type="paragraph" w:customStyle="1" w:styleId="50">
    <w:name w:val="p0"/>
    <w:basedOn w:val="1"/>
    <w:autoRedefine/>
    <w:qFormat/>
    <w:uiPriority w:val="0"/>
    <w:pPr>
      <w:widowControl/>
      <w:jc w:val="left"/>
    </w:pPr>
    <w:rPr>
      <w:rFonts w:ascii="宋体" w:hAnsi="宋体" w:cs="宋体"/>
      <w:kern w:val="0"/>
      <w:sz w:val="18"/>
      <w:szCs w:val="18"/>
    </w:rPr>
  </w:style>
  <w:style w:type="paragraph" w:customStyle="1" w:styleId="51">
    <w:name w:val="Body 1"/>
    <w:autoRedefine/>
    <w:qFormat/>
    <w:uiPriority w:val="0"/>
    <w:pPr>
      <w:outlineLvl w:val="0"/>
    </w:pPr>
    <w:rPr>
      <w:rFonts w:ascii="Helvetica" w:hAnsi="Helvetica" w:eastAsia="ヒラギノ角ゴ Pro W3" w:cs="Times New Roman"/>
      <w:color w:val="000000"/>
      <w:sz w:val="22"/>
      <w:lang w:val="en-US" w:eastAsia="zh-CN" w:bidi="ar-SA"/>
    </w:rPr>
  </w:style>
  <w:style w:type="paragraph" w:customStyle="1" w:styleId="52">
    <w:name w:val="WPS Plain"/>
    <w:autoRedefine/>
    <w:qFormat/>
    <w:uiPriority w:val="0"/>
    <w:rPr>
      <w:rFonts w:ascii="Times New Roman" w:hAnsi="Times New Roman" w:eastAsia="宋体" w:cs="Times New Roman"/>
      <w:lang w:val="en-US" w:eastAsia="zh-CN" w:bidi="ar-SA"/>
    </w:rPr>
  </w:style>
  <w:style w:type="paragraph" w:styleId="53">
    <w:name w:val="List Paragraph"/>
    <w:basedOn w:val="1"/>
    <w:autoRedefine/>
    <w:qFormat/>
    <w:uiPriority w:val="0"/>
    <w:pPr>
      <w:spacing w:line="360" w:lineRule="auto"/>
      <w:ind w:firstLine="420" w:firstLineChars="200"/>
    </w:pPr>
    <w:rPr>
      <w:rFonts w:ascii="宋体" w:hAnsi="宋体" w:cs="宋体"/>
      <w:sz w:val="24"/>
    </w:rPr>
  </w:style>
  <w:style w:type="paragraph" w:customStyle="1" w:styleId="54">
    <w:name w:val="Char"/>
    <w:basedOn w:val="1"/>
    <w:next w:val="1"/>
    <w:autoRedefine/>
    <w:qFormat/>
    <w:uiPriority w:val="0"/>
    <w:pPr>
      <w:widowControl/>
      <w:spacing w:line="360" w:lineRule="auto"/>
      <w:jc w:val="left"/>
    </w:pPr>
    <w:rPr>
      <w:kern w:val="0"/>
      <w:szCs w:val="20"/>
      <w:lang w:eastAsia="en-US"/>
    </w:rPr>
  </w:style>
  <w:style w:type="paragraph" w:customStyle="1" w:styleId="55">
    <w:name w:val="正文1"/>
    <w:autoRedefine/>
    <w:qFormat/>
    <w:uiPriority w:val="0"/>
    <w:rPr>
      <w:rFonts w:ascii="Calibri" w:hAnsi="Calibri" w:eastAsia="Times New Roman" w:cs="Times New Roman"/>
      <w:sz w:val="24"/>
      <w:szCs w:val="24"/>
      <w:lang w:val="en-US" w:eastAsia="zh-CN" w:bidi="ar-SA"/>
    </w:rPr>
  </w:style>
  <w:style w:type="paragraph" w:customStyle="1" w:styleId="56">
    <w:name w:val="样式 左侧:  0 厘米 悬挂缩进: 2.5 字符"/>
    <w:basedOn w:val="1"/>
    <w:autoRedefine/>
    <w:qFormat/>
    <w:uiPriority w:val="0"/>
    <w:pPr>
      <w:ind w:left="525" w:hanging="525" w:hangingChars="250"/>
    </w:pPr>
    <w:rPr>
      <w:szCs w:val="20"/>
    </w:rPr>
  </w:style>
  <w:style w:type="paragraph" w:customStyle="1" w:styleId="57">
    <w:name w:val="图例"/>
    <w:basedOn w:val="1"/>
    <w:autoRedefine/>
    <w:qFormat/>
    <w:uiPriority w:val="0"/>
    <w:pPr>
      <w:spacing w:before="120" w:after="120" w:line="360" w:lineRule="auto"/>
      <w:jc w:val="center"/>
    </w:pPr>
    <w:rPr>
      <w:rFonts w:eastAsia="仿宋_GB2312"/>
      <w:b/>
      <w:sz w:val="24"/>
    </w:rPr>
  </w:style>
  <w:style w:type="paragraph" w:customStyle="1" w:styleId="58">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59">
    <w:name w:val="black1"/>
    <w:basedOn w:val="1"/>
    <w:autoRedefine/>
    <w:qFormat/>
    <w:uiPriority w:val="0"/>
    <w:pPr>
      <w:widowControl/>
      <w:spacing w:before="100" w:beforeAutospacing="1" w:after="100" w:afterAutospacing="1" w:line="280" w:lineRule="atLeast"/>
      <w:jc w:val="left"/>
    </w:pPr>
    <w:rPr>
      <w:rFonts w:ascii="_x000B__x000C_" w:hAnsi="_x000B__x000C_"/>
      <w:color w:val="000000"/>
      <w:kern w:val="0"/>
      <w:sz w:val="18"/>
      <w:szCs w:val="18"/>
    </w:rPr>
  </w:style>
  <w:style w:type="paragraph" w:customStyle="1" w:styleId="60">
    <w:name w:val="标书正文"/>
    <w:basedOn w:val="1"/>
    <w:autoRedefine/>
    <w:qFormat/>
    <w:uiPriority w:val="0"/>
    <w:pPr>
      <w:spacing w:line="560" w:lineRule="exact"/>
      <w:ind w:firstLine="723" w:firstLineChars="200"/>
      <w:jc w:val="center"/>
    </w:pPr>
    <w:rPr>
      <w:rFonts w:ascii="仿宋_GB2312" w:eastAsia="仿宋_GB2312"/>
      <w:b/>
      <w:sz w:val="36"/>
    </w:rPr>
  </w:style>
  <w:style w:type="paragraph" w:customStyle="1" w:styleId="61">
    <w:name w:val="列出段落1"/>
    <w:basedOn w:val="1"/>
    <w:autoRedefine/>
    <w:qFormat/>
    <w:uiPriority w:val="0"/>
    <w:pPr>
      <w:ind w:firstLine="420" w:firstLineChars="200"/>
    </w:pPr>
    <w:rPr>
      <w:rFonts w:ascii="Calibri" w:hAnsi="Calibri"/>
      <w:szCs w:val="22"/>
    </w:rPr>
  </w:style>
  <w:style w:type="paragraph" w:customStyle="1" w:styleId="62">
    <w:name w:val="Table Paragraph"/>
    <w:basedOn w:val="1"/>
    <w:autoRedefine/>
    <w:qFormat/>
    <w:uiPriority w:val="1"/>
  </w:style>
  <w:style w:type="character" w:customStyle="1" w:styleId="63">
    <w:name w:val="font21"/>
    <w:basedOn w:val="26"/>
    <w:autoRedefine/>
    <w:qFormat/>
    <w:uiPriority w:val="0"/>
    <w:rPr>
      <w:rFonts w:hint="eastAsia" w:ascii="宋体" w:hAnsi="宋体" w:eastAsia="宋体" w:cs="宋体"/>
      <w:color w:val="000000"/>
      <w:sz w:val="20"/>
      <w:szCs w:val="20"/>
      <w:u w:val="none"/>
    </w:rPr>
  </w:style>
  <w:style w:type="character" w:customStyle="1" w:styleId="64">
    <w:name w:val="font31"/>
    <w:basedOn w:val="26"/>
    <w:autoRedefine/>
    <w:qFormat/>
    <w:uiPriority w:val="0"/>
    <w:rPr>
      <w:rFonts w:hint="eastAsia" w:ascii="宋体" w:hAnsi="宋体" w:eastAsia="宋体" w:cs="宋体"/>
      <w:color w:val="FF0000"/>
      <w:sz w:val="20"/>
      <w:szCs w:val="20"/>
      <w:u w:val="none"/>
    </w:rPr>
  </w:style>
  <w:style w:type="character" w:customStyle="1" w:styleId="65">
    <w:name w:val="font01"/>
    <w:basedOn w:val="26"/>
    <w:autoRedefine/>
    <w:qFormat/>
    <w:uiPriority w:val="0"/>
    <w:rPr>
      <w:rFonts w:ascii="宋体" w:hAnsi="宋体" w:eastAsia="宋体" w:cs="宋体"/>
      <w:color w:val="000000"/>
      <w:sz w:val="20"/>
      <w:szCs w:val="20"/>
      <w:u w:val="none"/>
    </w:rPr>
  </w:style>
  <w:style w:type="character" w:customStyle="1" w:styleId="66">
    <w:name w:val="标题 1 Char"/>
    <w:basedOn w:val="26"/>
    <w:link w:val="3"/>
    <w:autoRedefine/>
    <w:qFormat/>
    <w:uiPriority w:val="0"/>
    <w:rPr>
      <w:b/>
      <w:bCs/>
      <w:kern w:val="44"/>
      <w:sz w:val="44"/>
      <w:szCs w:val="44"/>
    </w:rPr>
  </w:style>
  <w:style w:type="paragraph" w:customStyle="1" w:styleId="67">
    <w:name w:val="正文 A"/>
    <w:autoRedefine/>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Times New Roman"/>
      <w:color w:val="000000"/>
      <w:kern w:val="2"/>
      <w:sz w:val="21"/>
      <w:szCs w:val="21"/>
      <w:lang w:val="en-US" w:eastAsia="zh-CN" w:bidi="ar-SA"/>
    </w:rPr>
  </w:style>
  <w:style w:type="paragraph" w:customStyle="1" w:styleId="68">
    <w:name w:val="BodyText"/>
    <w:basedOn w:val="1"/>
    <w:next w:val="1"/>
    <w:autoRedefine/>
    <w:qFormat/>
    <w:uiPriority w:val="0"/>
    <w:pPr>
      <w:tabs>
        <w:tab w:val="left" w:pos="780"/>
      </w:tabs>
    </w:pPr>
    <w:rPr>
      <w:rFonts w:ascii="黑体" w:eastAsia="黑体"/>
      <w:sz w:val="22"/>
    </w:rPr>
  </w:style>
  <w:style w:type="paragraph" w:customStyle="1" w:styleId="69">
    <w:name w:val="Heading #2|1"/>
    <w:basedOn w:val="1"/>
    <w:autoRedefine/>
    <w:qFormat/>
    <w:uiPriority w:val="0"/>
    <w:pPr>
      <w:spacing w:before="60" w:after="270"/>
      <w:jc w:val="center"/>
      <w:outlineLvl w:val="1"/>
    </w:pPr>
    <w:rPr>
      <w:rFonts w:ascii="宋体" w:hAnsi="宋体" w:eastAsia="宋体" w:cs="宋体"/>
      <w:sz w:val="36"/>
      <w:szCs w:val="36"/>
      <w:lang w:val="zh-TW" w:eastAsia="zh-TW" w:bidi="zh-TW"/>
    </w:rPr>
  </w:style>
  <w:style w:type="paragraph" w:customStyle="1" w:styleId="70">
    <w:name w:val="Table caption|1"/>
    <w:basedOn w:val="1"/>
    <w:autoRedefine/>
    <w:qFormat/>
    <w:uiPriority w:val="0"/>
    <w:rPr>
      <w:rFonts w:ascii="宋体" w:hAnsi="宋体" w:eastAsia="宋体" w:cs="宋体"/>
      <w:sz w:val="22"/>
      <w:szCs w:val="22"/>
      <w:lang w:val="zh-TW" w:eastAsia="zh-TW" w:bidi="zh-TW"/>
    </w:rPr>
  </w:style>
  <w:style w:type="paragraph" w:customStyle="1" w:styleId="71">
    <w:name w:val="Other|1"/>
    <w:basedOn w:val="1"/>
    <w:autoRedefine/>
    <w:qFormat/>
    <w:uiPriority w:val="0"/>
    <w:pPr>
      <w:spacing w:line="454" w:lineRule="auto"/>
      <w:ind w:firstLine="140"/>
    </w:pPr>
    <w:rPr>
      <w:rFonts w:ascii="宋体" w:hAnsi="宋体" w:eastAsia="宋体" w:cs="宋体"/>
      <w:sz w:val="22"/>
      <w:szCs w:val="22"/>
      <w:lang w:val="zh-TW" w:eastAsia="zh-TW" w:bidi="zh-TW"/>
    </w:rPr>
  </w:style>
  <w:style w:type="paragraph" w:customStyle="1" w:styleId="72">
    <w:name w:val="Body text|1"/>
    <w:basedOn w:val="1"/>
    <w:autoRedefine/>
    <w:qFormat/>
    <w:uiPriority w:val="0"/>
    <w:pPr>
      <w:spacing w:line="454" w:lineRule="auto"/>
      <w:ind w:firstLine="140"/>
    </w:pPr>
    <w:rPr>
      <w:rFonts w:ascii="宋体" w:hAnsi="宋体" w:eastAsia="宋体" w:cs="宋体"/>
      <w:sz w:val="22"/>
      <w:szCs w:val="22"/>
      <w:lang w:val="zh-TW" w:eastAsia="zh-TW" w:bidi="zh-TW"/>
    </w:rPr>
  </w:style>
  <w:style w:type="paragraph" w:customStyle="1" w:styleId="73">
    <w:name w:val="Body text|2"/>
    <w:basedOn w:val="1"/>
    <w:autoRedefine/>
    <w:qFormat/>
    <w:uiPriority w:val="0"/>
    <w:pPr>
      <w:spacing w:after="260"/>
      <w:ind w:firstLine="140"/>
    </w:pPr>
    <w:rPr>
      <w:rFonts w:ascii="宋体" w:hAnsi="宋体" w:eastAsia="宋体" w:cs="宋体"/>
      <w:sz w:val="30"/>
      <w:szCs w:val="30"/>
      <w:lang w:val="zh-TW" w:eastAsia="zh-TW" w:bidi="zh-TW"/>
    </w:rPr>
  </w:style>
  <w:style w:type="character" w:customStyle="1" w:styleId="74">
    <w:name w:val="layui-layer-tabnow"/>
    <w:basedOn w:val="26"/>
    <w:autoRedefine/>
    <w:qFormat/>
    <w:uiPriority w:val="0"/>
    <w:rPr>
      <w:bdr w:val="single" w:color="CCCCCC" w:sz="6" w:space="0"/>
      <w:shd w:val="clear" w:fill="FFFFFF"/>
    </w:rPr>
  </w:style>
  <w:style w:type="character" w:customStyle="1" w:styleId="75">
    <w:name w:val="first-child"/>
    <w:basedOn w:val="26"/>
    <w:autoRedefine/>
    <w:qFormat/>
    <w:uiPriority w:val="0"/>
  </w:style>
  <w:style w:type="paragraph" w:customStyle="1" w:styleId="76">
    <w:name w:val="正文缩进1"/>
    <w:basedOn w:val="1"/>
    <w:autoRedefine/>
    <w:qFormat/>
    <w:uiPriority w:val="0"/>
    <w:pPr>
      <w:autoSpaceDE w:val="0"/>
      <w:autoSpaceDN w:val="0"/>
      <w:adjustRightInd w:val="0"/>
      <w:ind w:firstLine="420"/>
      <w:jc w:val="left"/>
    </w:pPr>
    <w:rPr>
      <w:rFonts w:ascii="宋体"/>
      <w:kern w:val="0"/>
      <w:sz w:val="24"/>
      <w:szCs w:val="20"/>
    </w:rPr>
  </w:style>
  <w:style w:type="paragraph" w:customStyle="1" w:styleId="77">
    <w:name w:val="纯文本1"/>
    <w:basedOn w:val="1"/>
    <w:autoRedefine/>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MSCD龙帝国技术社区 Htpp://Bbs.Mscode.Cc</Company>
  <Pages>65</Pages>
  <Words>3515</Words>
  <Characters>4003</Characters>
  <Lines>418</Lines>
  <Paragraphs>117</Paragraphs>
  <TotalTime>4</TotalTime>
  <ScaleCrop>false</ScaleCrop>
  <LinksUpToDate>false</LinksUpToDate>
  <CharactersWithSpaces>4170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2014-07-12T00:56:00Z</dcterms:created>
  <dc:creator>陈倩倩</dc:creator>
  <cp:lastModifiedBy>Administrator</cp:lastModifiedBy>
  <cp:lastPrinted>2024-03-18T04:43:00Z</cp:lastPrinted>
  <dcterms:modified xsi:type="dcterms:W3CDTF">2024-12-04T12:39:58Z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63BF5A2236404AF882894C2165F19389_13</vt:lpwstr>
  </property>
</Properties>
</file>