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3E7B">
      <w:pPr>
        <w:spacing w:line="360" w:lineRule="auto"/>
        <w:rPr>
          <w:rFonts w:eastAsia="仿宋"/>
          <w:bCs/>
          <w:sz w:val="28"/>
          <w:szCs w:val="28"/>
        </w:rPr>
      </w:pPr>
      <w:r>
        <w:rPr>
          <w:rFonts w:eastAsia="仿宋"/>
          <w:bCs/>
          <w:sz w:val="28"/>
          <w:szCs w:val="28"/>
        </w:rPr>
        <w:t>喀什地区公共资源交易中心</w:t>
      </w:r>
    </w:p>
    <w:p w14:paraId="14C493C0">
      <w:pPr>
        <w:widowControl/>
        <w:spacing w:line="360" w:lineRule="auto"/>
        <w:rPr>
          <w:rFonts w:ascii="方正小标宋简体" w:hAnsi="方正小标宋简体" w:eastAsia="方正小标宋简体"/>
          <w:b/>
          <w:sz w:val="52"/>
          <w:szCs w:val="52"/>
        </w:rPr>
      </w:pPr>
    </w:p>
    <w:p w14:paraId="7DBE2861">
      <w:pPr>
        <w:spacing w:line="400" w:lineRule="atLeast"/>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eastAsia="zh-CN"/>
        </w:rPr>
        <w:t>喀什职业技术学院文艺实训基地设备采购项目</w:t>
      </w:r>
    </w:p>
    <w:p w14:paraId="5A0C5062">
      <w:pPr>
        <w:spacing w:line="400" w:lineRule="atLeast"/>
        <w:jc w:val="center"/>
        <w:rPr>
          <w:rFonts w:ascii="方正小标宋简体" w:hAnsi="方正小标宋简体" w:eastAsia="方正小标宋简体"/>
          <w:b/>
          <w:sz w:val="52"/>
          <w:szCs w:val="52"/>
        </w:rPr>
      </w:pPr>
    </w:p>
    <w:p w14:paraId="095D995B">
      <w:pPr>
        <w:spacing w:line="400" w:lineRule="atLeast"/>
        <w:jc w:val="center"/>
        <w:rPr>
          <w:rFonts w:eastAsia="仿宋"/>
          <w:bCs/>
          <w:sz w:val="32"/>
          <w:szCs w:val="32"/>
        </w:rPr>
      </w:pPr>
      <w:r>
        <w:rPr>
          <w:rFonts w:ascii="方正小标宋简体" w:hAnsi="方正小标宋简体" w:eastAsia="方正小标宋简体"/>
          <w:b/>
          <w:sz w:val="52"/>
          <w:szCs w:val="52"/>
        </w:rPr>
        <w:t>公开招标文件</w:t>
      </w:r>
    </w:p>
    <w:p w14:paraId="23BEA046">
      <w:pPr>
        <w:spacing w:line="360" w:lineRule="auto"/>
        <w:ind w:left="1080" w:leftChars="257" w:hanging="540"/>
        <w:jc w:val="center"/>
        <w:rPr>
          <w:rFonts w:eastAsia="仿宋"/>
          <w:bCs/>
          <w:sz w:val="32"/>
          <w:szCs w:val="32"/>
        </w:rPr>
      </w:pPr>
    </w:p>
    <w:p w14:paraId="4CB56EA1">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w:t>
      </w:r>
      <w:r>
        <w:rPr>
          <w:rFonts w:hint="eastAsia" w:eastAsia="仿宋"/>
          <w:bCs/>
          <w:sz w:val="32"/>
          <w:szCs w:val="32"/>
          <w:lang w:val="en-US" w:eastAsia="zh-CN"/>
        </w:rPr>
        <w:t>30</w:t>
      </w:r>
      <w:r>
        <w:rPr>
          <w:rFonts w:eastAsia="仿宋"/>
          <w:bCs/>
          <w:sz w:val="32"/>
          <w:szCs w:val="32"/>
        </w:rPr>
        <w:t>）</w:t>
      </w:r>
    </w:p>
    <w:p w14:paraId="35FDE46E">
      <w:pPr>
        <w:spacing w:line="360" w:lineRule="auto"/>
        <w:ind w:left="1080" w:leftChars="257" w:hanging="540"/>
        <w:jc w:val="center"/>
        <w:rPr>
          <w:rFonts w:eastAsia="仿宋"/>
          <w:b/>
          <w:sz w:val="32"/>
          <w:szCs w:val="32"/>
        </w:rPr>
      </w:pPr>
    </w:p>
    <w:p w14:paraId="33ADCBE6">
      <w:pPr>
        <w:spacing w:line="360" w:lineRule="auto"/>
        <w:ind w:left="1080" w:leftChars="257" w:hanging="540"/>
        <w:jc w:val="center"/>
        <w:rPr>
          <w:rFonts w:eastAsia="仿宋"/>
          <w:b/>
          <w:sz w:val="36"/>
          <w:szCs w:val="36"/>
        </w:rPr>
      </w:pPr>
      <w:r>
        <w:rPr>
          <w:rFonts w:eastAsia="仿宋"/>
          <w:b/>
          <w:sz w:val="36"/>
          <w:szCs w:val="36"/>
        </w:rPr>
        <w:t>第一册</w:t>
      </w:r>
    </w:p>
    <w:p w14:paraId="40FBA643">
      <w:pPr>
        <w:spacing w:line="360" w:lineRule="auto"/>
        <w:ind w:firstLine="837" w:firstLineChars="299"/>
        <w:jc w:val="left"/>
        <w:rPr>
          <w:rFonts w:eastAsia="仿宋"/>
          <w:sz w:val="28"/>
          <w:szCs w:val="28"/>
        </w:rPr>
      </w:pPr>
      <w:r>
        <w:rPr>
          <w:rFonts w:hint="eastAsia" w:eastAsia="仿宋"/>
          <w:sz w:val="28"/>
          <w:szCs w:val="28"/>
        </w:rPr>
        <w:t xml:space="preserve">  </w:t>
      </w:r>
    </w:p>
    <w:p w14:paraId="232BE11C">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 xml:space="preserve">   喀什职业技术学院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4A2E1C77">
      <w:pPr>
        <w:spacing w:line="360" w:lineRule="auto"/>
        <w:ind w:firstLine="837" w:firstLineChars="299"/>
        <w:rPr>
          <w:rFonts w:eastAsia="仿宋"/>
          <w:sz w:val="28"/>
          <w:szCs w:val="28"/>
          <w:u w:val="single"/>
        </w:rPr>
      </w:pPr>
      <w:r>
        <w:rPr>
          <w:rFonts w:hint="eastAsia" w:eastAsia="仿宋"/>
          <w:sz w:val="28"/>
          <w:szCs w:val="28"/>
        </w:rPr>
        <w:t>联 系 人</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穆淼</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1D381220">
      <w:pPr>
        <w:spacing w:line="360" w:lineRule="auto"/>
        <w:ind w:firstLine="837" w:firstLineChars="299"/>
        <w:rPr>
          <w:rFonts w:hint="default" w:eastAsia="仿宋"/>
          <w:sz w:val="24"/>
          <w:szCs w:val="24"/>
          <w:u w:val="single"/>
          <w:lang w:val="en-US"/>
        </w:rPr>
      </w:pPr>
      <w:r>
        <w:rPr>
          <w:rFonts w:hint="eastAsia" w:eastAsia="仿宋"/>
          <w:sz w:val="28"/>
          <w:szCs w:val="28"/>
        </w:rPr>
        <w:t>联系电话</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15099025000</w:t>
      </w:r>
      <w:r>
        <w:rPr>
          <w:rFonts w:hint="eastAsia" w:eastAsia="仿宋"/>
          <w:sz w:val="24"/>
          <w:szCs w:val="24"/>
          <w:u w:val="single"/>
          <w:lang w:val="en-US" w:eastAsia="zh-CN"/>
        </w:rPr>
        <w:t xml:space="preserve">       </w:t>
      </w:r>
    </w:p>
    <w:p w14:paraId="0A5A77BD">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7DBCD">
      <w:pPr>
        <w:spacing w:line="360" w:lineRule="auto"/>
        <w:ind w:firstLine="837" w:firstLineChars="299"/>
        <w:rPr>
          <w:rFonts w:eastAsia="仿宋"/>
          <w:sz w:val="28"/>
          <w:szCs w:val="28"/>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朱文财    刘锦秀  </w:t>
      </w:r>
    </w:p>
    <w:p w14:paraId="76B38FC1">
      <w:pPr>
        <w:spacing w:line="360" w:lineRule="auto"/>
        <w:ind w:firstLine="837" w:firstLineChars="299"/>
        <w:rPr>
          <w:rFonts w:eastAsia="仿宋"/>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eastAsia="zh-CN"/>
        </w:rPr>
        <w:t>0998-3252724</w:t>
      </w:r>
      <w:r>
        <w:rPr>
          <w:rFonts w:hint="eastAsia" w:eastAsia="仿宋"/>
          <w:sz w:val="28"/>
          <w:szCs w:val="28"/>
          <w:u w:val="single"/>
        </w:rPr>
        <w:t xml:space="preserve">     </w:t>
      </w:r>
    </w:p>
    <w:p w14:paraId="2865479B">
      <w:pPr>
        <w:spacing w:line="360" w:lineRule="auto"/>
        <w:ind w:firstLine="837" w:firstLineChars="299"/>
        <w:rPr>
          <w:rFonts w:eastAsia="仿宋"/>
          <w:sz w:val="28"/>
          <w:szCs w:val="28"/>
          <w:u w:val="single"/>
        </w:rPr>
      </w:pPr>
    </w:p>
    <w:p w14:paraId="23F692AC">
      <w:pPr>
        <w:spacing w:line="360" w:lineRule="auto"/>
        <w:ind w:firstLine="2511" w:firstLineChars="897"/>
        <w:jc w:val="center"/>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r>
        <w:rPr>
          <w:rFonts w:hint="eastAsia" w:eastAsia="仿宋"/>
          <w:sz w:val="28"/>
          <w:szCs w:val="28"/>
          <w:u w:val="single"/>
        </w:rPr>
        <w:t xml:space="preserve">  </w:t>
      </w:r>
      <w:r>
        <w:rPr>
          <w:rFonts w:eastAsia="仿宋"/>
          <w:b/>
          <w:sz w:val="52"/>
        </w:rPr>
        <w:br w:type="page"/>
      </w:r>
      <w:r>
        <w:rPr>
          <w:rFonts w:eastAsia="仿宋"/>
          <w:b/>
          <w:sz w:val="32"/>
        </w:rPr>
        <w:t>目录</w:t>
      </w:r>
    </w:p>
    <w:p w14:paraId="33E241F2">
      <w:pPr>
        <w:pStyle w:val="19"/>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fldChar w:fldCharType="begin"/>
      </w:r>
      <w:r>
        <w:instrText xml:space="preserve"> HYPERLINK \l "_Toc31696" </w:instrText>
      </w:r>
      <w:r>
        <w:fldChar w:fldCharType="separate"/>
      </w:r>
      <w:r>
        <w:rPr>
          <w:rFonts w:hint="eastAsia" w:eastAsia="仿宋"/>
          <w:kern w:val="0"/>
          <w:szCs w:val="21"/>
        </w:rPr>
        <w:t>第1章</w:t>
      </w:r>
      <w:r>
        <w:rPr>
          <w:rFonts w:eastAsia="仿宋"/>
        </w:rPr>
        <w:t>投标人须知</w:t>
      </w:r>
      <w:r>
        <w:tab/>
      </w:r>
      <w:r>
        <w:fldChar w:fldCharType="begin"/>
      </w:r>
      <w:r>
        <w:instrText xml:space="preserve"> PAGEREF _Toc31696 \h </w:instrText>
      </w:r>
      <w:r>
        <w:fldChar w:fldCharType="separate"/>
      </w:r>
      <w:r>
        <w:t>4</w:t>
      </w:r>
      <w:r>
        <w:fldChar w:fldCharType="end"/>
      </w:r>
      <w:r>
        <w:fldChar w:fldCharType="end"/>
      </w:r>
    </w:p>
    <w:p w14:paraId="1754371A">
      <w:pPr>
        <w:pStyle w:val="20"/>
        <w:tabs>
          <w:tab w:val="right" w:leader="dot" w:pos="8312"/>
        </w:tabs>
      </w:pPr>
      <w:r>
        <w:fldChar w:fldCharType="begin"/>
      </w:r>
      <w:r>
        <w:instrText xml:space="preserve"> HYPERLINK \l "_Toc31997" </w:instrText>
      </w:r>
      <w:r>
        <w:fldChar w:fldCharType="separate"/>
      </w:r>
      <w:r>
        <w:t>一总则</w:t>
      </w:r>
      <w:r>
        <w:tab/>
      </w:r>
      <w:r>
        <w:fldChar w:fldCharType="begin"/>
      </w:r>
      <w:r>
        <w:instrText xml:space="preserve"> PAGEREF _Toc31997 \h </w:instrText>
      </w:r>
      <w:r>
        <w:fldChar w:fldCharType="separate"/>
      </w:r>
      <w:r>
        <w:t>5</w:t>
      </w:r>
      <w:r>
        <w:fldChar w:fldCharType="end"/>
      </w:r>
      <w:r>
        <w:fldChar w:fldCharType="end"/>
      </w:r>
    </w:p>
    <w:p w14:paraId="7213AAA6">
      <w:pPr>
        <w:pStyle w:val="13"/>
        <w:tabs>
          <w:tab w:val="right" w:leader="dot" w:pos="8312"/>
        </w:tabs>
      </w:pPr>
      <w:r>
        <w:fldChar w:fldCharType="begin"/>
      </w:r>
      <w:r>
        <w:instrText xml:space="preserve"> HYPERLINK \l "_Toc1000" </w:instrText>
      </w:r>
      <w:r>
        <w:fldChar w:fldCharType="separate"/>
      </w:r>
      <w:r>
        <w:rPr>
          <w:rFonts w:eastAsia="仿宋"/>
        </w:rPr>
        <w:t>1.采购人、采购代理机构及投标人</w:t>
      </w:r>
      <w:r>
        <w:tab/>
      </w:r>
      <w:r>
        <w:fldChar w:fldCharType="begin"/>
      </w:r>
      <w:r>
        <w:instrText xml:space="preserve"> PAGEREF _Toc1000 \h </w:instrText>
      </w:r>
      <w:r>
        <w:fldChar w:fldCharType="separate"/>
      </w:r>
      <w:r>
        <w:t>5</w:t>
      </w:r>
      <w:r>
        <w:fldChar w:fldCharType="end"/>
      </w:r>
      <w:r>
        <w:fldChar w:fldCharType="end"/>
      </w:r>
    </w:p>
    <w:p w14:paraId="126FCB02">
      <w:pPr>
        <w:pStyle w:val="13"/>
        <w:tabs>
          <w:tab w:val="right" w:leader="dot" w:pos="8312"/>
        </w:tabs>
      </w:pPr>
      <w:r>
        <w:fldChar w:fldCharType="begin"/>
      </w:r>
      <w:r>
        <w:instrText xml:space="preserve"> HYPERLINK \l "_Toc1409" </w:instrText>
      </w:r>
      <w:r>
        <w:fldChar w:fldCharType="separate"/>
      </w:r>
      <w:r>
        <w:rPr>
          <w:rFonts w:eastAsia="仿宋"/>
        </w:rPr>
        <w:t>2.资金来源</w:t>
      </w:r>
      <w:r>
        <w:tab/>
      </w:r>
      <w:r>
        <w:fldChar w:fldCharType="begin"/>
      </w:r>
      <w:r>
        <w:instrText xml:space="preserve"> PAGEREF _Toc1409 \h </w:instrText>
      </w:r>
      <w:r>
        <w:fldChar w:fldCharType="separate"/>
      </w:r>
      <w:r>
        <w:t>6</w:t>
      </w:r>
      <w:r>
        <w:fldChar w:fldCharType="end"/>
      </w:r>
      <w:r>
        <w:fldChar w:fldCharType="end"/>
      </w:r>
    </w:p>
    <w:p w14:paraId="2A3143EF">
      <w:pPr>
        <w:pStyle w:val="13"/>
        <w:tabs>
          <w:tab w:val="right" w:leader="dot" w:pos="8312"/>
        </w:tabs>
      </w:pPr>
      <w:r>
        <w:fldChar w:fldCharType="begin"/>
      </w:r>
      <w:r>
        <w:instrText xml:space="preserve"> HYPERLINK \l "_Toc23703" </w:instrText>
      </w:r>
      <w:r>
        <w:fldChar w:fldCharType="separate"/>
      </w:r>
      <w:r>
        <w:rPr>
          <w:rFonts w:eastAsia="仿宋"/>
        </w:rPr>
        <w:t>3.投标费用</w:t>
      </w:r>
      <w:r>
        <w:tab/>
      </w:r>
      <w:r>
        <w:fldChar w:fldCharType="begin"/>
      </w:r>
      <w:r>
        <w:instrText xml:space="preserve"> PAGEREF _Toc23703 \h </w:instrText>
      </w:r>
      <w:r>
        <w:fldChar w:fldCharType="separate"/>
      </w:r>
      <w:r>
        <w:t>6</w:t>
      </w:r>
      <w:r>
        <w:fldChar w:fldCharType="end"/>
      </w:r>
      <w:r>
        <w:fldChar w:fldCharType="end"/>
      </w:r>
    </w:p>
    <w:p w14:paraId="4E82266C">
      <w:pPr>
        <w:pStyle w:val="13"/>
        <w:tabs>
          <w:tab w:val="right" w:leader="dot" w:pos="8312"/>
        </w:tabs>
      </w:pPr>
      <w:r>
        <w:fldChar w:fldCharType="begin"/>
      </w:r>
      <w:r>
        <w:instrText xml:space="preserve"> HYPERLINK \l "_Toc9960" </w:instrText>
      </w:r>
      <w:r>
        <w:fldChar w:fldCharType="separate"/>
      </w:r>
      <w:r>
        <w:rPr>
          <w:rFonts w:eastAsia="仿宋"/>
        </w:rPr>
        <w:t>4.适用法律</w:t>
      </w:r>
      <w:r>
        <w:tab/>
      </w:r>
      <w:r>
        <w:fldChar w:fldCharType="begin"/>
      </w:r>
      <w:r>
        <w:instrText xml:space="preserve"> PAGEREF _Toc9960 \h </w:instrText>
      </w:r>
      <w:r>
        <w:fldChar w:fldCharType="separate"/>
      </w:r>
      <w:r>
        <w:t>7</w:t>
      </w:r>
      <w:r>
        <w:fldChar w:fldCharType="end"/>
      </w:r>
      <w:r>
        <w:fldChar w:fldCharType="end"/>
      </w:r>
    </w:p>
    <w:p w14:paraId="65C4EE7F">
      <w:pPr>
        <w:pStyle w:val="20"/>
        <w:tabs>
          <w:tab w:val="right" w:leader="dot" w:pos="8312"/>
        </w:tabs>
      </w:pPr>
      <w:r>
        <w:fldChar w:fldCharType="begin"/>
      </w:r>
      <w:r>
        <w:instrText xml:space="preserve"> HYPERLINK \l "_Toc28586" </w:instrText>
      </w:r>
      <w:r>
        <w:fldChar w:fldCharType="separate"/>
      </w:r>
      <w:r>
        <w:rPr>
          <w:rFonts w:eastAsia="仿宋"/>
        </w:rPr>
        <w:t>二招标文件</w:t>
      </w:r>
      <w:r>
        <w:tab/>
      </w:r>
      <w:r>
        <w:fldChar w:fldCharType="begin"/>
      </w:r>
      <w:r>
        <w:instrText xml:space="preserve"> PAGEREF _Toc28586 \h </w:instrText>
      </w:r>
      <w:r>
        <w:fldChar w:fldCharType="separate"/>
      </w:r>
      <w:r>
        <w:t>7</w:t>
      </w:r>
      <w:r>
        <w:fldChar w:fldCharType="end"/>
      </w:r>
      <w:r>
        <w:fldChar w:fldCharType="end"/>
      </w:r>
    </w:p>
    <w:p w14:paraId="13DCDF98">
      <w:pPr>
        <w:pStyle w:val="13"/>
        <w:tabs>
          <w:tab w:val="right" w:leader="dot" w:pos="8312"/>
        </w:tabs>
      </w:pPr>
      <w:r>
        <w:fldChar w:fldCharType="begin"/>
      </w:r>
      <w:r>
        <w:instrText xml:space="preserve"> HYPERLINK \l "_Toc6894" </w:instrText>
      </w:r>
      <w:r>
        <w:fldChar w:fldCharType="separate"/>
      </w:r>
      <w:r>
        <w:rPr>
          <w:rFonts w:eastAsia="仿宋"/>
        </w:rPr>
        <w:t>5.招标文件构成</w:t>
      </w:r>
      <w:r>
        <w:tab/>
      </w:r>
      <w:r>
        <w:fldChar w:fldCharType="begin"/>
      </w:r>
      <w:r>
        <w:instrText xml:space="preserve"> PAGEREF _Toc6894 \h </w:instrText>
      </w:r>
      <w:r>
        <w:fldChar w:fldCharType="separate"/>
      </w:r>
      <w:r>
        <w:t>7</w:t>
      </w:r>
      <w:r>
        <w:fldChar w:fldCharType="end"/>
      </w:r>
      <w:r>
        <w:fldChar w:fldCharType="end"/>
      </w:r>
    </w:p>
    <w:p w14:paraId="7975EAFE">
      <w:pPr>
        <w:pStyle w:val="13"/>
        <w:tabs>
          <w:tab w:val="right" w:leader="dot" w:pos="8312"/>
        </w:tabs>
      </w:pPr>
      <w:r>
        <w:fldChar w:fldCharType="begin"/>
      </w:r>
      <w:r>
        <w:instrText xml:space="preserve"> HYPERLINK \l "_Toc21110" </w:instrText>
      </w:r>
      <w:r>
        <w:fldChar w:fldCharType="separate"/>
      </w:r>
      <w:r>
        <w:rPr>
          <w:rFonts w:eastAsia="仿宋"/>
        </w:rPr>
        <w:t>6.招标文件的澄清与修改</w:t>
      </w:r>
      <w:r>
        <w:tab/>
      </w:r>
      <w:r>
        <w:fldChar w:fldCharType="begin"/>
      </w:r>
      <w:r>
        <w:instrText xml:space="preserve"> PAGEREF _Toc21110 \h </w:instrText>
      </w:r>
      <w:r>
        <w:fldChar w:fldCharType="separate"/>
      </w:r>
      <w:r>
        <w:t>7</w:t>
      </w:r>
      <w:r>
        <w:fldChar w:fldCharType="end"/>
      </w:r>
      <w:r>
        <w:fldChar w:fldCharType="end"/>
      </w:r>
    </w:p>
    <w:p w14:paraId="70592FC2">
      <w:pPr>
        <w:pStyle w:val="13"/>
        <w:tabs>
          <w:tab w:val="right" w:leader="dot" w:pos="8312"/>
        </w:tabs>
      </w:pPr>
      <w:r>
        <w:fldChar w:fldCharType="begin"/>
      </w:r>
      <w:r>
        <w:instrText xml:space="preserve"> HYPERLINK \l "_Toc25111" </w:instrText>
      </w:r>
      <w:r>
        <w:fldChar w:fldCharType="separate"/>
      </w:r>
      <w:r>
        <w:rPr>
          <w:rFonts w:eastAsia="仿宋"/>
        </w:rPr>
        <w:t>7.投标截止时间的顺延</w:t>
      </w:r>
      <w:r>
        <w:tab/>
      </w:r>
      <w:r>
        <w:fldChar w:fldCharType="begin"/>
      </w:r>
      <w:r>
        <w:instrText xml:space="preserve"> PAGEREF _Toc25111 \h </w:instrText>
      </w:r>
      <w:r>
        <w:fldChar w:fldCharType="separate"/>
      </w:r>
      <w:r>
        <w:t>8</w:t>
      </w:r>
      <w:r>
        <w:fldChar w:fldCharType="end"/>
      </w:r>
      <w:r>
        <w:fldChar w:fldCharType="end"/>
      </w:r>
    </w:p>
    <w:p w14:paraId="4790771E">
      <w:pPr>
        <w:pStyle w:val="20"/>
        <w:tabs>
          <w:tab w:val="right" w:leader="dot" w:pos="8312"/>
        </w:tabs>
      </w:pPr>
      <w:r>
        <w:fldChar w:fldCharType="begin"/>
      </w:r>
      <w:r>
        <w:instrText xml:space="preserve"> HYPERLINK \l "_Toc10749" </w:instrText>
      </w:r>
      <w:r>
        <w:fldChar w:fldCharType="separate"/>
      </w:r>
      <w:r>
        <w:rPr>
          <w:rFonts w:eastAsia="仿宋"/>
        </w:rPr>
        <w:t>三投标文件的编制</w:t>
      </w:r>
      <w:r>
        <w:tab/>
      </w:r>
      <w:r>
        <w:fldChar w:fldCharType="begin"/>
      </w:r>
      <w:r>
        <w:instrText xml:space="preserve"> PAGEREF _Toc10749 \h </w:instrText>
      </w:r>
      <w:r>
        <w:fldChar w:fldCharType="separate"/>
      </w:r>
      <w:r>
        <w:t>8</w:t>
      </w:r>
      <w:r>
        <w:fldChar w:fldCharType="end"/>
      </w:r>
      <w:r>
        <w:fldChar w:fldCharType="end"/>
      </w:r>
    </w:p>
    <w:p w14:paraId="5326442B">
      <w:pPr>
        <w:pStyle w:val="13"/>
        <w:tabs>
          <w:tab w:val="right" w:pos="3200"/>
          <w:tab w:val="right" w:leader="dot" w:pos="8312"/>
        </w:tabs>
      </w:pPr>
      <w:r>
        <w:fldChar w:fldCharType="begin"/>
      </w:r>
      <w:r>
        <w:instrText xml:space="preserve"> HYPERLINK \l "_Toc24990" </w:instrText>
      </w:r>
      <w: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_Toc24990 \h </w:instrText>
      </w:r>
      <w:r>
        <w:fldChar w:fldCharType="separate"/>
      </w:r>
      <w:r>
        <w:t>8</w:t>
      </w:r>
      <w:r>
        <w:fldChar w:fldCharType="end"/>
      </w:r>
      <w:r>
        <w:fldChar w:fldCharType="end"/>
      </w:r>
    </w:p>
    <w:p w14:paraId="300220B9">
      <w:pPr>
        <w:pStyle w:val="13"/>
        <w:tabs>
          <w:tab w:val="right" w:leader="dot" w:pos="8312"/>
        </w:tabs>
      </w:pPr>
      <w:r>
        <w:fldChar w:fldCharType="begin"/>
      </w:r>
      <w:r>
        <w:instrText xml:space="preserve"> HYPERLINK \l "_Toc29101" </w:instrText>
      </w:r>
      <w:r>
        <w:fldChar w:fldCharType="separate"/>
      </w:r>
      <w:r>
        <w:rPr>
          <w:rFonts w:eastAsia="仿宋"/>
        </w:rPr>
        <w:t>9.投标文件构成</w:t>
      </w:r>
      <w:r>
        <w:tab/>
      </w:r>
      <w:r>
        <w:fldChar w:fldCharType="begin"/>
      </w:r>
      <w:r>
        <w:instrText xml:space="preserve"> PAGEREF _Toc29101 \h </w:instrText>
      </w:r>
      <w:r>
        <w:fldChar w:fldCharType="separate"/>
      </w:r>
      <w:r>
        <w:t>8</w:t>
      </w:r>
      <w:r>
        <w:fldChar w:fldCharType="end"/>
      </w:r>
      <w:r>
        <w:fldChar w:fldCharType="end"/>
      </w:r>
    </w:p>
    <w:p w14:paraId="5F60420D">
      <w:pPr>
        <w:pStyle w:val="13"/>
        <w:tabs>
          <w:tab w:val="right" w:pos="3600"/>
          <w:tab w:val="right" w:leader="dot" w:pos="8312"/>
        </w:tabs>
      </w:pPr>
      <w:r>
        <w:fldChar w:fldCharType="begin"/>
      </w:r>
      <w:r>
        <w:instrText xml:space="preserve"> HYPERLINK \l "_Toc11736" </w:instrText>
      </w:r>
      <w: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_Toc11736 \h </w:instrText>
      </w:r>
      <w:r>
        <w:fldChar w:fldCharType="separate"/>
      </w:r>
      <w:r>
        <w:t>9</w:t>
      </w:r>
      <w:r>
        <w:fldChar w:fldCharType="end"/>
      </w:r>
      <w:r>
        <w:fldChar w:fldCharType="end"/>
      </w:r>
    </w:p>
    <w:p w14:paraId="782B1E1F">
      <w:pPr>
        <w:pStyle w:val="13"/>
        <w:tabs>
          <w:tab w:val="right" w:leader="dot" w:pos="8312"/>
        </w:tabs>
      </w:pPr>
      <w:r>
        <w:fldChar w:fldCharType="begin"/>
      </w:r>
      <w:r>
        <w:instrText xml:space="preserve"> HYPERLINK \l "_Toc16574" </w:instrText>
      </w:r>
      <w:r>
        <w:fldChar w:fldCharType="separate"/>
      </w:r>
      <w:r>
        <w:rPr>
          <w:rFonts w:eastAsia="仿宋"/>
        </w:rPr>
        <w:t>11.投标报价</w:t>
      </w:r>
      <w:r>
        <w:tab/>
      </w:r>
      <w:r>
        <w:fldChar w:fldCharType="begin"/>
      </w:r>
      <w:r>
        <w:instrText xml:space="preserve"> PAGEREF _Toc16574 \h </w:instrText>
      </w:r>
      <w:r>
        <w:fldChar w:fldCharType="separate"/>
      </w:r>
      <w:r>
        <w:t>9</w:t>
      </w:r>
      <w:r>
        <w:fldChar w:fldCharType="end"/>
      </w:r>
      <w:r>
        <w:fldChar w:fldCharType="end"/>
      </w:r>
    </w:p>
    <w:p w14:paraId="72DEBC82">
      <w:pPr>
        <w:pStyle w:val="13"/>
        <w:tabs>
          <w:tab w:val="right" w:leader="dot" w:pos="8312"/>
        </w:tabs>
      </w:pPr>
      <w:r>
        <w:fldChar w:fldCharType="begin"/>
      </w:r>
      <w:r>
        <w:instrText xml:space="preserve"> HYPERLINK \l "_Toc19591" </w:instrText>
      </w:r>
      <w:r>
        <w:fldChar w:fldCharType="separate"/>
      </w:r>
      <w:r>
        <w:rPr>
          <w:rFonts w:eastAsia="仿宋"/>
        </w:rPr>
        <w:t>12.投标保证金</w:t>
      </w:r>
      <w:r>
        <w:tab/>
      </w:r>
      <w:r>
        <w:fldChar w:fldCharType="begin"/>
      </w:r>
      <w:r>
        <w:instrText xml:space="preserve"> PAGEREF _Toc19591 \h </w:instrText>
      </w:r>
      <w:r>
        <w:fldChar w:fldCharType="separate"/>
      </w:r>
      <w:r>
        <w:t>10</w:t>
      </w:r>
      <w:r>
        <w:fldChar w:fldCharType="end"/>
      </w:r>
      <w:r>
        <w:fldChar w:fldCharType="end"/>
      </w:r>
    </w:p>
    <w:p w14:paraId="3ACCC1CD">
      <w:pPr>
        <w:pStyle w:val="13"/>
        <w:tabs>
          <w:tab w:val="right" w:leader="dot" w:pos="8312"/>
        </w:tabs>
      </w:pPr>
      <w:r>
        <w:fldChar w:fldCharType="begin"/>
      </w:r>
      <w:r>
        <w:instrText xml:space="preserve"> HYPERLINK \l "_Toc19370" </w:instrText>
      </w:r>
      <w:r>
        <w:fldChar w:fldCharType="separate"/>
      </w:r>
      <w:r>
        <w:rPr>
          <w:rFonts w:eastAsia="仿宋"/>
        </w:rPr>
        <w:t>13.投标有效期</w:t>
      </w:r>
      <w:r>
        <w:tab/>
      </w:r>
      <w:r>
        <w:fldChar w:fldCharType="begin"/>
      </w:r>
      <w:r>
        <w:instrText xml:space="preserve"> PAGEREF _Toc19370 \h </w:instrText>
      </w:r>
      <w:r>
        <w:fldChar w:fldCharType="separate"/>
      </w:r>
      <w:r>
        <w:t>11</w:t>
      </w:r>
      <w:r>
        <w:fldChar w:fldCharType="end"/>
      </w:r>
      <w:r>
        <w:fldChar w:fldCharType="end"/>
      </w:r>
    </w:p>
    <w:p w14:paraId="30421231">
      <w:pPr>
        <w:pStyle w:val="13"/>
        <w:tabs>
          <w:tab w:val="right" w:leader="dot" w:pos="8312"/>
        </w:tabs>
      </w:pPr>
      <w:r>
        <w:fldChar w:fldCharType="begin"/>
      </w:r>
      <w:r>
        <w:instrText xml:space="preserve"> HYPERLINK \l "_Toc22262" </w:instrText>
      </w:r>
      <w:r>
        <w:fldChar w:fldCharType="separate"/>
      </w:r>
      <w:r>
        <w:rPr>
          <w:rFonts w:eastAsia="仿宋"/>
        </w:rPr>
        <w:t>14.投标文件的签署及规定</w:t>
      </w:r>
      <w:r>
        <w:tab/>
      </w:r>
      <w:r>
        <w:fldChar w:fldCharType="begin"/>
      </w:r>
      <w:r>
        <w:instrText xml:space="preserve"> PAGEREF _Toc22262 \h </w:instrText>
      </w:r>
      <w:r>
        <w:fldChar w:fldCharType="separate"/>
      </w:r>
      <w:r>
        <w:t>11</w:t>
      </w:r>
      <w:r>
        <w:fldChar w:fldCharType="end"/>
      </w:r>
      <w:r>
        <w:fldChar w:fldCharType="end"/>
      </w:r>
    </w:p>
    <w:p w14:paraId="6A9F50B2">
      <w:pPr>
        <w:pStyle w:val="20"/>
        <w:tabs>
          <w:tab w:val="right" w:leader="dot" w:pos="8312"/>
        </w:tabs>
      </w:pPr>
      <w:r>
        <w:fldChar w:fldCharType="begin"/>
      </w:r>
      <w:r>
        <w:instrText xml:space="preserve"> HYPERLINK \l "_Toc2659" </w:instrText>
      </w:r>
      <w:r>
        <w:fldChar w:fldCharType="separate"/>
      </w:r>
      <w:r>
        <w:rPr>
          <w:rFonts w:eastAsia="仿宋"/>
        </w:rPr>
        <w:t>四</w:t>
      </w:r>
      <w:r>
        <w:rPr>
          <w:rFonts w:hint="eastAsia" w:eastAsia="仿宋"/>
        </w:rPr>
        <w:t>、</w:t>
      </w:r>
      <w:r>
        <w:rPr>
          <w:rFonts w:eastAsia="仿宋"/>
        </w:rPr>
        <w:t>投标文件的递交</w:t>
      </w:r>
      <w:r>
        <w:tab/>
      </w:r>
      <w:r>
        <w:fldChar w:fldCharType="begin"/>
      </w:r>
      <w:r>
        <w:instrText xml:space="preserve"> PAGEREF _Toc2659 \h </w:instrText>
      </w:r>
      <w:r>
        <w:fldChar w:fldCharType="separate"/>
      </w:r>
      <w:r>
        <w:t>11</w:t>
      </w:r>
      <w:r>
        <w:fldChar w:fldCharType="end"/>
      </w:r>
      <w:r>
        <w:fldChar w:fldCharType="end"/>
      </w:r>
    </w:p>
    <w:p w14:paraId="0F745AB1">
      <w:pPr>
        <w:pStyle w:val="13"/>
        <w:tabs>
          <w:tab w:val="right" w:leader="dot" w:pos="8312"/>
        </w:tabs>
      </w:pPr>
      <w:r>
        <w:fldChar w:fldCharType="begin"/>
      </w:r>
      <w:r>
        <w:instrText xml:space="preserve"> HYPERLINK \l "_Toc25050" </w:instrText>
      </w:r>
      <w:r>
        <w:fldChar w:fldCharType="separate"/>
      </w:r>
      <w:r>
        <w:rPr>
          <w:rFonts w:eastAsia="仿宋"/>
        </w:rPr>
        <w:t>15.投标文件的密封和标记</w:t>
      </w:r>
      <w:r>
        <w:tab/>
      </w:r>
      <w:r>
        <w:fldChar w:fldCharType="begin"/>
      </w:r>
      <w:r>
        <w:instrText xml:space="preserve"> PAGEREF _Toc25050 \h </w:instrText>
      </w:r>
      <w:r>
        <w:fldChar w:fldCharType="separate"/>
      </w:r>
      <w:r>
        <w:t>12</w:t>
      </w:r>
      <w:r>
        <w:fldChar w:fldCharType="end"/>
      </w:r>
      <w:r>
        <w:fldChar w:fldCharType="end"/>
      </w:r>
    </w:p>
    <w:p w14:paraId="42C9730E">
      <w:pPr>
        <w:pStyle w:val="13"/>
        <w:tabs>
          <w:tab w:val="right" w:leader="dot" w:pos="8312"/>
        </w:tabs>
      </w:pPr>
      <w:r>
        <w:fldChar w:fldCharType="begin"/>
      </w:r>
      <w:r>
        <w:instrText xml:space="preserve"> HYPERLINK \l "_Toc28971" </w:instrText>
      </w:r>
      <w:r>
        <w:fldChar w:fldCharType="separate"/>
      </w:r>
      <w:r>
        <w:rPr>
          <w:rFonts w:eastAsia="仿宋"/>
        </w:rPr>
        <w:t>16.投标截止</w:t>
      </w:r>
      <w:r>
        <w:tab/>
      </w:r>
      <w:r>
        <w:fldChar w:fldCharType="begin"/>
      </w:r>
      <w:r>
        <w:instrText xml:space="preserve"> PAGEREF _Toc28971 \h </w:instrText>
      </w:r>
      <w:r>
        <w:fldChar w:fldCharType="separate"/>
      </w:r>
      <w:r>
        <w:t>12</w:t>
      </w:r>
      <w:r>
        <w:fldChar w:fldCharType="end"/>
      </w:r>
      <w:r>
        <w:fldChar w:fldCharType="end"/>
      </w:r>
    </w:p>
    <w:p w14:paraId="1986E5A6">
      <w:pPr>
        <w:pStyle w:val="13"/>
        <w:tabs>
          <w:tab w:val="right" w:leader="dot" w:pos="8312"/>
        </w:tabs>
      </w:pPr>
      <w:r>
        <w:fldChar w:fldCharType="begin"/>
      </w:r>
      <w:r>
        <w:instrText xml:space="preserve"> HYPERLINK \l "_Toc326" </w:instrText>
      </w:r>
      <w:r>
        <w:fldChar w:fldCharType="separate"/>
      </w:r>
      <w:r>
        <w:rPr>
          <w:rFonts w:eastAsia="仿宋"/>
        </w:rPr>
        <w:t>17.投标文件的接收、修改与撤回</w:t>
      </w:r>
      <w:r>
        <w:tab/>
      </w:r>
      <w:r>
        <w:fldChar w:fldCharType="begin"/>
      </w:r>
      <w:r>
        <w:instrText xml:space="preserve"> PAGEREF _Toc326 \h </w:instrText>
      </w:r>
      <w:r>
        <w:fldChar w:fldCharType="separate"/>
      </w:r>
      <w:r>
        <w:t>12</w:t>
      </w:r>
      <w:r>
        <w:fldChar w:fldCharType="end"/>
      </w:r>
      <w:r>
        <w:fldChar w:fldCharType="end"/>
      </w:r>
    </w:p>
    <w:p w14:paraId="48396E05">
      <w:pPr>
        <w:pStyle w:val="20"/>
        <w:tabs>
          <w:tab w:val="right" w:leader="dot" w:pos="8312"/>
        </w:tabs>
      </w:pPr>
      <w:r>
        <w:fldChar w:fldCharType="begin"/>
      </w:r>
      <w:r>
        <w:instrText xml:space="preserve"> HYPERLINK \l "_Toc22845" </w:instrText>
      </w:r>
      <w:r>
        <w:fldChar w:fldCharType="separate"/>
      </w:r>
      <w:r>
        <w:rPr>
          <w:rFonts w:eastAsia="仿宋"/>
        </w:rPr>
        <w:t>五开标及评标</w:t>
      </w:r>
      <w:r>
        <w:tab/>
      </w:r>
      <w:r>
        <w:fldChar w:fldCharType="begin"/>
      </w:r>
      <w:r>
        <w:instrText xml:space="preserve"> PAGEREF _Toc22845 \h </w:instrText>
      </w:r>
      <w:r>
        <w:fldChar w:fldCharType="separate"/>
      </w:r>
      <w:r>
        <w:t>13</w:t>
      </w:r>
      <w:r>
        <w:fldChar w:fldCharType="end"/>
      </w:r>
      <w:r>
        <w:fldChar w:fldCharType="end"/>
      </w:r>
    </w:p>
    <w:p w14:paraId="1024F9F0">
      <w:pPr>
        <w:pStyle w:val="13"/>
        <w:tabs>
          <w:tab w:val="right" w:leader="dot" w:pos="8312"/>
        </w:tabs>
      </w:pPr>
      <w:r>
        <w:fldChar w:fldCharType="begin"/>
      </w:r>
      <w:r>
        <w:instrText xml:space="preserve"> HYPERLINK \l "_Toc12598" </w:instrText>
      </w:r>
      <w:r>
        <w:fldChar w:fldCharType="separate"/>
      </w:r>
      <w:r>
        <w:rPr>
          <w:rFonts w:eastAsia="仿宋"/>
        </w:rPr>
        <w:t>18.开标</w:t>
      </w:r>
      <w:r>
        <w:tab/>
      </w:r>
      <w:r>
        <w:fldChar w:fldCharType="begin"/>
      </w:r>
      <w:r>
        <w:instrText xml:space="preserve"> PAGEREF _Toc12598 \h </w:instrText>
      </w:r>
      <w:r>
        <w:fldChar w:fldCharType="separate"/>
      </w:r>
      <w:r>
        <w:t>13</w:t>
      </w:r>
      <w:r>
        <w:fldChar w:fldCharType="end"/>
      </w:r>
      <w:r>
        <w:fldChar w:fldCharType="end"/>
      </w:r>
    </w:p>
    <w:p w14:paraId="53C38257">
      <w:pPr>
        <w:pStyle w:val="13"/>
        <w:tabs>
          <w:tab w:val="right" w:leader="dot" w:pos="8312"/>
        </w:tabs>
      </w:pPr>
      <w:r>
        <w:fldChar w:fldCharType="begin"/>
      </w:r>
      <w:r>
        <w:instrText xml:space="preserve"> HYPERLINK \l "_Toc24484" </w:instrText>
      </w:r>
      <w:r>
        <w:fldChar w:fldCharType="separate"/>
      </w:r>
      <w:r>
        <w:rPr>
          <w:rFonts w:eastAsia="仿宋"/>
        </w:rPr>
        <w:t>19.资格审查及组建评标委员会</w:t>
      </w:r>
      <w:r>
        <w:tab/>
      </w:r>
      <w:r>
        <w:fldChar w:fldCharType="begin"/>
      </w:r>
      <w:r>
        <w:instrText xml:space="preserve"> PAGEREF _Toc24484 \h </w:instrText>
      </w:r>
      <w:r>
        <w:fldChar w:fldCharType="separate"/>
      </w:r>
      <w:r>
        <w:t>13</w:t>
      </w:r>
      <w:r>
        <w:fldChar w:fldCharType="end"/>
      </w:r>
      <w:r>
        <w:fldChar w:fldCharType="end"/>
      </w:r>
    </w:p>
    <w:p w14:paraId="1F191386">
      <w:pPr>
        <w:pStyle w:val="13"/>
        <w:tabs>
          <w:tab w:val="right" w:leader="dot" w:pos="8312"/>
        </w:tabs>
      </w:pPr>
      <w:r>
        <w:fldChar w:fldCharType="begin"/>
      </w:r>
      <w:r>
        <w:instrText xml:space="preserve"> HYPERLINK \l "_Toc28541" </w:instrText>
      </w:r>
      <w:r>
        <w:fldChar w:fldCharType="separate"/>
      </w:r>
      <w:r>
        <w:rPr>
          <w:rFonts w:eastAsia="仿宋"/>
        </w:rPr>
        <w:t>20.投标文件的符合性审查与澄清</w:t>
      </w:r>
      <w:r>
        <w:tab/>
      </w:r>
      <w:r>
        <w:fldChar w:fldCharType="begin"/>
      </w:r>
      <w:r>
        <w:instrText xml:space="preserve"> PAGEREF _Toc28541 \h </w:instrText>
      </w:r>
      <w:r>
        <w:fldChar w:fldCharType="separate"/>
      </w:r>
      <w:r>
        <w:t>15</w:t>
      </w:r>
      <w:r>
        <w:fldChar w:fldCharType="end"/>
      </w:r>
      <w:r>
        <w:fldChar w:fldCharType="end"/>
      </w:r>
    </w:p>
    <w:p w14:paraId="3BB3921A">
      <w:pPr>
        <w:pStyle w:val="13"/>
        <w:tabs>
          <w:tab w:val="right" w:leader="dot" w:pos="8312"/>
        </w:tabs>
      </w:pPr>
      <w:r>
        <w:fldChar w:fldCharType="begin"/>
      </w:r>
      <w:r>
        <w:instrText xml:space="preserve"> HYPERLINK \l "_Toc29689" </w:instrText>
      </w:r>
      <w:r>
        <w:fldChar w:fldCharType="separate"/>
      </w:r>
      <w:r>
        <w:rPr>
          <w:rFonts w:eastAsia="仿宋"/>
        </w:rPr>
        <w:t>21.投标偏离</w:t>
      </w:r>
      <w:r>
        <w:tab/>
      </w:r>
      <w:r>
        <w:fldChar w:fldCharType="begin"/>
      </w:r>
      <w:r>
        <w:instrText xml:space="preserve"> PAGEREF _Toc29689 \h </w:instrText>
      </w:r>
      <w:r>
        <w:fldChar w:fldCharType="separate"/>
      </w:r>
      <w:r>
        <w:t>17</w:t>
      </w:r>
      <w:r>
        <w:fldChar w:fldCharType="end"/>
      </w:r>
      <w:r>
        <w:fldChar w:fldCharType="end"/>
      </w:r>
    </w:p>
    <w:p w14:paraId="446391B9">
      <w:pPr>
        <w:pStyle w:val="13"/>
        <w:tabs>
          <w:tab w:val="right" w:leader="dot" w:pos="8312"/>
        </w:tabs>
      </w:pPr>
      <w:r>
        <w:fldChar w:fldCharType="begin"/>
      </w:r>
      <w:r>
        <w:instrText xml:space="preserve"> HYPERLINK \l "_Toc31259" </w:instrText>
      </w:r>
      <w:r>
        <w:fldChar w:fldCharType="separate"/>
      </w:r>
      <w:r>
        <w:rPr>
          <w:rFonts w:eastAsia="仿宋"/>
        </w:rPr>
        <w:t>22.投标无效</w:t>
      </w:r>
      <w:r>
        <w:tab/>
      </w:r>
      <w:r>
        <w:fldChar w:fldCharType="begin"/>
      </w:r>
      <w:r>
        <w:instrText xml:space="preserve"> PAGEREF _Toc31259 \h </w:instrText>
      </w:r>
      <w:r>
        <w:fldChar w:fldCharType="separate"/>
      </w:r>
      <w:r>
        <w:t>17</w:t>
      </w:r>
      <w:r>
        <w:fldChar w:fldCharType="end"/>
      </w:r>
      <w:r>
        <w:fldChar w:fldCharType="end"/>
      </w:r>
    </w:p>
    <w:p w14:paraId="27D367A1">
      <w:pPr>
        <w:pStyle w:val="13"/>
        <w:tabs>
          <w:tab w:val="right" w:leader="dot" w:pos="8312"/>
        </w:tabs>
      </w:pPr>
      <w:r>
        <w:fldChar w:fldCharType="begin"/>
      </w:r>
      <w:r>
        <w:instrText xml:space="preserve"> HYPERLINK \l "_Toc24032" </w:instrText>
      </w:r>
      <w:r>
        <w:fldChar w:fldCharType="separate"/>
      </w:r>
      <w:r>
        <w:rPr>
          <w:rFonts w:eastAsia="仿宋"/>
        </w:rPr>
        <w:t>24.废标</w:t>
      </w:r>
      <w:r>
        <w:tab/>
      </w:r>
      <w:r>
        <w:fldChar w:fldCharType="begin"/>
      </w:r>
      <w:r>
        <w:instrText xml:space="preserve"> PAGEREF _Toc24032 \h </w:instrText>
      </w:r>
      <w:r>
        <w:fldChar w:fldCharType="separate"/>
      </w:r>
      <w:r>
        <w:t>18</w:t>
      </w:r>
      <w:r>
        <w:fldChar w:fldCharType="end"/>
      </w:r>
      <w:r>
        <w:fldChar w:fldCharType="end"/>
      </w:r>
    </w:p>
    <w:p w14:paraId="5A10D246">
      <w:pPr>
        <w:pStyle w:val="13"/>
        <w:tabs>
          <w:tab w:val="right" w:leader="dot" w:pos="8312"/>
        </w:tabs>
      </w:pPr>
      <w:r>
        <w:fldChar w:fldCharType="begin"/>
      </w:r>
      <w:r>
        <w:instrText xml:space="preserve"> HYPERLINK \l "_Toc32068" </w:instrText>
      </w:r>
      <w:r>
        <w:fldChar w:fldCharType="separate"/>
      </w:r>
      <w:r>
        <w:rPr>
          <w:rFonts w:eastAsia="仿宋"/>
        </w:rPr>
        <w:t>25.保密原则</w:t>
      </w:r>
      <w:r>
        <w:tab/>
      </w:r>
      <w:r>
        <w:fldChar w:fldCharType="begin"/>
      </w:r>
      <w:r>
        <w:instrText xml:space="preserve"> PAGEREF _Toc32068 \h </w:instrText>
      </w:r>
      <w:r>
        <w:fldChar w:fldCharType="separate"/>
      </w:r>
      <w:r>
        <w:t>19</w:t>
      </w:r>
      <w:r>
        <w:fldChar w:fldCharType="end"/>
      </w:r>
      <w:r>
        <w:fldChar w:fldCharType="end"/>
      </w:r>
    </w:p>
    <w:p w14:paraId="2D7CC9CE">
      <w:pPr>
        <w:pStyle w:val="20"/>
        <w:tabs>
          <w:tab w:val="right" w:leader="dot" w:pos="8312"/>
        </w:tabs>
      </w:pPr>
      <w:r>
        <w:fldChar w:fldCharType="begin"/>
      </w:r>
      <w:r>
        <w:instrText xml:space="preserve"> HYPERLINK \l "_Toc30573" </w:instrText>
      </w:r>
      <w:r>
        <w:fldChar w:fldCharType="separate"/>
      </w:r>
      <w:r>
        <w:rPr>
          <w:rFonts w:eastAsia="仿宋"/>
        </w:rPr>
        <w:t>六确定中标</w:t>
      </w:r>
      <w:r>
        <w:tab/>
      </w:r>
      <w:r>
        <w:fldChar w:fldCharType="begin"/>
      </w:r>
      <w:r>
        <w:instrText xml:space="preserve"> PAGEREF _Toc30573 \h </w:instrText>
      </w:r>
      <w:r>
        <w:fldChar w:fldCharType="separate"/>
      </w:r>
      <w:r>
        <w:t>19</w:t>
      </w:r>
      <w:r>
        <w:fldChar w:fldCharType="end"/>
      </w:r>
      <w:r>
        <w:fldChar w:fldCharType="end"/>
      </w:r>
    </w:p>
    <w:p w14:paraId="68E994AF">
      <w:pPr>
        <w:pStyle w:val="13"/>
        <w:tabs>
          <w:tab w:val="right" w:leader="dot" w:pos="8312"/>
        </w:tabs>
      </w:pPr>
      <w:r>
        <w:fldChar w:fldCharType="begin"/>
      </w:r>
      <w:r>
        <w:instrText xml:space="preserve"> HYPERLINK \l "_Toc5793" </w:instrText>
      </w:r>
      <w:r>
        <w:fldChar w:fldCharType="separate"/>
      </w:r>
      <w:r>
        <w:rPr>
          <w:rFonts w:eastAsia="仿宋"/>
        </w:rPr>
        <w:t>26.中标候选人的确定原则及标准</w:t>
      </w:r>
      <w:r>
        <w:tab/>
      </w:r>
      <w:r>
        <w:fldChar w:fldCharType="begin"/>
      </w:r>
      <w:r>
        <w:instrText xml:space="preserve"> PAGEREF _Toc5793 \h </w:instrText>
      </w:r>
      <w:r>
        <w:fldChar w:fldCharType="separate"/>
      </w:r>
      <w:r>
        <w:t>19</w:t>
      </w:r>
      <w:r>
        <w:fldChar w:fldCharType="end"/>
      </w:r>
      <w:r>
        <w:fldChar w:fldCharType="end"/>
      </w:r>
    </w:p>
    <w:p w14:paraId="38AE632F">
      <w:pPr>
        <w:pStyle w:val="13"/>
        <w:tabs>
          <w:tab w:val="right" w:leader="dot" w:pos="8312"/>
        </w:tabs>
      </w:pPr>
      <w:r>
        <w:fldChar w:fldCharType="begin"/>
      </w:r>
      <w:r>
        <w:instrText xml:space="preserve"> HYPERLINK \l "_Toc32655" </w:instrText>
      </w:r>
      <w:r>
        <w:fldChar w:fldCharType="separate"/>
      </w:r>
      <w:r>
        <w:rPr>
          <w:rFonts w:eastAsia="仿宋"/>
        </w:rPr>
        <w:t>27.确定中标候选人和中标人</w:t>
      </w:r>
      <w:r>
        <w:tab/>
      </w:r>
      <w:r>
        <w:fldChar w:fldCharType="begin"/>
      </w:r>
      <w:r>
        <w:instrText xml:space="preserve"> PAGEREF _Toc32655 \h </w:instrText>
      </w:r>
      <w:r>
        <w:fldChar w:fldCharType="separate"/>
      </w:r>
      <w:r>
        <w:t>19</w:t>
      </w:r>
      <w:r>
        <w:fldChar w:fldCharType="end"/>
      </w:r>
      <w:r>
        <w:fldChar w:fldCharType="end"/>
      </w:r>
    </w:p>
    <w:p w14:paraId="56794D3B">
      <w:pPr>
        <w:pStyle w:val="13"/>
        <w:tabs>
          <w:tab w:val="right" w:leader="dot" w:pos="8312"/>
        </w:tabs>
      </w:pPr>
      <w:r>
        <w:fldChar w:fldCharType="begin"/>
      </w:r>
      <w:r>
        <w:instrText xml:space="preserve"> HYPERLINK \l "_Toc1426" </w:instrText>
      </w:r>
      <w:r>
        <w:fldChar w:fldCharType="separate"/>
      </w:r>
      <w:r>
        <w:rPr>
          <w:rFonts w:eastAsia="仿宋"/>
        </w:rPr>
        <w:t>28.采购任务取消</w:t>
      </w:r>
      <w:r>
        <w:tab/>
      </w:r>
      <w:r>
        <w:fldChar w:fldCharType="begin"/>
      </w:r>
      <w:r>
        <w:instrText xml:space="preserve"> PAGEREF _Toc1426 \h </w:instrText>
      </w:r>
      <w:r>
        <w:fldChar w:fldCharType="separate"/>
      </w:r>
      <w:r>
        <w:t>19</w:t>
      </w:r>
      <w:r>
        <w:fldChar w:fldCharType="end"/>
      </w:r>
      <w:r>
        <w:fldChar w:fldCharType="end"/>
      </w:r>
    </w:p>
    <w:p w14:paraId="73A4D48A">
      <w:pPr>
        <w:pStyle w:val="13"/>
        <w:tabs>
          <w:tab w:val="right" w:leader="dot" w:pos="8312"/>
        </w:tabs>
      </w:pPr>
      <w:r>
        <w:fldChar w:fldCharType="begin"/>
      </w:r>
      <w:r>
        <w:instrText xml:space="preserve"> HYPERLINK \l "_Toc32362" </w:instrText>
      </w:r>
      <w:r>
        <w:fldChar w:fldCharType="separate"/>
      </w:r>
      <w:r>
        <w:rPr>
          <w:rFonts w:hint="eastAsia" w:eastAsia="仿宋"/>
          <w:lang w:eastAsia="zh-CN"/>
        </w:rPr>
        <w:t>27</w:t>
      </w:r>
      <w:r>
        <w:rPr>
          <w:rFonts w:eastAsia="仿宋"/>
        </w:rPr>
        <w:t>.中标通知书和招标结果通知书</w:t>
      </w:r>
      <w:r>
        <w:tab/>
      </w:r>
      <w:r>
        <w:fldChar w:fldCharType="begin"/>
      </w:r>
      <w:r>
        <w:instrText xml:space="preserve"> PAGEREF _Toc32362 \h </w:instrText>
      </w:r>
      <w:r>
        <w:fldChar w:fldCharType="separate"/>
      </w:r>
      <w:r>
        <w:t>19</w:t>
      </w:r>
      <w:r>
        <w:fldChar w:fldCharType="end"/>
      </w:r>
      <w:r>
        <w:fldChar w:fldCharType="end"/>
      </w:r>
    </w:p>
    <w:p w14:paraId="278F32EF">
      <w:pPr>
        <w:pStyle w:val="13"/>
        <w:tabs>
          <w:tab w:val="right" w:leader="dot" w:pos="8312"/>
        </w:tabs>
      </w:pPr>
      <w:r>
        <w:fldChar w:fldCharType="begin"/>
      </w:r>
      <w:r>
        <w:instrText xml:space="preserve"> HYPERLINK \l "_Toc10798" </w:instrText>
      </w:r>
      <w:r>
        <w:fldChar w:fldCharType="separate"/>
      </w:r>
      <w:r>
        <w:rPr>
          <w:rFonts w:eastAsia="仿宋"/>
        </w:rPr>
        <w:t>30.签订合同</w:t>
      </w:r>
      <w:r>
        <w:tab/>
      </w:r>
      <w:r>
        <w:fldChar w:fldCharType="begin"/>
      </w:r>
      <w:r>
        <w:instrText xml:space="preserve"> PAGEREF _Toc10798 \h </w:instrText>
      </w:r>
      <w:r>
        <w:fldChar w:fldCharType="separate"/>
      </w:r>
      <w:r>
        <w:t>20</w:t>
      </w:r>
      <w:r>
        <w:fldChar w:fldCharType="end"/>
      </w:r>
      <w:r>
        <w:fldChar w:fldCharType="end"/>
      </w:r>
    </w:p>
    <w:p w14:paraId="71467AE2">
      <w:pPr>
        <w:pStyle w:val="13"/>
        <w:tabs>
          <w:tab w:val="right" w:leader="dot" w:pos="8312"/>
        </w:tabs>
      </w:pPr>
      <w:r>
        <w:fldChar w:fldCharType="begin"/>
      </w:r>
      <w:r>
        <w:instrText xml:space="preserve"> HYPERLINK \l "_Toc32554" </w:instrText>
      </w:r>
      <w:r>
        <w:fldChar w:fldCharType="separate"/>
      </w:r>
      <w:r>
        <w:rPr>
          <w:rFonts w:eastAsia="仿宋"/>
        </w:rPr>
        <w:t>31.履约保证金</w:t>
      </w:r>
      <w:r>
        <w:tab/>
      </w:r>
      <w:r>
        <w:fldChar w:fldCharType="begin"/>
      </w:r>
      <w:r>
        <w:instrText xml:space="preserve"> PAGEREF _Toc32554 \h </w:instrText>
      </w:r>
      <w:r>
        <w:fldChar w:fldCharType="separate"/>
      </w:r>
      <w:r>
        <w:t>20</w:t>
      </w:r>
      <w:r>
        <w:fldChar w:fldCharType="end"/>
      </w:r>
      <w:r>
        <w:fldChar w:fldCharType="end"/>
      </w:r>
    </w:p>
    <w:p w14:paraId="5A893C7B">
      <w:pPr>
        <w:pStyle w:val="13"/>
        <w:tabs>
          <w:tab w:val="right" w:leader="dot" w:pos="8312"/>
        </w:tabs>
      </w:pPr>
      <w:r>
        <w:fldChar w:fldCharType="begin"/>
      </w:r>
      <w:r>
        <w:instrText xml:space="preserve"> HYPERLINK \l "_Toc26060" </w:instrText>
      </w:r>
      <w:r>
        <w:fldChar w:fldCharType="separate"/>
      </w:r>
      <w:r>
        <w:rPr>
          <w:rFonts w:eastAsia="仿宋"/>
        </w:rPr>
        <w:t>32.中标服务费</w:t>
      </w:r>
      <w:r>
        <w:tab/>
      </w:r>
      <w:r>
        <w:fldChar w:fldCharType="begin"/>
      </w:r>
      <w:r>
        <w:instrText xml:space="preserve"> PAGEREF _Toc26060 \h </w:instrText>
      </w:r>
      <w:r>
        <w:fldChar w:fldCharType="separate"/>
      </w:r>
      <w:r>
        <w:t>20</w:t>
      </w:r>
      <w:r>
        <w:fldChar w:fldCharType="end"/>
      </w:r>
      <w:r>
        <w:fldChar w:fldCharType="end"/>
      </w:r>
    </w:p>
    <w:p w14:paraId="6F148585">
      <w:pPr>
        <w:pStyle w:val="13"/>
        <w:tabs>
          <w:tab w:val="right" w:leader="dot" w:pos="8312"/>
        </w:tabs>
      </w:pPr>
      <w:r>
        <w:fldChar w:fldCharType="begin"/>
      </w:r>
      <w:r>
        <w:instrText xml:space="preserve"> HYPERLINK \l "_Toc30165" </w:instrText>
      </w:r>
      <w:r>
        <w:fldChar w:fldCharType="separate"/>
      </w:r>
      <w:r>
        <w:rPr>
          <w:rFonts w:eastAsia="仿宋"/>
        </w:rPr>
        <w:t>33.政府采购信用担保</w:t>
      </w:r>
      <w:r>
        <w:tab/>
      </w:r>
      <w:r>
        <w:fldChar w:fldCharType="begin"/>
      </w:r>
      <w:r>
        <w:instrText xml:space="preserve"> PAGEREF _Toc30165 \h </w:instrText>
      </w:r>
      <w:r>
        <w:fldChar w:fldCharType="separate"/>
      </w:r>
      <w:r>
        <w:t>20</w:t>
      </w:r>
      <w:r>
        <w:fldChar w:fldCharType="end"/>
      </w:r>
      <w:r>
        <w:fldChar w:fldCharType="end"/>
      </w:r>
    </w:p>
    <w:p w14:paraId="7C4FDFD9">
      <w:pPr>
        <w:pStyle w:val="13"/>
        <w:tabs>
          <w:tab w:val="right" w:leader="dot" w:pos="8312"/>
        </w:tabs>
      </w:pPr>
      <w:r>
        <w:fldChar w:fldCharType="begin"/>
      </w:r>
      <w:r>
        <w:instrText xml:space="preserve"> HYPERLINK \l "_Toc23516" </w:instrText>
      </w:r>
      <w:r>
        <w:fldChar w:fldCharType="separate"/>
      </w:r>
      <w:r>
        <w:rPr>
          <w:rFonts w:eastAsia="仿宋"/>
        </w:rPr>
        <w:t>34.廉洁自律规定</w:t>
      </w:r>
      <w:r>
        <w:tab/>
      </w:r>
      <w:r>
        <w:fldChar w:fldCharType="begin"/>
      </w:r>
      <w:r>
        <w:instrText xml:space="preserve"> PAGEREF _Toc23516 \h </w:instrText>
      </w:r>
      <w:r>
        <w:fldChar w:fldCharType="separate"/>
      </w:r>
      <w:r>
        <w:t>21</w:t>
      </w:r>
      <w:r>
        <w:fldChar w:fldCharType="end"/>
      </w:r>
      <w:r>
        <w:fldChar w:fldCharType="end"/>
      </w:r>
    </w:p>
    <w:p w14:paraId="27DC3049">
      <w:pPr>
        <w:pStyle w:val="13"/>
        <w:tabs>
          <w:tab w:val="right" w:leader="dot" w:pos="8312"/>
        </w:tabs>
      </w:pPr>
      <w:r>
        <w:fldChar w:fldCharType="begin"/>
      </w:r>
      <w:r>
        <w:instrText xml:space="preserve"> HYPERLINK \l "_Toc404" </w:instrText>
      </w:r>
      <w:r>
        <w:fldChar w:fldCharType="separate"/>
      </w:r>
      <w:r>
        <w:rPr>
          <w:rFonts w:eastAsia="仿宋"/>
        </w:rPr>
        <w:t>35.人员回避</w:t>
      </w:r>
      <w:r>
        <w:tab/>
      </w:r>
      <w:r>
        <w:fldChar w:fldCharType="begin"/>
      </w:r>
      <w:r>
        <w:instrText xml:space="preserve"> PAGEREF _Toc404 \h </w:instrText>
      </w:r>
      <w:r>
        <w:fldChar w:fldCharType="separate"/>
      </w:r>
      <w:r>
        <w:t>21</w:t>
      </w:r>
      <w:r>
        <w:fldChar w:fldCharType="end"/>
      </w:r>
      <w:r>
        <w:fldChar w:fldCharType="end"/>
      </w:r>
    </w:p>
    <w:p w14:paraId="0A620500">
      <w:pPr>
        <w:pStyle w:val="13"/>
        <w:tabs>
          <w:tab w:val="right" w:leader="dot" w:pos="8312"/>
        </w:tabs>
      </w:pPr>
      <w:r>
        <w:fldChar w:fldCharType="begin"/>
      </w:r>
      <w:r>
        <w:instrText xml:space="preserve"> HYPERLINK \l "_Toc31346" </w:instrText>
      </w:r>
      <w:r>
        <w:fldChar w:fldCharType="separate"/>
      </w:r>
      <w:r>
        <w:rPr>
          <w:rFonts w:eastAsia="仿宋"/>
        </w:rPr>
        <w:t>36.质疑与接收</w:t>
      </w:r>
      <w:r>
        <w:tab/>
      </w:r>
      <w:r>
        <w:fldChar w:fldCharType="begin"/>
      </w:r>
      <w:r>
        <w:instrText xml:space="preserve"> PAGEREF _Toc31346 \h </w:instrText>
      </w:r>
      <w:r>
        <w:fldChar w:fldCharType="separate"/>
      </w:r>
      <w:r>
        <w:t>21</w:t>
      </w:r>
      <w:r>
        <w:fldChar w:fldCharType="end"/>
      </w:r>
      <w:r>
        <w:fldChar w:fldCharType="end"/>
      </w:r>
    </w:p>
    <w:p w14:paraId="7623E1FA">
      <w:pPr>
        <w:pStyle w:val="19"/>
        <w:tabs>
          <w:tab w:val="right" w:leader="dot" w:pos="8312"/>
        </w:tabs>
      </w:pPr>
      <w:r>
        <w:fldChar w:fldCharType="begin"/>
      </w:r>
      <w:r>
        <w:instrText xml:space="preserve"> HYPERLINK \l "_Toc12170" </w:instrText>
      </w:r>
      <w:r>
        <w:fldChar w:fldCharType="separate"/>
      </w:r>
      <w:r>
        <w:rPr>
          <w:rFonts w:eastAsia="仿宋"/>
        </w:rPr>
        <w:t>第2章投标文件格式</w:t>
      </w:r>
      <w:r>
        <w:tab/>
      </w:r>
      <w:r>
        <w:fldChar w:fldCharType="begin"/>
      </w:r>
      <w:r>
        <w:instrText xml:space="preserve"> PAGEREF _Toc12170 \h </w:instrText>
      </w:r>
      <w:r>
        <w:fldChar w:fldCharType="separate"/>
      </w:r>
      <w:r>
        <w:t>30</w:t>
      </w:r>
      <w:r>
        <w:fldChar w:fldCharType="end"/>
      </w:r>
      <w:r>
        <w:fldChar w:fldCharType="end"/>
      </w:r>
    </w:p>
    <w:p w14:paraId="35D5B40D">
      <w:pPr>
        <w:pStyle w:val="19"/>
        <w:tabs>
          <w:tab w:val="right" w:leader="dot" w:pos="8312"/>
        </w:tabs>
      </w:pPr>
      <w:r>
        <w:fldChar w:fldCharType="begin"/>
      </w:r>
      <w:r>
        <w:instrText xml:space="preserve"> HYPERLINK \l "_Toc6823" </w:instrText>
      </w:r>
      <w:r>
        <w:fldChar w:fldCharType="separate"/>
      </w:r>
      <w:r>
        <w:rPr>
          <w:rFonts w:hint="eastAsia" w:eastAsia="仿宋"/>
        </w:rPr>
        <w:t>第3章</w:t>
      </w:r>
      <w:r>
        <w:rPr>
          <w:rFonts w:eastAsia="仿宋"/>
        </w:rPr>
        <w:t>投标邀请</w:t>
      </w:r>
      <w:r>
        <w:tab/>
      </w:r>
      <w:r>
        <w:fldChar w:fldCharType="begin"/>
      </w:r>
      <w:r>
        <w:instrText xml:space="preserve"> PAGEREF _Toc6823 \h </w:instrText>
      </w:r>
      <w:r>
        <w:fldChar w:fldCharType="separate"/>
      </w:r>
      <w:r>
        <w:t>7</w:t>
      </w:r>
      <w:r>
        <w:fldChar w:fldCharType="end"/>
      </w:r>
      <w:r>
        <w:fldChar w:fldCharType="end"/>
      </w:r>
    </w:p>
    <w:p w14:paraId="127EE92C">
      <w:pPr>
        <w:pStyle w:val="19"/>
        <w:tabs>
          <w:tab w:val="right" w:leader="dot" w:pos="8312"/>
        </w:tabs>
      </w:pPr>
      <w:r>
        <w:fldChar w:fldCharType="begin"/>
      </w:r>
      <w:r>
        <w:instrText xml:space="preserve"> HYPERLINK \l "_Toc30910" </w:instrText>
      </w:r>
      <w:r>
        <w:fldChar w:fldCharType="separate"/>
      </w:r>
      <w:r>
        <w:rPr>
          <w:rFonts w:eastAsia="仿宋"/>
        </w:rPr>
        <w:t>第4章投标人须知资料表</w:t>
      </w:r>
      <w:r>
        <w:tab/>
      </w:r>
      <w:r>
        <w:fldChar w:fldCharType="begin"/>
      </w:r>
      <w:r>
        <w:instrText xml:space="preserve"> PAGEREF _Toc30910 \h </w:instrText>
      </w:r>
      <w:r>
        <w:fldChar w:fldCharType="separate"/>
      </w:r>
      <w:r>
        <w:t>9</w:t>
      </w:r>
      <w:r>
        <w:fldChar w:fldCharType="end"/>
      </w:r>
      <w:r>
        <w:fldChar w:fldCharType="end"/>
      </w:r>
    </w:p>
    <w:p w14:paraId="69B95890">
      <w:pPr>
        <w:pStyle w:val="19"/>
        <w:tabs>
          <w:tab w:val="right" w:leader="dot" w:pos="8312"/>
        </w:tabs>
      </w:pPr>
      <w:r>
        <w:fldChar w:fldCharType="begin"/>
      </w:r>
      <w:r>
        <w:instrText xml:space="preserve"> HYPERLINK \l "_Toc12390" </w:instrText>
      </w:r>
      <w:r>
        <w:fldChar w:fldCharType="separate"/>
      </w:r>
      <w:r>
        <w:rPr>
          <w:rFonts w:eastAsia="仿宋"/>
        </w:rPr>
        <w:t>第5章</w:t>
      </w:r>
      <w:r>
        <w:rPr>
          <w:rFonts w:hint="eastAsia" w:eastAsia="仿宋"/>
        </w:rPr>
        <w:t>货物需求一览表及技术规格</w:t>
      </w:r>
      <w:r>
        <w:tab/>
      </w:r>
      <w:r>
        <w:fldChar w:fldCharType="begin"/>
      </w:r>
      <w:r>
        <w:instrText xml:space="preserve"> PAGEREF _Toc12390 \h </w:instrText>
      </w:r>
      <w:r>
        <w:fldChar w:fldCharType="separate"/>
      </w:r>
      <w:r>
        <w:t>15</w:t>
      </w:r>
      <w:r>
        <w:fldChar w:fldCharType="end"/>
      </w:r>
      <w:r>
        <w:fldChar w:fldCharType="end"/>
      </w:r>
    </w:p>
    <w:p w14:paraId="5EC1275E">
      <w:pPr>
        <w:pStyle w:val="19"/>
        <w:tabs>
          <w:tab w:val="right" w:leader="dot" w:pos="8312"/>
        </w:tabs>
      </w:pPr>
      <w:r>
        <w:fldChar w:fldCharType="begin"/>
      </w:r>
      <w:r>
        <w:instrText xml:space="preserve"> HYPERLINK \l "_Toc14323" </w:instrText>
      </w:r>
      <w: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_Toc14323 \h </w:instrText>
      </w:r>
      <w:r>
        <w:fldChar w:fldCharType="separate"/>
      </w:r>
      <w:r>
        <w:t>25</w:t>
      </w:r>
      <w:r>
        <w:fldChar w:fldCharType="end"/>
      </w:r>
      <w:r>
        <w:fldChar w:fldCharType="end"/>
      </w:r>
    </w:p>
    <w:p w14:paraId="54EE03C1">
      <w:pPr>
        <w:pStyle w:val="19"/>
        <w:tabs>
          <w:tab w:val="right" w:leader="dot" w:pos="8312"/>
        </w:tabs>
      </w:pPr>
      <w:r>
        <w:fldChar w:fldCharType="begin"/>
      </w:r>
      <w:r>
        <w:instrText xml:space="preserve"> HYPERLINK \l "_Toc26032" </w:instrText>
      </w:r>
      <w:r>
        <w:fldChar w:fldCharType="separate"/>
      </w:r>
      <w:r>
        <w:rPr>
          <w:rFonts w:eastAsia="仿宋"/>
        </w:rPr>
        <w:t>第</w:t>
      </w:r>
      <w:r>
        <w:rPr>
          <w:rFonts w:hint="eastAsia" w:eastAsia="仿宋"/>
        </w:rPr>
        <w:t>7</w:t>
      </w:r>
      <w:r>
        <w:rPr>
          <w:rFonts w:eastAsia="仿宋"/>
        </w:rPr>
        <w:t>章政府采购合同</w:t>
      </w:r>
      <w:r>
        <w:tab/>
      </w:r>
      <w:r>
        <w:fldChar w:fldCharType="begin"/>
      </w:r>
      <w:r>
        <w:instrText xml:space="preserve"> PAGEREF _Toc26032 \h </w:instrText>
      </w:r>
      <w:r>
        <w:fldChar w:fldCharType="separate"/>
      </w:r>
      <w:r>
        <w:t>31</w:t>
      </w:r>
      <w:r>
        <w:fldChar w:fldCharType="end"/>
      </w:r>
      <w:r>
        <w:fldChar w:fldCharType="end"/>
      </w:r>
    </w:p>
    <w:p w14:paraId="083AA98F">
      <w:pPr>
        <w:spacing w:line="360" w:lineRule="auto"/>
        <w:ind w:left="1080" w:leftChars="257" w:hanging="540"/>
        <w:jc w:val="center"/>
        <w:rPr>
          <w:rFonts w:eastAsia="仿宋"/>
        </w:rPr>
      </w:pPr>
      <w:r>
        <w:rPr>
          <w:rFonts w:eastAsia="仿宋"/>
        </w:rPr>
        <w:fldChar w:fldCharType="end"/>
      </w:r>
    </w:p>
    <w:p w14:paraId="52ABD729">
      <w:pPr>
        <w:pStyle w:val="33"/>
        <w:tabs>
          <w:tab w:val="left" w:pos="0"/>
        </w:tabs>
        <w:spacing w:before="0" w:after="0" w:line="360" w:lineRule="auto"/>
        <w:ind w:left="630"/>
        <w:rPr>
          <w:rFonts w:ascii="Times New Roman" w:eastAsia="仿宋"/>
          <w:kern w:val="0"/>
          <w:szCs w:val="21"/>
        </w:rPr>
      </w:pPr>
      <w:r>
        <w:rPr>
          <w:rFonts w:hint="eastAsia" w:ascii="Times New Roman" w:eastAsia="仿宋"/>
          <w:kern w:val="0"/>
          <w:szCs w:val="21"/>
        </w:rPr>
        <w:t>第1章</w:t>
      </w:r>
      <w:r>
        <w:rPr>
          <w:rFonts w:ascii="Times New Roman" w:eastAsia="仿宋"/>
        </w:rPr>
        <w:t>投标人须知</w:t>
      </w:r>
    </w:p>
    <w:p w14:paraId="6E7BA7E8">
      <w:pPr>
        <w:spacing w:line="360" w:lineRule="auto"/>
        <w:rPr>
          <w:rFonts w:eastAsia="仿宋"/>
        </w:rPr>
      </w:pPr>
    </w:p>
    <w:p w14:paraId="2486FC8D">
      <w:pPr>
        <w:pStyle w:val="34"/>
      </w:pPr>
      <w:bookmarkStart w:id="0" w:name="_Toc31997"/>
      <w:bookmarkEnd w:id="0"/>
      <w:bookmarkStart w:id="1" w:name="_Toc216582805"/>
      <w:bookmarkEnd w:id="1"/>
      <w:bookmarkStart w:id="2" w:name="_Toc518923060"/>
      <w:bookmarkEnd w:id="2"/>
      <w:bookmarkStart w:id="3" w:name="_Toc22313"/>
      <w:bookmarkEnd w:id="3"/>
      <w:bookmarkStart w:id="4" w:name="_Toc9485"/>
      <w:bookmarkEnd w:id="4"/>
      <w:bookmarkStart w:id="5" w:name="_Toc29666"/>
      <w:bookmarkEnd w:id="5"/>
      <w:bookmarkStart w:id="6" w:name="_Toc520356143"/>
      <w:bookmarkEnd w:id="6"/>
      <w:r>
        <w:t>一</w:t>
      </w:r>
      <w:r>
        <w:rPr>
          <w:rFonts w:hint="eastAsia"/>
        </w:rPr>
        <w:t>、</w:t>
      </w:r>
      <w:r>
        <w:t>总则</w:t>
      </w:r>
    </w:p>
    <w:p w14:paraId="15E30E4A">
      <w:pPr>
        <w:pStyle w:val="39"/>
        <w:spacing w:line="360" w:lineRule="auto"/>
        <w:rPr>
          <w:rFonts w:ascii="Times New Roman" w:eastAsia="仿宋"/>
        </w:rPr>
      </w:pPr>
    </w:p>
    <w:p w14:paraId="76C37790">
      <w:pPr>
        <w:pStyle w:val="35"/>
        <w:spacing w:before="0" w:after="0" w:line="360" w:lineRule="auto"/>
        <w:rPr>
          <w:rFonts w:ascii="Times New Roman" w:eastAsia="仿宋"/>
          <w:u w:val="none"/>
        </w:rPr>
      </w:pPr>
      <w:bookmarkStart w:id="7" w:name="_Toc518923061"/>
      <w:bookmarkEnd w:id="7"/>
      <w:bookmarkStart w:id="8" w:name="_Toc10238"/>
      <w:bookmarkEnd w:id="8"/>
      <w:bookmarkStart w:id="9" w:name="_Toc1000"/>
      <w:bookmarkEnd w:id="9"/>
      <w:bookmarkStart w:id="10" w:name="_Toc12013"/>
      <w:bookmarkEnd w:id="10"/>
      <w:bookmarkStart w:id="11" w:name="_Toc520356144"/>
      <w:bookmarkEnd w:id="11"/>
      <w:bookmarkStart w:id="12" w:name="_Toc1500"/>
      <w:bookmarkEnd w:id="12"/>
      <w:r>
        <w:rPr>
          <w:rFonts w:ascii="Times New Roman" w:eastAsia="仿宋"/>
          <w:u w:val="none"/>
        </w:rPr>
        <w:t>1.采购人、采购代理机构及投标人</w:t>
      </w:r>
    </w:p>
    <w:p w14:paraId="0D80C507">
      <w:pPr>
        <w:numPr>
          <w:ilvl w:val="1"/>
          <w:numId w:val="4"/>
        </w:numPr>
        <w:tabs>
          <w:tab w:val="clear" w:pos="900"/>
        </w:tabs>
        <w:spacing w:line="360" w:lineRule="auto"/>
        <w:ind w:hanging="898"/>
        <w:rPr>
          <w:rFonts w:eastAsia="仿宋"/>
          <w:sz w:val="24"/>
        </w:rPr>
      </w:pPr>
      <w:r>
        <w:rPr>
          <w:rFonts w:eastAsia="仿宋"/>
          <w:sz w:val="24"/>
        </w:rPr>
        <w:t>采购人：是指依法开展政府采购活动的国家机关、事业单位、团体组织。</w:t>
      </w:r>
    </w:p>
    <w:p w14:paraId="22874A9D">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27D7499A">
      <w:pPr>
        <w:numPr>
          <w:ilvl w:val="1"/>
          <w:numId w:val="4"/>
        </w:numPr>
        <w:tabs>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49E91C41">
      <w:pPr>
        <w:numPr>
          <w:ilvl w:val="1"/>
          <w:numId w:val="4"/>
        </w:numPr>
        <w:tabs>
          <w:tab w:val="clear" w:pos="900"/>
        </w:tabs>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58E2FD2E">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70B7B4FE">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7440FE13">
      <w:pPr>
        <w:spacing w:line="360" w:lineRule="auto"/>
        <w:ind w:left="900" w:hanging="900" w:hangingChars="375"/>
        <w:rPr>
          <w:rFonts w:eastAsia="仿宋"/>
          <w:sz w:val="24"/>
        </w:rPr>
      </w:pPr>
      <w:r>
        <w:rPr>
          <w:rFonts w:eastAsia="仿宋"/>
          <w:sz w:val="24"/>
        </w:rPr>
        <w:t>1.3.3   以采购代理机构认可的方式获得了本项目的招标文件。</w:t>
      </w:r>
    </w:p>
    <w:p w14:paraId="6A864B97">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EE47F00">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290AA1EB">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3507E870">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37706D4C">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0A008EC7">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4D420934">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68DEDD8E">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0A82F7F2">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16341035">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2B20CA80">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778CC199">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71E397FA">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0FC0554A">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7FA893F2">
      <w:pPr>
        <w:pStyle w:val="35"/>
        <w:spacing w:before="0" w:after="0" w:line="360" w:lineRule="auto"/>
        <w:rPr>
          <w:rFonts w:ascii="Times New Roman" w:eastAsia="仿宋"/>
          <w:u w:val="none"/>
        </w:rPr>
      </w:pPr>
      <w:bookmarkStart w:id="13" w:name="_Toc2643"/>
      <w:bookmarkEnd w:id="13"/>
      <w:bookmarkStart w:id="14" w:name="_Toc17203"/>
      <w:bookmarkEnd w:id="14"/>
      <w:bookmarkStart w:id="15" w:name="_Toc518923062"/>
      <w:bookmarkEnd w:id="15"/>
      <w:bookmarkStart w:id="16" w:name="_Toc1409"/>
      <w:bookmarkEnd w:id="16"/>
      <w:bookmarkStart w:id="17" w:name="_Toc17198"/>
      <w:bookmarkEnd w:id="17"/>
      <w:r>
        <w:rPr>
          <w:rFonts w:ascii="Times New Roman" w:eastAsia="仿宋"/>
          <w:u w:val="none"/>
        </w:rPr>
        <w:t>2.资金来源</w:t>
      </w:r>
    </w:p>
    <w:p w14:paraId="1D848B82">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2885D4EB">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4CEF7F26">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3C26E496">
      <w:pPr>
        <w:pStyle w:val="35"/>
        <w:spacing w:before="0" w:after="0" w:line="360" w:lineRule="auto"/>
        <w:rPr>
          <w:rFonts w:ascii="Times New Roman" w:eastAsia="仿宋"/>
          <w:u w:val="none"/>
        </w:rPr>
      </w:pPr>
      <w:bookmarkStart w:id="18" w:name="_Toc14892"/>
      <w:bookmarkEnd w:id="18"/>
      <w:bookmarkStart w:id="19" w:name="_Toc518923063"/>
      <w:bookmarkEnd w:id="19"/>
      <w:bookmarkStart w:id="20" w:name="_Toc23703"/>
      <w:bookmarkEnd w:id="20"/>
      <w:bookmarkStart w:id="21" w:name="_Toc22756"/>
      <w:bookmarkEnd w:id="21"/>
      <w:bookmarkStart w:id="22" w:name="_Toc520356145"/>
      <w:bookmarkEnd w:id="22"/>
      <w:bookmarkStart w:id="23" w:name="_Toc28166"/>
      <w:bookmarkEnd w:id="23"/>
      <w:r>
        <w:rPr>
          <w:rFonts w:ascii="Times New Roman" w:eastAsia="仿宋"/>
          <w:u w:val="none"/>
        </w:rPr>
        <w:t>3.投标费用</w:t>
      </w:r>
    </w:p>
    <w:p w14:paraId="4CA959B5">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14:paraId="40569FE4">
      <w:pPr>
        <w:pStyle w:val="35"/>
        <w:spacing w:before="0" w:after="0" w:line="360" w:lineRule="auto"/>
        <w:rPr>
          <w:rFonts w:ascii="Times New Roman" w:eastAsia="仿宋"/>
          <w:u w:val="none"/>
        </w:rPr>
      </w:pPr>
      <w:bookmarkStart w:id="24" w:name="_Toc9960"/>
      <w:bookmarkEnd w:id="24"/>
      <w:bookmarkStart w:id="25" w:name="_Toc26306"/>
      <w:bookmarkEnd w:id="25"/>
      <w:bookmarkStart w:id="26" w:name="_Toc32365"/>
      <w:bookmarkEnd w:id="26"/>
      <w:bookmarkStart w:id="27" w:name="_Toc518923064"/>
      <w:bookmarkEnd w:id="27"/>
      <w:bookmarkStart w:id="28" w:name="_Toc30739"/>
      <w:bookmarkEnd w:id="28"/>
      <w:r>
        <w:rPr>
          <w:rFonts w:ascii="Times New Roman" w:eastAsia="仿宋"/>
          <w:u w:val="none"/>
        </w:rPr>
        <w:t>4.适用法律</w:t>
      </w:r>
    </w:p>
    <w:p w14:paraId="618EB7A9">
      <w:pPr>
        <w:spacing w:line="360" w:lineRule="auto"/>
        <w:ind w:left="958" w:leftChars="456" w:firstLine="60" w:firstLineChars="2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37A88F8">
      <w:pPr>
        <w:spacing w:line="360" w:lineRule="auto"/>
        <w:rPr>
          <w:rFonts w:eastAsia="仿宋"/>
          <w:sz w:val="24"/>
        </w:rPr>
      </w:pPr>
    </w:p>
    <w:p w14:paraId="0AB76E6E">
      <w:pPr>
        <w:pStyle w:val="34"/>
        <w:spacing w:before="0" w:line="360" w:lineRule="auto"/>
        <w:ind w:left="1080" w:leftChars="257" w:hanging="540"/>
        <w:rPr>
          <w:rFonts w:eastAsia="仿宋"/>
          <w:sz w:val="28"/>
        </w:rPr>
      </w:pPr>
      <w:bookmarkStart w:id="29" w:name="_Toc520356146"/>
      <w:bookmarkEnd w:id="29"/>
      <w:bookmarkStart w:id="30" w:name="_Toc30516"/>
      <w:bookmarkEnd w:id="30"/>
      <w:bookmarkStart w:id="31" w:name="_Toc809"/>
      <w:bookmarkEnd w:id="31"/>
      <w:bookmarkStart w:id="32" w:name="_Toc216582806"/>
      <w:bookmarkEnd w:id="32"/>
      <w:bookmarkStart w:id="33" w:name="_Toc518923065"/>
      <w:bookmarkEnd w:id="33"/>
      <w:bookmarkStart w:id="34" w:name="_Toc28586"/>
      <w:bookmarkEnd w:id="34"/>
      <w:bookmarkStart w:id="35" w:name="_Toc4348"/>
      <w:bookmarkEnd w:id="35"/>
      <w:r>
        <w:rPr>
          <w:rFonts w:eastAsia="仿宋"/>
          <w:sz w:val="28"/>
        </w:rPr>
        <w:t>二</w:t>
      </w:r>
      <w:r>
        <w:rPr>
          <w:rFonts w:hint="eastAsia" w:eastAsia="仿宋"/>
          <w:sz w:val="28"/>
        </w:rPr>
        <w:t>、</w:t>
      </w:r>
      <w:r>
        <w:rPr>
          <w:rFonts w:eastAsia="仿宋"/>
          <w:sz w:val="28"/>
        </w:rPr>
        <w:t>招标文件</w:t>
      </w:r>
    </w:p>
    <w:p w14:paraId="58CFCCBF">
      <w:pPr>
        <w:pStyle w:val="39"/>
        <w:spacing w:line="360" w:lineRule="auto"/>
        <w:rPr>
          <w:rFonts w:ascii="Times New Roman" w:eastAsia="仿宋"/>
        </w:rPr>
      </w:pPr>
    </w:p>
    <w:p w14:paraId="71F211A2">
      <w:pPr>
        <w:pStyle w:val="35"/>
        <w:spacing w:before="0" w:after="0" w:line="360" w:lineRule="auto"/>
        <w:rPr>
          <w:rFonts w:ascii="Times New Roman" w:eastAsia="仿宋"/>
          <w:u w:val="none"/>
        </w:rPr>
      </w:pPr>
      <w:bookmarkStart w:id="36" w:name="_Toc22990"/>
      <w:bookmarkEnd w:id="36"/>
      <w:bookmarkStart w:id="37" w:name="_Toc11127"/>
      <w:bookmarkEnd w:id="37"/>
      <w:bookmarkStart w:id="38" w:name="_Toc5195"/>
      <w:bookmarkEnd w:id="38"/>
      <w:bookmarkStart w:id="39" w:name="_Toc520356147"/>
      <w:bookmarkEnd w:id="39"/>
      <w:bookmarkStart w:id="40" w:name="_Toc518923066"/>
      <w:bookmarkEnd w:id="40"/>
      <w:bookmarkStart w:id="41" w:name="_Toc6894"/>
      <w:bookmarkEnd w:id="41"/>
      <w:r>
        <w:rPr>
          <w:rFonts w:ascii="Times New Roman" w:eastAsia="仿宋"/>
          <w:u w:val="none"/>
        </w:rPr>
        <w:t>5.招标文件构成</w:t>
      </w:r>
    </w:p>
    <w:p w14:paraId="3BBC6D55">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w:t>
      </w:r>
      <w:r>
        <w:rPr>
          <w:rFonts w:hint="eastAsia" w:eastAsia="仿宋"/>
          <w:sz w:val="24"/>
          <w:lang w:val="en-US" w:eastAsia="zh-CN"/>
        </w:rPr>
        <w:t xml:space="preserve">  </w:t>
      </w:r>
      <w:r>
        <w:rPr>
          <w:rFonts w:eastAsia="仿宋"/>
          <w:sz w:val="24"/>
        </w:rPr>
        <w:t>共7章，内容如下：</w:t>
      </w:r>
    </w:p>
    <w:p w14:paraId="115BDC87">
      <w:pPr>
        <w:spacing w:line="360" w:lineRule="auto"/>
        <w:ind w:left="1079" w:leftChars="428" w:hanging="180" w:hangingChars="75"/>
        <w:rPr>
          <w:rFonts w:eastAsia="仿宋"/>
          <w:sz w:val="24"/>
        </w:rPr>
      </w:pPr>
      <w:r>
        <w:rPr>
          <w:rFonts w:eastAsia="仿宋"/>
          <w:sz w:val="24"/>
        </w:rPr>
        <w:t>第一册</w:t>
      </w:r>
    </w:p>
    <w:p w14:paraId="49918BAB">
      <w:pPr>
        <w:spacing w:line="360" w:lineRule="auto"/>
        <w:ind w:left="1079" w:leftChars="428" w:hanging="180" w:hangingChars="75"/>
        <w:rPr>
          <w:rFonts w:eastAsia="仿宋"/>
          <w:sz w:val="24"/>
        </w:rPr>
      </w:pPr>
      <w:r>
        <w:rPr>
          <w:rFonts w:eastAsia="仿宋"/>
          <w:sz w:val="24"/>
        </w:rPr>
        <w:t>第1章</w:t>
      </w:r>
      <w:r>
        <w:rPr>
          <w:rFonts w:hint="eastAsia" w:eastAsia="仿宋"/>
          <w:sz w:val="24"/>
        </w:rPr>
        <w:t xml:space="preserve">  </w:t>
      </w:r>
      <w:r>
        <w:rPr>
          <w:rFonts w:eastAsia="仿宋"/>
          <w:sz w:val="24"/>
        </w:rPr>
        <w:t>投标人须知</w:t>
      </w:r>
    </w:p>
    <w:p w14:paraId="55318B84">
      <w:pPr>
        <w:spacing w:line="360" w:lineRule="auto"/>
        <w:ind w:left="901"/>
        <w:rPr>
          <w:rFonts w:eastAsia="仿宋"/>
          <w:sz w:val="24"/>
        </w:rPr>
      </w:pPr>
      <w:r>
        <w:rPr>
          <w:rFonts w:eastAsia="仿宋"/>
          <w:sz w:val="24"/>
        </w:rPr>
        <w:t>第2章</w:t>
      </w:r>
      <w:r>
        <w:rPr>
          <w:rFonts w:hint="eastAsia" w:eastAsia="仿宋"/>
          <w:sz w:val="24"/>
        </w:rPr>
        <w:t xml:space="preserve">  </w:t>
      </w:r>
      <w:r>
        <w:rPr>
          <w:rFonts w:eastAsia="仿宋"/>
          <w:sz w:val="24"/>
        </w:rPr>
        <w:t>投标文件格式</w:t>
      </w:r>
    </w:p>
    <w:p w14:paraId="0246D450">
      <w:pPr>
        <w:spacing w:line="360" w:lineRule="auto"/>
        <w:ind w:left="1081" w:leftChars="429" w:hanging="180"/>
        <w:rPr>
          <w:rFonts w:eastAsia="仿宋"/>
          <w:sz w:val="24"/>
        </w:rPr>
      </w:pPr>
      <w:r>
        <w:rPr>
          <w:rFonts w:eastAsia="仿宋"/>
          <w:sz w:val="24"/>
        </w:rPr>
        <w:t>第二册</w:t>
      </w:r>
    </w:p>
    <w:p w14:paraId="24398D88">
      <w:pPr>
        <w:spacing w:line="360" w:lineRule="auto"/>
        <w:ind w:left="901" w:leftChars="429"/>
        <w:rPr>
          <w:rFonts w:eastAsia="仿宋"/>
          <w:sz w:val="24"/>
        </w:rPr>
      </w:pPr>
      <w:r>
        <w:rPr>
          <w:rFonts w:eastAsia="仿宋"/>
          <w:sz w:val="24"/>
        </w:rPr>
        <w:t>第3章</w:t>
      </w:r>
      <w:r>
        <w:rPr>
          <w:rFonts w:hint="eastAsia" w:eastAsia="仿宋"/>
          <w:sz w:val="24"/>
        </w:rPr>
        <w:t xml:space="preserve">  </w:t>
      </w:r>
      <w:r>
        <w:rPr>
          <w:rFonts w:eastAsia="仿宋"/>
          <w:sz w:val="24"/>
        </w:rPr>
        <w:t>投标邀请</w:t>
      </w:r>
    </w:p>
    <w:p w14:paraId="52248436">
      <w:pPr>
        <w:spacing w:line="360" w:lineRule="auto"/>
        <w:ind w:left="901" w:leftChars="429"/>
        <w:rPr>
          <w:rFonts w:eastAsia="仿宋"/>
          <w:sz w:val="24"/>
        </w:rPr>
      </w:pPr>
      <w:r>
        <w:rPr>
          <w:rFonts w:eastAsia="仿宋"/>
          <w:sz w:val="24"/>
        </w:rPr>
        <w:t>第4章</w:t>
      </w:r>
      <w:r>
        <w:rPr>
          <w:rFonts w:hint="eastAsia" w:eastAsia="仿宋"/>
          <w:sz w:val="24"/>
        </w:rPr>
        <w:t xml:space="preserve">  </w:t>
      </w:r>
      <w:r>
        <w:rPr>
          <w:rFonts w:eastAsia="仿宋"/>
          <w:sz w:val="24"/>
        </w:rPr>
        <w:t>投标人须知资料表</w:t>
      </w:r>
    </w:p>
    <w:p w14:paraId="5C662712">
      <w:pPr>
        <w:spacing w:line="360" w:lineRule="auto"/>
        <w:ind w:left="901" w:leftChars="429"/>
        <w:rPr>
          <w:rFonts w:eastAsia="仿宋"/>
          <w:sz w:val="24"/>
        </w:rPr>
      </w:pPr>
      <w:r>
        <w:rPr>
          <w:rFonts w:eastAsia="仿宋"/>
          <w:sz w:val="24"/>
        </w:rPr>
        <w:t>第5章</w:t>
      </w:r>
      <w:r>
        <w:rPr>
          <w:rFonts w:hint="eastAsia" w:eastAsia="仿宋"/>
          <w:sz w:val="24"/>
        </w:rPr>
        <w:t xml:space="preserve">  </w:t>
      </w:r>
      <w:r>
        <w:rPr>
          <w:rFonts w:eastAsia="仿宋"/>
          <w:sz w:val="24"/>
        </w:rPr>
        <w:t>项目服务及建设需求</w:t>
      </w:r>
    </w:p>
    <w:p w14:paraId="35FE48E0">
      <w:pPr>
        <w:spacing w:line="360" w:lineRule="auto"/>
        <w:ind w:firstLine="960" w:firstLineChars="400"/>
        <w:rPr>
          <w:rFonts w:eastAsia="仿宋"/>
          <w:sz w:val="24"/>
        </w:rPr>
      </w:pPr>
      <w:r>
        <w:rPr>
          <w:rFonts w:eastAsia="仿宋"/>
          <w:sz w:val="24"/>
        </w:rPr>
        <w:t>第6章</w:t>
      </w:r>
      <w:r>
        <w:rPr>
          <w:rFonts w:hint="eastAsia" w:eastAsia="仿宋"/>
          <w:sz w:val="24"/>
        </w:rPr>
        <w:t xml:space="preserve">  </w:t>
      </w:r>
      <w:r>
        <w:rPr>
          <w:rFonts w:eastAsia="仿宋"/>
          <w:sz w:val="24"/>
        </w:rPr>
        <w:t>评标方法和标准</w:t>
      </w:r>
    </w:p>
    <w:p w14:paraId="2D0B3906">
      <w:pPr>
        <w:spacing w:line="360" w:lineRule="auto"/>
        <w:ind w:left="901"/>
        <w:rPr>
          <w:rFonts w:eastAsia="仿宋"/>
          <w:sz w:val="24"/>
        </w:rPr>
      </w:pPr>
      <w:r>
        <w:rPr>
          <w:rFonts w:eastAsia="仿宋"/>
          <w:sz w:val="24"/>
        </w:rPr>
        <w:t>第三册</w:t>
      </w:r>
    </w:p>
    <w:p w14:paraId="254E97F9">
      <w:pPr>
        <w:spacing w:line="360" w:lineRule="auto"/>
        <w:ind w:firstLine="960" w:firstLineChars="400"/>
        <w:rPr>
          <w:rFonts w:eastAsia="仿宋"/>
          <w:sz w:val="24"/>
        </w:rPr>
      </w:pPr>
      <w:r>
        <w:rPr>
          <w:rFonts w:eastAsia="仿宋"/>
          <w:sz w:val="24"/>
        </w:rPr>
        <w:t>第7章</w:t>
      </w:r>
      <w:r>
        <w:rPr>
          <w:rFonts w:hint="eastAsia" w:eastAsia="仿宋"/>
          <w:sz w:val="24"/>
        </w:rPr>
        <w:t xml:space="preserve">  </w:t>
      </w:r>
      <w:r>
        <w:rPr>
          <w:rFonts w:eastAsia="仿宋"/>
          <w:sz w:val="24"/>
        </w:rPr>
        <w:t>政府采购合同格式</w:t>
      </w:r>
    </w:p>
    <w:p w14:paraId="17D96856">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6F0BF225">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14:paraId="3EBBBE3C">
      <w:pPr>
        <w:pStyle w:val="35"/>
        <w:spacing w:before="0" w:after="0" w:line="360" w:lineRule="auto"/>
        <w:rPr>
          <w:rFonts w:ascii="Times New Roman" w:eastAsia="仿宋"/>
          <w:u w:val="none"/>
        </w:rPr>
      </w:pPr>
      <w:bookmarkStart w:id="42" w:name="_Toc520356148"/>
      <w:bookmarkEnd w:id="42"/>
      <w:bookmarkStart w:id="43" w:name="_Toc518923067"/>
      <w:bookmarkEnd w:id="43"/>
      <w:bookmarkStart w:id="44" w:name="_Toc21110"/>
      <w:bookmarkEnd w:id="44"/>
      <w:bookmarkStart w:id="45" w:name="_Toc21314"/>
      <w:bookmarkEnd w:id="45"/>
      <w:bookmarkStart w:id="46" w:name="_Toc25261"/>
      <w:bookmarkEnd w:id="46"/>
      <w:bookmarkStart w:id="47" w:name="_Toc3735"/>
      <w:bookmarkEnd w:id="47"/>
      <w:r>
        <w:rPr>
          <w:rFonts w:ascii="Times New Roman" w:eastAsia="仿宋"/>
          <w:u w:val="none"/>
        </w:rPr>
        <w:t>6.招标文件的澄清与修改</w:t>
      </w:r>
    </w:p>
    <w:p w14:paraId="061F5C1A">
      <w:pPr>
        <w:pStyle w:val="39"/>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14:paraId="29D2C95A">
      <w:pPr>
        <w:pStyle w:val="39"/>
        <w:spacing w:line="360" w:lineRule="auto"/>
        <w:ind w:left="840" w:hanging="840" w:hangingChars="350"/>
        <w:rPr>
          <w:rFonts w:ascii="Times New Roman" w:eastAsia="仿宋"/>
          <w:szCs w:val="24"/>
        </w:rPr>
      </w:pPr>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14:paraId="167C6FAA">
      <w:pPr>
        <w:pStyle w:val="39"/>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0798B205">
      <w:pPr>
        <w:pStyle w:val="35"/>
        <w:tabs>
          <w:tab w:val="left" w:pos="900"/>
        </w:tabs>
        <w:spacing w:before="0" w:after="0" w:line="360" w:lineRule="auto"/>
        <w:rPr>
          <w:rFonts w:ascii="Times New Roman" w:eastAsia="仿宋"/>
          <w:u w:val="none"/>
        </w:rPr>
      </w:pPr>
      <w:bookmarkStart w:id="48" w:name="_Toc25111"/>
      <w:bookmarkEnd w:id="48"/>
      <w:bookmarkStart w:id="49" w:name="_Toc10994"/>
      <w:bookmarkEnd w:id="49"/>
      <w:bookmarkStart w:id="50" w:name="_Toc17979"/>
      <w:bookmarkEnd w:id="50"/>
      <w:bookmarkStart w:id="51" w:name="_Toc518923068"/>
      <w:bookmarkEnd w:id="51"/>
      <w:bookmarkStart w:id="52" w:name="_Toc13430"/>
      <w:bookmarkEnd w:id="52"/>
      <w:r>
        <w:rPr>
          <w:rFonts w:ascii="Times New Roman" w:eastAsia="仿宋"/>
          <w:u w:val="none"/>
        </w:rPr>
        <w:t>7.投标截止时间的顺延</w:t>
      </w:r>
    </w:p>
    <w:p w14:paraId="3D67FC53">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14:paraId="19BC9558">
      <w:pPr>
        <w:spacing w:line="360" w:lineRule="auto"/>
        <w:ind w:left="900" w:hanging="900" w:hangingChars="375"/>
        <w:rPr>
          <w:rFonts w:eastAsia="仿宋"/>
          <w:sz w:val="24"/>
        </w:rPr>
      </w:pPr>
    </w:p>
    <w:p w14:paraId="50A8BB53">
      <w:pPr>
        <w:pStyle w:val="34"/>
        <w:tabs>
          <w:tab w:val="left" w:pos="900"/>
        </w:tabs>
        <w:spacing w:before="0" w:line="360" w:lineRule="auto"/>
        <w:ind w:left="1080" w:leftChars="257" w:hanging="540"/>
        <w:rPr>
          <w:rFonts w:eastAsia="仿宋"/>
          <w:sz w:val="28"/>
        </w:rPr>
      </w:pPr>
      <w:bookmarkStart w:id="53" w:name="_Toc518923069"/>
      <w:bookmarkEnd w:id="53"/>
      <w:bookmarkStart w:id="54" w:name="_Toc24640"/>
      <w:bookmarkEnd w:id="54"/>
      <w:bookmarkStart w:id="55" w:name="_Toc516367020"/>
      <w:bookmarkEnd w:id="55"/>
      <w:bookmarkStart w:id="56" w:name="_Toc10749"/>
      <w:bookmarkEnd w:id="56"/>
      <w:bookmarkStart w:id="57" w:name="_Toc12398"/>
      <w:bookmarkEnd w:id="57"/>
      <w:bookmarkStart w:id="58" w:name="_Toc520356150"/>
      <w:bookmarkEnd w:id="58"/>
      <w:bookmarkStart w:id="59" w:name="_Toc216582807"/>
      <w:bookmarkEnd w:id="59"/>
      <w:bookmarkStart w:id="60" w:name="_Toc25389"/>
      <w:bookmarkEnd w:id="60"/>
      <w:r>
        <w:rPr>
          <w:rFonts w:eastAsia="仿宋"/>
          <w:sz w:val="28"/>
        </w:rPr>
        <w:t>三</w:t>
      </w:r>
      <w:r>
        <w:rPr>
          <w:rFonts w:hint="eastAsia" w:eastAsia="仿宋"/>
          <w:sz w:val="28"/>
        </w:rPr>
        <w:t>、</w:t>
      </w:r>
      <w:r>
        <w:rPr>
          <w:rFonts w:eastAsia="仿宋"/>
          <w:sz w:val="28"/>
        </w:rPr>
        <w:t>投标文件的编制</w:t>
      </w:r>
    </w:p>
    <w:p w14:paraId="7B792933">
      <w:pPr>
        <w:pStyle w:val="39"/>
        <w:spacing w:line="360" w:lineRule="auto"/>
        <w:rPr>
          <w:rFonts w:ascii="Times New Roman" w:eastAsia="仿宋"/>
        </w:rPr>
      </w:pPr>
    </w:p>
    <w:p w14:paraId="5383AE21">
      <w:pPr>
        <w:pStyle w:val="35"/>
        <w:tabs>
          <w:tab w:val="left" w:pos="900"/>
        </w:tabs>
        <w:spacing w:before="0" w:after="0" w:line="360" w:lineRule="auto"/>
        <w:rPr>
          <w:rFonts w:ascii="Times New Roman" w:eastAsia="仿宋"/>
          <w:u w:val="none"/>
        </w:rPr>
      </w:pPr>
      <w:bookmarkStart w:id="61" w:name="_Toc6728"/>
      <w:bookmarkEnd w:id="61"/>
      <w:bookmarkStart w:id="62" w:name="_Toc24990"/>
      <w:bookmarkEnd w:id="62"/>
      <w:bookmarkStart w:id="63" w:name="_Toc520356151"/>
      <w:bookmarkEnd w:id="63"/>
      <w:bookmarkStart w:id="64" w:name="_Toc516367021"/>
      <w:bookmarkEnd w:id="64"/>
      <w:bookmarkStart w:id="65" w:name="_Toc518923070"/>
      <w:bookmarkEnd w:id="65"/>
      <w:bookmarkStart w:id="66" w:name="_Toc12703"/>
      <w:bookmarkEnd w:id="66"/>
      <w:bookmarkStart w:id="67" w:name="_Toc25074"/>
      <w:bookmarkEnd w:id="67"/>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p>
    <w:p w14:paraId="7FDA8F83">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14:paraId="169EBC95">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14:paraId="4D7D8EEA">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14:paraId="30A12310">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14:paraId="76F7227C">
      <w:pPr>
        <w:pStyle w:val="35"/>
        <w:tabs>
          <w:tab w:val="left" w:pos="900"/>
        </w:tabs>
        <w:spacing w:before="0" w:after="0" w:line="360" w:lineRule="auto"/>
        <w:rPr>
          <w:rFonts w:ascii="Times New Roman" w:eastAsia="仿宋"/>
          <w:u w:val="none"/>
        </w:rPr>
      </w:pPr>
      <w:bookmarkStart w:id="68" w:name="_Toc29101"/>
      <w:bookmarkEnd w:id="68"/>
      <w:bookmarkStart w:id="69" w:name="_Toc518923071"/>
      <w:bookmarkEnd w:id="69"/>
      <w:bookmarkStart w:id="70" w:name="_Toc30846"/>
      <w:bookmarkEnd w:id="70"/>
      <w:bookmarkStart w:id="71" w:name="_Ref467306676"/>
      <w:bookmarkEnd w:id="71"/>
      <w:bookmarkStart w:id="72" w:name="_Toc15487"/>
      <w:bookmarkEnd w:id="72"/>
      <w:bookmarkStart w:id="73" w:name="_Toc12543"/>
      <w:bookmarkEnd w:id="73"/>
      <w:bookmarkStart w:id="74" w:name="_Toc520356152"/>
      <w:bookmarkEnd w:id="74"/>
      <w:bookmarkStart w:id="75" w:name="_Toc516367022"/>
      <w:bookmarkEnd w:id="75"/>
      <w:bookmarkStart w:id="76" w:name="_Ref467306195"/>
      <w:bookmarkEnd w:id="76"/>
      <w:r>
        <w:rPr>
          <w:rFonts w:ascii="Times New Roman" w:eastAsia="仿宋"/>
          <w:u w:val="none"/>
        </w:rPr>
        <w:t>9.投标文件构成</w:t>
      </w:r>
    </w:p>
    <w:p w14:paraId="3168195D">
      <w:pPr>
        <w:tabs>
          <w:tab w:val="left" w:pos="900"/>
          <w:tab w:val="left" w:pos="5580"/>
        </w:tabs>
        <w:spacing w:line="360" w:lineRule="auto"/>
        <w:ind w:left="960" w:hanging="960" w:hangingChars="400"/>
        <w:jc w:val="left"/>
        <w:rPr>
          <w:rFonts w:eastAsia="仿宋"/>
          <w:sz w:val="24"/>
        </w:rPr>
      </w:pPr>
      <w:bookmarkStart w:id="77" w:name="_Ref467052588"/>
      <w:bookmarkEnd w:id="77"/>
      <w:r>
        <w:rPr>
          <w:rFonts w:eastAsia="仿宋"/>
          <w:sz w:val="24"/>
        </w:rPr>
        <w:t xml:space="preserve">9.1    </w:t>
      </w:r>
      <w:r>
        <w:rPr>
          <w:rFonts w:eastAsia="仿宋"/>
          <w:b/>
          <w:bCs/>
          <w:sz w:val="24"/>
          <w:u w:val="single"/>
        </w:rPr>
        <w:t>投标人应完整地按招标文件提供的投标文件格式及要求编写投标文件，投标文件应包括“开标一览表及资格证明文件”和“商务及技术文件”两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r>
        <w:rPr>
          <w:rFonts w:hint="eastAsia" w:ascii="Times New Roman" w:hAnsi="Times New Roman" w:eastAsia="仿宋" w:cs="Times New Roman"/>
          <w:b/>
          <w:bCs/>
          <w:color w:val="FF0000"/>
          <w:sz w:val="24"/>
          <w:u w:val="thick"/>
          <w:lang w:eastAsia="zh-CN"/>
        </w:rPr>
        <w:t>（</w:t>
      </w:r>
      <w:r>
        <w:rPr>
          <w:rFonts w:hint="eastAsia" w:ascii="Times New Roman" w:hAnsi="Times New Roman" w:eastAsia="仿宋" w:cs="Times New Roman"/>
          <w:b/>
          <w:bCs/>
          <w:color w:val="FF0000"/>
          <w:sz w:val="24"/>
          <w:u w:val="thick"/>
          <w:lang w:val="en-US" w:eastAsia="zh-CN"/>
        </w:rPr>
        <w:t>政采云电子响应文件中商务技术响应文件必须按照“第2章  投标文件格式”两部分完整地全部上传，否则将被认定为投标无效。</w:t>
      </w:r>
      <w:r>
        <w:rPr>
          <w:rFonts w:hint="eastAsia" w:ascii="Times New Roman" w:hAnsi="Times New Roman" w:eastAsia="仿宋" w:cs="Times New Roman"/>
          <w:b/>
          <w:bCs/>
          <w:color w:val="FF0000"/>
          <w:sz w:val="24"/>
          <w:u w:val="thick"/>
          <w:lang w:eastAsia="zh-CN"/>
        </w:rPr>
        <w:t>）</w:t>
      </w:r>
    </w:p>
    <w:p w14:paraId="0684CBC3">
      <w:pPr>
        <w:spacing w:line="360" w:lineRule="auto"/>
        <w:ind w:left="900" w:hanging="900" w:hangingChars="375"/>
        <w:rPr>
          <w:rFonts w:eastAsia="仿宋"/>
          <w:b/>
          <w:bCs/>
          <w:sz w:val="24"/>
        </w:rPr>
      </w:pPr>
      <w:r>
        <w:rPr>
          <w:rFonts w:eastAsia="仿宋"/>
          <w:sz w:val="24"/>
        </w:rPr>
        <w:t xml:space="preserve">9.2  </w:t>
      </w:r>
      <w:r>
        <w:rPr>
          <w:rFonts w:hint="eastAsia" w:eastAsia="仿宋"/>
          <w:sz w:val="24"/>
        </w:rPr>
        <w:t xml:space="preserve">  </w:t>
      </w:r>
      <w:r>
        <w:rPr>
          <w:rFonts w:eastAsia="仿宋"/>
          <w:sz w:val="24"/>
        </w:rPr>
        <w:t>上述文件应按照招标文件规定的格式填写、签署和盖章。若投标人未依照要求制作投标文件的，</w:t>
      </w:r>
      <w:r>
        <w:rPr>
          <w:rFonts w:hint="eastAsia" w:eastAsia="仿宋"/>
          <w:sz w:val="24"/>
        </w:rPr>
        <w:t>未提供响应资料的，</w:t>
      </w:r>
      <w:r>
        <w:rPr>
          <w:rFonts w:eastAsia="仿宋"/>
          <w:sz w:val="24"/>
        </w:rPr>
        <w:t>则视为不响应招标文件编制投标文件的要求，</w:t>
      </w:r>
      <w:r>
        <w:rPr>
          <w:rFonts w:eastAsia="仿宋"/>
          <w:b/>
          <w:bCs/>
          <w:sz w:val="24"/>
        </w:rPr>
        <w:t>为无效投标。</w:t>
      </w:r>
    </w:p>
    <w:p w14:paraId="54F8AA25">
      <w:pPr>
        <w:spacing w:line="360" w:lineRule="auto"/>
        <w:ind w:left="960" w:leftChars="457" w:firstLine="60" w:firstLineChars="25"/>
        <w:jc w:val="left"/>
        <w:rPr>
          <w:rFonts w:eastAsia="仿宋"/>
          <w:sz w:val="24"/>
        </w:rPr>
      </w:pPr>
      <w:r>
        <w:rPr>
          <w:rFonts w:hint="eastAsia" w:ascii="仿宋" w:hAnsi="仿宋" w:eastAsia="仿宋" w:cs="仿宋"/>
          <w:b/>
          <w:bCs/>
          <w:color w:val="FF0000"/>
          <w:sz w:val="24"/>
        </w:rPr>
        <w:t>注:电子版响应文件内所有资格证明文件，供应商须逐页加盖电子签章.</w:t>
      </w:r>
    </w:p>
    <w:p w14:paraId="4200B8E9">
      <w:pPr>
        <w:pStyle w:val="35"/>
        <w:tabs>
          <w:tab w:val="left" w:pos="900"/>
        </w:tabs>
        <w:spacing w:before="0" w:after="0" w:line="360" w:lineRule="auto"/>
        <w:rPr>
          <w:rFonts w:ascii="Times New Roman" w:eastAsia="仿宋"/>
          <w:u w:val="none"/>
        </w:rPr>
      </w:pPr>
      <w:bookmarkStart w:id="78" w:name="_Toc11736"/>
      <w:bookmarkEnd w:id="78"/>
      <w:bookmarkStart w:id="79" w:name="_Toc15670"/>
      <w:bookmarkEnd w:id="79"/>
      <w:bookmarkStart w:id="80" w:name="_Toc516367023"/>
      <w:bookmarkEnd w:id="80"/>
      <w:bookmarkStart w:id="81" w:name="_Toc508185920"/>
      <w:bookmarkEnd w:id="81"/>
      <w:bookmarkStart w:id="82" w:name="_Toc518923072"/>
      <w:bookmarkEnd w:id="82"/>
      <w:bookmarkStart w:id="83" w:name="_Toc2671"/>
      <w:bookmarkEnd w:id="83"/>
      <w:bookmarkStart w:id="84" w:name="_Toc1889"/>
      <w:bookmarkEnd w:id="84"/>
      <w:bookmarkStart w:id="85" w:name="_Toc520356153"/>
      <w:bookmarkEnd w:id="8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p>
    <w:p w14:paraId="70D4F97B">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14:paraId="4F3A0108">
      <w:pPr>
        <w:spacing w:line="360" w:lineRule="auto"/>
        <w:ind w:left="900" w:hanging="900" w:hangingChars="375"/>
        <w:rPr>
          <w:rFonts w:eastAsia="仿宋"/>
          <w:sz w:val="24"/>
        </w:rPr>
      </w:pPr>
      <w:bookmarkStart w:id="86" w:name="_Ref467306244"/>
      <w:bookmarkEnd w:id="86"/>
      <w:r>
        <w:rPr>
          <w:rFonts w:eastAsia="仿宋"/>
          <w:sz w:val="24"/>
        </w:rPr>
        <w:t>10.2</w:t>
      </w:r>
      <w:r>
        <w:rPr>
          <w:rFonts w:eastAsia="仿宋"/>
          <w:sz w:val="24"/>
        </w:rPr>
        <w:tab/>
      </w:r>
      <w:r>
        <w:rPr>
          <w:rFonts w:eastAsia="仿宋"/>
          <w:sz w:val="24"/>
        </w:rPr>
        <w:t>上款所述的证明文件，可以是文字资料、图纸和数据。</w:t>
      </w:r>
    </w:p>
    <w:p w14:paraId="3AB94BFC">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34590858">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54EEA460">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14:paraId="1EF818B6">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28D81A72">
      <w:pPr>
        <w:pStyle w:val="35"/>
        <w:spacing w:before="0" w:after="0" w:line="360" w:lineRule="auto"/>
        <w:rPr>
          <w:rFonts w:ascii="Times New Roman" w:eastAsia="仿宋"/>
          <w:u w:val="none"/>
        </w:rPr>
      </w:pPr>
      <w:bookmarkStart w:id="87" w:name="_Toc13028"/>
      <w:bookmarkEnd w:id="87"/>
      <w:bookmarkStart w:id="88" w:name="_Toc8529"/>
      <w:bookmarkEnd w:id="88"/>
      <w:bookmarkStart w:id="89" w:name="_Toc32744"/>
      <w:bookmarkEnd w:id="89"/>
      <w:bookmarkStart w:id="90" w:name="_Toc518923073"/>
      <w:bookmarkEnd w:id="90"/>
      <w:bookmarkStart w:id="91" w:name="_Toc16574"/>
      <w:bookmarkEnd w:id="91"/>
      <w:r>
        <w:rPr>
          <w:rFonts w:ascii="Times New Roman" w:eastAsia="仿宋"/>
          <w:u w:val="none"/>
        </w:rPr>
        <w:t>11.投标报价</w:t>
      </w:r>
    </w:p>
    <w:p w14:paraId="22D3D605">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000A7C25">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4645DCF8">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14:paraId="7217142E">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14:paraId="15E3A796">
      <w:pPr>
        <w:spacing w:line="360" w:lineRule="auto"/>
        <w:ind w:left="900" w:hanging="900" w:hangingChars="375"/>
        <w:rPr>
          <w:rFonts w:eastAsia="仿宋"/>
          <w:sz w:val="24"/>
        </w:rPr>
      </w:pPr>
      <w:r>
        <w:rPr>
          <w:rFonts w:hint="eastAsia" w:eastAsia="仿宋"/>
          <w:sz w:val="24"/>
        </w:rPr>
        <w:t>11.3.2  货物运至最终目的地的运输费和保险费用。</w:t>
      </w:r>
    </w:p>
    <w:p w14:paraId="36082B1C">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14:paraId="434DD383">
      <w:pPr>
        <w:pStyle w:val="61"/>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14:paraId="2DA6C64A">
      <w:pPr>
        <w:pStyle w:val="35"/>
        <w:spacing w:before="0" w:after="0" w:line="360" w:lineRule="auto"/>
        <w:rPr>
          <w:rFonts w:ascii="Times New Roman" w:eastAsia="仿宋"/>
          <w:u w:val="none"/>
        </w:rPr>
      </w:pPr>
      <w:bookmarkStart w:id="92" w:name="_Toc24515"/>
      <w:bookmarkEnd w:id="92"/>
      <w:bookmarkStart w:id="93" w:name="_Ref467306513"/>
      <w:bookmarkEnd w:id="93"/>
      <w:bookmarkStart w:id="94" w:name="_Toc19591"/>
      <w:bookmarkEnd w:id="94"/>
      <w:bookmarkStart w:id="95" w:name="_Toc518923074"/>
      <w:bookmarkEnd w:id="95"/>
      <w:bookmarkStart w:id="96" w:name="_Toc18305"/>
      <w:bookmarkEnd w:id="96"/>
      <w:bookmarkStart w:id="97" w:name="_Toc16199"/>
      <w:bookmarkEnd w:id="97"/>
      <w:bookmarkStart w:id="98" w:name="_Toc520356156"/>
      <w:bookmarkEnd w:id="98"/>
      <w:r>
        <w:rPr>
          <w:rFonts w:ascii="Times New Roman" w:eastAsia="仿宋"/>
          <w:u w:val="none"/>
        </w:rPr>
        <w:t>12.投标保证金</w:t>
      </w:r>
    </w:p>
    <w:p w14:paraId="13B8A0CA">
      <w:pPr>
        <w:spacing w:line="360" w:lineRule="auto"/>
        <w:ind w:left="900" w:hanging="900" w:hangingChars="375"/>
        <w:rPr>
          <w:rFonts w:eastAsia="仿宋"/>
          <w:sz w:val="24"/>
        </w:rPr>
      </w:pPr>
      <w:bookmarkStart w:id="99" w:name="_Ref467306302"/>
      <w:bookmarkEnd w:id="99"/>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中规定的投标保证金，并作为其投标的一部分。</w:t>
      </w:r>
    </w:p>
    <w:p w14:paraId="6F098FCC">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14:paraId="6F6B1D70">
      <w:pPr>
        <w:spacing w:line="360" w:lineRule="auto"/>
        <w:ind w:left="900" w:hanging="900" w:hangingChars="375"/>
        <w:rPr>
          <w:rFonts w:eastAsia="仿宋"/>
          <w:sz w:val="24"/>
        </w:rPr>
      </w:pPr>
      <w:r>
        <w:rPr>
          <w:rFonts w:eastAsia="仿宋"/>
          <w:sz w:val="24"/>
        </w:rPr>
        <w:t>（1）在投标有效期内，撤销投标的；</w:t>
      </w:r>
    </w:p>
    <w:p w14:paraId="1125B427">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14:paraId="1F806AA2">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14:paraId="6F0C365E">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14:paraId="18CA8217">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14:paraId="45777151">
      <w:pPr>
        <w:spacing w:line="360" w:lineRule="auto"/>
        <w:ind w:left="900" w:hanging="900" w:hangingChars="375"/>
        <w:rPr>
          <w:rFonts w:eastAsia="仿宋"/>
          <w:sz w:val="24"/>
        </w:rPr>
      </w:pPr>
      <w:bookmarkStart w:id="100" w:name="_Ref467306336"/>
      <w:bookmarkEnd w:id="100"/>
      <w:r>
        <w:rPr>
          <w:rFonts w:eastAsia="仿宋"/>
          <w:sz w:val="24"/>
        </w:rPr>
        <w:t>12.3</w:t>
      </w:r>
      <w:r>
        <w:rPr>
          <w:rFonts w:eastAsia="仿宋"/>
          <w:sz w:val="24"/>
        </w:rPr>
        <w:tab/>
      </w:r>
      <w:r>
        <w:rPr>
          <w:rFonts w:eastAsia="仿宋"/>
          <w:sz w:val="24"/>
        </w:rPr>
        <w:t>政府采购信用担保试点范围内的项目，接受符合财政部门规定的政府采购投标担保函原件。</w:t>
      </w:r>
    </w:p>
    <w:p w14:paraId="68F7BE78">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6D3787B5">
      <w:pPr>
        <w:spacing w:line="360" w:lineRule="auto"/>
        <w:rPr>
          <w:rFonts w:eastAsia="仿宋"/>
          <w:sz w:val="24"/>
        </w:rPr>
      </w:pPr>
      <w:r>
        <w:rPr>
          <w:rFonts w:eastAsia="仿宋"/>
          <w:sz w:val="24"/>
        </w:rPr>
        <w:t>12.4.1  采用电汇形式的，一般可以实时入账；</w:t>
      </w:r>
    </w:p>
    <w:p w14:paraId="7EE69085">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02047DF7">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7DFBEC53">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14:paraId="6D1B1CCA">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4CEEE3B6">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p>
    <w:p w14:paraId="5843629B">
      <w:pPr>
        <w:spacing w:line="360" w:lineRule="auto"/>
        <w:ind w:left="1020" w:hanging="1020" w:hangingChars="425"/>
        <w:rPr>
          <w:rFonts w:eastAsia="仿宋"/>
          <w:sz w:val="24"/>
        </w:rPr>
      </w:pPr>
      <w:r>
        <w:rPr>
          <w:rFonts w:eastAsia="仿宋"/>
          <w:sz w:val="24"/>
        </w:rPr>
        <w:t>12.6.3  政府采购投标担保函不予退回。</w:t>
      </w:r>
    </w:p>
    <w:p w14:paraId="3829EC67">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7FB865E">
      <w:pPr>
        <w:pStyle w:val="35"/>
        <w:spacing w:before="0" w:after="0" w:line="360" w:lineRule="auto"/>
        <w:rPr>
          <w:rFonts w:ascii="Times New Roman" w:eastAsia="仿宋"/>
          <w:u w:val="none"/>
        </w:rPr>
      </w:pPr>
      <w:bookmarkStart w:id="101" w:name="_Toc518923076"/>
      <w:bookmarkEnd w:id="101"/>
      <w:bookmarkStart w:id="102" w:name="_Toc19370"/>
      <w:bookmarkEnd w:id="102"/>
      <w:bookmarkStart w:id="103" w:name="_Toc25375"/>
      <w:bookmarkEnd w:id="103"/>
      <w:bookmarkStart w:id="104" w:name="_Toc20355"/>
      <w:bookmarkEnd w:id="104"/>
      <w:bookmarkStart w:id="105" w:name="_Toc12440"/>
      <w:bookmarkEnd w:id="105"/>
      <w:bookmarkStart w:id="106" w:name="_Toc520356157"/>
      <w:bookmarkEnd w:id="106"/>
      <w:r>
        <w:rPr>
          <w:rFonts w:ascii="Times New Roman" w:eastAsia="仿宋"/>
          <w:u w:val="none"/>
        </w:rPr>
        <w:t>13.投标有效期</w:t>
      </w:r>
    </w:p>
    <w:p w14:paraId="7357CFE5">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0CEED21F">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239FFEF">
      <w:pPr>
        <w:pStyle w:val="35"/>
        <w:spacing w:before="0" w:after="0" w:line="360" w:lineRule="auto"/>
        <w:rPr>
          <w:rFonts w:ascii="Times New Roman" w:eastAsia="仿宋"/>
          <w:u w:val="none"/>
        </w:rPr>
      </w:pPr>
      <w:bookmarkStart w:id="107" w:name="_Toc520356158"/>
      <w:bookmarkEnd w:id="107"/>
      <w:bookmarkStart w:id="108" w:name="_Toc10460"/>
      <w:bookmarkEnd w:id="108"/>
      <w:bookmarkStart w:id="109" w:name="_Toc22262"/>
      <w:bookmarkEnd w:id="109"/>
      <w:bookmarkStart w:id="110" w:name="_Toc12950"/>
      <w:bookmarkEnd w:id="110"/>
      <w:bookmarkStart w:id="111" w:name="_Toc27303"/>
      <w:bookmarkEnd w:id="111"/>
      <w:bookmarkStart w:id="112" w:name="_Toc518923077"/>
      <w:bookmarkEnd w:id="112"/>
      <w:r>
        <w:rPr>
          <w:rFonts w:ascii="Times New Roman" w:eastAsia="仿宋"/>
          <w:u w:val="none"/>
        </w:rPr>
        <w:t>14.投标文件的签署及规定</w:t>
      </w:r>
    </w:p>
    <w:p w14:paraId="06578334">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14:paraId="443959B0">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14:paraId="591A9235">
      <w:pPr>
        <w:spacing w:line="360" w:lineRule="auto"/>
        <w:ind w:left="900" w:hanging="900" w:hangingChars="375"/>
        <w:rPr>
          <w:rFonts w:eastAsia="仿宋"/>
          <w:sz w:val="24"/>
        </w:rPr>
      </w:pPr>
    </w:p>
    <w:p w14:paraId="641791D0">
      <w:pPr>
        <w:pStyle w:val="34"/>
        <w:spacing w:before="0" w:line="360" w:lineRule="auto"/>
        <w:ind w:left="1080" w:leftChars="257" w:hanging="540"/>
        <w:rPr>
          <w:rFonts w:eastAsia="仿宋"/>
          <w:sz w:val="24"/>
        </w:rPr>
      </w:pPr>
      <w:bookmarkStart w:id="113" w:name="_Toc216582808"/>
      <w:bookmarkEnd w:id="113"/>
      <w:bookmarkStart w:id="114" w:name="_Toc4415"/>
      <w:bookmarkEnd w:id="114"/>
      <w:bookmarkStart w:id="115" w:name="_Toc518923078"/>
      <w:bookmarkEnd w:id="115"/>
      <w:bookmarkStart w:id="116" w:name="_Toc3050"/>
      <w:bookmarkEnd w:id="116"/>
      <w:bookmarkStart w:id="117" w:name="_Toc520356159"/>
      <w:bookmarkEnd w:id="117"/>
      <w:bookmarkStart w:id="118" w:name="_Toc22303"/>
      <w:bookmarkEnd w:id="118"/>
      <w:bookmarkStart w:id="119" w:name="_Toc2659"/>
      <w:bookmarkEnd w:id="119"/>
      <w:r>
        <w:rPr>
          <w:rFonts w:eastAsia="仿宋"/>
          <w:sz w:val="24"/>
        </w:rPr>
        <w:t>四</w:t>
      </w:r>
      <w:r>
        <w:rPr>
          <w:rFonts w:hint="eastAsia" w:eastAsia="仿宋"/>
          <w:sz w:val="24"/>
        </w:rPr>
        <w:t>、</w:t>
      </w:r>
      <w:r>
        <w:rPr>
          <w:rFonts w:eastAsia="仿宋"/>
          <w:sz w:val="24"/>
        </w:rPr>
        <w:t>投标文件的递交</w:t>
      </w:r>
    </w:p>
    <w:p w14:paraId="361C6A7C">
      <w:pPr>
        <w:pStyle w:val="39"/>
        <w:spacing w:line="360" w:lineRule="auto"/>
        <w:rPr>
          <w:rFonts w:ascii="Times New Roman" w:eastAsia="仿宋"/>
        </w:rPr>
      </w:pPr>
    </w:p>
    <w:p w14:paraId="0B559639">
      <w:pPr>
        <w:pStyle w:val="35"/>
        <w:spacing w:before="0" w:after="0" w:line="360" w:lineRule="auto"/>
        <w:rPr>
          <w:rFonts w:ascii="Times New Roman" w:eastAsia="仿宋"/>
          <w:u w:val="none"/>
        </w:rPr>
      </w:pPr>
      <w:bookmarkStart w:id="120" w:name="_Toc520356160"/>
      <w:bookmarkEnd w:id="120"/>
      <w:bookmarkStart w:id="121" w:name="_Toc25050"/>
      <w:bookmarkEnd w:id="121"/>
      <w:bookmarkStart w:id="122" w:name="_Toc13247"/>
      <w:bookmarkEnd w:id="122"/>
      <w:bookmarkStart w:id="123" w:name="_Toc16644"/>
      <w:bookmarkEnd w:id="123"/>
      <w:bookmarkStart w:id="124" w:name="_Toc3038"/>
      <w:bookmarkEnd w:id="124"/>
      <w:bookmarkStart w:id="125" w:name="_Toc518923079"/>
      <w:bookmarkEnd w:id="125"/>
      <w:r>
        <w:rPr>
          <w:rFonts w:ascii="Times New Roman" w:eastAsia="仿宋"/>
          <w:u w:val="none"/>
        </w:rPr>
        <w:t>15.投标文件的密封和标记</w:t>
      </w:r>
    </w:p>
    <w:p w14:paraId="142A3148">
      <w:pPr>
        <w:spacing w:line="360" w:lineRule="auto"/>
        <w:ind w:left="900" w:hanging="900" w:hangingChars="375"/>
        <w:jc w:val="left"/>
        <w:rPr>
          <w:rFonts w:eastAsia="仿宋"/>
          <w:sz w:val="24"/>
        </w:rPr>
      </w:pPr>
      <w:r>
        <w:rPr>
          <w:rFonts w:eastAsia="仿宋"/>
          <w:sz w:val="24"/>
        </w:rPr>
        <w:t xml:space="preserve">15.1  </w:t>
      </w:r>
      <w:r>
        <w:rPr>
          <w:rFonts w:hint="eastAsia" w:eastAsia="仿宋"/>
          <w:sz w:val="24"/>
          <w:lang w:val="en-US" w:eastAsia="zh-CN"/>
        </w:rPr>
        <w:t xml:space="preserve">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14:paraId="476C6A3F">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14:paraId="3EE80EE4">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14:paraId="32FCEA18">
      <w:pPr>
        <w:spacing w:line="360" w:lineRule="auto"/>
        <w:ind w:left="900" w:hanging="900" w:hangingChars="375"/>
        <w:rPr>
          <w:rFonts w:eastAsia="仿宋"/>
          <w:sz w:val="24"/>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14:paraId="59E5B469">
      <w:pPr>
        <w:pStyle w:val="35"/>
        <w:spacing w:before="0" w:after="0" w:line="360" w:lineRule="auto"/>
        <w:rPr>
          <w:rFonts w:ascii="Times New Roman" w:eastAsia="仿宋"/>
          <w:u w:val="none"/>
        </w:rPr>
      </w:pPr>
      <w:bookmarkStart w:id="126" w:name="_Toc10904"/>
      <w:bookmarkEnd w:id="126"/>
      <w:bookmarkStart w:id="127" w:name="_Toc30117"/>
      <w:bookmarkEnd w:id="127"/>
      <w:bookmarkStart w:id="128" w:name="_Toc518923080"/>
      <w:bookmarkEnd w:id="128"/>
      <w:bookmarkStart w:id="129" w:name="_Toc25787"/>
      <w:bookmarkEnd w:id="129"/>
      <w:bookmarkStart w:id="130" w:name="_Toc520356161"/>
      <w:bookmarkEnd w:id="130"/>
      <w:bookmarkStart w:id="131" w:name="_Toc28971"/>
      <w:bookmarkEnd w:id="131"/>
      <w:r>
        <w:rPr>
          <w:rFonts w:ascii="Times New Roman" w:eastAsia="仿宋"/>
          <w:u w:val="none"/>
        </w:rPr>
        <w:t>16.投标截止</w:t>
      </w:r>
    </w:p>
    <w:p w14:paraId="3601695A">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14:paraId="1D26BFD9">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4F5DAEBC">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3589B282">
      <w:pPr>
        <w:pStyle w:val="35"/>
        <w:spacing w:before="0" w:after="0" w:line="360" w:lineRule="auto"/>
        <w:rPr>
          <w:rFonts w:ascii="Times New Roman" w:eastAsia="仿宋"/>
          <w:u w:val="none"/>
        </w:rPr>
      </w:pPr>
      <w:bookmarkStart w:id="132" w:name="_Toc25814"/>
      <w:bookmarkEnd w:id="132"/>
      <w:bookmarkStart w:id="133" w:name="_Toc22116"/>
      <w:bookmarkEnd w:id="133"/>
      <w:bookmarkStart w:id="134" w:name="_Toc520356162"/>
      <w:bookmarkEnd w:id="134"/>
      <w:bookmarkStart w:id="135" w:name="_Toc13921"/>
      <w:bookmarkEnd w:id="135"/>
      <w:bookmarkStart w:id="136" w:name="_Toc518923081"/>
      <w:bookmarkEnd w:id="136"/>
      <w:bookmarkStart w:id="137" w:name="_Toc326"/>
      <w:bookmarkEnd w:id="137"/>
      <w:r>
        <w:rPr>
          <w:rFonts w:ascii="Times New Roman" w:eastAsia="仿宋"/>
          <w:u w:val="none"/>
        </w:rPr>
        <w:t>17.投标文件的接收、修改与撤回</w:t>
      </w:r>
    </w:p>
    <w:p w14:paraId="67C58572">
      <w:pPr>
        <w:spacing w:line="360" w:lineRule="auto"/>
        <w:ind w:left="900" w:hanging="900" w:hangingChars="375"/>
        <w:rPr>
          <w:rFonts w:eastAsia="仿宋"/>
          <w:sz w:val="24"/>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14:paraId="15B25349">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投标文件以后，如果投标人要进行修改或撤回投标，投标人对投标文件的修改或撤回通知应按本须知规定编制、密封、标记。</w:t>
      </w:r>
    </w:p>
    <w:p w14:paraId="387D1F0E">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59A54EF5">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456E533C">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338C4177">
      <w:pPr>
        <w:spacing w:line="360" w:lineRule="auto"/>
        <w:ind w:left="1080" w:leftChars="257" w:hanging="540"/>
        <w:rPr>
          <w:rFonts w:eastAsia="仿宋"/>
          <w:sz w:val="24"/>
        </w:rPr>
      </w:pPr>
    </w:p>
    <w:p w14:paraId="36E11628">
      <w:pPr>
        <w:pStyle w:val="34"/>
        <w:spacing w:before="0" w:line="360" w:lineRule="auto"/>
        <w:rPr>
          <w:rFonts w:eastAsia="仿宋"/>
          <w:sz w:val="24"/>
        </w:rPr>
      </w:pPr>
      <w:bookmarkStart w:id="138" w:name="_Toc520356163"/>
      <w:bookmarkEnd w:id="138"/>
      <w:bookmarkStart w:id="139" w:name="_Toc23627"/>
      <w:bookmarkEnd w:id="139"/>
      <w:bookmarkStart w:id="140" w:name="_Toc22845"/>
      <w:bookmarkEnd w:id="140"/>
      <w:bookmarkStart w:id="141" w:name="_Toc10257"/>
      <w:bookmarkEnd w:id="141"/>
      <w:bookmarkStart w:id="142" w:name="_Toc6389"/>
      <w:bookmarkEnd w:id="142"/>
      <w:bookmarkStart w:id="143" w:name="_Toc518923082"/>
      <w:bookmarkEnd w:id="143"/>
      <w:bookmarkStart w:id="144" w:name="_Toc216582809"/>
      <w:bookmarkEnd w:id="144"/>
      <w:r>
        <w:rPr>
          <w:rFonts w:eastAsia="仿宋"/>
          <w:sz w:val="24"/>
        </w:rPr>
        <w:t>五</w:t>
      </w:r>
      <w:r>
        <w:rPr>
          <w:rFonts w:hint="eastAsia" w:eastAsia="仿宋"/>
          <w:sz w:val="24"/>
        </w:rPr>
        <w:t>、</w:t>
      </w:r>
      <w:r>
        <w:rPr>
          <w:rFonts w:eastAsia="仿宋"/>
          <w:sz w:val="24"/>
        </w:rPr>
        <w:t>开标及评标</w:t>
      </w:r>
    </w:p>
    <w:p w14:paraId="2A3948F5">
      <w:pPr>
        <w:pStyle w:val="39"/>
        <w:spacing w:line="360" w:lineRule="auto"/>
        <w:rPr>
          <w:rFonts w:ascii="Times New Roman" w:eastAsia="仿宋"/>
        </w:rPr>
      </w:pPr>
    </w:p>
    <w:p w14:paraId="31CB17AA">
      <w:pPr>
        <w:pStyle w:val="35"/>
        <w:spacing w:before="0" w:after="0" w:line="360" w:lineRule="auto"/>
        <w:rPr>
          <w:rFonts w:ascii="Times New Roman" w:eastAsia="仿宋"/>
          <w:u w:val="none"/>
        </w:rPr>
      </w:pPr>
      <w:bookmarkStart w:id="145" w:name="_Toc8653"/>
      <w:bookmarkEnd w:id="145"/>
      <w:bookmarkStart w:id="146" w:name="_Toc518923083"/>
      <w:bookmarkEnd w:id="146"/>
      <w:bookmarkStart w:id="147" w:name="_Toc520356164"/>
      <w:bookmarkEnd w:id="147"/>
      <w:bookmarkStart w:id="148" w:name="_Toc12598"/>
      <w:bookmarkEnd w:id="148"/>
      <w:bookmarkStart w:id="149" w:name="_Toc1813"/>
      <w:bookmarkEnd w:id="149"/>
      <w:bookmarkStart w:id="150" w:name="_Toc16580"/>
      <w:bookmarkEnd w:id="150"/>
      <w:r>
        <w:rPr>
          <w:rFonts w:ascii="Times New Roman" w:eastAsia="仿宋"/>
          <w:u w:val="none"/>
        </w:rPr>
        <w:t>18.开标</w:t>
      </w:r>
    </w:p>
    <w:p w14:paraId="28D177C3">
      <w:pPr>
        <w:spacing w:line="360" w:lineRule="auto"/>
        <w:ind w:left="900" w:hanging="900" w:hangingChars="375"/>
        <w:rPr>
          <w:rFonts w:eastAsia="仿宋"/>
          <w:sz w:val="24"/>
        </w:rPr>
      </w:pPr>
      <w:r>
        <w:rPr>
          <w:rFonts w:eastAsia="仿宋"/>
          <w:sz w:val="24"/>
        </w:rPr>
        <w:t>18.</w:t>
      </w:r>
      <w:r>
        <w:rPr>
          <w:rFonts w:hint="eastAsia" w:eastAsia="仿宋"/>
          <w:sz w:val="24"/>
        </w:rPr>
        <w:t xml:space="preserve">1    </w:t>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14:paraId="06C08AE6">
      <w:pPr>
        <w:spacing w:line="360" w:lineRule="auto"/>
        <w:ind w:firstLine="960" w:firstLineChars="400"/>
        <w:rPr>
          <w:rFonts w:eastAsia="仿宋"/>
          <w:sz w:val="24"/>
        </w:rPr>
      </w:pPr>
      <w:r>
        <w:rPr>
          <w:rFonts w:eastAsia="仿宋"/>
          <w:sz w:val="24"/>
        </w:rPr>
        <w:t>投标人不足3家的，不得开标。</w:t>
      </w:r>
    </w:p>
    <w:p w14:paraId="13D48558">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14:paraId="5578C8B4">
      <w:pPr>
        <w:spacing w:line="360" w:lineRule="auto"/>
        <w:ind w:left="900" w:hanging="900" w:hangingChars="375"/>
        <w:rPr>
          <w:rFonts w:eastAsia="仿宋"/>
          <w:sz w:val="24"/>
        </w:rPr>
      </w:pPr>
      <w:r>
        <w:rPr>
          <w:rFonts w:eastAsia="仿宋"/>
          <w:sz w:val="24"/>
        </w:rPr>
        <w:t xml:space="preserve">18.3   </w:t>
      </w:r>
      <w:r>
        <w:rPr>
          <w:rFonts w:hint="eastAsia" w:eastAsia="仿宋"/>
          <w:sz w:val="24"/>
        </w:rPr>
        <w:t xml:space="preserve"> </w:t>
      </w:r>
      <w:r>
        <w:rPr>
          <w:rFonts w:eastAsia="仿宋"/>
          <w:b/>
          <w:bCs/>
          <w:sz w:val="24"/>
        </w:rPr>
        <w:t>采购代理机构</w:t>
      </w:r>
      <w:r>
        <w:rPr>
          <w:rFonts w:hint="eastAsia" w:eastAsia="仿宋"/>
          <w:b/>
          <w:bCs/>
          <w:sz w:val="24"/>
        </w:rPr>
        <w:t>在规定的时间对投标文件进行解密，时长为30分钟</w:t>
      </w:r>
      <w:r>
        <w:rPr>
          <w:rFonts w:eastAsia="仿宋"/>
          <w:b/>
          <w:bCs/>
          <w:sz w:val="24"/>
        </w:rPr>
        <w:t>。</w:t>
      </w:r>
    </w:p>
    <w:p w14:paraId="62345A5D">
      <w:pPr>
        <w:spacing w:line="360" w:lineRule="auto"/>
        <w:ind w:left="900" w:hanging="900" w:hangingChars="375"/>
        <w:rPr>
          <w:rFonts w:eastAsia="仿宋"/>
          <w:sz w:val="24"/>
        </w:rPr>
      </w:pPr>
      <w:r>
        <w:rPr>
          <w:rFonts w:eastAsia="仿宋"/>
          <w:sz w:val="24"/>
        </w:rPr>
        <w:t xml:space="preserve">18.4   </w:t>
      </w:r>
      <w:r>
        <w:rPr>
          <w:rFonts w:hint="eastAsia" w:eastAsia="仿宋"/>
          <w:sz w:val="24"/>
        </w:rPr>
        <w:t xml:space="preserve">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F22C415">
      <w:pPr>
        <w:spacing w:line="360" w:lineRule="auto"/>
        <w:ind w:firstLine="960" w:firstLineChars="400"/>
        <w:rPr>
          <w:rFonts w:eastAsia="仿宋"/>
          <w:sz w:val="24"/>
        </w:rPr>
      </w:pPr>
      <w:r>
        <w:rPr>
          <w:rFonts w:hint="eastAsia" w:eastAsia="仿宋"/>
          <w:sz w:val="24"/>
        </w:rPr>
        <w:t>未宣读投标价格、价格折扣等实质内容，评标时不予承认。</w:t>
      </w:r>
    </w:p>
    <w:p w14:paraId="3CB0D52C">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14:paraId="1263C878">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14:paraId="5A8BE518">
      <w:pPr>
        <w:pStyle w:val="35"/>
        <w:spacing w:before="0" w:after="0" w:line="360" w:lineRule="auto"/>
        <w:rPr>
          <w:rFonts w:ascii="Times New Roman" w:eastAsia="仿宋"/>
          <w:u w:val="none"/>
        </w:rPr>
      </w:pPr>
      <w:bookmarkStart w:id="151" w:name="_Toc34"/>
      <w:bookmarkEnd w:id="151"/>
      <w:bookmarkStart w:id="152" w:name="_Toc2093"/>
      <w:bookmarkEnd w:id="152"/>
      <w:bookmarkStart w:id="153" w:name="_Toc518923084"/>
      <w:bookmarkEnd w:id="153"/>
      <w:bookmarkStart w:id="154" w:name="_Toc24828"/>
      <w:bookmarkEnd w:id="154"/>
      <w:bookmarkStart w:id="155" w:name="_Toc24484"/>
      <w:bookmarkEnd w:id="155"/>
      <w:r>
        <w:rPr>
          <w:rFonts w:ascii="Times New Roman" w:eastAsia="仿宋"/>
          <w:u w:val="none"/>
        </w:rPr>
        <w:t>19.资格审查及组建评标委员会</w:t>
      </w:r>
    </w:p>
    <w:p w14:paraId="17E612B5">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14:paraId="12395BD7">
      <w:pPr>
        <w:spacing w:line="360" w:lineRule="auto"/>
        <w:ind w:firstLine="480"/>
        <w:rPr>
          <w:rFonts w:eastAsia="仿宋"/>
          <w:b/>
          <w:kern w:val="0"/>
          <w:sz w:val="24"/>
        </w:rPr>
      </w:pPr>
      <w:r>
        <w:rPr>
          <w:rFonts w:hint="eastAsia" w:eastAsia="仿宋"/>
          <w:b/>
          <w:kern w:val="0"/>
          <w:sz w:val="24"/>
        </w:rPr>
        <w:t>本项目资格审查资料表应附在投标文件中：</w:t>
      </w:r>
    </w:p>
    <w:p w14:paraId="03C8D10E">
      <w:pPr>
        <w:pStyle w:val="62"/>
        <w:ind w:firstLine="482"/>
        <w:rPr>
          <w:rFonts w:ascii="仿宋" w:hAnsi="仿宋" w:eastAsia="仿宋"/>
          <w:b/>
          <w:bCs/>
          <w:sz w:val="24"/>
        </w:rPr>
      </w:pPr>
      <w:r>
        <w:rPr>
          <w:rFonts w:hint="eastAsia" w:ascii="仿宋" w:hAnsi="仿宋" w:eastAsia="仿宋"/>
          <w:b/>
          <w:bCs/>
          <w:sz w:val="24"/>
        </w:rPr>
        <w:t>1.独立承担民事责任能力的企业、事业、自然人，提供营业执照等经营性证件；</w:t>
      </w:r>
    </w:p>
    <w:p w14:paraId="1D622813">
      <w:pPr>
        <w:pStyle w:val="62"/>
        <w:ind w:firstLine="482"/>
        <w:rPr>
          <w:rFonts w:eastAsia="仿宋"/>
          <w:b/>
          <w:bCs/>
          <w:sz w:val="24"/>
        </w:rPr>
      </w:pPr>
      <w:r>
        <w:rPr>
          <w:rFonts w:hint="eastAsia" w:eastAsia="仿宋"/>
          <w:b/>
          <w:bCs/>
          <w:sz w:val="24"/>
        </w:rPr>
        <w:t>2.  法人身份证明或法人授权委托书（含法人身份证复印件）和被授权人身份有效证件；</w:t>
      </w:r>
    </w:p>
    <w:p w14:paraId="56539097">
      <w:pPr>
        <w:pStyle w:val="62"/>
        <w:ind w:firstLine="482"/>
        <w:rPr>
          <w:rFonts w:eastAsia="仿宋"/>
          <w:b/>
          <w:bCs/>
          <w:sz w:val="24"/>
        </w:rPr>
      </w:pPr>
      <w:r>
        <w:rPr>
          <w:rFonts w:hint="eastAsia" w:eastAsia="仿宋"/>
          <w:b/>
          <w:bCs/>
          <w:sz w:val="24"/>
        </w:rPr>
        <w:t xml:space="preserve">3.  </w:t>
      </w:r>
      <w:r>
        <w:rPr>
          <w:rFonts w:hint="eastAsia" w:ascii="仿宋" w:hAnsi="仿宋" w:eastAsia="仿宋"/>
          <w:b/>
          <w:bCs/>
          <w:sz w:val="24"/>
          <w:lang w:eastAsia="zh-CN"/>
        </w:rPr>
        <w:t>近两年任意一年完整的</w:t>
      </w:r>
      <w:r>
        <w:rPr>
          <w:rFonts w:hint="eastAsia" w:ascii="仿宋" w:hAnsi="仿宋" w:eastAsia="仿宋"/>
          <w:b/>
          <w:bCs/>
          <w:sz w:val="24"/>
        </w:rPr>
        <w:t>财务审计报告（新成立公司提供开标前三个月内任意一个月有效银行资信证明）</w:t>
      </w:r>
      <w:r>
        <w:rPr>
          <w:rFonts w:hint="eastAsia" w:eastAsia="仿宋"/>
          <w:b/>
          <w:bCs/>
          <w:sz w:val="24"/>
        </w:rPr>
        <w:t>；</w:t>
      </w:r>
    </w:p>
    <w:p w14:paraId="7FA4AC3D">
      <w:pPr>
        <w:pStyle w:val="62"/>
        <w:ind w:firstLine="482"/>
        <w:rPr>
          <w:rFonts w:eastAsia="仿宋"/>
          <w:b/>
          <w:bCs/>
          <w:sz w:val="24"/>
        </w:rPr>
      </w:pPr>
      <w:r>
        <w:rPr>
          <w:rFonts w:hint="eastAsia" w:eastAsia="仿宋"/>
          <w:b/>
          <w:bCs/>
          <w:sz w:val="24"/>
        </w:rPr>
        <w:t>4.  投标企业</w:t>
      </w:r>
      <w:r>
        <w:rPr>
          <w:rFonts w:hint="eastAsia" w:ascii="仿宋" w:hAnsi="仿宋" w:eastAsia="仿宋"/>
          <w:b/>
          <w:bCs/>
          <w:sz w:val="24"/>
        </w:rPr>
        <w:t>依法缴纳近 6 个月任意一个月社会保险的凭据</w:t>
      </w:r>
      <w:r>
        <w:rPr>
          <w:rFonts w:hint="eastAsia" w:eastAsia="仿宋"/>
          <w:b/>
          <w:bCs/>
          <w:sz w:val="24"/>
        </w:rPr>
        <w:t>；</w:t>
      </w:r>
    </w:p>
    <w:p w14:paraId="13DC6C21">
      <w:pPr>
        <w:pStyle w:val="62"/>
        <w:ind w:firstLine="482"/>
        <w:rPr>
          <w:rFonts w:eastAsia="仿宋"/>
          <w:b/>
          <w:bCs/>
          <w:sz w:val="24"/>
        </w:rPr>
      </w:pPr>
      <w:r>
        <w:rPr>
          <w:rFonts w:hint="eastAsia" w:eastAsia="仿宋"/>
          <w:b/>
          <w:bCs/>
          <w:sz w:val="24"/>
        </w:rPr>
        <w:t>5.  投标企业提供</w:t>
      </w:r>
      <w:r>
        <w:rPr>
          <w:rFonts w:hint="eastAsia" w:ascii="仿宋" w:hAnsi="仿宋" w:eastAsia="仿宋"/>
          <w:b/>
          <w:bCs/>
          <w:sz w:val="24"/>
        </w:rPr>
        <w:t>税务部门出具的近 6 个月任意一个月的完税证明</w:t>
      </w:r>
      <w:r>
        <w:rPr>
          <w:rFonts w:hint="eastAsia" w:eastAsia="仿宋"/>
          <w:b/>
          <w:bCs/>
          <w:sz w:val="24"/>
        </w:rPr>
        <w:t>；</w:t>
      </w:r>
    </w:p>
    <w:p w14:paraId="70B28B38">
      <w:pPr>
        <w:pStyle w:val="62"/>
        <w:ind w:firstLine="482"/>
        <w:rPr>
          <w:rFonts w:eastAsia="仿宋"/>
          <w:b/>
          <w:bCs/>
          <w:sz w:val="24"/>
        </w:rPr>
      </w:pPr>
      <w:r>
        <w:rPr>
          <w:rFonts w:hint="eastAsia" w:eastAsia="仿宋"/>
          <w:b/>
          <w:bCs/>
          <w:sz w:val="24"/>
        </w:rPr>
        <w:t>6.  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247D6570">
      <w:pPr>
        <w:pStyle w:val="62"/>
        <w:ind w:firstLine="482"/>
        <w:rPr>
          <w:rFonts w:eastAsia="仿宋"/>
          <w:b/>
          <w:bCs/>
          <w:sz w:val="24"/>
        </w:rPr>
      </w:pPr>
      <w:r>
        <w:rPr>
          <w:rFonts w:hint="eastAsia" w:eastAsia="仿宋"/>
          <w:b/>
          <w:bCs/>
          <w:sz w:val="24"/>
        </w:rPr>
        <w:t>7.    提供针对本次项目《反商业贿赂承诺书》；</w:t>
      </w:r>
    </w:p>
    <w:p w14:paraId="175284D0">
      <w:pPr>
        <w:pStyle w:val="62"/>
        <w:ind w:firstLine="482"/>
        <w:rPr>
          <w:rFonts w:hint="eastAsia" w:eastAsia="仿宋"/>
          <w:b/>
          <w:bCs/>
          <w:sz w:val="24"/>
        </w:rPr>
      </w:pPr>
      <w:r>
        <w:rPr>
          <w:rFonts w:hint="eastAsia" w:eastAsia="仿宋"/>
          <w:b/>
          <w:bCs/>
          <w:sz w:val="24"/>
          <w:lang w:val="en-US" w:eastAsia="zh-CN"/>
        </w:rPr>
        <w:t>8</w:t>
      </w:r>
      <w:r>
        <w:rPr>
          <w:rFonts w:hint="eastAsia" w:eastAsia="仿宋"/>
          <w:b/>
          <w:bCs/>
          <w:sz w:val="24"/>
        </w:rPr>
        <w:t>.  缴纳投标保证金有效凭证；</w:t>
      </w:r>
    </w:p>
    <w:p w14:paraId="283DC32B">
      <w:pPr>
        <w:pStyle w:val="62"/>
        <w:ind w:firstLine="482"/>
        <w:rPr>
          <w:rFonts w:eastAsia="仿宋"/>
          <w:b/>
          <w:bCs/>
          <w:sz w:val="24"/>
        </w:rPr>
      </w:pPr>
      <w:r>
        <w:rPr>
          <w:rFonts w:hint="eastAsia" w:eastAsia="仿宋"/>
          <w:b/>
          <w:bCs/>
          <w:sz w:val="24"/>
          <w:lang w:val="en-US" w:eastAsia="zh-CN"/>
        </w:rPr>
        <w:t>9</w:t>
      </w:r>
      <w:r>
        <w:rPr>
          <w:rFonts w:hint="eastAsia" w:eastAsia="仿宋"/>
          <w:b/>
          <w:bCs/>
          <w:sz w:val="24"/>
        </w:rPr>
        <w:t>.  本项目不接受联合体投标。</w:t>
      </w:r>
    </w:p>
    <w:p w14:paraId="21BA1E95">
      <w:pPr>
        <w:pStyle w:val="62"/>
        <w:ind w:firstLine="0" w:firstLineChars="0"/>
        <w:rPr>
          <w:rFonts w:eastAsia="仿宋"/>
          <w:b/>
          <w:bCs/>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2811C582">
      <w:pPr>
        <w:pStyle w:val="62"/>
        <w:ind w:firstLine="482"/>
        <w:rPr>
          <w:rFonts w:eastAsia="仿宋"/>
          <w:b/>
          <w:bCs/>
          <w:sz w:val="24"/>
        </w:rPr>
      </w:pPr>
      <w:r>
        <w:rPr>
          <w:rFonts w:hint="eastAsia" w:eastAsia="仿宋"/>
          <w:b/>
          <w:bCs/>
          <w:sz w:val="24"/>
        </w:rPr>
        <w:t>提示：</w:t>
      </w:r>
      <w:r>
        <w:rPr>
          <w:rFonts w:hint="eastAsia" w:eastAsia="仿宋"/>
          <w:sz w:val="24"/>
        </w:rPr>
        <w:t>上述提供的资质开标现场能够通过官方网络查证的，均视为合格供应商。</w:t>
      </w:r>
    </w:p>
    <w:p w14:paraId="4E80A473">
      <w:pPr>
        <w:spacing w:line="360" w:lineRule="auto"/>
        <w:ind w:firstLine="480"/>
        <w:rPr>
          <w:rFonts w:eastAsia="仿宋"/>
          <w:b/>
          <w:iCs/>
          <w:color w:val="000000"/>
          <w:sz w:val="24"/>
        </w:rPr>
      </w:pPr>
      <w:r>
        <w:rPr>
          <w:rFonts w:eastAsia="仿宋"/>
          <w:b/>
          <w:iCs/>
          <w:color w:val="000000"/>
          <w:sz w:val="24"/>
        </w:rPr>
        <w:t>通过资格审查的投标人少于不足三家的，不得评标。</w:t>
      </w:r>
    </w:p>
    <w:p w14:paraId="1A26EB02">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14:paraId="3F2435E1">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2CD7C4D0">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14:paraId="663D874C">
      <w:pPr>
        <w:pStyle w:val="39"/>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14:paraId="47729056">
      <w:pPr>
        <w:pStyle w:val="39"/>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14:paraId="74625443">
      <w:pPr>
        <w:pStyle w:val="39"/>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14:paraId="278D55FF">
      <w:pPr>
        <w:spacing w:line="360" w:lineRule="exact"/>
        <w:ind w:left="850" w:hanging="849" w:hangingChars="354"/>
        <w:rPr>
          <w:rFonts w:eastAsia="仿宋"/>
          <w:sz w:val="24"/>
        </w:rPr>
      </w:pPr>
      <w:r>
        <w:rPr>
          <w:rFonts w:eastAsia="仿宋"/>
          <w:sz w:val="24"/>
        </w:rPr>
        <w:t>19.3   按照《中华人民共和国政府采购法》、《中华人民共和国政府采购法实施条例》及本项目本级和上级财政部门的有关规定依法组建的评标委员会，负责本项目评标工作。</w:t>
      </w:r>
    </w:p>
    <w:p w14:paraId="538EED9F">
      <w:pPr>
        <w:pStyle w:val="39"/>
        <w:spacing w:line="360" w:lineRule="auto"/>
        <w:ind w:left="850" w:leftChars="405" w:firstLine="0"/>
        <w:jc w:val="both"/>
        <w:rPr>
          <w:rFonts w:eastAsia="仿宋"/>
          <w:sz w:val="24"/>
        </w:rPr>
      </w:pPr>
      <w:r>
        <w:rPr>
          <w:rFonts w:eastAsia="仿宋"/>
          <w:b/>
          <w:bCs/>
          <w:i/>
          <w:iCs/>
          <w:color w:val="000000"/>
          <w:sz w:val="24"/>
          <w:u w:val="single"/>
        </w:rPr>
        <w:t>本项目评标委员会成员</w:t>
      </w:r>
      <w:r>
        <w:rPr>
          <w:rFonts w:hint="eastAsia" w:eastAsia="仿宋"/>
          <w:b/>
          <w:bCs/>
          <w:i/>
          <w:iCs/>
          <w:color w:val="000000"/>
          <w:sz w:val="24"/>
          <w:u w:val="single"/>
          <w:lang w:val="en-US" w:eastAsia="zh-CN"/>
        </w:rPr>
        <w:t>5</w:t>
      </w:r>
      <w:r>
        <w:rPr>
          <w:rFonts w:eastAsia="仿宋"/>
          <w:b/>
          <w:bCs/>
          <w:i/>
          <w:iCs/>
          <w:color w:val="000000"/>
          <w:sz w:val="24"/>
          <w:u w:val="single"/>
        </w:rPr>
        <w:t>名</w:t>
      </w:r>
      <w:r>
        <w:rPr>
          <w:rFonts w:hint="eastAsia" w:ascii="Times New Roman" w:hAnsi="Times New Roman" w:eastAsia="仿宋" w:cs="Times New Roman"/>
          <w:b/>
          <w:bCs/>
          <w:color w:val="FF0000"/>
          <w:lang w:eastAsia="zh-CN"/>
        </w:rPr>
        <w:t>（其中</w:t>
      </w:r>
      <w:r>
        <w:rPr>
          <w:rFonts w:hint="eastAsia" w:ascii="Times New Roman" w:hAnsi="Times New Roman" w:eastAsia="仿宋" w:cs="Times New Roman"/>
          <w:b/>
          <w:bCs/>
          <w:color w:val="FF0000"/>
          <w:lang w:val="en-US" w:eastAsia="zh-CN"/>
        </w:rPr>
        <w:t>采购</w:t>
      </w:r>
      <w:r>
        <w:rPr>
          <w:rFonts w:hint="eastAsia" w:ascii="Times New Roman" w:hAnsi="Times New Roman" w:eastAsia="仿宋" w:cs="Times New Roman"/>
          <w:b/>
          <w:bCs/>
          <w:color w:val="FF0000"/>
          <w:lang w:eastAsia="zh-CN"/>
        </w:rPr>
        <w:t xml:space="preserve">人代表 </w:t>
      </w:r>
      <w:r>
        <w:rPr>
          <w:rFonts w:hint="eastAsia" w:ascii="Times New Roman" w:eastAsia="仿宋" w:cs="Times New Roman"/>
          <w:b/>
          <w:bCs/>
          <w:color w:val="FF0000"/>
          <w:lang w:val="en-US" w:eastAsia="zh-CN"/>
        </w:rPr>
        <w:t>1</w:t>
      </w:r>
      <w:r>
        <w:rPr>
          <w:rFonts w:hint="eastAsia" w:ascii="Times New Roman" w:hAnsi="Times New Roman" w:eastAsia="仿宋" w:cs="Times New Roman"/>
          <w:b/>
          <w:bCs/>
          <w:color w:val="FF0000"/>
          <w:lang w:eastAsia="zh-CN"/>
        </w:rPr>
        <w:t>人，政采云平台随机抽取专家</w:t>
      </w:r>
      <w:r>
        <w:rPr>
          <w:rFonts w:hint="eastAsia" w:ascii="Times New Roman" w:eastAsia="仿宋" w:cs="Times New Roman"/>
          <w:b/>
          <w:bCs/>
          <w:color w:val="FF0000"/>
          <w:lang w:val="en-US" w:eastAsia="zh-CN"/>
        </w:rPr>
        <w:t>4</w:t>
      </w:r>
      <w:r>
        <w:rPr>
          <w:rFonts w:hint="eastAsia" w:ascii="Times New Roman" w:hAnsi="Times New Roman" w:eastAsia="仿宋" w:cs="Times New Roman"/>
          <w:b/>
          <w:bCs/>
          <w:color w:val="FF0000"/>
          <w:lang w:eastAsia="zh-CN"/>
        </w:rPr>
        <w:t>人）</w:t>
      </w:r>
    </w:p>
    <w:p w14:paraId="4675724D">
      <w:pPr>
        <w:pStyle w:val="35"/>
        <w:spacing w:before="0" w:after="0" w:line="360" w:lineRule="auto"/>
        <w:rPr>
          <w:rFonts w:ascii="Times New Roman" w:eastAsia="仿宋"/>
          <w:u w:val="none"/>
        </w:rPr>
      </w:pPr>
      <w:bookmarkStart w:id="156" w:name="_Toc518923085"/>
      <w:bookmarkEnd w:id="156"/>
      <w:bookmarkStart w:id="157" w:name="_Toc22894"/>
      <w:bookmarkEnd w:id="157"/>
      <w:bookmarkStart w:id="158" w:name="_Toc23348"/>
      <w:bookmarkEnd w:id="158"/>
      <w:bookmarkStart w:id="159" w:name="_Toc28541"/>
      <w:bookmarkEnd w:id="159"/>
      <w:bookmarkStart w:id="160" w:name="_Toc6842"/>
      <w:bookmarkEnd w:id="160"/>
      <w:r>
        <w:rPr>
          <w:rFonts w:ascii="Times New Roman" w:eastAsia="仿宋"/>
          <w:u w:val="none"/>
        </w:rPr>
        <w:t>20.投标文件的符合性审查与澄清</w:t>
      </w:r>
    </w:p>
    <w:p w14:paraId="010C02AD">
      <w:pPr>
        <w:spacing w:line="360" w:lineRule="auto"/>
        <w:ind w:left="900" w:hanging="900" w:hangingChars="375"/>
        <w:rPr>
          <w:rFonts w:eastAsia="仿宋"/>
          <w:sz w:val="24"/>
        </w:rPr>
      </w:pPr>
      <w:bookmarkStart w:id="161" w:name="_Hlt522424701"/>
      <w:bookmarkEnd w:id="161"/>
      <w:r>
        <w:rPr>
          <w:rFonts w:eastAsia="仿宋"/>
          <w:sz w:val="24"/>
        </w:rPr>
        <w:t>20.1   符合性审查是指依据招标文件的规定，从投标文件的有效性和完整性对招标文件的响应程度进行审查，以确定是否对招标文件的实质性要求做出响应。</w:t>
      </w:r>
    </w:p>
    <w:p w14:paraId="63AA88F5">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27C758BF">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48EE0C78">
      <w:pPr>
        <w:spacing w:line="360" w:lineRule="auto"/>
        <w:ind w:left="900" w:hanging="900" w:hangingChars="375"/>
        <w:rPr>
          <w:rFonts w:eastAsia="仿宋"/>
          <w:sz w:val="24"/>
        </w:rPr>
      </w:pPr>
      <w:r>
        <w:rPr>
          <w:rFonts w:eastAsia="仿宋"/>
          <w:sz w:val="24"/>
        </w:rPr>
        <w:t>20.2.2  投标人的澄清、说明或补正将作为投标文件的一部分。</w:t>
      </w:r>
    </w:p>
    <w:p w14:paraId="18C94395">
      <w:pPr>
        <w:spacing w:line="360" w:lineRule="auto"/>
        <w:ind w:left="900" w:hanging="900" w:hangingChars="375"/>
        <w:rPr>
          <w:rFonts w:eastAsia="仿宋"/>
          <w:sz w:val="24"/>
        </w:rPr>
      </w:pPr>
      <w:r>
        <w:rPr>
          <w:rFonts w:eastAsia="仿宋"/>
          <w:sz w:val="24"/>
        </w:rPr>
        <w:t>20.3   投标文件报价出现前后不一致的，按照下列规定修正：</w:t>
      </w:r>
    </w:p>
    <w:p w14:paraId="7308CF3F">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14:paraId="52DFA252">
      <w:pPr>
        <w:spacing w:line="360" w:lineRule="auto"/>
        <w:ind w:left="900" w:hanging="900" w:hangingChars="375"/>
        <w:rPr>
          <w:rFonts w:eastAsia="仿宋"/>
          <w:sz w:val="24"/>
        </w:rPr>
      </w:pPr>
      <w:r>
        <w:rPr>
          <w:rFonts w:eastAsia="仿宋"/>
          <w:sz w:val="24"/>
        </w:rPr>
        <w:t>（二）大写金额和小写金额不一致的，以大写金额为准；</w:t>
      </w:r>
    </w:p>
    <w:p w14:paraId="666C3790">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14:paraId="5A9F4652">
      <w:pPr>
        <w:spacing w:line="360" w:lineRule="auto"/>
        <w:ind w:left="900" w:hanging="900" w:hangingChars="375"/>
        <w:rPr>
          <w:rFonts w:eastAsia="仿宋"/>
          <w:sz w:val="24"/>
        </w:rPr>
      </w:pPr>
      <w:r>
        <w:rPr>
          <w:rFonts w:eastAsia="仿宋"/>
          <w:sz w:val="24"/>
        </w:rPr>
        <w:t>（四）总价金额与按单价汇总金额不一致的，以单价金额计算结果为准。</w:t>
      </w:r>
    </w:p>
    <w:p w14:paraId="6F91BECD">
      <w:pPr>
        <w:spacing w:line="360" w:lineRule="auto"/>
        <w:ind w:left="898" w:leftChars="342" w:hanging="180" w:hangingChars="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75856D2F">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22BE61AB">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 xml:space="preserve">   如一个分包内只有一种产品，不同</w:t>
      </w:r>
      <w:r>
        <w:rPr>
          <w:rFonts w:eastAsia="仿宋"/>
          <w:sz w:val="24"/>
        </w:rPr>
        <w:t>投标人所投产品为</w:t>
      </w:r>
      <w:r>
        <w:rPr>
          <w:rFonts w:hint="eastAsia" w:eastAsia="仿宋"/>
          <w:sz w:val="24"/>
        </w:rPr>
        <w:t>同一品牌的</w:t>
      </w:r>
      <w:r>
        <w:rPr>
          <w:rFonts w:eastAsia="仿宋"/>
          <w:sz w:val="24"/>
        </w:rPr>
        <w:t>，</w:t>
      </w:r>
      <w:r>
        <w:rPr>
          <w:rFonts w:hint="eastAsia" w:eastAsia="仿宋"/>
          <w:sz w:val="24"/>
        </w:rPr>
        <w:t>按</w:t>
      </w:r>
      <w:r>
        <w:rPr>
          <w:rFonts w:eastAsia="仿宋"/>
          <w:sz w:val="24"/>
        </w:rPr>
        <w:t>如下方式处理：</w:t>
      </w:r>
    </w:p>
    <w:p w14:paraId="7C16CEB5">
      <w:pPr>
        <w:spacing w:line="360" w:lineRule="auto"/>
        <w:ind w:left="900" w:hanging="900" w:hangingChars="375"/>
        <w:rPr>
          <w:rFonts w:eastAsia="仿宋"/>
          <w:sz w:val="24"/>
        </w:rPr>
      </w:pPr>
      <w:r>
        <w:rPr>
          <w:rFonts w:eastAsia="仿宋"/>
          <w:sz w:val="24"/>
        </w:rPr>
        <w:t xml:space="preserve">20.4.1  </w:t>
      </w:r>
      <w:r>
        <w:rPr>
          <w:rFonts w:hint="eastAsia" w:eastAsia="仿宋"/>
          <w:sz w:val="24"/>
        </w:rPr>
        <w:t>如</w:t>
      </w:r>
      <w:r>
        <w:rPr>
          <w:rFonts w:eastAsia="仿宋"/>
          <w:sz w:val="24"/>
        </w:rPr>
        <w:t>本项目</w:t>
      </w:r>
      <w:r>
        <w:rPr>
          <w:rFonts w:hint="eastAsia" w:eastAsia="仿宋"/>
          <w:sz w:val="24"/>
        </w:rPr>
        <w:t>使用最低评标价法，提供相同品牌产品的不同投标人以其中通过资格审查、符合性审查且报价最低的参加评标；报价相同的，由采购人或者采购人委托评标委员会按照招标文件中</w:t>
      </w:r>
      <w:r>
        <w:rPr>
          <w:rFonts w:eastAsia="仿宋"/>
          <w:sz w:val="24"/>
        </w:rPr>
        <w:t>评标办法</w:t>
      </w:r>
      <w:r>
        <w:rPr>
          <w:rFonts w:hint="eastAsia" w:eastAsia="仿宋"/>
          <w:sz w:val="24"/>
        </w:rPr>
        <w:t>规定的方式确定一个参加评标的投标人；未规定的采取随机抽取方式确定，其他投标将被认定为投标无效。</w:t>
      </w:r>
    </w:p>
    <w:p w14:paraId="1BA3E59D">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.2如</w:t>
      </w:r>
      <w:r>
        <w:rPr>
          <w:rFonts w:eastAsia="仿宋"/>
          <w:sz w:val="24"/>
        </w:rPr>
        <w:t>本项目</w:t>
      </w:r>
      <w:r>
        <w:rPr>
          <w:rFonts w:hint="eastAsia" w:eastAsia="仿宋"/>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eastAsia="仿宋"/>
          <w:sz w:val="24"/>
        </w:rPr>
        <w:t>评标办法</w:t>
      </w:r>
      <w:r>
        <w:rPr>
          <w:rFonts w:hint="eastAsia" w:eastAsia="仿宋"/>
          <w:sz w:val="24"/>
        </w:rPr>
        <w:t>规定的方式确定一个投标人获得中标人推荐资格；未规定的采取随机抽取方式确定，其他同品牌投标人不作为中标候选人。</w:t>
      </w:r>
    </w:p>
    <w:p w14:paraId="6B0539FF">
      <w:pPr>
        <w:spacing w:line="360" w:lineRule="auto"/>
        <w:ind w:left="900" w:hanging="900" w:hangingChars="375"/>
        <w:rPr>
          <w:rFonts w:eastAsia="仿宋"/>
          <w:sz w:val="24"/>
        </w:rPr>
      </w:pPr>
      <w:r>
        <w:rPr>
          <w:rFonts w:hint="eastAsia" w:eastAsia="仿宋"/>
          <w:sz w:val="24"/>
        </w:rPr>
        <w:t>20.</w:t>
      </w:r>
      <w:r>
        <w:rPr>
          <w:rFonts w:eastAsia="仿宋"/>
          <w:sz w:val="24"/>
        </w:rPr>
        <w:t>5</w:t>
      </w:r>
      <w:r>
        <w:rPr>
          <w:rFonts w:hint="eastAsia" w:eastAsia="仿宋"/>
          <w:sz w:val="24"/>
        </w:rPr>
        <w:t xml:space="preserve">   如</w:t>
      </w:r>
      <w:r>
        <w:rPr>
          <w:rFonts w:eastAsia="仿宋"/>
          <w:sz w:val="24"/>
        </w:rPr>
        <w:t>一个</w:t>
      </w:r>
      <w:r>
        <w:rPr>
          <w:rFonts w:hint="eastAsia" w:eastAsia="仿宋"/>
          <w:sz w:val="24"/>
        </w:rPr>
        <w:t>分包</w:t>
      </w:r>
      <w:r>
        <w:rPr>
          <w:rFonts w:eastAsia="仿宋"/>
          <w:sz w:val="24"/>
        </w:rPr>
        <w:t>内</w:t>
      </w:r>
      <w:r>
        <w:rPr>
          <w:rFonts w:hint="eastAsia" w:eastAsia="仿宋"/>
          <w:sz w:val="24"/>
        </w:rPr>
        <w:t>包含</w:t>
      </w:r>
      <w:r>
        <w:rPr>
          <w:rFonts w:eastAsia="仿宋"/>
          <w:sz w:val="24"/>
        </w:rPr>
        <w:t>多种产品的，</w:t>
      </w:r>
      <w:r>
        <w:rPr>
          <w:rFonts w:hint="eastAsia" w:eastAsia="仿宋"/>
          <w:sz w:val="24"/>
        </w:rPr>
        <w:t>采购人</w:t>
      </w:r>
      <w:r>
        <w:rPr>
          <w:rFonts w:eastAsia="仿宋"/>
          <w:sz w:val="24"/>
        </w:rPr>
        <w:t>或采购代理机构将在</w:t>
      </w:r>
      <w:r>
        <w:rPr>
          <w:rFonts w:hint="eastAsia" w:eastAsia="仿宋"/>
          <w:sz w:val="24"/>
        </w:rPr>
        <w:t>投标人须知资料表中载明</w:t>
      </w:r>
      <w:r>
        <w:rPr>
          <w:rFonts w:eastAsia="仿宋"/>
          <w:sz w:val="24"/>
        </w:rPr>
        <w:t>核心产品，</w:t>
      </w:r>
      <w:r>
        <w:rPr>
          <w:rFonts w:hint="eastAsia" w:eastAsia="仿宋"/>
          <w:sz w:val="24"/>
        </w:rPr>
        <w:t>多家投标人提供的核心产品品牌相同的，按第2</w:t>
      </w:r>
      <w:r>
        <w:rPr>
          <w:rFonts w:eastAsia="仿宋"/>
          <w:sz w:val="24"/>
        </w:rPr>
        <w:t>0.4</w:t>
      </w:r>
      <w:r>
        <w:rPr>
          <w:rFonts w:hint="eastAsia" w:eastAsia="仿宋"/>
          <w:sz w:val="24"/>
        </w:rPr>
        <w:t>条规定处理。</w:t>
      </w:r>
    </w:p>
    <w:p w14:paraId="0733B734">
      <w:pPr>
        <w:spacing w:line="360" w:lineRule="auto"/>
        <w:ind w:left="900" w:hanging="900" w:hangingChars="375"/>
        <w:rPr>
          <w:rFonts w:eastAsia="仿宋"/>
          <w:sz w:val="24"/>
        </w:rPr>
      </w:pPr>
      <w:r>
        <w:rPr>
          <w:rFonts w:hint="eastAsia" w:eastAsia="仿宋"/>
          <w:sz w:val="24"/>
        </w:rPr>
        <w:t>20.</w:t>
      </w:r>
      <w:r>
        <w:rPr>
          <w:rFonts w:eastAsia="仿宋"/>
          <w:sz w:val="24"/>
        </w:rPr>
        <w:t xml:space="preserve">6   </w:t>
      </w:r>
      <w:r>
        <w:rPr>
          <w:rFonts w:hint="eastAsia" w:eastAsia="仿宋"/>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04037794">
      <w:pPr>
        <w:spacing w:line="360" w:lineRule="auto"/>
        <w:ind w:left="898" w:leftChars="342" w:hanging="180" w:hangingChars="75"/>
        <w:rPr>
          <w:rFonts w:eastAsia="仿宋"/>
          <w:sz w:val="24"/>
        </w:rPr>
      </w:pP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14:paraId="6D537CBB">
      <w:pPr>
        <w:pStyle w:val="35"/>
        <w:spacing w:before="0" w:after="0" w:line="360" w:lineRule="auto"/>
        <w:rPr>
          <w:rFonts w:ascii="Times New Roman" w:eastAsia="仿宋"/>
          <w:u w:val="none"/>
        </w:rPr>
      </w:pPr>
      <w:bookmarkStart w:id="162" w:name="_Toc19998"/>
      <w:bookmarkEnd w:id="162"/>
      <w:bookmarkStart w:id="163" w:name="_Toc29689"/>
      <w:bookmarkEnd w:id="163"/>
      <w:bookmarkStart w:id="164" w:name="_Toc8603"/>
      <w:bookmarkEnd w:id="164"/>
      <w:bookmarkStart w:id="165" w:name="_Toc18231"/>
      <w:bookmarkEnd w:id="165"/>
      <w:bookmarkStart w:id="166" w:name="_Toc518923086"/>
      <w:bookmarkEnd w:id="166"/>
      <w:r>
        <w:rPr>
          <w:rFonts w:ascii="Times New Roman" w:eastAsia="仿宋"/>
          <w:u w:val="none"/>
        </w:rPr>
        <w:t>21.投标偏离</w:t>
      </w:r>
    </w:p>
    <w:p w14:paraId="154FD91D">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14:paraId="692B884A">
      <w:pPr>
        <w:pStyle w:val="35"/>
        <w:spacing w:before="0" w:after="0" w:line="360" w:lineRule="auto"/>
        <w:rPr>
          <w:rFonts w:ascii="Times New Roman" w:eastAsia="仿宋"/>
          <w:u w:val="none"/>
        </w:rPr>
      </w:pPr>
      <w:bookmarkStart w:id="167" w:name="_Toc31087"/>
      <w:bookmarkEnd w:id="167"/>
      <w:bookmarkStart w:id="168" w:name="_Toc518923087"/>
      <w:bookmarkEnd w:id="168"/>
      <w:bookmarkStart w:id="169" w:name="_Toc31259"/>
      <w:bookmarkEnd w:id="169"/>
      <w:bookmarkStart w:id="170" w:name="_Toc16356"/>
      <w:bookmarkEnd w:id="170"/>
      <w:bookmarkStart w:id="171" w:name="_Toc25255"/>
      <w:bookmarkEnd w:id="171"/>
      <w:r>
        <w:rPr>
          <w:rFonts w:ascii="Times New Roman" w:eastAsia="仿宋"/>
          <w:u w:val="none"/>
        </w:rPr>
        <w:t>22.投标无效</w:t>
      </w:r>
    </w:p>
    <w:p w14:paraId="3708A9F0">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16ED772E">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14:paraId="354E0013">
      <w:pPr>
        <w:spacing w:line="360" w:lineRule="auto"/>
        <w:ind w:left="900" w:hanging="900" w:hangingChars="375"/>
        <w:rPr>
          <w:rFonts w:eastAsia="仿宋"/>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3629FBD2">
      <w:pPr>
        <w:numPr>
          <w:ilvl w:val="0"/>
          <w:numId w:val="5"/>
        </w:numPr>
        <w:tabs>
          <w:tab w:val="clear" w:pos="1571"/>
        </w:tabs>
        <w:spacing w:line="360" w:lineRule="auto"/>
        <w:ind w:left="1230" w:hanging="180"/>
        <w:rPr>
          <w:rFonts w:eastAsia="仿宋"/>
          <w:b/>
          <w:bCs/>
          <w:sz w:val="24"/>
        </w:rPr>
      </w:pPr>
      <w:r>
        <w:rPr>
          <w:rFonts w:eastAsia="仿宋"/>
          <w:b/>
          <w:bCs/>
          <w:sz w:val="24"/>
        </w:rPr>
        <w:t>未按招标文件规定的形式和金额提交投标保证金的；</w:t>
      </w:r>
    </w:p>
    <w:p w14:paraId="47D33ACF">
      <w:pPr>
        <w:numPr>
          <w:ilvl w:val="0"/>
          <w:numId w:val="5"/>
        </w:numPr>
        <w:tabs>
          <w:tab w:val="clear" w:pos="1571"/>
        </w:tabs>
        <w:spacing w:line="360" w:lineRule="auto"/>
        <w:ind w:left="1230" w:hanging="180"/>
        <w:rPr>
          <w:rFonts w:eastAsia="仿宋"/>
          <w:b/>
          <w:bCs/>
          <w:sz w:val="24"/>
        </w:rPr>
      </w:pPr>
      <w:r>
        <w:rPr>
          <w:rFonts w:eastAsia="仿宋"/>
          <w:b/>
          <w:bCs/>
          <w:sz w:val="24"/>
        </w:rPr>
        <w:t>未按照招标文件规定要求签署、盖章的；</w:t>
      </w:r>
    </w:p>
    <w:p w14:paraId="04E2E497">
      <w:pPr>
        <w:numPr>
          <w:ilvl w:val="0"/>
          <w:numId w:val="5"/>
        </w:numPr>
        <w:tabs>
          <w:tab w:val="clear" w:pos="1571"/>
        </w:tabs>
        <w:spacing w:line="360" w:lineRule="auto"/>
        <w:ind w:left="1230" w:hanging="180"/>
        <w:rPr>
          <w:rFonts w:eastAsia="仿宋"/>
          <w:b/>
          <w:bCs/>
          <w:sz w:val="24"/>
        </w:rPr>
      </w:pPr>
      <w:r>
        <w:rPr>
          <w:rFonts w:eastAsia="仿宋"/>
          <w:b/>
          <w:bCs/>
          <w:sz w:val="24"/>
        </w:rPr>
        <w:t>未满足招标文件中技术条款的实质性要求；</w:t>
      </w:r>
    </w:p>
    <w:p w14:paraId="2FE19E98">
      <w:pPr>
        <w:numPr>
          <w:ilvl w:val="0"/>
          <w:numId w:val="5"/>
        </w:numPr>
        <w:tabs>
          <w:tab w:val="clear" w:pos="1571"/>
        </w:tabs>
        <w:spacing w:line="360" w:lineRule="auto"/>
        <w:ind w:left="1230" w:hanging="180"/>
        <w:rPr>
          <w:rFonts w:eastAsia="仿宋"/>
          <w:b/>
          <w:bCs/>
          <w:sz w:val="24"/>
        </w:rPr>
      </w:pPr>
      <w:r>
        <w:rPr>
          <w:rFonts w:eastAsia="仿宋"/>
          <w:b/>
          <w:bCs/>
          <w:sz w:val="24"/>
        </w:rPr>
        <w:t>与其他投标人串通投标，或者与招标人串通投标；</w:t>
      </w:r>
    </w:p>
    <w:p w14:paraId="4EE60B43">
      <w:pPr>
        <w:numPr>
          <w:ilvl w:val="0"/>
          <w:numId w:val="5"/>
        </w:numPr>
        <w:tabs>
          <w:tab w:val="clear" w:pos="1571"/>
        </w:tabs>
        <w:spacing w:line="360" w:lineRule="auto"/>
        <w:ind w:left="1230" w:hanging="180"/>
        <w:rPr>
          <w:rFonts w:eastAsia="仿宋"/>
          <w:b/>
          <w:bCs/>
          <w:sz w:val="24"/>
        </w:rPr>
      </w:pPr>
      <w:r>
        <w:rPr>
          <w:rFonts w:eastAsia="仿宋"/>
          <w:b/>
          <w:bCs/>
          <w:sz w:val="24"/>
        </w:rPr>
        <w:t>属于招标文件规定的其他投标无效情形；</w:t>
      </w:r>
    </w:p>
    <w:p w14:paraId="11F2B3C7">
      <w:pPr>
        <w:numPr>
          <w:ilvl w:val="0"/>
          <w:numId w:val="5"/>
        </w:numPr>
        <w:tabs>
          <w:tab w:val="clear" w:pos="1571"/>
        </w:tabs>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14:paraId="3BE6598F">
      <w:pPr>
        <w:numPr>
          <w:ilvl w:val="0"/>
          <w:numId w:val="5"/>
        </w:numPr>
        <w:tabs>
          <w:tab w:val="clear" w:pos="1571"/>
        </w:tabs>
        <w:spacing w:line="360" w:lineRule="auto"/>
        <w:ind w:left="1230" w:hanging="180"/>
        <w:rPr>
          <w:rFonts w:eastAsia="仿宋"/>
          <w:b/>
          <w:bCs/>
          <w:sz w:val="24"/>
        </w:rPr>
      </w:pPr>
      <w:r>
        <w:rPr>
          <w:rFonts w:eastAsia="仿宋"/>
          <w:b/>
          <w:bCs/>
          <w:sz w:val="24"/>
        </w:rPr>
        <w:t>投标文件含有采购人不能接受的附加条件的；</w:t>
      </w:r>
    </w:p>
    <w:p w14:paraId="6408D27F">
      <w:pPr>
        <w:numPr>
          <w:ilvl w:val="0"/>
          <w:numId w:val="5"/>
        </w:numPr>
        <w:tabs>
          <w:tab w:val="clear" w:pos="1571"/>
        </w:tabs>
        <w:spacing w:line="360" w:lineRule="auto"/>
        <w:ind w:left="1230" w:hanging="180"/>
        <w:rPr>
          <w:rFonts w:eastAsia="仿宋"/>
          <w:b/>
          <w:bCs/>
          <w:sz w:val="24"/>
        </w:rPr>
      </w:pPr>
      <w:r>
        <w:rPr>
          <w:rFonts w:eastAsia="仿宋"/>
          <w:b/>
          <w:bCs/>
          <w:sz w:val="24"/>
        </w:rPr>
        <w:t>不符合法规和招标文件中规定的其他实质性要求的。</w:t>
      </w:r>
    </w:p>
    <w:p w14:paraId="5EA8C82E">
      <w:pPr>
        <w:spacing w:line="360" w:lineRule="auto"/>
        <w:rPr>
          <w:rFonts w:eastAsia="仿宋"/>
          <w:b/>
          <w:kern w:val="0"/>
          <w:sz w:val="24"/>
          <w:szCs w:val="20"/>
        </w:rPr>
      </w:pPr>
      <w:bookmarkStart w:id="172" w:name="_Toc20835"/>
      <w:bookmarkEnd w:id="172"/>
      <w:bookmarkStart w:id="173" w:name="_Toc518923088"/>
      <w:bookmarkEnd w:id="173"/>
      <w:r>
        <w:rPr>
          <w:rFonts w:eastAsia="仿宋"/>
          <w:b/>
          <w:kern w:val="0"/>
          <w:sz w:val="24"/>
          <w:szCs w:val="20"/>
        </w:rPr>
        <w:t>23.比较与评价</w:t>
      </w:r>
    </w:p>
    <w:p w14:paraId="32492092">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14:paraId="2B4DAB5E">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14:paraId="6121D357">
      <w:pPr>
        <w:pStyle w:val="44"/>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14:paraId="3AFADFB3">
      <w:pPr>
        <w:pStyle w:val="44"/>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14:paraId="262E8B9D">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本项目采用招标方式：公开招标</w:t>
      </w:r>
    </w:p>
    <w:p w14:paraId="51111373">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评分方法：综合评分法。</w:t>
      </w:r>
    </w:p>
    <w:p w14:paraId="4787BA6C">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本项目采用政采云线上电子招投标及评标。</w:t>
      </w:r>
    </w:p>
    <w:p w14:paraId="4D57B00B">
      <w:pPr>
        <w:spacing w:line="360" w:lineRule="auto"/>
        <w:ind w:left="720" w:hanging="720" w:hangingChars="300"/>
        <w:rPr>
          <w:rFonts w:eastAsia="仿宋"/>
          <w:sz w:val="24"/>
        </w:rPr>
      </w:pPr>
      <w:bookmarkStart w:id="174" w:name="sendNo"/>
      <w:bookmarkEnd w:id="174"/>
      <w:bookmarkStart w:id="175" w:name="_Toc15234"/>
      <w:bookmarkEnd w:id="175"/>
      <w:bookmarkStart w:id="176" w:name="_Toc46"/>
      <w:bookmarkEnd w:id="176"/>
      <w:r>
        <w:rPr>
          <w:rFonts w:eastAsia="仿宋"/>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76F911BF">
      <w:pPr>
        <w:pStyle w:val="35"/>
        <w:spacing w:before="0" w:after="0" w:line="360" w:lineRule="auto"/>
        <w:rPr>
          <w:rFonts w:ascii="Times New Roman" w:eastAsia="仿宋"/>
          <w:u w:val="none"/>
        </w:rPr>
      </w:pPr>
      <w:bookmarkStart w:id="177" w:name="_Toc21286"/>
      <w:bookmarkEnd w:id="177"/>
      <w:bookmarkStart w:id="178" w:name="_Toc21639"/>
      <w:bookmarkEnd w:id="178"/>
      <w:bookmarkStart w:id="179" w:name="_Toc520356168"/>
      <w:bookmarkEnd w:id="179"/>
      <w:bookmarkStart w:id="180" w:name="_Toc518923089"/>
      <w:bookmarkEnd w:id="180"/>
      <w:bookmarkStart w:id="181" w:name="_Toc5823"/>
      <w:bookmarkEnd w:id="181"/>
      <w:bookmarkStart w:id="182" w:name="_Toc24032"/>
      <w:bookmarkEnd w:id="182"/>
      <w:r>
        <w:rPr>
          <w:rFonts w:ascii="Times New Roman" w:eastAsia="仿宋"/>
          <w:u w:val="none"/>
        </w:rPr>
        <w:t>24.废标</w:t>
      </w:r>
    </w:p>
    <w:p w14:paraId="2F98ADCC">
      <w:pPr>
        <w:spacing w:line="360" w:lineRule="auto"/>
        <w:ind w:left="898" w:leftChars="399" w:hanging="60" w:hangingChars="25"/>
        <w:rPr>
          <w:rFonts w:eastAsia="仿宋"/>
          <w:sz w:val="24"/>
        </w:rPr>
      </w:pPr>
      <w:r>
        <w:rPr>
          <w:rFonts w:eastAsia="仿宋"/>
          <w:sz w:val="24"/>
        </w:rPr>
        <w:t>出现下列情形之一，将导致项目废标：</w:t>
      </w:r>
    </w:p>
    <w:p w14:paraId="5457DAFB">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7D66F0AE">
      <w:pPr>
        <w:spacing w:line="360" w:lineRule="auto"/>
        <w:ind w:firstLine="720" w:firstLineChars="300"/>
        <w:rPr>
          <w:rFonts w:eastAsia="仿宋"/>
          <w:sz w:val="24"/>
        </w:rPr>
      </w:pPr>
      <w:r>
        <w:rPr>
          <w:rFonts w:eastAsia="仿宋"/>
          <w:sz w:val="24"/>
        </w:rPr>
        <w:t>（2）出现影响采购公正的违法、违规行为的；</w:t>
      </w:r>
    </w:p>
    <w:p w14:paraId="451B72D7">
      <w:pPr>
        <w:spacing w:line="360" w:lineRule="auto"/>
        <w:ind w:firstLine="720" w:firstLineChars="300"/>
        <w:rPr>
          <w:rFonts w:eastAsia="仿宋"/>
          <w:sz w:val="24"/>
        </w:rPr>
      </w:pPr>
      <w:r>
        <w:rPr>
          <w:rFonts w:eastAsia="仿宋"/>
          <w:sz w:val="24"/>
        </w:rPr>
        <w:t>（3）投标人的报价均超过了采购预算，采购人不能支付的；</w:t>
      </w:r>
    </w:p>
    <w:p w14:paraId="1EA3DCE0">
      <w:pPr>
        <w:spacing w:line="360" w:lineRule="auto"/>
        <w:ind w:firstLine="720" w:firstLineChars="300"/>
        <w:rPr>
          <w:rFonts w:eastAsia="仿宋"/>
          <w:sz w:val="24"/>
        </w:rPr>
      </w:pPr>
      <w:r>
        <w:rPr>
          <w:rFonts w:eastAsia="仿宋"/>
          <w:sz w:val="24"/>
        </w:rPr>
        <w:t>（4）因重大变故，采购任务取消的。</w:t>
      </w:r>
    </w:p>
    <w:p w14:paraId="011BB637">
      <w:pPr>
        <w:pStyle w:val="35"/>
        <w:spacing w:before="0" w:after="0" w:line="360" w:lineRule="auto"/>
        <w:rPr>
          <w:rFonts w:ascii="Times New Roman" w:eastAsia="仿宋"/>
          <w:u w:val="none"/>
        </w:rPr>
      </w:pPr>
      <w:bookmarkStart w:id="183" w:name="_Toc23660"/>
      <w:bookmarkEnd w:id="183"/>
      <w:bookmarkStart w:id="184" w:name="_Toc518923090"/>
      <w:bookmarkEnd w:id="184"/>
      <w:bookmarkStart w:id="185" w:name="_Toc9809"/>
      <w:bookmarkEnd w:id="185"/>
      <w:bookmarkStart w:id="186" w:name="_Toc10697"/>
      <w:bookmarkEnd w:id="186"/>
      <w:bookmarkStart w:id="187" w:name="_Toc32068"/>
      <w:bookmarkEnd w:id="187"/>
      <w:r>
        <w:rPr>
          <w:rFonts w:ascii="Times New Roman" w:eastAsia="仿宋"/>
          <w:u w:val="none"/>
        </w:rPr>
        <w:t>25.保密原则</w:t>
      </w:r>
    </w:p>
    <w:p w14:paraId="6C16B242">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33E1586C">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368F13CA">
      <w:pPr>
        <w:spacing w:line="360" w:lineRule="auto"/>
        <w:ind w:left="1080" w:leftChars="257" w:hanging="540"/>
        <w:rPr>
          <w:rFonts w:eastAsia="仿宋"/>
          <w:sz w:val="24"/>
        </w:rPr>
      </w:pPr>
    </w:p>
    <w:p w14:paraId="3292A6E0">
      <w:pPr>
        <w:pStyle w:val="34"/>
        <w:spacing w:before="0" w:line="360" w:lineRule="auto"/>
        <w:rPr>
          <w:rFonts w:eastAsia="仿宋"/>
          <w:sz w:val="24"/>
        </w:rPr>
      </w:pPr>
      <w:bookmarkStart w:id="188" w:name="_Toc10964"/>
      <w:bookmarkEnd w:id="188"/>
      <w:bookmarkStart w:id="189" w:name="_Toc216582810"/>
      <w:bookmarkEnd w:id="189"/>
      <w:bookmarkStart w:id="190" w:name="_Toc30573"/>
      <w:bookmarkEnd w:id="190"/>
      <w:bookmarkStart w:id="191" w:name="_Toc905"/>
      <w:bookmarkEnd w:id="191"/>
      <w:bookmarkStart w:id="192" w:name="_Toc518923091"/>
      <w:bookmarkEnd w:id="192"/>
      <w:bookmarkStart w:id="193" w:name="_Toc15684"/>
      <w:bookmarkEnd w:id="193"/>
      <w:r>
        <w:rPr>
          <w:rFonts w:eastAsia="仿宋"/>
          <w:sz w:val="24"/>
        </w:rPr>
        <w:t>六</w:t>
      </w:r>
      <w:r>
        <w:rPr>
          <w:rFonts w:hint="eastAsia" w:eastAsia="仿宋"/>
          <w:sz w:val="24"/>
        </w:rPr>
        <w:t>、</w:t>
      </w:r>
      <w:r>
        <w:rPr>
          <w:rFonts w:eastAsia="仿宋"/>
          <w:sz w:val="24"/>
        </w:rPr>
        <w:t>确定中标</w:t>
      </w:r>
    </w:p>
    <w:p w14:paraId="4F7BDDCE">
      <w:pPr>
        <w:pStyle w:val="39"/>
        <w:spacing w:line="360" w:lineRule="auto"/>
        <w:rPr>
          <w:rFonts w:ascii="Times New Roman" w:eastAsia="仿宋"/>
        </w:rPr>
      </w:pPr>
    </w:p>
    <w:p w14:paraId="7EF1C7B0">
      <w:pPr>
        <w:pStyle w:val="35"/>
        <w:spacing w:before="0" w:after="0" w:line="360" w:lineRule="auto"/>
        <w:rPr>
          <w:rFonts w:ascii="Times New Roman" w:eastAsia="仿宋"/>
          <w:u w:val="none"/>
        </w:rPr>
      </w:pPr>
      <w:bookmarkStart w:id="194" w:name="_Toc518923092"/>
      <w:bookmarkEnd w:id="194"/>
      <w:bookmarkStart w:id="195" w:name="_Toc30436"/>
      <w:bookmarkEnd w:id="195"/>
      <w:bookmarkStart w:id="196" w:name="_Toc11388"/>
      <w:bookmarkEnd w:id="196"/>
      <w:bookmarkStart w:id="197" w:name="_Ref467307010"/>
      <w:bookmarkEnd w:id="197"/>
      <w:bookmarkStart w:id="198" w:name="_Toc5793"/>
      <w:bookmarkEnd w:id="198"/>
      <w:bookmarkStart w:id="199" w:name="_Toc32578"/>
      <w:bookmarkEnd w:id="199"/>
      <w:bookmarkStart w:id="200" w:name="_Toc520356170"/>
      <w:bookmarkEnd w:id="200"/>
      <w:r>
        <w:rPr>
          <w:rFonts w:ascii="Times New Roman" w:eastAsia="仿宋"/>
          <w:u w:val="none"/>
        </w:rPr>
        <w:t>26.中标候选人的确定原则及标准</w:t>
      </w:r>
    </w:p>
    <w:p w14:paraId="6A281BCD">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14:paraId="06FB6AAC">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17E71388">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14:paraId="114A2C5C">
      <w:pPr>
        <w:pStyle w:val="35"/>
        <w:spacing w:before="0" w:after="0" w:line="360" w:lineRule="auto"/>
        <w:rPr>
          <w:rFonts w:ascii="Times New Roman" w:eastAsia="仿宋"/>
          <w:u w:val="none"/>
        </w:rPr>
      </w:pPr>
      <w:bookmarkStart w:id="201" w:name="_Toc518923093"/>
      <w:bookmarkEnd w:id="201"/>
      <w:bookmarkStart w:id="202" w:name="_Toc10555"/>
      <w:bookmarkEnd w:id="202"/>
      <w:bookmarkStart w:id="203" w:name="_Toc30599"/>
      <w:bookmarkEnd w:id="203"/>
      <w:bookmarkStart w:id="204" w:name="_Toc3646"/>
      <w:bookmarkEnd w:id="204"/>
      <w:bookmarkStart w:id="205" w:name="_Toc520356171"/>
      <w:bookmarkEnd w:id="205"/>
      <w:bookmarkStart w:id="206" w:name="_Toc32655"/>
      <w:bookmarkEnd w:id="206"/>
      <w:r>
        <w:rPr>
          <w:rFonts w:ascii="Times New Roman" w:eastAsia="仿宋"/>
          <w:u w:val="none"/>
        </w:rPr>
        <w:t>27.确定中标候选人和中标人</w:t>
      </w:r>
    </w:p>
    <w:p w14:paraId="54D5399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.1</w:t>
      </w:r>
      <w:r>
        <w:rPr>
          <w:rFonts w:hint="eastAsia" w:eastAsia="仿宋"/>
          <w:sz w:val="24"/>
          <w:lang w:val="en-US" w:eastAsia="zh-CN"/>
        </w:rPr>
        <w:t xml:space="preserve">    </w:t>
      </w:r>
      <w:r>
        <w:rPr>
          <w:rFonts w:hint="eastAsia" w:eastAsia="仿宋"/>
          <w:sz w:val="24"/>
        </w:rPr>
        <w:t>中标候选人的选取原则和数量见招标文件规定。</w:t>
      </w:r>
    </w:p>
    <w:p w14:paraId="7BA451EC">
      <w:pPr>
        <w:spacing w:line="360" w:lineRule="auto"/>
        <w:rPr>
          <w:rFonts w:hint="eastAsia" w:eastAsia="仿宋"/>
          <w:sz w:val="24"/>
        </w:rPr>
      </w:pPr>
      <w:r>
        <w:rPr>
          <w:rFonts w:hint="eastAsia" w:eastAsia="仿宋"/>
          <w:sz w:val="24"/>
          <w:lang w:eastAsia="zh-CN"/>
        </w:rPr>
        <w:t>27</w:t>
      </w:r>
      <w:r>
        <w:rPr>
          <w:rFonts w:hint="eastAsia" w:eastAsia="仿宋"/>
          <w:sz w:val="24"/>
        </w:rPr>
        <w:t xml:space="preserve">.2 </w:t>
      </w:r>
      <w:r>
        <w:rPr>
          <w:rFonts w:hint="eastAsia" w:eastAsia="仿宋"/>
          <w:sz w:val="24"/>
          <w:lang w:val="en-US" w:eastAsia="zh-CN"/>
        </w:rPr>
        <w:t xml:space="preserve">   </w:t>
      </w:r>
      <w:r>
        <w:rPr>
          <w:rFonts w:hint="eastAsia" w:eastAsia="仿宋"/>
          <w:sz w:val="24"/>
        </w:rPr>
        <w:t>采购人应根据评委会推荐的中标候选人确定中标人。</w:t>
      </w:r>
    </w:p>
    <w:p w14:paraId="514E3774">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.3 </w:t>
      </w:r>
      <w:r>
        <w:rPr>
          <w:rFonts w:hint="eastAsia" w:eastAsia="仿宋"/>
          <w:sz w:val="24"/>
          <w:lang w:val="en-US" w:eastAsia="zh-CN"/>
        </w:rPr>
        <w:t xml:space="preserve">   交易</w:t>
      </w:r>
      <w:r>
        <w:rPr>
          <w:rFonts w:hint="eastAsia" w:eastAsia="仿宋"/>
          <w:sz w:val="24"/>
        </w:rPr>
        <w:t>中心将在“新疆政府采购网”发布中标公告，公告期限为1个工作日。</w:t>
      </w:r>
    </w:p>
    <w:p w14:paraId="08535A6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.4  </w:t>
      </w:r>
      <w:r>
        <w:rPr>
          <w:rFonts w:hint="eastAsia" w:eastAsia="仿宋"/>
          <w:sz w:val="24"/>
          <w:lang w:val="en-US" w:eastAsia="zh-CN"/>
        </w:rPr>
        <w:t xml:space="preserve">  </w:t>
      </w:r>
      <w:r>
        <w:rPr>
          <w:rFonts w:hint="eastAsia" w:eastAsia="仿宋"/>
          <w:sz w:val="24"/>
        </w:rPr>
        <w:t>若有充分证据证明，中标人出现下列情况之一的，一经查实，将被取消中标资格：</w:t>
      </w:r>
    </w:p>
    <w:p w14:paraId="53462F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.4.1</w:t>
      </w:r>
      <w:r>
        <w:rPr>
          <w:rFonts w:hint="eastAsia" w:eastAsia="仿宋"/>
          <w:sz w:val="24"/>
          <w:lang w:val="en-US" w:eastAsia="zh-CN"/>
        </w:rPr>
        <w:t xml:space="preserve">  </w:t>
      </w:r>
      <w:r>
        <w:rPr>
          <w:rFonts w:hint="eastAsia" w:eastAsia="仿宋"/>
          <w:sz w:val="24"/>
        </w:rPr>
        <w:t>提供虚假材料谋取中标的。</w:t>
      </w:r>
    </w:p>
    <w:p w14:paraId="18DDD6F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.4.2</w:t>
      </w:r>
      <w:r>
        <w:rPr>
          <w:rFonts w:hint="eastAsia" w:eastAsia="仿宋"/>
          <w:sz w:val="24"/>
          <w:lang w:val="en-US" w:eastAsia="zh-CN"/>
        </w:rPr>
        <w:t xml:space="preserve">  </w:t>
      </w:r>
      <w:r>
        <w:rPr>
          <w:rFonts w:hint="eastAsia" w:eastAsia="仿宋"/>
          <w:sz w:val="24"/>
        </w:rPr>
        <w:t>向采购人、政资中心行贿或者提供其他不正当利益的。</w:t>
      </w:r>
    </w:p>
    <w:p w14:paraId="016E788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.4.3</w:t>
      </w:r>
      <w:r>
        <w:rPr>
          <w:rFonts w:hint="eastAsia" w:eastAsia="仿宋"/>
          <w:sz w:val="24"/>
          <w:lang w:val="en-US" w:eastAsia="zh-CN"/>
        </w:rPr>
        <w:t xml:space="preserve">  </w:t>
      </w:r>
      <w:r>
        <w:rPr>
          <w:rFonts w:hint="eastAsia" w:eastAsia="仿宋"/>
          <w:sz w:val="24"/>
        </w:rPr>
        <w:t>恶意竞争，投标总报价明显低于其自身合理成本且又无法提供证明的。</w:t>
      </w:r>
    </w:p>
    <w:p w14:paraId="0171C042">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.4.4</w:t>
      </w:r>
      <w:r>
        <w:rPr>
          <w:rFonts w:hint="eastAsia" w:eastAsia="仿宋"/>
          <w:sz w:val="24"/>
          <w:lang w:val="en-US" w:eastAsia="zh-CN"/>
        </w:rPr>
        <w:t xml:space="preserve">  </w:t>
      </w:r>
      <w:r>
        <w:rPr>
          <w:rFonts w:hint="eastAsia" w:eastAsia="仿宋"/>
          <w:sz w:val="24"/>
        </w:rPr>
        <w:t>属于本文件规定的无效条件，但在评标过程中又未被评委会发现的。</w:t>
      </w:r>
    </w:p>
    <w:p w14:paraId="3C073459">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.4.5</w:t>
      </w:r>
      <w:r>
        <w:rPr>
          <w:rFonts w:hint="eastAsia" w:eastAsia="仿宋"/>
          <w:sz w:val="24"/>
          <w:lang w:val="en-US" w:eastAsia="zh-CN"/>
        </w:rPr>
        <w:t xml:space="preserve">  </w:t>
      </w:r>
      <w:r>
        <w:rPr>
          <w:rFonts w:hint="eastAsia" w:eastAsia="仿宋"/>
          <w:sz w:val="24"/>
        </w:rPr>
        <w:t>与采购人或者其他供应商恶意串通的。</w:t>
      </w:r>
    </w:p>
    <w:p w14:paraId="4A35760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.4.6</w:t>
      </w:r>
      <w:r>
        <w:rPr>
          <w:rFonts w:hint="eastAsia" w:eastAsia="仿宋"/>
          <w:sz w:val="24"/>
          <w:lang w:val="en-US" w:eastAsia="zh-CN"/>
        </w:rPr>
        <w:t xml:space="preserve">  </w:t>
      </w:r>
      <w:r>
        <w:rPr>
          <w:rFonts w:hint="eastAsia" w:eastAsia="仿宋"/>
          <w:sz w:val="24"/>
        </w:rPr>
        <w:t>采取不正当手段诋毁、排挤其他供应商的。</w:t>
      </w:r>
    </w:p>
    <w:p w14:paraId="32939413">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 </w:t>
      </w:r>
      <w:r>
        <w:rPr>
          <w:rFonts w:hint="eastAsia" w:eastAsia="仿宋"/>
          <w:sz w:val="24"/>
          <w:lang w:val="en-US" w:eastAsia="zh-CN"/>
        </w:rPr>
        <w:t xml:space="preserve">  </w:t>
      </w:r>
      <w:r>
        <w:rPr>
          <w:rFonts w:hint="eastAsia" w:eastAsia="仿宋"/>
          <w:sz w:val="24"/>
        </w:rPr>
        <w:t>有下列情形之一的，视为投标人串通投标，投标无效：</w:t>
      </w:r>
    </w:p>
    <w:p w14:paraId="00B1589E">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.5.1</w:t>
      </w:r>
      <w:r>
        <w:rPr>
          <w:rFonts w:hint="eastAsia" w:eastAsia="仿宋"/>
          <w:sz w:val="24"/>
          <w:lang w:val="en-US" w:eastAsia="zh-CN"/>
        </w:rPr>
        <w:t xml:space="preserve">  </w:t>
      </w:r>
      <w:r>
        <w:rPr>
          <w:rFonts w:hint="eastAsia" w:eastAsia="仿宋"/>
          <w:sz w:val="24"/>
        </w:rPr>
        <w:t>不同投标人的投标文件由同一单位或者个人编制；</w:t>
      </w:r>
    </w:p>
    <w:p w14:paraId="71472A3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.5.2</w:t>
      </w:r>
      <w:r>
        <w:rPr>
          <w:rFonts w:hint="eastAsia" w:eastAsia="仿宋"/>
          <w:sz w:val="24"/>
          <w:lang w:val="en-US" w:eastAsia="zh-CN"/>
        </w:rPr>
        <w:t xml:space="preserve">  </w:t>
      </w:r>
      <w:r>
        <w:rPr>
          <w:rFonts w:hint="eastAsia" w:eastAsia="仿宋"/>
          <w:sz w:val="24"/>
        </w:rPr>
        <w:t>不同投标人委托同一单位或者个人办理投标事宜；</w:t>
      </w:r>
    </w:p>
    <w:p w14:paraId="71E073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.5.3 </w:t>
      </w:r>
      <w:r>
        <w:rPr>
          <w:rFonts w:hint="eastAsia" w:eastAsia="仿宋"/>
          <w:sz w:val="24"/>
          <w:lang w:val="en-US" w:eastAsia="zh-CN"/>
        </w:rPr>
        <w:t xml:space="preserve">  </w:t>
      </w:r>
      <w:r>
        <w:rPr>
          <w:rFonts w:hint="eastAsia" w:eastAsia="仿宋"/>
          <w:sz w:val="24"/>
        </w:rPr>
        <w:t>不同投标人的投标文件载明的项目管理成员或者联系人员为同一人；</w:t>
      </w:r>
    </w:p>
    <w:p w14:paraId="7A2998D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.5.4</w:t>
      </w:r>
      <w:r>
        <w:rPr>
          <w:rFonts w:hint="eastAsia" w:eastAsia="仿宋"/>
          <w:sz w:val="24"/>
          <w:lang w:val="en-US" w:eastAsia="zh-CN"/>
        </w:rPr>
        <w:t xml:space="preserve">  </w:t>
      </w:r>
      <w:r>
        <w:rPr>
          <w:rFonts w:hint="eastAsia" w:eastAsia="仿宋"/>
          <w:sz w:val="24"/>
        </w:rPr>
        <w:t>不同投标人的投标文件异常一致或者投标报价呈规律性差异；</w:t>
      </w:r>
    </w:p>
    <w:p w14:paraId="6415415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.5.5</w:t>
      </w:r>
      <w:r>
        <w:rPr>
          <w:rFonts w:hint="eastAsia" w:eastAsia="仿宋"/>
          <w:sz w:val="24"/>
          <w:lang w:val="en-US" w:eastAsia="zh-CN"/>
        </w:rPr>
        <w:t xml:space="preserve">  </w:t>
      </w:r>
      <w:r>
        <w:rPr>
          <w:rFonts w:hint="eastAsia" w:eastAsia="仿宋"/>
          <w:sz w:val="24"/>
        </w:rPr>
        <w:t>不同投标人的投标文件相互混装；</w:t>
      </w:r>
    </w:p>
    <w:p w14:paraId="3175358E">
      <w:pPr>
        <w:spacing w:line="360" w:lineRule="auto"/>
        <w:ind w:left="900" w:hanging="900" w:hangingChars="375"/>
        <w:rPr>
          <w:rFonts w:eastAsia="仿宋"/>
          <w:sz w:val="24"/>
        </w:rPr>
      </w:pPr>
      <w:r>
        <w:rPr>
          <w:rFonts w:hint="eastAsia" w:eastAsia="仿宋"/>
          <w:sz w:val="24"/>
          <w:lang w:eastAsia="zh-CN"/>
        </w:rPr>
        <w:t>27</w:t>
      </w:r>
      <w:r>
        <w:rPr>
          <w:rFonts w:hint="eastAsia" w:eastAsia="仿宋"/>
          <w:sz w:val="24"/>
        </w:rPr>
        <w:t>.5.6</w:t>
      </w:r>
      <w:r>
        <w:rPr>
          <w:rFonts w:hint="eastAsia" w:eastAsia="仿宋"/>
          <w:sz w:val="24"/>
          <w:lang w:val="en-US" w:eastAsia="zh-CN"/>
        </w:rPr>
        <w:t xml:space="preserve">  </w:t>
      </w:r>
      <w:r>
        <w:rPr>
          <w:rFonts w:hint="eastAsia" w:eastAsia="仿宋"/>
          <w:sz w:val="24"/>
        </w:rPr>
        <w:t>不同投标人的投标保证金从同一单位或者个人的账户转出。</w:t>
      </w:r>
    </w:p>
    <w:p w14:paraId="73CDAEFB">
      <w:pPr>
        <w:pStyle w:val="35"/>
        <w:tabs>
          <w:tab w:val="left" w:pos="900"/>
        </w:tabs>
        <w:spacing w:before="0" w:after="0" w:line="360" w:lineRule="auto"/>
        <w:rPr>
          <w:rFonts w:ascii="Times New Roman" w:eastAsia="仿宋"/>
          <w:u w:val="none"/>
        </w:rPr>
      </w:pPr>
      <w:bookmarkStart w:id="207" w:name="_Toc31903"/>
      <w:bookmarkEnd w:id="207"/>
      <w:bookmarkStart w:id="208" w:name="_Toc1426"/>
      <w:bookmarkEnd w:id="208"/>
      <w:bookmarkStart w:id="209" w:name="_Toc17138"/>
      <w:bookmarkEnd w:id="209"/>
      <w:bookmarkStart w:id="210" w:name="_Ref467306874"/>
      <w:bookmarkEnd w:id="210"/>
      <w:bookmarkStart w:id="211" w:name="_Toc518923094"/>
      <w:bookmarkEnd w:id="211"/>
      <w:bookmarkStart w:id="212" w:name="_Toc520356173"/>
      <w:bookmarkEnd w:id="212"/>
      <w:bookmarkStart w:id="213" w:name="_Toc19263"/>
      <w:bookmarkEnd w:id="213"/>
      <w:r>
        <w:rPr>
          <w:rFonts w:ascii="Times New Roman" w:eastAsia="仿宋"/>
          <w:u w:val="none"/>
        </w:rPr>
        <w:t>28.采购任务取消</w:t>
      </w:r>
    </w:p>
    <w:p w14:paraId="6B766826">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p>
    <w:p w14:paraId="707D73FC">
      <w:pPr>
        <w:pStyle w:val="35"/>
        <w:spacing w:before="0" w:after="0" w:line="360" w:lineRule="auto"/>
        <w:rPr>
          <w:rFonts w:ascii="Times New Roman" w:eastAsia="仿宋"/>
          <w:u w:val="none"/>
        </w:rPr>
      </w:pPr>
      <w:bookmarkStart w:id="214" w:name="_Toc518923095"/>
      <w:bookmarkEnd w:id="214"/>
      <w:bookmarkStart w:id="215" w:name="_Toc18072"/>
      <w:bookmarkEnd w:id="215"/>
      <w:bookmarkStart w:id="216" w:name="_Toc14874"/>
      <w:bookmarkEnd w:id="216"/>
      <w:bookmarkStart w:id="217" w:name="_Toc32362"/>
      <w:bookmarkEnd w:id="217"/>
      <w:bookmarkStart w:id="218" w:name="_Toc29889"/>
      <w:bookmarkEnd w:id="218"/>
      <w:r>
        <w:rPr>
          <w:rFonts w:hint="eastAsia" w:ascii="Times New Roman" w:eastAsia="仿宋"/>
          <w:u w:val="none"/>
          <w:lang w:eastAsia="zh-CN"/>
        </w:rPr>
        <w:t>2</w:t>
      </w:r>
      <w:r>
        <w:rPr>
          <w:rFonts w:hint="eastAsia" w:ascii="Times New Roman" w:eastAsia="仿宋"/>
          <w:u w:val="none"/>
          <w:lang w:val="en-US" w:eastAsia="zh-CN"/>
        </w:rPr>
        <w:t>9</w:t>
      </w:r>
      <w:r>
        <w:rPr>
          <w:rFonts w:ascii="Times New Roman" w:eastAsia="仿宋"/>
          <w:u w:val="none"/>
        </w:rPr>
        <w:t>.中标通知书和招标结果通知书</w:t>
      </w:r>
    </w:p>
    <w:p w14:paraId="7D2C62F7">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.1</w:t>
      </w:r>
      <w:r>
        <w:rPr>
          <w:rFonts w:eastAsia="仿宋"/>
          <w:sz w:val="24"/>
        </w:rPr>
        <w:tab/>
      </w:r>
      <w:r>
        <w:rPr>
          <w:rFonts w:eastAsia="仿宋"/>
          <w:sz w:val="24"/>
        </w:rPr>
        <w:t>在投标有效期内，中标人确定后，采购人或者采购代理机构发布中标公告，同时以书面形式向中标人发出中标通知书；</w:t>
      </w:r>
    </w:p>
    <w:p w14:paraId="09A6225E">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.2</w:t>
      </w:r>
      <w:r>
        <w:rPr>
          <w:rFonts w:eastAsia="仿宋"/>
          <w:sz w:val="24"/>
        </w:rPr>
        <w:tab/>
      </w:r>
      <w:r>
        <w:rPr>
          <w:rFonts w:eastAsia="仿宋"/>
          <w:sz w:val="24"/>
        </w:rPr>
        <w:t>中标通知书是合同的组成部分；</w:t>
      </w:r>
    </w:p>
    <w:p w14:paraId="20C7DDA4">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.3    招标结果通知书和中标通知书同时发出。招标结果通知书中将告知未通过资格审查的投标人未通过的原因；采用综合评分法评审的，还将告知未中标人本人的评审得分和排序。</w:t>
      </w:r>
    </w:p>
    <w:p w14:paraId="6E6782C1">
      <w:pPr>
        <w:pStyle w:val="35"/>
        <w:spacing w:before="0" w:after="0" w:line="360" w:lineRule="auto"/>
        <w:rPr>
          <w:rFonts w:ascii="Times New Roman" w:eastAsia="仿宋"/>
          <w:u w:val="none"/>
        </w:rPr>
      </w:pPr>
      <w:bookmarkStart w:id="219" w:name="_Toc518923096"/>
      <w:bookmarkEnd w:id="219"/>
      <w:bookmarkStart w:id="220" w:name="_Toc16952"/>
      <w:bookmarkEnd w:id="220"/>
      <w:bookmarkStart w:id="221" w:name="_Toc169"/>
      <w:bookmarkEnd w:id="221"/>
      <w:bookmarkStart w:id="222" w:name="_Toc10798"/>
      <w:bookmarkEnd w:id="222"/>
      <w:bookmarkStart w:id="223" w:name="_Ref467307062"/>
      <w:bookmarkEnd w:id="223"/>
      <w:bookmarkStart w:id="224" w:name="_Toc13825"/>
      <w:bookmarkEnd w:id="224"/>
      <w:bookmarkStart w:id="225" w:name="_Ref467306377"/>
      <w:bookmarkEnd w:id="225"/>
      <w:bookmarkStart w:id="226" w:name="_Toc520356175"/>
      <w:bookmarkEnd w:id="226"/>
      <w:bookmarkStart w:id="227" w:name="_Ref467307204"/>
      <w:bookmarkEnd w:id="227"/>
      <w:bookmarkStart w:id="228" w:name="_Ref467306978"/>
      <w:bookmarkEnd w:id="228"/>
      <w:r>
        <w:rPr>
          <w:rFonts w:ascii="Times New Roman" w:eastAsia="仿宋"/>
          <w:u w:val="none"/>
        </w:rPr>
        <w:t>30.签订合同</w:t>
      </w:r>
    </w:p>
    <w:p w14:paraId="1969582D">
      <w:pPr>
        <w:spacing w:line="360" w:lineRule="auto"/>
        <w:ind w:left="900" w:hanging="900" w:hangingChars="375"/>
        <w:rPr>
          <w:rFonts w:eastAsia="仿宋"/>
          <w:sz w:val="24"/>
        </w:rPr>
      </w:pPr>
      <w:r>
        <w:rPr>
          <w:rFonts w:eastAsia="仿宋"/>
          <w:sz w:val="24"/>
        </w:rPr>
        <w:t>30.1</w:t>
      </w:r>
      <w:r>
        <w:rPr>
          <w:rFonts w:eastAsia="仿宋"/>
          <w:sz w:val="24"/>
        </w:rPr>
        <w:tab/>
      </w:r>
      <w:r>
        <w:rPr>
          <w:rFonts w:hint="eastAsia" w:eastAsia="仿宋"/>
          <w:sz w:val="24"/>
        </w:rPr>
        <w:t>中标人应当在中标通知书发出之日起三十日内，按照招标文件确定的事项与采购人签订政府采购合同。</w:t>
      </w:r>
    </w:p>
    <w:p w14:paraId="7BD215CC">
      <w:pPr>
        <w:spacing w:line="360" w:lineRule="auto"/>
        <w:ind w:left="900" w:hanging="900" w:hangingChars="375"/>
        <w:rPr>
          <w:rFonts w:eastAsia="仿宋"/>
          <w:sz w:val="24"/>
        </w:rPr>
      </w:pPr>
      <w:r>
        <w:rPr>
          <w:rFonts w:eastAsia="仿宋"/>
          <w:sz w:val="24"/>
        </w:rPr>
        <w:t>30.2</w:t>
      </w:r>
      <w:r>
        <w:rPr>
          <w:rFonts w:eastAsia="仿宋"/>
          <w:sz w:val="24"/>
        </w:rPr>
        <w:tab/>
      </w:r>
      <w:r>
        <w:rPr>
          <w:rFonts w:hint="eastAsia" w:eastAsia="仿宋"/>
          <w:sz w:val="24"/>
        </w:rPr>
        <w:t>招标文件、中标人的投标文件及招标过程中有关澄清、承诺文件均应作为合同附件。</w:t>
      </w:r>
    </w:p>
    <w:p w14:paraId="3553F650">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43D6DFF0">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7151D525">
      <w:pPr>
        <w:spacing w:line="360" w:lineRule="auto"/>
        <w:ind w:left="720" w:hanging="720" w:hangingChars="300"/>
      </w:pPr>
      <w:r>
        <w:rPr>
          <w:rFonts w:hint="eastAsia" w:eastAsia="仿宋"/>
          <w:sz w:val="24"/>
          <w:lang w:val="en-US" w:eastAsia="zh-CN"/>
        </w:rPr>
        <w:t xml:space="preserve">30.5  </w:t>
      </w:r>
      <w:r>
        <w:rPr>
          <w:rFonts w:hint="eastAsia" w:eastAsia="仿宋"/>
          <w:sz w:val="24"/>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C4E28A">
      <w:pPr>
        <w:pStyle w:val="35"/>
        <w:spacing w:before="0" w:after="0" w:line="360" w:lineRule="auto"/>
        <w:rPr>
          <w:rFonts w:ascii="Times New Roman" w:eastAsia="仿宋"/>
          <w:u w:val="none"/>
        </w:rPr>
      </w:pPr>
      <w:bookmarkStart w:id="229" w:name="_Toc31416"/>
      <w:bookmarkEnd w:id="229"/>
      <w:bookmarkStart w:id="230" w:name="_Toc32554"/>
      <w:bookmarkEnd w:id="230"/>
      <w:bookmarkStart w:id="231" w:name="_Toc8276"/>
      <w:bookmarkEnd w:id="231"/>
      <w:bookmarkStart w:id="232" w:name="_Toc518923097"/>
      <w:bookmarkEnd w:id="232"/>
      <w:bookmarkStart w:id="233" w:name="_Toc4302"/>
      <w:bookmarkEnd w:id="233"/>
      <w:r>
        <w:rPr>
          <w:rFonts w:ascii="Times New Roman" w:eastAsia="仿宋"/>
          <w:u w:val="none"/>
        </w:rPr>
        <w:t>31.履约保证金</w:t>
      </w:r>
    </w:p>
    <w:p w14:paraId="0FE0E31C">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14:paraId="28CC24A4">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14:paraId="67F3584C">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507E6436">
      <w:pPr>
        <w:pStyle w:val="35"/>
        <w:spacing w:before="0" w:after="0" w:line="360" w:lineRule="auto"/>
        <w:rPr>
          <w:rFonts w:ascii="Times New Roman" w:eastAsia="仿宋"/>
          <w:u w:val="none"/>
        </w:rPr>
      </w:pPr>
      <w:bookmarkStart w:id="234" w:name="_Toc17150"/>
      <w:bookmarkEnd w:id="234"/>
      <w:bookmarkStart w:id="235" w:name="_Toc518923098"/>
      <w:bookmarkEnd w:id="235"/>
      <w:bookmarkStart w:id="236" w:name="_Toc8476"/>
      <w:bookmarkEnd w:id="236"/>
      <w:bookmarkStart w:id="237" w:name="_Toc8478"/>
      <w:bookmarkEnd w:id="237"/>
      <w:bookmarkStart w:id="238" w:name="_Toc26060"/>
      <w:bookmarkEnd w:id="238"/>
      <w:r>
        <w:rPr>
          <w:rFonts w:ascii="Times New Roman" w:eastAsia="仿宋"/>
          <w:u w:val="none"/>
        </w:rPr>
        <w:t>32.中标服务费</w:t>
      </w:r>
    </w:p>
    <w:p w14:paraId="7AC06E3A">
      <w:pPr>
        <w:spacing w:line="360" w:lineRule="auto"/>
        <w:ind w:left="840" w:leftChars="200" w:hanging="420" w:hangingChars="175"/>
        <w:rPr>
          <w:rFonts w:eastAsia="仿宋"/>
          <w:sz w:val="24"/>
        </w:rPr>
      </w:pPr>
      <w:r>
        <w:rPr>
          <w:rFonts w:eastAsia="仿宋"/>
          <w:sz w:val="24"/>
        </w:rPr>
        <w:t>本项目由集采机构代理，无中标服务费。</w:t>
      </w:r>
    </w:p>
    <w:p w14:paraId="3E53BF50">
      <w:pPr>
        <w:pStyle w:val="35"/>
        <w:spacing w:before="0" w:after="0" w:line="360" w:lineRule="auto"/>
        <w:rPr>
          <w:rFonts w:ascii="Times New Roman" w:eastAsia="仿宋"/>
          <w:u w:val="none"/>
        </w:rPr>
      </w:pPr>
      <w:bookmarkStart w:id="239" w:name="_Toc10203"/>
      <w:bookmarkEnd w:id="239"/>
      <w:bookmarkStart w:id="240" w:name="_Toc31411"/>
      <w:bookmarkEnd w:id="240"/>
      <w:bookmarkStart w:id="241" w:name="_Toc16784"/>
      <w:bookmarkEnd w:id="241"/>
      <w:bookmarkStart w:id="242" w:name="_Toc518923099"/>
      <w:bookmarkEnd w:id="242"/>
      <w:bookmarkStart w:id="243" w:name="_Toc30165"/>
      <w:bookmarkEnd w:id="243"/>
      <w:r>
        <w:rPr>
          <w:rFonts w:ascii="Times New Roman" w:eastAsia="仿宋"/>
          <w:u w:val="none"/>
        </w:rPr>
        <w:t>33.政府采购信用担保</w:t>
      </w:r>
    </w:p>
    <w:p w14:paraId="1D110F33">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0BEF2D80">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3AE7F95A">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14:paraId="3277ACEB">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14:paraId="26798A16">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6ED7113B">
      <w:pPr>
        <w:pStyle w:val="35"/>
        <w:spacing w:before="0" w:after="0" w:line="360" w:lineRule="auto"/>
        <w:rPr>
          <w:rFonts w:ascii="Times New Roman" w:eastAsia="仿宋"/>
          <w:u w:val="none"/>
        </w:rPr>
      </w:pPr>
      <w:bookmarkStart w:id="244" w:name="_Toc32108"/>
      <w:bookmarkEnd w:id="244"/>
      <w:bookmarkStart w:id="245" w:name="_Toc4701"/>
      <w:bookmarkEnd w:id="245"/>
      <w:bookmarkStart w:id="246" w:name="_Toc28987"/>
      <w:bookmarkEnd w:id="246"/>
      <w:bookmarkStart w:id="247" w:name="_Toc23516"/>
      <w:bookmarkEnd w:id="247"/>
      <w:bookmarkStart w:id="248" w:name="_Toc518923100"/>
      <w:bookmarkEnd w:id="248"/>
      <w:r>
        <w:rPr>
          <w:rFonts w:ascii="Times New Roman" w:eastAsia="仿宋"/>
          <w:u w:val="none"/>
        </w:rPr>
        <w:t>34.廉洁自律规定</w:t>
      </w:r>
    </w:p>
    <w:p w14:paraId="7A1BD920">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33659B37">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4D201AD2">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0088F95F">
      <w:pPr>
        <w:pStyle w:val="35"/>
        <w:spacing w:before="0" w:after="0" w:line="360" w:lineRule="auto"/>
        <w:rPr>
          <w:rFonts w:ascii="Times New Roman" w:eastAsia="仿宋"/>
          <w:u w:val="none"/>
        </w:rPr>
      </w:pPr>
      <w:bookmarkStart w:id="249" w:name="_Toc518923101"/>
      <w:bookmarkEnd w:id="249"/>
      <w:bookmarkStart w:id="250" w:name="_Toc404"/>
      <w:bookmarkEnd w:id="250"/>
      <w:bookmarkStart w:id="251" w:name="_Toc30899"/>
      <w:bookmarkEnd w:id="251"/>
      <w:bookmarkStart w:id="252" w:name="_Toc21055"/>
      <w:bookmarkEnd w:id="252"/>
      <w:bookmarkStart w:id="253" w:name="_Toc743"/>
      <w:bookmarkEnd w:id="253"/>
      <w:r>
        <w:rPr>
          <w:rFonts w:ascii="Times New Roman" w:eastAsia="仿宋"/>
          <w:u w:val="none"/>
        </w:rPr>
        <w:t>35.人员回避</w:t>
      </w:r>
    </w:p>
    <w:p w14:paraId="4A86F592">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14:paraId="06D73F68">
      <w:pPr>
        <w:pStyle w:val="35"/>
        <w:spacing w:before="0" w:after="0" w:line="360" w:lineRule="auto"/>
        <w:rPr>
          <w:rFonts w:ascii="Times New Roman" w:eastAsia="仿宋"/>
          <w:u w:val="none"/>
        </w:rPr>
      </w:pPr>
      <w:bookmarkStart w:id="254" w:name="_Toc24931"/>
      <w:bookmarkEnd w:id="254"/>
      <w:bookmarkStart w:id="255" w:name="_Toc31346"/>
      <w:bookmarkEnd w:id="255"/>
      <w:bookmarkStart w:id="256" w:name="_Toc518923102"/>
      <w:bookmarkEnd w:id="256"/>
      <w:bookmarkStart w:id="257" w:name="_Toc12494"/>
      <w:bookmarkEnd w:id="257"/>
      <w:bookmarkStart w:id="258" w:name="_Toc14752"/>
      <w:bookmarkEnd w:id="258"/>
      <w:r>
        <w:rPr>
          <w:rFonts w:ascii="Times New Roman" w:eastAsia="仿宋"/>
          <w:u w:val="none"/>
        </w:rPr>
        <w:t>36.质疑与接收</w:t>
      </w:r>
    </w:p>
    <w:p w14:paraId="2CD7BF3E">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182A5AD">
      <w:pPr>
        <w:spacing w:line="360" w:lineRule="auto"/>
        <w:ind w:left="851" w:leftChars="68" w:hanging="708" w:hangingChars="295"/>
        <w:rPr>
          <w:rFonts w:eastAsia="仿宋"/>
          <w:sz w:val="24"/>
        </w:rPr>
      </w:pPr>
      <w:r>
        <w:rPr>
          <w:rFonts w:eastAsia="仿宋"/>
          <w:sz w:val="24"/>
        </w:rPr>
        <w:t xml:space="preserve">36.2  </w:t>
      </w:r>
      <w:r>
        <w:rPr>
          <w:rFonts w:hint="eastAsia" w:eastAsia="仿宋"/>
          <w:sz w:val="24"/>
        </w:rPr>
        <w:t>质疑函必须按照本招标文件中《质疑函范本》要求的格式、内容和要求进行填写。供应商如组成联合体参加投标，则《质疑函范本》中要求签字、盖章、加盖公章之处，联合体各方均须按要求签字、盖章、加盖公章。</w:t>
      </w:r>
      <w:r>
        <w:rPr>
          <w:rFonts w:eastAsia="仿宋"/>
          <w:b/>
          <w:bCs/>
          <w:sz w:val="24"/>
        </w:rPr>
        <w:t>质疑供应商应在法定质疑期内以纸质形式提出质疑，针对同一采购程序环节的质疑应一次性提出。</w:t>
      </w:r>
    </w:p>
    <w:p w14:paraId="7FE90129">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292EB811">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06AED3E5">
      <w:pPr>
        <w:spacing w:line="360" w:lineRule="auto"/>
        <w:ind w:left="851" w:leftChars="68" w:hanging="708" w:hangingChars="295"/>
        <w:rPr>
          <w:rFonts w:hint="eastAsia" w:eastAsia="仿宋"/>
          <w:b/>
          <w:bCs/>
          <w:sz w:val="24"/>
          <w:lang w:eastAsia="zh-CN"/>
        </w:rPr>
      </w:pPr>
      <w:r>
        <w:rPr>
          <w:rFonts w:hint="eastAsia" w:eastAsia="仿宋"/>
          <w:sz w:val="24"/>
        </w:rPr>
        <w:t>36.4  质疑的提出：一次提出全部质疑</w:t>
      </w:r>
      <w:r>
        <w:rPr>
          <w:rFonts w:hint="eastAsia" w:eastAsia="仿宋"/>
          <w:b/>
          <w:bCs/>
          <w:sz w:val="24"/>
          <w:lang w:eastAsia="zh-CN"/>
        </w:rPr>
        <w:t>（</w:t>
      </w:r>
      <w:r>
        <w:rPr>
          <w:rFonts w:hint="eastAsia" w:eastAsia="仿宋"/>
          <w:b/>
          <w:bCs/>
          <w:sz w:val="24"/>
        </w:rPr>
        <w:t>供应商应当在法定质疑期内一次性提出针对同一采购程序环节的质疑。供应商如在法定期限内对同一采购程序环节提出多次质疑的，</w:t>
      </w:r>
      <w:r>
        <w:rPr>
          <w:rFonts w:hint="eastAsia" w:eastAsia="仿宋"/>
          <w:b/>
          <w:bCs/>
          <w:sz w:val="24"/>
          <w:lang w:val="en-US" w:eastAsia="zh-CN"/>
        </w:rPr>
        <w:t>交易</w:t>
      </w:r>
      <w:r>
        <w:rPr>
          <w:rFonts w:hint="eastAsia" w:eastAsia="仿宋"/>
          <w:b/>
          <w:bCs/>
          <w:sz w:val="24"/>
        </w:rPr>
        <w:t>中心、采购人将只对供应商第一次质疑作出答复。</w:t>
      </w:r>
      <w:r>
        <w:rPr>
          <w:rFonts w:hint="eastAsia" w:eastAsia="仿宋"/>
          <w:b/>
          <w:bCs/>
          <w:sz w:val="24"/>
          <w:lang w:eastAsia="zh-CN"/>
        </w:rPr>
        <w:t>）</w:t>
      </w:r>
    </w:p>
    <w:p w14:paraId="3DBA56C1">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5646C54F">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ADF7844">
      <w:pPr>
        <w:spacing w:line="360" w:lineRule="auto"/>
        <w:ind w:left="851" w:leftChars="296" w:hanging="229" w:hangingChars="95"/>
        <w:rPr>
          <w:rFonts w:eastAsia="仿宋"/>
          <w:b/>
          <w:bCs/>
          <w:sz w:val="24"/>
        </w:rPr>
      </w:pPr>
      <w:r>
        <w:rPr>
          <w:rFonts w:hint="eastAsia" w:eastAsia="仿宋"/>
          <w:b/>
          <w:bCs/>
          <w:sz w:val="24"/>
        </w:rPr>
        <w:t>（一）对可以质疑的采购文件提出质疑的，为收到采购文件之日或者采购文件公告期限届满之日；</w:t>
      </w:r>
    </w:p>
    <w:p w14:paraId="3CA10D4A">
      <w:pPr>
        <w:spacing w:line="360" w:lineRule="auto"/>
        <w:ind w:left="851" w:leftChars="296" w:hanging="229" w:hangingChars="95"/>
        <w:rPr>
          <w:rFonts w:eastAsia="仿宋"/>
          <w:b/>
          <w:bCs/>
          <w:sz w:val="24"/>
        </w:rPr>
      </w:pPr>
      <w:r>
        <w:rPr>
          <w:rFonts w:hint="eastAsia" w:eastAsia="仿宋"/>
          <w:b/>
          <w:bCs/>
          <w:sz w:val="24"/>
        </w:rPr>
        <w:t>（二）对采购过程提出质疑的，为各采购程序环节结束之日；</w:t>
      </w:r>
    </w:p>
    <w:p w14:paraId="61E8541F">
      <w:pPr>
        <w:spacing w:line="360" w:lineRule="auto"/>
        <w:ind w:left="851" w:leftChars="296" w:hanging="229" w:hangingChars="95"/>
        <w:rPr>
          <w:rFonts w:eastAsia="仿宋"/>
          <w:sz w:val="24"/>
        </w:rPr>
      </w:pPr>
      <w:r>
        <w:rPr>
          <w:rFonts w:hint="eastAsia" w:eastAsia="仿宋"/>
          <w:b/>
          <w:bCs/>
          <w:sz w:val="24"/>
        </w:rPr>
        <w:t>（三）对成交结果提出质疑的，为成交结果公告期限届满之日。</w:t>
      </w:r>
    </w:p>
    <w:p w14:paraId="4D36710B">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22855728">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94CABBA">
      <w:pPr>
        <w:spacing w:line="360" w:lineRule="auto"/>
        <w:ind w:left="851" w:leftChars="68" w:hanging="708" w:hangingChars="295"/>
        <w:rPr>
          <w:rFonts w:eastAsia="仿宋"/>
          <w:sz w:val="24"/>
        </w:rPr>
      </w:pPr>
      <w:r>
        <w:rPr>
          <w:rFonts w:hint="eastAsia" w:eastAsia="仿宋"/>
          <w:sz w:val="24"/>
        </w:rPr>
        <w:t>36.9  提出质疑应当符合下列条件：</w:t>
      </w:r>
    </w:p>
    <w:p w14:paraId="6F83028D">
      <w:pPr>
        <w:spacing w:line="360" w:lineRule="auto"/>
        <w:ind w:left="851" w:leftChars="68" w:hanging="708" w:hangingChars="295"/>
        <w:rPr>
          <w:rFonts w:eastAsia="仿宋"/>
          <w:sz w:val="24"/>
        </w:rPr>
      </w:pPr>
      <w:r>
        <w:rPr>
          <w:rFonts w:hint="eastAsia" w:eastAsia="仿宋"/>
          <w:sz w:val="24"/>
        </w:rPr>
        <w:t>（一）质疑主体应当符合有关规定；</w:t>
      </w:r>
    </w:p>
    <w:p w14:paraId="70BD2E40">
      <w:pPr>
        <w:spacing w:line="360" w:lineRule="auto"/>
        <w:ind w:left="851" w:leftChars="68" w:hanging="708" w:hangingChars="295"/>
        <w:rPr>
          <w:rFonts w:eastAsia="仿宋"/>
          <w:sz w:val="24"/>
        </w:rPr>
      </w:pPr>
      <w:r>
        <w:rPr>
          <w:rFonts w:hint="eastAsia" w:eastAsia="仿宋"/>
          <w:sz w:val="24"/>
        </w:rPr>
        <w:t>（二）在质疑法定期限内提出；</w:t>
      </w:r>
    </w:p>
    <w:p w14:paraId="66BA5DE7">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14:paraId="1DC3459F">
      <w:pPr>
        <w:spacing w:line="360" w:lineRule="auto"/>
        <w:ind w:left="851" w:leftChars="68" w:hanging="708" w:hangingChars="295"/>
        <w:rPr>
          <w:rFonts w:eastAsia="仿宋"/>
          <w:sz w:val="24"/>
        </w:rPr>
      </w:pPr>
      <w:r>
        <w:rPr>
          <w:rFonts w:hint="eastAsia" w:eastAsia="仿宋"/>
          <w:sz w:val="24"/>
        </w:rPr>
        <w:t>（四）政府采购法律、法规、规章规定的其他条件。</w:t>
      </w:r>
    </w:p>
    <w:p w14:paraId="3C97A1AC">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523738">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49F17424">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14:paraId="40BA4CD1">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14:paraId="243CE5EF">
      <w:pPr>
        <w:spacing w:line="360" w:lineRule="auto"/>
        <w:ind w:left="851" w:leftChars="68" w:hanging="708" w:hangingChars="295"/>
        <w:rPr>
          <w:rFonts w:eastAsia="仿宋"/>
          <w:sz w:val="24"/>
        </w:rPr>
      </w:pPr>
      <w:r>
        <w:rPr>
          <w:rFonts w:hint="eastAsia" w:eastAsia="仿宋"/>
          <w:sz w:val="24"/>
        </w:rPr>
        <w:t>（二）质疑项目的名称、编号；</w:t>
      </w:r>
    </w:p>
    <w:p w14:paraId="7C44B134">
      <w:pPr>
        <w:spacing w:line="360" w:lineRule="auto"/>
        <w:ind w:left="851" w:leftChars="68" w:hanging="708" w:hangingChars="295"/>
        <w:rPr>
          <w:rFonts w:eastAsia="仿宋"/>
          <w:sz w:val="24"/>
        </w:rPr>
      </w:pPr>
      <w:r>
        <w:rPr>
          <w:rFonts w:hint="eastAsia" w:eastAsia="仿宋"/>
          <w:sz w:val="24"/>
        </w:rPr>
        <w:t>（三）质疑事项；</w:t>
      </w:r>
    </w:p>
    <w:p w14:paraId="2DD85FC1">
      <w:pPr>
        <w:spacing w:line="360" w:lineRule="auto"/>
        <w:ind w:left="851" w:leftChars="68" w:hanging="708" w:hangingChars="295"/>
        <w:rPr>
          <w:rFonts w:eastAsia="仿宋"/>
          <w:sz w:val="24"/>
        </w:rPr>
      </w:pPr>
      <w:r>
        <w:rPr>
          <w:rFonts w:hint="eastAsia" w:eastAsia="仿宋"/>
          <w:sz w:val="24"/>
        </w:rPr>
        <w:t>（四）事实依据和证明材料；</w:t>
      </w:r>
    </w:p>
    <w:p w14:paraId="32EE66FA">
      <w:pPr>
        <w:spacing w:line="360" w:lineRule="auto"/>
        <w:ind w:left="851" w:leftChars="68" w:hanging="708" w:hangingChars="295"/>
        <w:rPr>
          <w:rFonts w:eastAsia="仿宋"/>
          <w:sz w:val="24"/>
        </w:rPr>
      </w:pPr>
      <w:r>
        <w:rPr>
          <w:rFonts w:hint="eastAsia" w:eastAsia="仿宋"/>
          <w:sz w:val="24"/>
        </w:rPr>
        <w:t>（五）法律依据；</w:t>
      </w:r>
    </w:p>
    <w:p w14:paraId="3B39CE94">
      <w:pPr>
        <w:spacing w:line="360" w:lineRule="auto"/>
        <w:ind w:left="851" w:leftChars="68" w:hanging="708" w:hangingChars="295"/>
        <w:rPr>
          <w:rFonts w:eastAsia="仿宋"/>
          <w:sz w:val="24"/>
        </w:rPr>
      </w:pPr>
      <w:r>
        <w:rPr>
          <w:rFonts w:hint="eastAsia" w:eastAsia="仿宋"/>
          <w:sz w:val="24"/>
        </w:rPr>
        <w:t>（六）提出质疑的日期。</w:t>
      </w:r>
    </w:p>
    <w:p w14:paraId="413F214D">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1EC6D8DB">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598125BC">
      <w:pPr>
        <w:spacing w:line="360" w:lineRule="auto"/>
        <w:ind w:left="851" w:leftChars="68" w:hanging="708" w:hangingChars="295"/>
        <w:rPr>
          <w:rFonts w:eastAsia="仿宋"/>
          <w:sz w:val="24"/>
        </w:rPr>
      </w:pPr>
      <w:r>
        <w:rPr>
          <w:rFonts w:hint="eastAsia" w:eastAsia="仿宋"/>
          <w:sz w:val="24"/>
        </w:rPr>
        <w:t>37.4、质疑的审查和受理</w:t>
      </w:r>
    </w:p>
    <w:p w14:paraId="1087C309">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14:paraId="6689A283">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14:paraId="2C11C3D9">
      <w:pPr>
        <w:spacing w:line="360" w:lineRule="auto"/>
        <w:ind w:left="854" w:leftChars="68" w:hanging="711" w:hangingChars="295"/>
        <w:rPr>
          <w:rFonts w:eastAsia="仿宋"/>
          <w:b/>
          <w:bCs/>
          <w:color w:val="auto"/>
          <w:sz w:val="24"/>
        </w:rPr>
      </w:pPr>
      <w:r>
        <w:rPr>
          <w:rFonts w:hint="eastAsia" w:eastAsia="仿宋"/>
          <w:b/>
          <w:bCs/>
          <w:color w:val="auto"/>
          <w:sz w:val="24"/>
        </w:rPr>
        <w:t>（一）质疑函内容不符合规定的，告知质疑人进行修改并重新提出质疑。修改后质疑事项仍不具体、不明确或者最终递交质疑函的时间超过质疑法定期限的，不予受理；</w:t>
      </w:r>
    </w:p>
    <w:p w14:paraId="0CA9F934">
      <w:pPr>
        <w:spacing w:line="360" w:lineRule="auto"/>
        <w:ind w:left="854" w:leftChars="68" w:hanging="711" w:hangingChars="295"/>
        <w:rPr>
          <w:rFonts w:eastAsia="仿宋"/>
          <w:b/>
          <w:bCs/>
          <w:color w:val="auto"/>
          <w:sz w:val="24"/>
        </w:rPr>
      </w:pPr>
      <w:r>
        <w:rPr>
          <w:rFonts w:hint="eastAsia" w:eastAsia="仿宋"/>
          <w:b/>
          <w:bCs/>
          <w:color w:val="auto"/>
          <w:sz w:val="24"/>
        </w:rPr>
        <w:t>（二）质疑主体不符合有关规定的，告知质疑人不予受理；</w:t>
      </w:r>
    </w:p>
    <w:p w14:paraId="283487CF">
      <w:pPr>
        <w:spacing w:line="360" w:lineRule="auto"/>
        <w:ind w:left="854" w:leftChars="68" w:hanging="711" w:hangingChars="295"/>
        <w:rPr>
          <w:rFonts w:eastAsia="仿宋"/>
          <w:b/>
          <w:bCs/>
          <w:color w:val="auto"/>
          <w:sz w:val="24"/>
        </w:rPr>
      </w:pPr>
      <w:r>
        <w:rPr>
          <w:rFonts w:hint="eastAsia" w:eastAsia="仿宋"/>
          <w:b/>
          <w:bCs/>
          <w:color w:val="auto"/>
          <w:sz w:val="24"/>
        </w:rPr>
        <w:t>（三）超过质疑法定期限提出质疑的，告知质疑人不予受理；</w:t>
      </w:r>
    </w:p>
    <w:p w14:paraId="5B53426F">
      <w:pPr>
        <w:spacing w:line="360" w:lineRule="auto"/>
        <w:ind w:left="854" w:leftChars="68" w:hanging="711" w:hangingChars="295"/>
        <w:rPr>
          <w:rFonts w:eastAsia="仿宋"/>
          <w:b/>
          <w:bCs/>
          <w:color w:val="auto"/>
          <w:sz w:val="24"/>
        </w:rPr>
      </w:pPr>
      <w:r>
        <w:rPr>
          <w:rFonts w:hint="eastAsia" w:eastAsia="仿宋"/>
          <w:b/>
          <w:bCs/>
          <w:color w:val="auto"/>
          <w:sz w:val="24"/>
        </w:rPr>
        <w:t>（四）对不属于可以提出质疑的政府采购事项提出质疑的，告知质疑人不予受理；</w:t>
      </w:r>
    </w:p>
    <w:p w14:paraId="169A9094">
      <w:pPr>
        <w:spacing w:line="360" w:lineRule="auto"/>
        <w:ind w:left="854" w:leftChars="68" w:hanging="711" w:hangingChars="295"/>
        <w:rPr>
          <w:rFonts w:eastAsia="仿宋"/>
          <w:b/>
          <w:bCs/>
          <w:color w:val="auto"/>
          <w:sz w:val="24"/>
        </w:rPr>
      </w:pPr>
      <w:r>
        <w:rPr>
          <w:rFonts w:hint="eastAsia" w:eastAsia="仿宋"/>
          <w:b/>
          <w:bCs/>
          <w:color w:val="auto"/>
          <w:sz w:val="24"/>
        </w:rPr>
        <w:t>（五）质疑不属于本项目采购方管辖的，告知质疑人向有管辖权的采购人提出质疑；</w:t>
      </w:r>
    </w:p>
    <w:p w14:paraId="1B76FF30">
      <w:pPr>
        <w:spacing w:line="360" w:lineRule="auto"/>
        <w:ind w:left="854" w:leftChars="68" w:hanging="711" w:hangingChars="295"/>
        <w:rPr>
          <w:rFonts w:hint="eastAsia" w:eastAsia="仿宋"/>
          <w:b/>
          <w:bCs/>
          <w:color w:val="auto"/>
          <w:sz w:val="24"/>
        </w:rPr>
      </w:pPr>
      <w:r>
        <w:rPr>
          <w:rFonts w:hint="eastAsia" w:eastAsia="仿宋"/>
          <w:b/>
          <w:bCs/>
          <w:color w:val="auto"/>
          <w:sz w:val="24"/>
        </w:rPr>
        <w:t>（六）质疑不符合其他条件的，告知质疑人不予受理。</w:t>
      </w:r>
    </w:p>
    <w:p w14:paraId="2AE607B8">
      <w:pPr>
        <w:spacing w:line="360" w:lineRule="auto"/>
        <w:ind w:firstLine="482" w:firstLineChars="200"/>
      </w:pPr>
      <w:r>
        <w:rPr>
          <w:rFonts w:hint="eastAsia" w:eastAsia="仿宋"/>
          <w:b/>
          <w:bCs/>
          <w:color w:val="FF0000"/>
          <w:sz w:val="24"/>
          <w:lang w:val="en-US" w:eastAsia="zh-CN"/>
        </w:rPr>
        <w:t>说明：</w:t>
      </w:r>
      <w:r>
        <w:rPr>
          <w:rFonts w:hint="eastAsia" w:eastAsia="仿宋"/>
          <w:b/>
          <w:bCs/>
          <w:color w:val="FF0000"/>
          <w:sz w:val="24"/>
        </w:rPr>
        <w:t>供应商提出书面质疑必须有理、有据，不得捏造事实、提供虚假材料进行恶意质疑。否则，一经查实，</w:t>
      </w:r>
      <w:r>
        <w:rPr>
          <w:rFonts w:hint="eastAsia" w:eastAsia="仿宋"/>
          <w:b/>
          <w:bCs/>
          <w:color w:val="FF0000"/>
          <w:sz w:val="24"/>
          <w:lang w:val="en-US" w:eastAsia="zh-CN"/>
        </w:rPr>
        <w:t>交易</w:t>
      </w:r>
      <w:r>
        <w:rPr>
          <w:rFonts w:hint="eastAsia" w:eastAsia="仿宋"/>
          <w:b/>
          <w:bCs/>
          <w:color w:val="FF0000"/>
          <w:sz w:val="24"/>
        </w:rPr>
        <w:t>中心有权依据政府采购的有关规定，报请政府采购监管部门对该供应商进行相应的行政处罚和记录该供应商的失信信息。</w:t>
      </w:r>
    </w:p>
    <w:p w14:paraId="10AB9C1B">
      <w:pPr>
        <w:spacing w:line="360" w:lineRule="auto"/>
        <w:ind w:left="851" w:leftChars="68" w:hanging="708" w:hangingChars="295"/>
        <w:rPr>
          <w:rFonts w:eastAsia="仿宋"/>
          <w:sz w:val="24"/>
        </w:rPr>
      </w:pPr>
      <w:r>
        <w:rPr>
          <w:rFonts w:hint="eastAsia" w:eastAsia="仿宋"/>
          <w:sz w:val="24"/>
        </w:rPr>
        <w:t>37.6、质疑的处理和答复</w:t>
      </w:r>
    </w:p>
    <w:p w14:paraId="49FBB9CE">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14:paraId="619BEBE6">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53D59794">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14:paraId="52A36EB7">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14:paraId="53BCB505">
      <w:pPr>
        <w:spacing w:line="360" w:lineRule="auto"/>
        <w:ind w:left="851" w:leftChars="68" w:hanging="708" w:hangingChars="295"/>
        <w:rPr>
          <w:rFonts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14:paraId="5FF6EE38">
      <w:pPr>
        <w:spacing w:line="360" w:lineRule="auto"/>
        <w:ind w:left="851" w:leftChars="68" w:hanging="708" w:hangingChars="295"/>
        <w:rPr>
          <w:rFonts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14:paraId="1E51B619">
      <w:pPr>
        <w:spacing w:line="360" w:lineRule="auto"/>
        <w:ind w:left="851" w:leftChars="68" w:hanging="708" w:hangingChars="295"/>
        <w:rPr>
          <w:rFonts w:eastAsia="仿宋"/>
          <w:sz w:val="24"/>
        </w:rPr>
      </w:pPr>
      <w:r>
        <w:rPr>
          <w:rFonts w:hint="eastAsia" w:eastAsia="仿宋"/>
          <w:sz w:val="24"/>
        </w:rPr>
        <w:t>38.3  采购方经调查、论证、核实，认定质疑不能成立的，继续开展采购活动；认定质疑成立的，按照以下情况处理：</w:t>
      </w:r>
    </w:p>
    <w:p w14:paraId="40B9F89A">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309B5202">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7E9AC028">
      <w:pPr>
        <w:spacing w:line="360" w:lineRule="auto"/>
        <w:ind w:left="851" w:leftChars="68" w:hanging="708" w:hangingChars="295"/>
        <w:rPr>
          <w:rFonts w:eastAsia="仿宋"/>
          <w:sz w:val="24"/>
        </w:rPr>
      </w:pPr>
      <w:r>
        <w:rPr>
          <w:rFonts w:hint="eastAsia" w:eastAsia="仿宋"/>
          <w:sz w:val="24"/>
        </w:rPr>
        <w:t>38.4 采购方将书面答复质疑，质疑答复包括下列内容：</w:t>
      </w:r>
    </w:p>
    <w:p w14:paraId="3650DBFA">
      <w:pPr>
        <w:spacing w:line="360" w:lineRule="auto"/>
        <w:ind w:left="851" w:leftChars="68" w:hanging="708" w:hangingChars="295"/>
        <w:rPr>
          <w:rFonts w:eastAsia="仿宋"/>
          <w:sz w:val="24"/>
        </w:rPr>
      </w:pPr>
      <w:r>
        <w:rPr>
          <w:rFonts w:hint="eastAsia" w:eastAsia="仿宋"/>
          <w:sz w:val="24"/>
        </w:rPr>
        <w:t>（一）质疑人名称；</w:t>
      </w:r>
    </w:p>
    <w:p w14:paraId="17E5E8B1">
      <w:pPr>
        <w:spacing w:line="360" w:lineRule="auto"/>
        <w:ind w:left="851" w:leftChars="68" w:hanging="708" w:hangingChars="295"/>
        <w:rPr>
          <w:rFonts w:eastAsia="仿宋"/>
          <w:sz w:val="24"/>
        </w:rPr>
      </w:pPr>
      <w:r>
        <w:rPr>
          <w:rFonts w:hint="eastAsia" w:eastAsia="仿宋"/>
          <w:sz w:val="24"/>
        </w:rPr>
        <w:t>（二）收到质疑函的日期、质疑项目名称及编号;</w:t>
      </w:r>
    </w:p>
    <w:p w14:paraId="7E7BC26B">
      <w:pPr>
        <w:spacing w:line="360" w:lineRule="auto"/>
        <w:ind w:firstLine="240" w:firstLineChars="100"/>
        <w:rPr>
          <w:rFonts w:eastAsia="仿宋"/>
          <w:sz w:val="24"/>
        </w:rPr>
      </w:pPr>
      <w:r>
        <w:rPr>
          <w:rFonts w:hint="eastAsia" w:eastAsia="仿宋"/>
          <w:sz w:val="24"/>
        </w:rPr>
        <w:t>(三)  质疑事项、质疑答复的具体内容、事实依据和法律依据；</w:t>
      </w:r>
    </w:p>
    <w:p w14:paraId="0B9E88FE">
      <w:pPr>
        <w:spacing w:line="360" w:lineRule="auto"/>
        <w:ind w:left="851" w:leftChars="68" w:hanging="708" w:hangingChars="295"/>
        <w:rPr>
          <w:rFonts w:eastAsia="仿宋"/>
          <w:sz w:val="24"/>
        </w:rPr>
      </w:pPr>
      <w:r>
        <w:rPr>
          <w:rFonts w:hint="eastAsia" w:eastAsia="仿宋"/>
          <w:sz w:val="24"/>
        </w:rPr>
        <w:t>（四）告知质疑人依法投诉的权利；</w:t>
      </w:r>
    </w:p>
    <w:p w14:paraId="3EA0A6B7">
      <w:pPr>
        <w:spacing w:line="360" w:lineRule="auto"/>
        <w:ind w:left="851" w:leftChars="68" w:hanging="708" w:hangingChars="295"/>
        <w:rPr>
          <w:rFonts w:eastAsia="仿宋"/>
          <w:sz w:val="24"/>
        </w:rPr>
      </w:pPr>
      <w:r>
        <w:rPr>
          <w:rFonts w:hint="eastAsia" w:eastAsia="仿宋"/>
          <w:sz w:val="24"/>
        </w:rPr>
        <w:t>（五）质疑答复日期。</w:t>
      </w:r>
    </w:p>
    <w:p w14:paraId="519B390E">
      <w:pPr>
        <w:spacing w:line="360" w:lineRule="auto"/>
        <w:ind w:left="851" w:leftChars="68" w:hanging="708" w:hangingChars="295"/>
        <w:rPr>
          <w:rFonts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14:paraId="446BA907">
      <w:pPr>
        <w:spacing w:line="360" w:lineRule="auto"/>
        <w:ind w:left="851" w:leftChars="68" w:hanging="708" w:hangingChars="295"/>
        <w:rPr>
          <w:rFonts w:eastAsia="仿宋"/>
          <w:sz w:val="24"/>
        </w:rPr>
      </w:pPr>
      <w:r>
        <w:rPr>
          <w:rFonts w:hint="eastAsia" w:eastAsia="仿宋"/>
          <w:sz w:val="24"/>
        </w:rPr>
        <w:t>（一）捏造事实；</w:t>
      </w:r>
    </w:p>
    <w:p w14:paraId="36A64BE7">
      <w:pPr>
        <w:spacing w:line="360" w:lineRule="auto"/>
        <w:ind w:left="851" w:leftChars="68" w:hanging="708" w:hangingChars="295"/>
        <w:rPr>
          <w:rFonts w:eastAsia="仿宋"/>
          <w:sz w:val="24"/>
        </w:rPr>
      </w:pPr>
      <w:r>
        <w:rPr>
          <w:rFonts w:hint="eastAsia" w:eastAsia="仿宋"/>
          <w:sz w:val="24"/>
        </w:rPr>
        <w:t>（二）提供虚假材料；</w:t>
      </w:r>
    </w:p>
    <w:p w14:paraId="7A30D8C5">
      <w:pPr>
        <w:spacing w:line="360" w:lineRule="auto"/>
        <w:ind w:left="851" w:leftChars="68" w:hanging="708" w:hangingChars="295"/>
        <w:rPr>
          <w:rFonts w:eastAsia="仿宋"/>
          <w:sz w:val="24"/>
        </w:rPr>
      </w:pPr>
      <w:r>
        <w:rPr>
          <w:rFonts w:hint="eastAsia" w:eastAsia="仿宋"/>
          <w:sz w:val="24"/>
        </w:rPr>
        <w:t>（三）以非法手段取得证明材料或者无法提供证据的合法来源；</w:t>
      </w:r>
    </w:p>
    <w:p w14:paraId="1C0D747D">
      <w:pPr>
        <w:spacing w:line="360" w:lineRule="auto"/>
        <w:ind w:left="851" w:leftChars="68" w:hanging="708" w:hangingChars="295"/>
        <w:rPr>
          <w:rFonts w:hint="eastAsia" w:eastAsia="仿宋"/>
          <w:sz w:val="24"/>
        </w:rPr>
      </w:pPr>
      <w:r>
        <w:rPr>
          <w:rFonts w:hint="eastAsia" w:eastAsia="仿宋"/>
          <w:sz w:val="24"/>
        </w:rPr>
        <w:t>（四）法律法规规定的其他违法情形。</w:t>
      </w:r>
    </w:p>
    <w:p w14:paraId="1B9826F2">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 投诉 </w:t>
      </w:r>
    </w:p>
    <w:p w14:paraId="5DC5CF08">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1</w:t>
      </w:r>
      <w:r>
        <w:rPr>
          <w:rFonts w:hint="eastAsia" w:eastAsia="仿宋"/>
          <w:sz w:val="24"/>
        </w:rPr>
        <w:t xml:space="preserve"> 质疑供应商对</w:t>
      </w:r>
      <w:r>
        <w:rPr>
          <w:rFonts w:hint="eastAsia" w:eastAsia="仿宋"/>
          <w:sz w:val="24"/>
          <w:lang w:val="en-US" w:eastAsia="zh-CN"/>
        </w:rPr>
        <w:t>质疑</w:t>
      </w:r>
      <w:r>
        <w:rPr>
          <w:rFonts w:hint="eastAsia" w:eastAsia="仿宋"/>
          <w:sz w:val="24"/>
        </w:rPr>
        <w:t>答复不满意，或者</w:t>
      </w:r>
      <w:r>
        <w:rPr>
          <w:rFonts w:hint="eastAsia" w:eastAsia="仿宋"/>
          <w:sz w:val="24"/>
          <w:lang w:val="en-US" w:eastAsia="zh-CN"/>
        </w:rPr>
        <w:t>地区</w:t>
      </w:r>
      <w:r>
        <w:rPr>
          <w:rFonts w:hint="eastAsia" w:eastAsia="仿宋"/>
          <w:sz w:val="24"/>
        </w:rPr>
        <w:t xml:space="preserve">公共资源交易中心未在规定时间内作出答复的，可以在答复期满后十五个工作日内向同级财政部门提起投诉。 </w:t>
      </w:r>
    </w:p>
    <w:p w14:paraId="0A2AEF0B">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2</w:t>
      </w:r>
      <w:r>
        <w:rPr>
          <w:rFonts w:hint="eastAsia" w:eastAsia="仿宋"/>
          <w:sz w:val="24"/>
        </w:rPr>
        <w:t xml:space="preserve"> 投诉人在全国范围12个月内三次以上投诉查无实据的，由财政部门列入不良行为记录名单。 </w:t>
      </w:r>
    </w:p>
    <w:p w14:paraId="398E1329">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.3投诉人有下列行为之一的，属于虚假、恶意投诉，由财政部门列入不良行为记录名单，禁止其1至3年内参加政府采购活动： </w:t>
      </w:r>
    </w:p>
    <w:p w14:paraId="7812D0E4">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1</w:t>
      </w:r>
      <w:r>
        <w:rPr>
          <w:rFonts w:hint="eastAsia" w:eastAsia="仿宋"/>
          <w:sz w:val="24"/>
        </w:rPr>
        <w:t xml:space="preserve"> 捏造事实； </w:t>
      </w:r>
    </w:p>
    <w:p w14:paraId="2BC70DC6">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2</w:t>
      </w:r>
      <w:r>
        <w:rPr>
          <w:rFonts w:hint="eastAsia" w:eastAsia="仿宋"/>
          <w:sz w:val="24"/>
        </w:rPr>
        <w:t xml:space="preserve"> 提供虚假材料； </w:t>
      </w:r>
    </w:p>
    <w:p w14:paraId="09EFEA33">
      <w:pPr>
        <w:spacing w:line="360" w:lineRule="auto"/>
        <w:ind w:left="851" w:leftChars="68" w:hanging="708" w:hangingChars="295"/>
        <w:rPr>
          <w:rFonts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.3</w:t>
      </w:r>
      <w:r>
        <w:rPr>
          <w:rFonts w:hint="eastAsia" w:eastAsia="仿宋"/>
          <w:sz w:val="24"/>
        </w:rPr>
        <w:t xml:space="preserve"> 以非法手段取得证明材料。证据来源的合法性存在明显疑问，投诉人无法证明其取得方式合法的，视为以非法手段取得证明材料。</w:t>
      </w:r>
    </w:p>
    <w:p w14:paraId="0FF2BBFD">
      <w:pPr>
        <w:spacing w:line="360" w:lineRule="auto"/>
        <w:ind w:left="851" w:leftChars="68" w:hanging="708" w:hangingChars="295"/>
        <w:rPr>
          <w:rFonts w:eastAsia="仿宋"/>
          <w:sz w:val="24"/>
        </w:rPr>
      </w:pPr>
      <w:r>
        <w:rPr>
          <w:rFonts w:hint="eastAsia" w:eastAsia="仿宋"/>
          <w:sz w:val="24"/>
        </w:rPr>
        <w:br w:type="page"/>
      </w:r>
    </w:p>
    <w:p w14:paraId="2C5018FD">
      <w:pPr>
        <w:spacing w:line="240" w:lineRule="atLeast"/>
        <w:ind w:left="861" w:leftChars="410" w:firstLine="2573" w:firstLineChars="801"/>
        <w:rPr>
          <w:rFonts w:ascii="仿宋_GB2312" w:eastAsia="仿宋_GB2312"/>
          <w:b/>
          <w:bCs/>
          <w:sz w:val="32"/>
          <w:szCs w:val="32"/>
        </w:rPr>
      </w:pPr>
      <w:r>
        <w:rPr>
          <w:rFonts w:hint="eastAsia" w:ascii="仿宋_GB2312" w:eastAsia="仿宋_GB2312"/>
          <w:b/>
          <w:bCs/>
          <w:sz w:val="32"/>
          <w:szCs w:val="32"/>
        </w:rPr>
        <w:t>质疑函范本</w:t>
      </w:r>
    </w:p>
    <w:p w14:paraId="745CBF9E">
      <w:pPr>
        <w:spacing w:line="240" w:lineRule="atLeast"/>
        <w:ind w:left="851" w:leftChars="68" w:hanging="708" w:hangingChars="295"/>
        <w:rPr>
          <w:rFonts w:ascii="仿宋" w:hAnsi="仿宋" w:eastAsia="仿宋"/>
          <w:sz w:val="24"/>
        </w:rPr>
      </w:pPr>
    </w:p>
    <w:p w14:paraId="1209D1C2">
      <w:pPr>
        <w:spacing w:line="240" w:lineRule="atLeast"/>
        <w:ind w:left="851" w:leftChars="68" w:hanging="708" w:hangingChars="295"/>
        <w:rPr>
          <w:rFonts w:ascii="仿宋" w:hAnsi="仿宋" w:eastAsia="仿宋"/>
          <w:sz w:val="24"/>
        </w:rPr>
      </w:pPr>
      <w:r>
        <w:rPr>
          <w:rFonts w:hint="eastAsia" w:ascii="仿宋" w:hAnsi="仿宋" w:eastAsia="仿宋"/>
          <w:sz w:val="24"/>
        </w:rPr>
        <w:t>一、质疑供应商基本信息</w:t>
      </w:r>
    </w:p>
    <w:p w14:paraId="69EDCA64">
      <w:pPr>
        <w:spacing w:line="240" w:lineRule="atLeast"/>
        <w:ind w:left="851" w:leftChars="68" w:hanging="708" w:hangingChars="295"/>
        <w:rPr>
          <w:rFonts w:ascii="仿宋" w:hAnsi="仿宋" w:eastAsia="仿宋"/>
          <w:sz w:val="24"/>
        </w:rPr>
      </w:pPr>
      <w:r>
        <w:rPr>
          <w:rFonts w:hint="eastAsia" w:ascii="仿宋" w:hAnsi="仿宋" w:eastAsia="仿宋"/>
          <w:sz w:val="24"/>
        </w:rPr>
        <w:t>质疑供应商：</w:t>
      </w:r>
    </w:p>
    <w:p w14:paraId="4AC826CA">
      <w:pPr>
        <w:spacing w:line="240" w:lineRule="atLeast"/>
        <w:ind w:left="851" w:leftChars="68" w:hanging="708" w:hangingChars="295"/>
        <w:rPr>
          <w:rFonts w:ascii="仿宋" w:hAnsi="仿宋" w:eastAsia="仿宋"/>
          <w:sz w:val="24"/>
        </w:rPr>
      </w:pPr>
      <w:r>
        <w:rPr>
          <w:rFonts w:hint="eastAsia" w:ascii="仿宋" w:hAnsi="仿宋" w:eastAsia="仿宋"/>
          <w:sz w:val="24"/>
        </w:rPr>
        <w:t>地址：邮编：</w:t>
      </w:r>
    </w:p>
    <w:p w14:paraId="2D757C20">
      <w:pPr>
        <w:spacing w:line="240" w:lineRule="atLeast"/>
        <w:ind w:left="851" w:leftChars="68" w:hanging="708" w:hangingChars="295"/>
        <w:rPr>
          <w:rFonts w:ascii="仿宋" w:hAnsi="仿宋" w:eastAsia="仿宋"/>
          <w:sz w:val="24"/>
        </w:rPr>
      </w:pPr>
      <w:r>
        <w:rPr>
          <w:rFonts w:hint="eastAsia" w:ascii="仿宋" w:hAnsi="仿宋" w:eastAsia="仿宋"/>
          <w:sz w:val="24"/>
        </w:rPr>
        <w:t>联系人：联系电话：</w:t>
      </w:r>
    </w:p>
    <w:p w14:paraId="66DBDA45">
      <w:pPr>
        <w:spacing w:line="240" w:lineRule="atLeast"/>
        <w:ind w:left="851" w:leftChars="68" w:hanging="708" w:hangingChars="295"/>
        <w:rPr>
          <w:rFonts w:ascii="仿宋" w:hAnsi="仿宋" w:eastAsia="仿宋"/>
          <w:sz w:val="24"/>
        </w:rPr>
      </w:pPr>
      <w:r>
        <w:rPr>
          <w:rFonts w:hint="eastAsia" w:ascii="仿宋" w:hAnsi="仿宋" w:eastAsia="仿宋"/>
          <w:sz w:val="24"/>
        </w:rPr>
        <w:t>授权代表：</w:t>
      </w:r>
    </w:p>
    <w:p w14:paraId="5CC1679B">
      <w:pPr>
        <w:spacing w:line="240" w:lineRule="atLeast"/>
        <w:ind w:left="851" w:leftChars="68" w:hanging="708" w:hangingChars="295"/>
        <w:rPr>
          <w:rFonts w:ascii="仿宋" w:hAnsi="仿宋" w:eastAsia="仿宋"/>
          <w:sz w:val="24"/>
        </w:rPr>
      </w:pPr>
      <w:r>
        <w:rPr>
          <w:rFonts w:hint="eastAsia" w:ascii="仿宋" w:hAnsi="仿宋" w:eastAsia="仿宋"/>
          <w:sz w:val="24"/>
        </w:rPr>
        <w:t>联系电话：</w:t>
      </w:r>
    </w:p>
    <w:p w14:paraId="70ED346B">
      <w:pPr>
        <w:spacing w:line="240" w:lineRule="atLeast"/>
        <w:ind w:left="851" w:leftChars="68" w:hanging="708" w:hangingChars="295"/>
        <w:rPr>
          <w:rFonts w:ascii="仿宋" w:hAnsi="仿宋" w:eastAsia="仿宋"/>
          <w:sz w:val="24"/>
        </w:rPr>
      </w:pPr>
      <w:r>
        <w:rPr>
          <w:rFonts w:hint="eastAsia" w:ascii="仿宋" w:hAnsi="仿宋" w:eastAsia="仿宋"/>
          <w:sz w:val="24"/>
        </w:rPr>
        <w:t>地址： 邮编：</w:t>
      </w:r>
    </w:p>
    <w:p w14:paraId="079FFBB9">
      <w:pPr>
        <w:spacing w:line="240" w:lineRule="atLeast"/>
        <w:ind w:left="851" w:leftChars="68" w:hanging="708" w:hangingChars="295"/>
        <w:rPr>
          <w:rFonts w:ascii="仿宋" w:hAnsi="仿宋" w:eastAsia="仿宋"/>
          <w:sz w:val="24"/>
        </w:rPr>
      </w:pPr>
      <w:r>
        <w:rPr>
          <w:rFonts w:hint="eastAsia" w:ascii="仿宋" w:hAnsi="仿宋" w:eastAsia="仿宋"/>
          <w:sz w:val="24"/>
        </w:rPr>
        <w:t>二、质疑项目基本情况</w:t>
      </w:r>
    </w:p>
    <w:p w14:paraId="0DDBEAD5">
      <w:pPr>
        <w:spacing w:line="240" w:lineRule="atLeast"/>
        <w:ind w:left="851" w:leftChars="68" w:hanging="708" w:hangingChars="295"/>
        <w:rPr>
          <w:rFonts w:ascii="仿宋" w:hAnsi="仿宋" w:eastAsia="仿宋"/>
          <w:sz w:val="24"/>
        </w:rPr>
      </w:pPr>
      <w:r>
        <w:rPr>
          <w:rFonts w:hint="eastAsia" w:ascii="仿宋" w:hAnsi="仿宋" w:eastAsia="仿宋"/>
          <w:sz w:val="24"/>
        </w:rPr>
        <w:t>质疑项目的名称：</w:t>
      </w:r>
    </w:p>
    <w:p w14:paraId="5AAA6BF4">
      <w:pPr>
        <w:spacing w:line="240" w:lineRule="atLeast"/>
        <w:ind w:left="851" w:leftChars="68" w:hanging="708" w:hangingChars="295"/>
        <w:rPr>
          <w:rFonts w:ascii="仿宋" w:hAnsi="仿宋" w:eastAsia="仿宋"/>
          <w:sz w:val="24"/>
        </w:rPr>
      </w:pPr>
      <w:r>
        <w:rPr>
          <w:rFonts w:hint="eastAsia" w:ascii="仿宋" w:hAnsi="仿宋" w:eastAsia="仿宋"/>
          <w:sz w:val="24"/>
        </w:rPr>
        <w:t>质疑项目的编号：包号：</w:t>
      </w:r>
    </w:p>
    <w:p w14:paraId="7CE01032">
      <w:pPr>
        <w:spacing w:line="240" w:lineRule="atLeast"/>
        <w:ind w:left="851" w:leftChars="68" w:hanging="708" w:hangingChars="295"/>
        <w:rPr>
          <w:rFonts w:ascii="仿宋" w:hAnsi="仿宋" w:eastAsia="仿宋"/>
          <w:sz w:val="24"/>
        </w:rPr>
      </w:pPr>
      <w:r>
        <w:rPr>
          <w:rFonts w:hint="eastAsia" w:ascii="仿宋" w:hAnsi="仿宋" w:eastAsia="仿宋"/>
          <w:sz w:val="24"/>
        </w:rPr>
        <w:t>采购人名称：</w:t>
      </w:r>
    </w:p>
    <w:p w14:paraId="1F0EA79C">
      <w:pPr>
        <w:spacing w:line="240" w:lineRule="atLeast"/>
        <w:ind w:left="851" w:leftChars="68" w:hanging="708" w:hangingChars="295"/>
        <w:rPr>
          <w:rFonts w:ascii="仿宋" w:hAnsi="仿宋" w:eastAsia="仿宋"/>
          <w:sz w:val="24"/>
        </w:rPr>
      </w:pPr>
      <w:r>
        <w:rPr>
          <w:rFonts w:hint="eastAsia" w:ascii="仿宋" w:hAnsi="仿宋" w:eastAsia="仿宋"/>
          <w:sz w:val="24"/>
        </w:rPr>
        <w:t>采购文件获取日期：</w:t>
      </w:r>
    </w:p>
    <w:p w14:paraId="201ACCF5">
      <w:pPr>
        <w:spacing w:line="240" w:lineRule="atLeast"/>
        <w:ind w:left="851" w:leftChars="68" w:hanging="708" w:hangingChars="295"/>
        <w:rPr>
          <w:rFonts w:ascii="仿宋" w:hAnsi="仿宋" w:eastAsia="仿宋"/>
          <w:sz w:val="24"/>
        </w:rPr>
      </w:pPr>
      <w:r>
        <w:rPr>
          <w:rFonts w:hint="eastAsia" w:ascii="仿宋" w:hAnsi="仿宋" w:eastAsia="仿宋"/>
          <w:sz w:val="24"/>
        </w:rPr>
        <w:t>三、质疑事项具体内容</w:t>
      </w:r>
    </w:p>
    <w:p w14:paraId="22E317FC">
      <w:pPr>
        <w:spacing w:line="240" w:lineRule="atLeast"/>
        <w:ind w:left="851" w:leftChars="68" w:hanging="708" w:hangingChars="295"/>
        <w:rPr>
          <w:rFonts w:ascii="仿宋" w:hAnsi="仿宋" w:eastAsia="仿宋"/>
          <w:sz w:val="24"/>
        </w:rPr>
      </w:pPr>
      <w:r>
        <w:rPr>
          <w:rFonts w:hint="eastAsia" w:ascii="仿宋" w:hAnsi="仿宋" w:eastAsia="仿宋"/>
          <w:sz w:val="24"/>
        </w:rPr>
        <w:t>质疑事项1：</w:t>
      </w:r>
    </w:p>
    <w:p w14:paraId="5CB034A2">
      <w:pPr>
        <w:spacing w:line="240" w:lineRule="atLeast"/>
        <w:ind w:left="851" w:leftChars="68" w:hanging="708" w:hangingChars="295"/>
        <w:rPr>
          <w:rFonts w:ascii="仿宋" w:hAnsi="仿宋" w:eastAsia="仿宋"/>
          <w:sz w:val="24"/>
        </w:rPr>
      </w:pPr>
      <w:r>
        <w:rPr>
          <w:rFonts w:hint="eastAsia" w:ascii="仿宋" w:hAnsi="仿宋" w:eastAsia="仿宋"/>
          <w:sz w:val="24"/>
        </w:rPr>
        <w:t>事实依据：</w:t>
      </w:r>
    </w:p>
    <w:p w14:paraId="3B8D5A20">
      <w:pPr>
        <w:spacing w:line="240" w:lineRule="atLeast"/>
        <w:ind w:left="851" w:leftChars="68" w:hanging="708" w:hangingChars="295"/>
        <w:rPr>
          <w:rFonts w:ascii="仿宋" w:hAnsi="仿宋" w:eastAsia="仿宋"/>
          <w:sz w:val="24"/>
        </w:rPr>
      </w:pPr>
      <w:r>
        <w:rPr>
          <w:rFonts w:hint="eastAsia" w:ascii="仿宋" w:hAnsi="仿宋" w:eastAsia="仿宋"/>
          <w:sz w:val="24"/>
        </w:rPr>
        <w:t>法律依据：</w:t>
      </w:r>
    </w:p>
    <w:p w14:paraId="67299466">
      <w:pPr>
        <w:spacing w:line="240" w:lineRule="atLeast"/>
        <w:ind w:left="851" w:leftChars="68" w:hanging="708" w:hangingChars="295"/>
        <w:rPr>
          <w:rFonts w:ascii="仿宋" w:hAnsi="仿宋" w:eastAsia="仿宋"/>
          <w:sz w:val="24"/>
        </w:rPr>
      </w:pPr>
      <w:r>
        <w:rPr>
          <w:rFonts w:hint="eastAsia" w:ascii="仿宋" w:hAnsi="仿宋" w:eastAsia="仿宋"/>
          <w:sz w:val="24"/>
        </w:rPr>
        <w:t>质疑事项2</w:t>
      </w:r>
    </w:p>
    <w:p w14:paraId="4952FF4B">
      <w:pPr>
        <w:spacing w:line="240" w:lineRule="atLeast"/>
        <w:ind w:left="851" w:leftChars="68" w:hanging="708" w:hangingChars="295"/>
        <w:rPr>
          <w:rFonts w:ascii="仿宋" w:hAnsi="仿宋" w:eastAsia="仿宋"/>
          <w:sz w:val="24"/>
        </w:rPr>
      </w:pPr>
      <w:r>
        <w:rPr>
          <w:rFonts w:hint="eastAsia" w:ascii="仿宋" w:hAnsi="仿宋" w:eastAsia="仿宋"/>
          <w:sz w:val="24"/>
        </w:rPr>
        <w:t>……</w:t>
      </w:r>
    </w:p>
    <w:p w14:paraId="67FDA8AD">
      <w:pPr>
        <w:spacing w:line="240" w:lineRule="atLeast"/>
        <w:ind w:left="851" w:leftChars="68" w:hanging="708" w:hangingChars="295"/>
        <w:rPr>
          <w:rFonts w:ascii="仿宋" w:hAnsi="仿宋" w:eastAsia="仿宋"/>
          <w:sz w:val="24"/>
        </w:rPr>
      </w:pPr>
      <w:r>
        <w:rPr>
          <w:rFonts w:hint="eastAsia" w:ascii="仿宋" w:hAnsi="仿宋" w:eastAsia="仿宋"/>
          <w:sz w:val="24"/>
        </w:rPr>
        <w:t>四、与质疑事项相关的质疑请求</w:t>
      </w:r>
    </w:p>
    <w:p w14:paraId="4C821C94">
      <w:pPr>
        <w:spacing w:line="240" w:lineRule="atLeast"/>
        <w:ind w:left="851" w:leftChars="68" w:hanging="708" w:hangingChars="295"/>
        <w:rPr>
          <w:rFonts w:ascii="仿宋" w:hAnsi="仿宋" w:eastAsia="仿宋"/>
          <w:sz w:val="24"/>
        </w:rPr>
      </w:pPr>
      <w:r>
        <w:rPr>
          <w:rFonts w:hint="eastAsia" w:ascii="仿宋" w:hAnsi="仿宋" w:eastAsia="仿宋"/>
          <w:sz w:val="24"/>
        </w:rPr>
        <w:t>请求：</w:t>
      </w:r>
    </w:p>
    <w:p w14:paraId="0EC5CEF4">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签字(签章)：                   公章：                      </w:t>
      </w:r>
    </w:p>
    <w:p w14:paraId="26457257">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日期：    </w:t>
      </w:r>
    </w:p>
    <w:p w14:paraId="739E14E3">
      <w:pPr>
        <w:spacing w:line="240" w:lineRule="atLeast"/>
        <w:ind w:left="851" w:leftChars="68" w:hanging="708" w:hangingChars="295"/>
        <w:rPr>
          <w:rFonts w:hint="eastAsia" w:ascii="仿宋" w:hAnsi="仿宋" w:eastAsia="仿宋"/>
          <w:sz w:val="24"/>
        </w:rPr>
      </w:pPr>
    </w:p>
    <w:p w14:paraId="27118756">
      <w:pPr>
        <w:spacing w:line="240" w:lineRule="atLeast"/>
        <w:ind w:left="851" w:leftChars="68" w:hanging="708" w:hangingChars="295"/>
        <w:rPr>
          <w:rFonts w:hint="eastAsia" w:ascii="仿宋" w:hAnsi="仿宋" w:eastAsia="仿宋"/>
          <w:sz w:val="24"/>
        </w:rPr>
      </w:pPr>
    </w:p>
    <w:p w14:paraId="46D6734B">
      <w:pPr>
        <w:spacing w:line="240" w:lineRule="atLeast"/>
        <w:ind w:left="851" w:leftChars="68" w:hanging="708" w:hangingChars="295"/>
        <w:rPr>
          <w:rFonts w:hint="eastAsia" w:ascii="仿宋" w:hAnsi="仿宋" w:eastAsia="仿宋"/>
          <w:sz w:val="24"/>
        </w:rPr>
      </w:pPr>
    </w:p>
    <w:p w14:paraId="47F3D6AB">
      <w:pPr>
        <w:spacing w:line="240" w:lineRule="atLeast"/>
        <w:ind w:left="851" w:leftChars="68" w:hanging="708" w:hangingChars="295"/>
        <w:rPr>
          <w:rFonts w:ascii="仿宋" w:hAnsi="仿宋" w:eastAsia="仿宋"/>
          <w:sz w:val="24"/>
        </w:rPr>
      </w:pPr>
      <w:r>
        <w:rPr>
          <w:rFonts w:hint="eastAsia" w:ascii="仿宋" w:hAnsi="仿宋" w:eastAsia="仿宋"/>
          <w:sz w:val="24"/>
        </w:rPr>
        <w:t>质疑函制作说明：</w:t>
      </w:r>
    </w:p>
    <w:p w14:paraId="3A701668">
      <w:pPr>
        <w:spacing w:line="240" w:lineRule="atLeast"/>
        <w:ind w:left="851" w:leftChars="68" w:hanging="708" w:hangingChars="295"/>
        <w:rPr>
          <w:rFonts w:ascii="仿宋" w:hAnsi="仿宋" w:eastAsia="仿宋"/>
          <w:sz w:val="24"/>
        </w:rPr>
      </w:pPr>
      <w:r>
        <w:rPr>
          <w:rFonts w:hint="eastAsia" w:ascii="仿宋" w:hAnsi="仿宋" w:eastAsia="仿宋"/>
          <w:sz w:val="24"/>
        </w:rPr>
        <w:t>1.供应商提出质疑时，应提交质疑函和必要的证明材料。</w:t>
      </w:r>
    </w:p>
    <w:p w14:paraId="453BFCB2">
      <w:pPr>
        <w:spacing w:line="240" w:lineRule="atLeast"/>
        <w:ind w:left="851" w:leftChars="68" w:hanging="708" w:hangingChars="295"/>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CA2BC1">
      <w:pPr>
        <w:spacing w:line="240" w:lineRule="atLeast"/>
        <w:ind w:left="851" w:leftChars="68" w:hanging="708" w:hangingChars="295"/>
        <w:rPr>
          <w:rFonts w:ascii="仿宋" w:hAnsi="仿宋" w:eastAsia="仿宋"/>
          <w:sz w:val="24"/>
        </w:rPr>
      </w:pPr>
      <w:r>
        <w:rPr>
          <w:rFonts w:hint="eastAsia" w:ascii="仿宋" w:hAnsi="仿宋" w:eastAsia="仿宋"/>
          <w:sz w:val="24"/>
        </w:rPr>
        <w:t>3.质疑供应商若对项目的某一分包进行质疑，质疑函中应列明具体分包号。</w:t>
      </w:r>
    </w:p>
    <w:p w14:paraId="1402F1DC">
      <w:pPr>
        <w:spacing w:line="240" w:lineRule="atLeast"/>
        <w:ind w:left="851" w:leftChars="68" w:hanging="708" w:hangingChars="295"/>
        <w:rPr>
          <w:rFonts w:ascii="仿宋" w:hAnsi="仿宋" w:eastAsia="仿宋"/>
          <w:sz w:val="24"/>
        </w:rPr>
      </w:pPr>
      <w:r>
        <w:rPr>
          <w:rFonts w:hint="eastAsia" w:ascii="仿宋" w:hAnsi="仿宋" w:eastAsia="仿宋"/>
          <w:sz w:val="24"/>
        </w:rPr>
        <w:t>4.质疑函的质疑事项应具体、明确，并有必要的事实依据和法律依据。</w:t>
      </w:r>
    </w:p>
    <w:p w14:paraId="13B448FB">
      <w:pPr>
        <w:spacing w:line="240" w:lineRule="atLeast"/>
        <w:ind w:left="851" w:leftChars="68" w:hanging="708" w:hangingChars="295"/>
        <w:rPr>
          <w:rFonts w:ascii="仿宋" w:hAnsi="仿宋" w:eastAsia="仿宋"/>
          <w:sz w:val="24"/>
        </w:rPr>
      </w:pPr>
      <w:r>
        <w:rPr>
          <w:rFonts w:hint="eastAsia" w:ascii="仿宋" w:hAnsi="仿宋" w:eastAsia="仿宋"/>
          <w:sz w:val="24"/>
        </w:rPr>
        <w:t>5.质疑函的质疑请求应与质疑事项相关。</w:t>
      </w:r>
    </w:p>
    <w:p w14:paraId="2C4846A2">
      <w:pPr>
        <w:spacing w:line="240" w:lineRule="atLeast"/>
        <w:ind w:left="851" w:leftChars="68" w:hanging="708" w:hangingChars="295"/>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0849194A">
      <w:pPr>
        <w:pStyle w:val="34"/>
        <w:spacing w:before="0" w:line="400" w:lineRule="atLeast"/>
        <w:jc w:val="both"/>
        <w:rPr>
          <w:rFonts w:eastAsia="仿宋"/>
        </w:rPr>
      </w:pPr>
      <w:bookmarkStart w:id="259" w:name="_Toc15732"/>
      <w:bookmarkEnd w:id="259"/>
      <w:bookmarkStart w:id="260" w:name="_Toc28552"/>
      <w:bookmarkEnd w:id="260"/>
      <w:bookmarkStart w:id="261" w:name="_Toc518923103"/>
      <w:bookmarkEnd w:id="261"/>
      <w:bookmarkStart w:id="262" w:name="_Toc23883"/>
      <w:bookmarkEnd w:id="262"/>
      <w:bookmarkStart w:id="263" w:name="_Toc10881"/>
      <w:bookmarkEnd w:id="263"/>
      <w:r>
        <w:rPr>
          <w:rFonts w:eastAsia="仿宋"/>
        </w:rPr>
        <w:br w:type="page"/>
      </w:r>
      <w:r>
        <w:rPr>
          <w:rFonts w:eastAsia="仿宋"/>
          <w:szCs w:val="24"/>
        </w:rPr>
        <w:t>附件1：履约保证金保函（格式）</w:t>
      </w:r>
    </w:p>
    <w:p w14:paraId="2F1561CC">
      <w:pPr>
        <w:pStyle w:val="44"/>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14:paraId="7B07DBE7">
      <w:pPr>
        <w:pStyle w:val="44"/>
        <w:spacing w:line="400" w:lineRule="atLeast"/>
        <w:ind w:left="1080" w:leftChars="257" w:hanging="540"/>
        <w:rPr>
          <w:rFonts w:ascii="Times New Roman" w:hAnsi="Times New Roman" w:eastAsia="仿宋"/>
          <w:b/>
          <w:sz w:val="24"/>
        </w:rPr>
      </w:pPr>
    </w:p>
    <w:p w14:paraId="2F1FC83E">
      <w:pPr>
        <w:pStyle w:val="44"/>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7DFAC74D">
      <w:pPr>
        <w:pStyle w:val="44"/>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14:paraId="0DCFF10E">
      <w:pPr>
        <w:pStyle w:val="44"/>
        <w:spacing w:line="400" w:lineRule="atLeast"/>
        <w:ind w:left="1080" w:leftChars="257" w:hanging="540"/>
        <w:jc w:val="center"/>
        <w:rPr>
          <w:rFonts w:ascii="Times New Roman" w:hAnsi="Times New Roman" w:eastAsia="仿宋"/>
          <w:sz w:val="24"/>
        </w:rPr>
      </w:pPr>
    </w:p>
    <w:p w14:paraId="6D976633">
      <w:pPr>
        <w:pStyle w:val="44"/>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479AA852">
      <w:pPr>
        <w:pStyle w:val="44"/>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14:paraId="0ADD677F">
      <w:pPr>
        <w:pStyle w:val="44"/>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73731DC7">
      <w:pPr>
        <w:pStyle w:val="44"/>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0289161C">
      <w:pPr>
        <w:pStyle w:val="44"/>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3AF1B2A">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541929A6">
      <w:pPr>
        <w:pStyle w:val="44"/>
        <w:spacing w:line="400" w:lineRule="atLeast"/>
        <w:ind w:left="1080" w:leftChars="257" w:hanging="540"/>
        <w:rPr>
          <w:rFonts w:ascii="Times New Roman" w:hAnsi="Times New Roman" w:eastAsia="仿宋"/>
          <w:sz w:val="24"/>
        </w:rPr>
      </w:pPr>
    </w:p>
    <w:p w14:paraId="49D5DB5E">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2346B74F">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14:paraId="79EFFFB6">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签字人姓名和职务：</w:t>
      </w:r>
    </w:p>
    <w:p w14:paraId="4BC96A65">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14:paraId="08AFD39A">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公章：</w:t>
      </w:r>
    </w:p>
    <w:p w14:paraId="67EB73FE">
      <w:pPr>
        <w:pStyle w:val="34"/>
        <w:spacing w:before="0" w:line="400" w:lineRule="atLeast"/>
        <w:ind w:left="1080" w:leftChars="257" w:hanging="540"/>
        <w:rPr>
          <w:rFonts w:eastAsia="仿宋"/>
        </w:rPr>
      </w:pPr>
      <w:bookmarkStart w:id="264" w:name="_Toc18040"/>
      <w:bookmarkEnd w:id="264"/>
      <w:bookmarkStart w:id="265" w:name="_Toc6418"/>
      <w:bookmarkEnd w:id="265"/>
      <w:bookmarkStart w:id="266" w:name="_Toc27788"/>
      <w:bookmarkEnd w:id="266"/>
      <w:bookmarkStart w:id="267" w:name="_Toc518923104"/>
      <w:bookmarkEnd w:id="267"/>
      <w:bookmarkStart w:id="268" w:name="_Toc26765"/>
      <w:bookmarkEnd w:id="268"/>
      <w:r>
        <w:rPr>
          <w:rFonts w:eastAsia="仿宋"/>
        </w:rPr>
        <w:br w:type="page"/>
      </w:r>
      <w:r>
        <w:rPr>
          <w:rFonts w:eastAsia="仿宋"/>
          <w:szCs w:val="24"/>
        </w:rPr>
        <w:t>附件2：履约担保函格式</w:t>
      </w:r>
    </w:p>
    <w:p w14:paraId="0A964A80">
      <w:pPr>
        <w:pStyle w:val="34"/>
        <w:spacing w:before="0" w:line="360" w:lineRule="auto"/>
        <w:ind w:left="1080" w:leftChars="257" w:hanging="540"/>
        <w:rPr>
          <w:rFonts w:eastAsia="仿宋"/>
          <w:szCs w:val="24"/>
        </w:rPr>
      </w:pPr>
      <w:bookmarkStart w:id="269" w:name="_Toc515904842"/>
      <w:bookmarkEnd w:id="269"/>
      <w:bookmarkStart w:id="270" w:name="_Toc30995"/>
      <w:bookmarkEnd w:id="270"/>
      <w:bookmarkStart w:id="271" w:name="_Toc13619"/>
      <w:bookmarkEnd w:id="271"/>
      <w:bookmarkStart w:id="272" w:name="_Toc21521"/>
      <w:bookmarkEnd w:id="272"/>
      <w:bookmarkStart w:id="273" w:name="_Toc518923105"/>
      <w:bookmarkEnd w:id="273"/>
      <w:bookmarkStart w:id="274" w:name="_Toc765"/>
      <w:bookmarkEnd w:id="274"/>
      <w:r>
        <w:rPr>
          <w:rFonts w:eastAsia="仿宋"/>
          <w:szCs w:val="24"/>
        </w:rPr>
        <w:t>（采用政府采购信用担保形式时使用）</w:t>
      </w:r>
    </w:p>
    <w:p w14:paraId="679BAD97">
      <w:pPr>
        <w:spacing w:line="240" w:lineRule="atLeast"/>
        <w:jc w:val="center"/>
        <w:rPr>
          <w:rFonts w:eastAsia="仿宋"/>
          <w:sz w:val="24"/>
        </w:rPr>
      </w:pPr>
      <w:r>
        <w:rPr>
          <w:rFonts w:eastAsia="仿宋"/>
          <w:sz w:val="24"/>
        </w:rPr>
        <w:t>政府采购履约担保函（项目用）</w:t>
      </w:r>
    </w:p>
    <w:p w14:paraId="1C8BF750">
      <w:pPr>
        <w:spacing w:line="240" w:lineRule="atLeast"/>
        <w:rPr>
          <w:rFonts w:eastAsia="仿宋"/>
          <w:sz w:val="24"/>
        </w:rPr>
      </w:pPr>
      <w:r>
        <w:rPr>
          <w:rFonts w:eastAsia="仿宋"/>
          <w:sz w:val="24"/>
        </w:rPr>
        <w:t>编号：</w:t>
      </w:r>
    </w:p>
    <w:p w14:paraId="0E54F683">
      <w:pPr>
        <w:spacing w:line="240" w:lineRule="atLeast"/>
        <w:rPr>
          <w:rFonts w:eastAsia="仿宋"/>
          <w:sz w:val="24"/>
        </w:rPr>
      </w:pPr>
      <w:r>
        <w:rPr>
          <w:rFonts w:eastAsia="仿宋"/>
          <w:sz w:val="24"/>
        </w:rPr>
        <w:t>（采购人）：</w:t>
      </w:r>
    </w:p>
    <w:p w14:paraId="78830B02">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14:paraId="4CEBB735">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14:paraId="5ECBF0B6">
      <w:pPr>
        <w:spacing w:line="240" w:lineRule="atLeast"/>
        <w:ind w:firstLine="480" w:firstLineChars="200"/>
        <w:rPr>
          <w:rFonts w:eastAsia="仿宋"/>
          <w:sz w:val="24"/>
        </w:rPr>
      </w:pPr>
      <w:r>
        <w:rPr>
          <w:rFonts w:eastAsia="仿宋"/>
          <w:sz w:val="24"/>
        </w:rPr>
        <w:t>一、保证责任的情形及保证金额</w:t>
      </w:r>
    </w:p>
    <w:p w14:paraId="77C70D31">
      <w:pPr>
        <w:spacing w:line="240" w:lineRule="atLeast"/>
        <w:ind w:firstLine="480" w:firstLineChars="200"/>
        <w:rPr>
          <w:rFonts w:eastAsia="仿宋"/>
          <w:sz w:val="24"/>
        </w:rPr>
      </w:pPr>
      <w:r>
        <w:rPr>
          <w:rFonts w:eastAsia="仿宋"/>
          <w:sz w:val="24"/>
        </w:rPr>
        <w:t>（一）在供应商出现下列情形之一时，我方承担保证责任：</w:t>
      </w:r>
    </w:p>
    <w:p w14:paraId="284CE5CF">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67D27CDB">
      <w:pPr>
        <w:spacing w:line="240" w:lineRule="atLeast"/>
        <w:ind w:firstLine="480" w:firstLineChars="200"/>
        <w:rPr>
          <w:rFonts w:eastAsia="仿宋"/>
          <w:sz w:val="24"/>
        </w:rPr>
      </w:pPr>
      <w:r>
        <w:rPr>
          <w:rFonts w:eastAsia="仿宋"/>
          <w:sz w:val="24"/>
        </w:rPr>
        <w:t xml:space="preserve">2．主合同约定的应当缴纳履约保证金的情形: </w:t>
      </w:r>
    </w:p>
    <w:p w14:paraId="704EDBA3">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517BD445">
      <w:pPr>
        <w:spacing w:line="240" w:lineRule="atLeast"/>
        <w:ind w:firstLine="480" w:firstLineChars="200"/>
        <w:rPr>
          <w:rFonts w:eastAsia="仿宋"/>
          <w:sz w:val="24"/>
        </w:rPr>
      </w:pPr>
      <w:r>
        <w:rPr>
          <w:rFonts w:eastAsia="仿宋"/>
          <w:sz w:val="24"/>
        </w:rPr>
        <w:t>（2）。</w:t>
      </w:r>
    </w:p>
    <w:p w14:paraId="04DB147A">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14:paraId="5807F1AB">
      <w:pPr>
        <w:spacing w:line="240" w:lineRule="atLeast"/>
        <w:ind w:firstLine="480" w:firstLineChars="200"/>
        <w:rPr>
          <w:rFonts w:eastAsia="仿宋"/>
          <w:sz w:val="24"/>
        </w:rPr>
      </w:pPr>
      <w:r>
        <w:rPr>
          <w:rFonts w:eastAsia="仿宋"/>
          <w:sz w:val="24"/>
        </w:rPr>
        <w:t>二、保证的方式及保证期间</w:t>
      </w:r>
    </w:p>
    <w:p w14:paraId="7EDEDAEF">
      <w:pPr>
        <w:spacing w:line="240" w:lineRule="atLeast"/>
        <w:ind w:firstLine="480" w:firstLineChars="200"/>
        <w:rPr>
          <w:rFonts w:eastAsia="仿宋"/>
          <w:sz w:val="24"/>
        </w:rPr>
      </w:pPr>
      <w:r>
        <w:rPr>
          <w:rFonts w:eastAsia="仿宋"/>
          <w:sz w:val="24"/>
        </w:rPr>
        <w:t>我方保证的方式为：连带责任保证。</w:t>
      </w:r>
    </w:p>
    <w:p w14:paraId="3DEDE1BC">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14:paraId="75EEF8BF">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668FBA06">
      <w:pPr>
        <w:spacing w:line="240" w:lineRule="atLeast"/>
        <w:ind w:firstLine="480" w:firstLineChars="200"/>
        <w:rPr>
          <w:rFonts w:eastAsia="仿宋"/>
          <w:sz w:val="24"/>
        </w:rPr>
      </w:pPr>
      <w:r>
        <w:rPr>
          <w:rFonts w:eastAsia="仿宋"/>
          <w:sz w:val="24"/>
        </w:rPr>
        <w:t>三、承担保证责任的程序</w:t>
      </w:r>
    </w:p>
    <w:p w14:paraId="7A018569">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15971D0E">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2B4335A0">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14:paraId="2689BB00">
      <w:pPr>
        <w:spacing w:line="240" w:lineRule="atLeast"/>
        <w:ind w:firstLine="480" w:firstLineChars="200"/>
        <w:rPr>
          <w:rFonts w:eastAsia="仿宋"/>
          <w:sz w:val="24"/>
        </w:rPr>
      </w:pPr>
      <w:r>
        <w:rPr>
          <w:rFonts w:eastAsia="仿宋"/>
          <w:sz w:val="24"/>
        </w:rPr>
        <w:t>四、保证责任的终止</w:t>
      </w:r>
    </w:p>
    <w:p w14:paraId="5F88A7BB">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D599C0A">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2FAB95FC">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0A2FA18C">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F88CE1E">
      <w:pPr>
        <w:spacing w:line="240" w:lineRule="atLeast"/>
        <w:ind w:firstLine="480" w:firstLineChars="200"/>
        <w:rPr>
          <w:rFonts w:eastAsia="仿宋"/>
          <w:sz w:val="24"/>
        </w:rPr>
      </w:pPr>
      <w:r>
        <w:rPr>
          <w:rFonts w:eastAsia="仿宋"/>
          <w:sz w:val="24"/>
        </w:rPr>
        <w:t>五、免责条款</w:t>
      </w:r>
    </w:p>
    <w:p w14:paraId="681566F0">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596ABD55">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65A3D869">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3E85431E">
      <w:pPr>
        <w:spacing w:line="240" w:lineRule="atLeast"/>
        <w:ind w:firstLine="480" w:firstLineChars="200"/>
        <w:rPr>
          <w:rFonts w:eastAsia="仿宋"/>
          <w:sz w:val="24"/>
        </w:rPr>
      </w:pPr>
      <w:r>
        <w:rPr>
          <w:rFonts w:eastAsia="仿宋"/>
          <w:sz w:val="24"/>
        </w:rPr>
        <w:t>六、争议的解决</w:t>
      </w:r>
    </w:p>
    <w:p w14:paraId="328C5B34">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14:paraId="497AAD8B">
      <w:pPr>
        <w:spacing w:line="240" w:lineRule="atLeast"/>
        <w:ind w:firstLine="480" w:firstLineChars="200"/>
        <w:rPr>
          <w:rFonts w:eastAsia="仿宋"/>
          <w:sz w:val="24"/>
        </w:rPr>
      </w:pPr>
      <w:r>
        <w:rPr>
          <w:rFonts w:eastAsia="仿宋"/>
          <w:sz w:val="24"/>
        </w:rPr>
        <w:t>七、保函的生效</w:t>
      </w:r>
    </w:p>
    <w:p w14:paraId="25078B8B">
      <w:pPr>
        <w:spacing w:line="240" w:lineRule="atLeast"/>
        <w:ind w:firstLine="480" w:firstLineChars="200"/>
        <w:rPr>
          <w:rFonts w:eastAsia="仿宋"/>
          <w:sz w:val="24"/>
        </w:rPr>
      </w:pPr>
      <w:r>
        <w:rPr>
          <w:rFonts w:eastAsia="仿宋"/>
          <w:sz w:val="24"/>
        </w:rPr>
        <w:t>本保函自我方加盖公章之日起生效。</w:t>
      </w:r>
    </w:p>
    <w:p w14:paraId="5DE5E189">
      <w:pPr>
        <w:spacing w:line="240" w:lineRule="atLeast"/>
        <w:rPr>
          <w:rFonts w:eastAsia="仿宋"/>
          <w:sz w:val="24"/>
        </w:rPr>
      </w:pPr>
    </w:p>
    <w:p w14:paraId="4763A81F">
      <w:pPr>
        <w:spacing w:line="240" w:lineRule="atLeast"/>
        <w:ind w:firstLine="6240" w:firstLineChars="2600"/>
        <w:rPr>
          <w:rFonts w:eastAsia="仿宋"/>
          <w:sz w:val="24"/>
        </w:rPr>
      </w:pPr>
      <w:r>
        <w:rPr>
          <w:rFonts w:eastAsia="仿宋"/>
          <w:sz w:val="24"/>
        </w:rPr>
        <w:t>保证人：（公章）</w:t>
      </w:r>
    </w:p>
    <w:p w14:paraId="0BE825CE">
      <w:pPr>
        <w:spacing w:line="240" w:lineRule="atLeast"/>
        <w:ind w:firstLine="6480" w:firstLineChars="2700"/>
        <w:rPr>
          <w:rFonts w:eastAsia="仿宋"/>
          <w:sz w:val="24"/>
        </w:rPr>
      </w:pPr>
      <w:r>
        <w:rPr>
          <w:rFonts w:eastAsia="仿宋"/>
          <w:sz w:val="24"/>
        </w:rPr>
        <w:t>年</w:t>
      </w:r>
      <w:r>
        <w:rPr>
          <w:rFonts w:hint="eastAsia" w:eastAsia="仿宋"/>
          <w:sz w:val="24"/>
        </w:rPr>
        <w:t xml:space="preserve"> </w:t>
      </w:r>
      <w:r>
        <w:rPr>
          <w:rFonts w:eastAsia="仿宋"/>
          <w:sz w:val="24"/>
        </w:rPr>
        <w:t>月</w:t>
      </w:r>
      <w:r>
        <w:rPr>
          <w:rFonts w:hint="eastAsia" w:eastAsia="仿宋"/>
          <w:sz w:val="24"/>
        </w:rPr>
        <w:t xml:space="preserve"> </w:t>
      </w:r>
      <w:r>
        <w:rPr>
          <w:rFonts w:eastAsia="仿宋"/>
          <w:sz w:val="24"/>
        </w:rPr>
        <w:t>日</w:t>
      </w:r>
    </w:p>
    <w:p w14:paraId="3C211599">
      <w:pPr>
        <w:pStyle w:val="39"/>
        <w:spacing w:line="360" w:lineRule="auto"/>
        <w:ind w:firstLine="0"/>
        <w:rPr>
          <w:rFonts w:ascii="Times New Roman" w:eastAsia="仿宋"/>
          <w:b/>
        </w:rPr>
      </w:pPr>
      <w:r>
        <w:rPr>
          <w:rFonts w:ascii="Times New Roman" w:eastAsia="仿宋"/>
          <w:b/>
        </w:rPr>
        <w:br w:type="page"/>
      </w:r>
    </w:p>
    <w:p w14:paraId="7AB785D4">
      <w:pPr>
        <w:pStyle w:val="33"/>
        <w:spacing w:before="0" w:after="0" w:line="360" w:lineRule="auto"/>
        <w:rPr>
          <w:rFonts w:ascii="Times New Roman" w:eastAsia="仿宋"/>
        </w:rPr>
      </w:pPr>
      <w:bookmarkStart w:id="275" w:name="_Toc26371"/>
      <w:bookmarkEnd w:id="275"/>
      <w:bookmarkStart w:id="276" w:name="_Toc12170"/>
      <w:bookmarkEnd w:id="276"/>
      <w:bookmarkStart w:id="277" w:name="_Toc216582812"/>
      <w:bookmarkEnd w:id="277"/>
      <w:bookmarkStart w:id="278" w:name="_Toc22884"/>
      <w:bookmarkEnd w:id="278"/>
      <w:bookmarkStart w:id="279" w:name="_Toc6923"/>
      <w:bookmarkEnd w:id="279"/>
      <w:bookmarkStart w:id="280" w:name="_Toc518923106"/>
      <w:bookmarkEnd w:id="280"/>
    </w:p>
    <w:p w14:paraId="61AE617A">
      <w:pPr>
        <w:pStyle w:val="33"/>
        <w:spacing w:before="0" w:after="0" w:line="360" w:lineRule="auto"/>
        <w:rPr>
          <w:rFonts w:ascii="Times New Roman" w:eastAsia="仿宋"/>
        </w:rPr>
      </w:pPr>
    </w:p>
    <w:p w14:paraId="2867B879">
      <w:pPr>
        <w:pStyle w:val="33"/>
        <w:spacing w:before="0" w:after="0" w:line="360" w:lineRule="auto"/>
        <w:rPr>
          <w:rFonts w:ascii="Times New Roman" w:eastAsia="仿宋"/>
        </w:rPr>
      </w:pPr>
    </w:p>
    <w:p w14:paraId="6129F008">
      <w:pPr>
        <w:pStyle w:val="33"/>
        <w:spacing w:before="0" w:after="0" w:line="360" w:lineRule="auto"/>
        <w:rPr>
          <w:rFonts w:ascii="Times New Roman" w:eastAsia="仿宋"/>
        </w:rPr>
      </w:pPr>
    </w:p>
    <w:p w14:paraId="3331C3CD">
      <w:pPr>
        <w:pStyle w:val="33"/>
        <w:spacing w:before="0" w:after="0" w:line="360" w:lineRule="auto"/>
        <w:rPr>
          <w:rFonts w:ascii="Times New Roman" w:eastAsia="仿宋"/>
        </w:rPr>
      </w:pPr>
    </w:p>
    <w:p w14:paraId="79D65278">
      <w:pPr>
        <w:pStyle w:val="33"/>
        <w:spacing w:before="0" w:after="0" w:line="360" w:lineRule="auto"/>
        <w:rPr>
          <w:rFonts w:ascii="Times New Roman" w:eastAsia="仿宋"/>
        </w:rPr>
      </w:pPr>
    </w:p>
    <w:p w14:paraId="77FBC023">
      <w:pPr>
        <w:pStyle w:val="33"/>
        <w:spacing w:before="0" w:after="0" w:line="360" w:lineRule="auto"/>
        <w:rPr>
          <w:rFonts w:ascii="Times New Roman" w:eastAsia="仿宋"/>
        </w:rPr>
      </w:pPr>
    </w:p>
    <w:p w14:paraId="11539E8D">
      <w:pPr>
        <w:pStyle w:val="33"/>
        <w:spacing w:before="0" w:after="0" w:line="360" w:lineRule="auto"/>
        <w:rPr>
          <w:rFonts w:ascii="Times New Roman" w:eastAsia="仿宋"/>
        </w:rPr>
      </w:pPr>
    </w:p>
    <w:p w14:paraId="5D5B5E88">
      <w:pPr>
        <w:pStyle w:val="33"/>
        <w:spacing w:before="0" w:after="0" w:line="360" w:lineRule="auto"/>
        <w:rPr>
          <w:rFonts w:ascii="Times New Roman" w:eastAsia="仿宋"/>
          <w:sz w:val="56"/>
          <w:szCs w:val="36"/>
        </w:rPr>
      </w:pPr>
      <w:r>
        <w:rPr>
          <w:rFonts w:ascii="Times New Roman" w:eastAsia="仿宋"/>
          <w:sz w:val="56"/>
          <w:szCs w:val="36"/>
        </w:rPr>
        <w:t>第2章</w:t>
      </w:r>
      <w:r>
        <w:rPr>
          <w:rFonts w:hint="eastAsia" w:ascii="Times New Roman" w:eastAsia="仿宋"/>
          <w:sz w:val="56"/>
          <w:szCs w:val="36"/>
          <w:lang w:val="en-US" w:eastAsia="zh-CN"/>
        </w:rPr>
        <w:t xml:space="preserve"> </w:t>
      </w:r>
      <w:r>
        <w:rPr>
          <w:rFonts w:ascii="Times New Roman" w:eastAsia="仿宋"/>
          <w:sz w:val="56"/>
          <w:szCs w:val="36"/>
        </w:rPr>
        <w:t>投标文件格式</w:t>
      </w:r>
    </w:p>
    <w:p w14:paraId="6C05F4CD">
      <w:pPr>
        <w:rPr>
          <w:rFonts w:ascii="仿宋_GB2312" w:hAnsi="宋体" w:eastAsia="仿宋_GB2312"/>
          <w:sz w:val="28"/>
          <w:szCs w:val="28"/>
        </w:rPr>
      </w:pPr>
      <w:r>
        <w:rPr>
          <w:rFonts w:hint="eastAsia" w:ascii="仿宋_GB2312" w:hAnsi="宋体" w:eastAsia="仿宋_GB2312"/>
          <w:sz w:val="28"/>
          <w:szCs w:val="28"/>
        </w:rPr>
        <w:br w:type="page"/>
      </w:r>
    </w:p>
    <w:p w14:paraId="23E4310B">
      <w:pPr>
        <w:pStyle w:val="89"/>
        <w:spacing w:line="380" w:lineRule="exact"/>
        <w:jc w:val="center"/>
        <w:rPr>
          <w:rFonts w:ascii="仿宋_GB2312" w:hAnsi="宋体" w:eastAsia="仿宋_GB2312"/>
          <w:sz w:val="28"/>
          <w:szCs w:val="28"/>
        </w:rPr>
      </w:pPr>
    </w:p>
    <w:p w14:paraId="770B6B60">
      <w:pPr>
        <w:pStyle w:val="89"/>
        <w:spacing w:line="380" w:lineRule="exact"/>
        <w:jc w:val="center"/>
        <w:rPr>
          <w:rFonts w:ascii="仿宋_GB2312" w:hAnsi="宋体" w:eastAsia="仿宋_GB2312"/>
          <w:sz w:val="28"/>
          <w:szCs w:val="28"/>
        </w:rPr>
      </w:pPr>
    </w:p>
    <w:p w14:paraId="1909690E">
      <w:pPr>
        <w:jc w:val="center"/>
        <w:rPr>
          <w:rFonts w:ascii="宋体" w:hAnsi="宋体"/>
          <w:b/>
          <w:bCs/>
          <w:color w:val="000000"/>
          <w:sz w:val="44"/>
          <w:szCs w:val="44"/>
        </w:rPr>
      </w:pPr>
      <w:r>
        <w:rPr>
          <w:rFonts w:hint="eastAsia" w:ascii="宋体" w:hAnsi="宋体"/>
          <w:b/>
          <w:bCs/>
          <w:color w:val="000000"/>
          <w:sz w:val="44"/>
          <w:szCs w:val="44"/>
        </w:rPr>
        <w:t>响  应  文  件</w:t>
      </w:r>
    </w:p>
    <w:p w14:paraId="2214601C">
      <w:pPr>
        <w:pStyle w:val="89"/>
        <w:spacing w:line="380" w:lineRule="exact"/>
        <w:jc w:val="center"/>
        <w:rPr>
          <w:rFonts w:ascii="仿宋_GB2312" w:hAnsi="宋体" w:eastAsia="仿宋_GB2312"/>
          <w:sz w:val="28"/>
          <w:szCs w:val="28"/>
        </w:rPr>
      </w:pPr>
    </w:p>
    <w:p w14:paraId="58C3D20D">
      <w:pPr>
        <w:pStyle w:val="89"/>
        <w:spacing w:line="380" w:lineRule="exact"/>
        <w:jc w:val="center"/>
        <w:rPr>
          <w:rFonts w:ascii="仿宋_GB2312" w:hAnsi="宋体" w:eastAsia="仿宋_GB2312"/>
          <w:sz w:val="28"/>
          <w:szCs w:val="28"/>
        </w:rPr>
      </w:pPr>
    </w:p>
    <w:p w14:paraId="59CEA648">
      <w:pPr>
        <w:pStyle w:val="89"/>
        <w:spacing w:line="380" w:lineRule="exact"/>
        <w:jc w:val="center"/>
        <w:rPr>
          <w:rFonts w:ascii="仿宋_GB2312" w:hAnsi="宋体" w:eastAsia="仿宋_GB2312"/>
          <w:sz w:val="28"/>
          <w:szCs w:val="28"/>
        </w:rPr>
      </w:pPr>
    </w:p>
    <w:p w14:paraId="624D3091">
      <w:pPr>
        <w:pStyle w:val="89"/>
        <w:spacing w:line="380" w:lineRule="exact"/>
        <w:jc w:val="center"/>
        <w:rPr>
          <w:rFonts w:ascii="仿宋_GB2312" w:hAnsi="宋体" w:eastAsia="仿宋_GB2312"/>
          <w:sz w:val="28"/>
          <w:szCs w:val="28"/>
        </w:rPr>
      </w:pPr>
    </w:p>
    <w:p w14:paraId="0B430E73">
      <w:pPr>
        <w:pStyle w:val="89"/>
        <w:spacing w:line="380" w:lineRule="exact"/>
        <w:jc w:val="center"/>
        <w:rPr>
          <w:rFonts w:ascii="仿宋_GB2312" w:hAnsi="宋体" w:eastAsia="仿宋_GB2312"/>
          <w:sz w:val="28"/>
          <w:szCs w:val="28"/>
        </w:rPr>
      </w:pPr>
    </w:p>
    <w:p w14:paraId="6A4D47A1">
      <w:pPr>
        <w:pStyle w:val="89"/>
        <w:spacing w:line="380" w:lineRule="exact"/>
        <w:jc w:val="center"/>
        <w:rPr>
          <w:rFonts w:ascii="仿宋_GB2312" w:hAnsi="宋体" w:eastAsia="仿宋_GB2312"/>
          <w:sz w:val="28"/>
          <w:szCs w:val="28"/>
        </w:rPr>
      </w:pPr>
    </w:p>
    <w:p w14:paraId="03527CB1">
      <w:pPr>
        <w:ind w:left="1918" w:leftChars="342" w:right="98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b/>
          <w:bCs/>
          <w:color w:val="000000"/>
          <w:sz w:val="24"/>
          <w:u w:val="single"/>
        </w:rPr>
        <w:t xml:space="preserve"> </w:t>
      </w:r>
      <w:r>
        <w:rPr>
          <w:rFonts w:hint="eastAsia" w:ascii="仿宋" w:hAnsi="仿宋" w:eastAsia="仿宋" w:cs="仿宋"/>
          <w:b/>
          <w:bCs/>
          <w:color w:val="000000"/>
          <w:sz w:val="24"/>
          <w:u w:val="single"/>
          <w:lang w:val="en-US" w:eastAsia="zh-CN"/>
        </w:rPr>
        <w:t xml:space="preserve">   名称      </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2E61679">
      <w:pPr>
        <w:rPr>
          <w:rFonts w:hint="eastAsia" w:ascii="仿宋" w:hAnsi="仿宋" w:eastAsia="仿宋" w:cs="仿宋"/>
          <w:color w:val="000000"/>
          <w:sz w:val="24"/>
        </w:rPr>
      </w:pPr>
      <w:r>
        <w:rPr>
          <w:rFonts w:hint="eastAsia" w:ascii="仿宋" w:hAnsi="仿宋" w:eastAsia="仿宋" w:cs="仿宋"/>
          <w:color w:val="000000"/>
          <w:sz w:val="18"/>
          <w:szCs w:val="22"/>
        </w:rPr>
        <w:t xml:space="preserve">             </w:t>
      </w:r>
    </w:p>
    <w:p w14:paraId="7215FB20">
      <w:pPr>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 xml:space="preserve">    项目编号： </w:t>
      </w:r>
      <w:r>
        <w:rPr>
          <w:rFonts w:hint="eastAsia" w:ascii="仿宋" w:hAnsi="仿宋" w:eastAsia="仿宋" w:cs="仿宋"/>
          <w:color w:val="000000"/>
          <w:sz w:val="24"/>
          <w:u w:val="single"/>
        </w:rPr>
        <w:t xml:space="preserve">                          </w:t>
      </w:r>
    </w:p>
    <w:p w14:paraId="026CE718">
      <w:pPr>
        <w:rPr>
          <w:rFonts w:hint="eastAsia" w:ascii="仿宋" w:hAnsi="仿宋" w:eastAsia="仿宋" w:cs="仿宋"/>
          <w:color w:val="000000"/>
          <w:sz w:val="18"/>
          <w:szCs w:val="22"/>
        </w:rPr>
      </w:pPr>
      <w:r>
        <w:rPr>
          <w:rFonts w:hint="eastAsia" w:ascii="仿宋" w:hAnsi="仿宋" w:eastAsia="仿宋" w:cs="仿宋"/>
          <w:color w:val="000000"/>
          <w:sz w:val="18"/>
          <w:szCs w:val="22"/>
        </w:rPr>
        <w:t xml:space="preserve">  </w:t>
      </w:r>
    </w:p>
    <w:p w14:paraId="6760D086">
      <w:pPr>
        <w:rPr>
          <w:rFonts w:hint="eastAsia" w:ascii="仿宋" w:hAnsi="仿宋" w:eastAsia="仿宋" w:cs="仿宋"/>
          <w:color w:val="000000"/>
          <w:sz w:val="18"/>
          <w:szCs w:val="22"/>
        </w:rPr>
      </w:pPr>
    </w:p>
    <w:p w14:paraId="01E6B69A">
      <w:pPr>
        <w:rPr>
          <w:rFonts w:hint="eastAsia" w:ascii="仿宋" w:hAnsi="仿宋" w:eastAsia="仿宋" w:cs="仿宋"/>
          <w:color w:val="000000"/>
          <w:sz w:val="18"/>
          <w:szCs w:val="22"/>
        </w:rPr>
      </w:pPr>
    </w:p>
    <w:p w14:paraId="68EDB448">
      <w:pPr>
        <w:rPr>
          <w:rFonts w:hint="eastAsia" w:ascii="仿宋" w:hAnsi="仿宋" w:eastAsia="仿宋" w:cs="仿宋"/>
          <w:color w:val="000000"/>
          <w:sz w:val="18"/>
          <w:szCs w:val="22"/>
        </w:rPr>
      </w:pPr>
    </w:p>
    <w:p w14:paraId="2809CBE1">
      <w:pPr>
        <w:rPr>
          <w:rFonts w:hint="eastAsia" w:ascii="仿宋" w:hAnsi="仿宋" w:eastAsia="仿宋" w:cs="仿宋"/>
          <w:color w:val="000000"/>
          <w:sz w:val="18"/>
          <w:szCs w:val="22"/>
        </w:rPr>
      </w:pPr>
    </w:p>
    <w:p w14:paraId="1FA6F076">
      <w:pPr>
        <w:rPr>
          <w:rFonts w:hint="eastAsia" w:ascii="仿宋" w:hAnsi="仿宋" w:eastAsia="仿宋" w:cs="仿宋"/>
          <w:bCs/>
          <w:color w:val="000000"/>
          <w:sz w:val="28"/>
          <w:szCs w:val="28"/>
        </w:rPr>
      </w:pPr>
    </w:p>
    <w:p w14:paraId="18BCC96D">
      <w:pPr>
        <w:rPr>
          <w:rFonts w:hint="eastAsia" w:ascii="仿宋" w:hAnsi="仿宋" w:eastAsia="仿宋" w:cs="仿宋"/>
          <w:bCs/>
          <w:color w:val="000000"/>
          <w:sz w:val="28"/>
          <w:szCs w:val="28"/>
        </w:rPr>
      </w:pPr>
    </w:p>
    <w:p w14:paraId="774F3993">
      <w:pPr>
        <w:rPr>
          <w:rFonts w:hint="eastAsia" w:ascii="仿宋" w:hAnsi="仿宋" w:eastAsia="仿宋" w:cs="仿宋"/>
          <w:sz w:val="20"/>
          <w:szCs w:val="22"/>
        </w:rPr>
      </w:pPr>
      <w:r>
        <w:rPr>
          <w:rFonts w:hint="eastAsia" w:ascii="仿宋" w:hAnsi="仿宋" w:eastAsia="仿宋" w:cs="仿宋"/>
          <w:color w:val="000000"/>
          <w:sz w:val="24"/>
        </w:rPr>
        <w:t xml:space="preserve">      供应商：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FBFAE18">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 </w:t>
      </w:r>
    </w:p>
    <w:p w14:paraId="2D8AD480">
      <w:pPr>
        <w:ind w:firstLine="600" w:firstLineChars="250"/>
        <w:rPr>
          <w:rFonts w:hint="eastAsia" w:ascii="仿宋" w:hAnsi="仿宋" w:eastAsia="仿宋" w:cs="仿宋"/>
          <w:color w:val="000000"/>
          <w:sz w:val="24"/>
        </w:rPr>
      </w:pPr>
    </w:p>
    <w:p w14:paraId="5B1C306B">
      <w:pPr>
        <w:ind w:firstLine="600" w:firstLineChars="250"/>
        <w:rPr>
          <w:rFonts w:hint="eastAsia" w:ascii="仿宋" w:hAnsi="仿宋" w:eastAsia="仿宋" w:cs="仿宋"/>
          <w:color w:val="000000"/>
          <w:sz w:val="24"/>
        </w:rPr>
      </w:pPr>
    </w:p>
    <w:p w14:paraId="6AFE068B">
      <w:pPr>
        <w:ind w:firstLine="600" w:firstLineChars="250"/>
        <w:rPr>
          <w:rFonts w:hint="eastAsia" w:ascii="仿宋" w:hAnsi="仿宋" w:eastAsia="仿宋" w:cs="仿宋"/>
          <w:color w:val="000000"/>
          <w:sz w:val="24"/>
        </w:rPr>
      </w:pPr>
    </w:p>
    <w:p w14:paraId="7BD04593">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法定代表人（授权人）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（签字或盖章）</w:t>
      </w:r>
    </w:p>
    <w:p w14:paraId="0E25C385">
      <w:pPr>
        <w:jc w:val="center"/>
        <w:rPr>
          <w:rFonts w:hint="eastAsia" w:ascii="仿宋" w:hAnsi="仿宋" w:eastAsia="仿宋" w:cs="仿宋"/>
          <w:color w:val="000000"/>
        </w:rPr>
      </w:pPr>
      <w:r>
        <w:rPr>
          <w:rFonts w:hint="eastAsia" w:ascii="仿宋" w:hAnsi="仿宋" w:eastAsia="仿宋" w:cs="仿宋"/>
          <w:color w:val="000000"/>
        </w:rPr>
        <w:t xml:space="preserve">      </w:t>
      </w:r>
    </w:p>
    <w:p w14:paraId="43DB4201">
      <w:pPr>
        <w:pStyle w:val="2"/>
        <w:tabs>
          <w:tab w:val="left" w:pos="567"/>
        </w:tabs>
        <w:rPr>
          <w:rFonts w:hint="eastAsia" w:ascii="仿宋" w:hAnsi="仿宋" w:eastAsia="仿宋" w:cs="仿宋"/>
          <w:color w:val="000000"/>
          <w:lang w:eastAsia="zh-CN"/>
        </w:rPr>
      </w:pPr>
    </w:p>
    <w:p w14:paraId="1714C130">
      <w:pPr>
        <w:rPr>
          <w:rFonts w:hint="eastAsia" w:ascii="仿宋" w:hAnsi="仿宋" w:eastAsia="仿宋" w:cs="仿宋"/>
          <w:color w:val="000000"/>
        </w:rPr>
      </w:pPr>
    </w:p>
    <w:p w14:paraId="4422F736">
      <w:pPr>
        <w:pStyle w:val="2"/>
        <w:tabs>
          <w:tab w:val="left" w:pos="567"/>
        </w:tabs>
        <w:rPr>
          <w:rFonts w:hint="eastAsia" w:ascii="仿宋" w:hAnsi="仿宋" w:eastAsia="仿宋" w:cs="仿宋"/>
          <w:color w:val="000000"/>
          <w:lang w:eastAsia="zh-CN"/>
        </w:rPr>
      </w:pPr>
    </w:p>
    <w:p w14:paraId="3BAEEFF5">
      <w:pPr>
        <w:rPr>
          <w:rFonts w:hint="eastAsia" w:ascii="仿宋" w:hAnsi="仿宋" w:eastAsia="仿宋" w:cs="仿宋"/>
        </w:rPr>
      </w:pPr>
    </w:p>
    <w:p w14:paraId="51802691">
      <w:pPr>
        <w:pStyle w:val="2"/>
        <w:tabs>
          <w:tab w:val="left" w:pos="567"/>
        </w:tabs>
        <w:jc w:val="center"/>
        <w:rPr>
          <w:rFonts w:hint="eastAsia" w:ascii="仿宋" w:hAnsi="仿宋" w:eastAsia="仿宋" w:cs="仿宋"/>
          <w:lang w:eastAsia="zh-CN"/>
        </w:rPr>
      </w:pPr>
      <w:r>
        <w:rPr>
          <w:rFonts w:hint="eastAsia" w:ascii="仿宋" w:hAnsi="仿宋" w:eastAsia="仿宋" w:cs="仿宋"/>
          <w:color w:val="000000"/>
          <w:sz w:val="24"/>
          <w:szCs w:val="24"/>
          <w:lang w:eastAsia="zh-CN"/>
        </w:rPr>
        <w:t>年    月    日</w:t>
      </w:r>
    </w:p>
    <w:p w14:paraId="76D9AC68">
      <w:pPr>
        <w:rPr>
          <w:rFonts w:hint="eastAsia" w:ascii="仿宋" w:hAnsi="仿宋" w:eastAsia="仿宋" w:cs="仿宋"/>
        </w:rPr>
      </w:pPr>
    </w:p>
    <w:p w14:paraId="35FC8A0D">
      <w:pPr>
        <w:pStyle w:val="2"/>
        <w:tabs>
          <w:tab w:val="left" w:pos="567"/>
        </w:tabs>
        <w:rPr>
          <w:lang w:eastAsia="zh-CN"/>
        </w:rPr>
      </w:pPr>
    </w:p>
    <w:p w14:paraId="5A71886B"/>
    <w:p w14:paraId="6E6CF079">
      <w:pPr>
        <w:pStyle w:val="2"/>
        <w:tabs>
          <w:tab w:val="left" w:pos="567"/>
        </w:tabs>
        <w:rPr>
          <w:lang w:eastAsia="zh-CN"/>
        </w:rPr>
      </w:pPr>
    </w:p>
    <w:p w14:paraId="68C267F1"/>
    <w:p w14:paraId="64D863E4">
      <w:pPr>
        <w:pStyle w:val="2"/>
        <w:tabs>
          <w:tab w:val="left" w:pos="567"/>
        </w:tabs>
        <w:rPr>
          <w:lang w:eastAsia="zh-CN"/>
        </w:rPr>
      </w:pPr>
      <w:r>
        <w:rPr>
          <w:lang w:eastAsia="zh-CN"/>
        </w:rPr>
        <w:br w:type="page"/>
      </w:r>
    </w:p>
    <w:p w14:paraId="266CB716">
      <w:pPr>
        <w:spacing w:line="360" w:lineRule="auto"/>
        <w:ind w:left="735" w:leftChars="350" w:firstLine="120" w:firstLineChars="50"/>
        <w:rPr>
          <w:rFonts w:eastAsia="仿宋"/>
          <w:sz w:val="24"/>
        </w:rPr>
      </w:pPr>
    </w:p>
    <w:p w14:paraId="79ED3ADE">
      <w:pPr>
        <w:pStyle w:val="34"/>
        <w:spacing w:before="0" w:line="360" w:lineRule="auto"/>
        <w:rPr>
          <w:rFonts w:eastAsia="仿宋"/>
          <w:sz w:val="24"/>
        </w:rPr>
      </w:pPr>
      <w:bookmarkStart w:id="281" w:name="_Toc17893"/>
      <w:bookmarkEnd w:id="281"/>
      <w:bookmarkStart w:id="282" w:name="_Toc15142"/>
      <w:bookmarkEnd w:id="282"/>
      <w:bookmarkStart w:id="283" w:name="_Toc518923107"/>
      <w:bookmarkEnd w:id="283"/>
      <w:bookmarkStart w:id="284" w:name="_Toc21953"/>
      <w:bookmarkEnd w:id="284"/>
      <w:bookmarkStart w:id="285" w:name="_Toc21715"/>
      <w:bookmarkEnd w:id="285"/>
      <w:bookmarkStart w:id="286" w:name="_Toc636"/>
      <w:bookmarkEnd w:id="286"/>
      <w:bookmarkStart w:id="287" w:name="_Toc10789"/>
      <w:bookmarkEnd w:id="287"/>
      <w:r>
        <w:rPr>
          <w:rFonts w:eastAsia="仿宋"/>
          <w:sz w:val="24"/>
        </w:rPr>
        <w:t>第一部分</w:t>
      </w:r>
      <w:r>
        <w:rPr>
          <w:rFonts w:hint="eastAsia" w:eastAsia="仿宋"/>
          <w:sz w:val="24"/>
          <w:lang w:val="en-US" w:eastAsia="zh-CN"/>
        </w:rPr>
        <w:t xml:space="preserve">  </w:t>
      </w:r>
      <w:r>
        <w:rPr>
          <w:rFonts w:eastAsia="仿宋"/>
          <w:sz w:val="24"/>
        </w:rPr>
        <w:t>开标一览表及资格证明文件</w:t>
      </w:r>
    </w:p>
    <w:p w14:paraId="2B77E7D2">
      <w:pPr>
        <w:spacing w:line="360" w:lineRule="auto"/>
        <w:ind w:left="708" w:hanging="708" w:hangingChars="295"/>
        <w:jc w:val="center"/>
        <w:rPr>
          <w:rFonts w:eastAsia="仿宋"/>
          <w:sz w:val="24"/>
        </w:rPr>
      </w:pPr>
    </w:p>
    <w:p w14:paraId="545E9484">
      <w:pPr>
        <w:spacing w:line="360" w:lineRule="auto"/>
        <w:ind w:firstLine="480"/>
        <w:rPr>
          <w:rFonts w:ascii="仿宋" w:hAnsi="仿宋" w:eastAsia="仿宋"/>
          <w:bCs/>
          <w:iCs/>
          <w:sz w:val="24"/>
        </w:rPr>
      </w:pPr>
      <w:r>
        <w:rPr>
          <w:rFonts w:hint="eastAsia" w:ascii="仿宋" w:hAnsi="仿宋" w:eastAsia="仿宋"/>
          <w:bCs/>
          <w:iCs/>
          <w:sz w:val="24"/>
        </w:rPr>
        <w:t>1、开标一览表；</w:t>
      </w:r>
    </w:p>
    <w:p w14:paraId="2D8AE3E2">
      <w:pPr>
        <w:spacing w:line="360" w:lineRule="auto"/>
        <w:ind w:firstLine="480"/>
        <w:rPr>
          <w:rFonts w:ascii="仿宋" w:hAnsi="仿宋" w:eastAsia="仿宋"/>
          <w:bCs/>
          <w:iCs/>
          <w:sz w:val="24"/>
        </w:rPr>
      </w:pPr>
      <w:r>
        <w:rPr>
          <w:rFonts w:hint="eastAsia" w:ascii="仿宋" w:hAnsi="仿宋" w:eastAsia="仿宋"/>
          <w:bCs/>
          <w:iCs/>
          <w:sz w:val="24"/>
        </w:rPr>
        <w:t>2、</w:t>
      </w:r>
      <w:r>
        <w:rPr>
          <w:rFonts w:hint="eastAsia" w:ascii="仿宋" w:hAnsi="仿宋" w:eastAsia="仿宋"/>
          <w:sz w:val="24"/>
        </w:rPr>
        <w:t>法人或者非法人组织的营业执照等证明文件复印件（须加盖本单位章）或自然人的身份证明复印件;</w:t>
      </w:r>
    </w:p>
    <w:p w14:paraId="41E9BE4D">
      <w:pPr>
        <w:spacing w:line="360" w:lineRule="auto"/>
        <w:ind w:firstLine="480" w:firstLineChars="200"/>
        <w:rPr>
          <w:rFonts w:ascii="仿宋" w:hAnsi="仿宋" w:eastAsia="仿宋"/>
          <w:bCs/>
          <w:iCs/>
          <w:sz w:val="24"/>
        </w:rPr>
      </w:pPr>
      <w:r>
        <w:rPr>
          <w:rFonts w:hint="eastAsia" w:ascii="仿宋" w:hAnsi="仿宋" w:eastAsia="仿宋"/>
          <w:bCs/>
          <w:iCs/>
          <w:sz w:val="24"/>
        </w:rPr>
        <w:t>3、</w:t>
      </w:r>
      <w:r>
        <w:rPr>
          <w:rFonts w:hint="eastAsia" w:ascii="仿宋" w:hAnsi="仿宋" w:eastAsia="仿宋"/>
          <w:sz w:val="24"/>
        </w:rPr>
        <w:t>法定代表人授权委托书（自然人投标的无需提供，投标人为法人的提供法人证明书</w:t>
      </w:r>
      <w:r>
        <w:rPr>
          <w:rFonts w:hint="eastAsia" w:ascii="仿宋" w:hAnsi="仿宋" w:eastAsia="仿宋"/>
          <w:bCs/>
          <w:iCs/>
          <w:sz w:val="24"/>
        </w:rPr>
        <w:t>；</w:t>
      </w:r>
    </w:p>
    <w:p w14:paraId="57DC0885">
      <w:pPr>
        <w:spacing w:line="360" w:lineRule="auto"/>
        <w:ind w:firstLine="48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近两年任意一年完整的</w:t>
      </w:r>
      <w:r>
        <w:rPr>
          <w:rFonts w:hint="eastAsia" w:ascii="仿宋" w:hAnsi="仿宋" w:eastAsia="仿宋"/>
          <w:sz w:val="24"/>
        </w:rPr>
        <w:t>财务审计报告（新成立公司提供开标前三个月内任意一个月有效银行资信证明）；</w:t>
      </w:r>
    </w:p>
    <w:p w14:paraId="7F903282">
      <w:pPr>
        <w:spacing w:line="360" w:lineRule="auto"/>
        <w:ind w:firstLine="480"/>
        <w:rPr>
          <w:rFonts w:ascii="仿宋" w:hAnsi="仿宋" w:eastAsia="仿宋"/>
          <w:sz w:val="24"/>
        </w:rPr>
      </w:pPr>
      <w:r>
        <w:rPr>
          <w:rFonts w:hint="eastAsia" w:ascii="仿宋" w:hAnsi="仿宋" w:eastAsia="仿宋"/>
          <w:sz w:val="24"/>
        </w:rPr>
        <w:t>5、投标企业依法缴纳近 6 个月任意一个月社会保险的凭据；</w:t>
      </w:r>
    </w:p>
    <w:p w14:paraId="09F76FE0">
      <w:pPr>
        <w:spacing w:line="360" w:lineRule="auto"/>
        <w:ind w:firstLine="480"/>
        <w:rPr>
          <w:rFonts w:ascii="仿宋" w:hAnsi="仿宋" w:eastAsia="仿宋"/>
          <w:sz w:val="24"/>
        </w:rPr>
      </w:pPr>
      <w:r>
        <w:rPr>
          <w:rFonts w:hint="eastAsia" w:ascii="仿宋" w:hAnsi="仿宋" w:eastAsia="仿宋"/>
          <w:sz w:val="24"/>
        </w:rPr>
        <w:t>6、投标企业提供税务部门出具的近 6 个月任意一个月的完税证明；</w:t>
      </w:r>
    </w:p>
    <w:p w14:paraId="3545405C">
      <w:pPr>
        <w:spacing w:line="360" w:lineRule="auto"/>
        <w:ind w:firstLine="480"/>
        <w:rPr>
          <w:rFonts w:ascii="仿宋" w:hAnsi="仿宋" w:eastAsia="仿宋"/>
          <w:sz w:val="24"/>
        </w:rPr>
      </w:pPr>
      <w:r>
        <w:rPr>
          <w:rFonts w:hint="eastAsia" w:ascii="仿宋" w:hAnsi="仿宋" w:eastAsia="仿宋"/>
          <w:sz w:val="24"/>
        </w:rPr>
        <w:t>7、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7A80FF02">
      <w:pPr>
        <w:spacing w:line="360" w:lineRule="auto"/>
        <w:ind w:firstLine="48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、提供针对本次项目《反商业贿赂承诺书》</w:t>
      </w:r>
    </w:p>
    <w:p w14:paraId="6E6AEB44">
      <w:pPr>
        <w:spacing w:line="360" w:lineRule="auto"/>
        <w:ind w:firstLine="480"/>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、缴纳投标保证金有效凭证；</w:t>
      </w:r>
    </w:p>
    <w:p w14:paraId="35390B02">
      <w:pPr>
        <w:spacing w:line="360" w:lineRule="auto"/>
        <w:ind w:firstLine="480" w:firstLineChars="200"/>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本项目不接受联合体投标。</w:t>
      </w:r>
    </w:p>
    <w:p w14:paraId="2FB74E1F">
      <w:pPr>
        <w:pStyle w:val="40"/>
        <w:tabs>
          <w:tab w:val="clear" w:pos="567"/>
        </w:tabs>
      </w:pPr>
    </w:p>
    <w:p w14:paraId="27AAD40B">
      <w:pPr>
        <w:pStyle w:val="40"/>
        <w:tabs>
          <w:tab w:val="clear" w:pos="567"/>
        </w:tabs>
      </w:pPr>
    </w:p>
    <w:p w14:paraId="1AADD8E0"/>
    <w:p w14:paraId="0B9C09C9">
      <w:pPr>
        <w:pStyle w:val="52"/>
      </w:pPr>
    </w:p>
    <w:p w14:paraId="1C51CBF2">
      <w:pPr>
        <w:rPr>
          <w:rFonts w:ascii="仿宋" w:hAnsi="仿宋" w:eastAsia="仿宋"/>
          <w:b/>
          <w:kern w:val="0"/>
          <w:sz w:val="24"/>
          <w:szCs w:val="20"/>
        </w:rPr>
      </w:pPr>
      <w:r>
        <w:rPr>
          <w:rFonts w:ascii="仿宋" w:hAnsi="仿宋" w:eastAsia="仿宋"/>
          <w:b/>
          <w:kern w:val="0"/>
          <w:sz w:val="24"/>
          <w:szCs w:val="20"/>
        </w:rPr>
        <w:br w:type="page"/>
      </w:r>
    </w:p>
    <w:p w14:paraId="3725C94A">
      <w:pPr>
        <w:tabs>
          <w:tab w:val="left" w:pos="5580"/>
        </w:tabs>
        <w:spacing w:line="360" w:lineRule="auto"/>
        <w:ind w:left="1" w:firstLine="566" w:firstLineChars="235"/>
        <w:rPr>
          <w:rFonts w:ascii="仿宋" w:hAnsi="仿宋" w:eastAsia="仿宋"/>
          <w:b/>
          <w:kern w:val="0"/>
          <w:sz w:val="24"/>
          <w:szCs w:val="20"/>
        </w:rPr>
      </w:pPr>
    </w:p>
    <w:p w14:paraId="308F46F7">
      <w:pPr>
        <w:tabs>
          <w:tab w:val="left" w:pos="5580"/>
        </w:tabs>
        <w:spacing w:line="360" w:lineRule="auto"/>
        <w:ind w:firstLine="964" w:firstLineChars="400"/>
        <w:rPr>
          <w:rFonts w:ascii="仿宋" w:hAnsi="仿宋" w:eastAsia="仿宋"/>
          <w:b/>
          <w:kern w:val="0"/>
          <w:sz w:val="24"/>
          <w:szCs w:val="20"/>
        </w:rPr>
      </w:pPr>
      <w:bookmarkStart w:id="288" w:name="_Toc29377"/>
      <w:bookmarkEnd w:id="288"/>
      <w:bookmarkStart w:id="289" w:name="_Toc518923108"/>
      <w:bookmarkEnd w:id="289"/>
      <w:r>
        <w:rPr>
          <w:rFonts w:hint="eastAsia" w:ascii="仿宋" w:hAnsi="仿宋" w:eastAsia="仿宋"/>
          <w:b/>
          <w:kern w:val="0"/>
          <w:sz w:val="24"/>
          <w:szCs w:val="20"/>
        </w:rPr>
        <w:t>1、</w:t>
      </w:r>
      <w:r>
        <w:rPr>
          <w:rFonts w:ascii="仿宋" w:hAnsi="仿宋" w:eastAsia="仿宋"/>
          <w:b/>
          <w:kern w:val="0"/>
          <w:sz w:val="24"/>
          <w:szCs w:val="20"/>
        </w:rPr>
        <w:t>开标一览表</w:t>
      </w:r>
    </w:p>
    <w:p w14:paraId="07ABE315">
      <w:pPr>
        <w:pStyle w:val="39"/>
        <w:tabs>
          <w:tab w:val="left" w:pos="5580"/>
        </w:tabs>
        <w:spacing w:line="360" w:lineRule="auto"/>
        <w:ind w:left="1080" w:leftChars="257" w:hanging="540"/>
        <w:jc w:val="center"/>
        <w:rPr>
          <w:rFonts w:ascii="Times New Roman" w:eastAsia="仿宋"/>
          <w:b/>
        </w:rPr>
      </w:pPr>
      <w:bookmarkStart w:id="290" w:name="_Toc494296984"/>
      <w:bookmarkEnd w:id="290"/>
      <w:bookmarkStart w:id="291" w:name="_Hlt520356241"/>
      <w:bookmarkEnd w:id="291"/>
      <w:r>
        <w:rPr>
          <w:rFonts w:ascii="Times New Roman" w:eastAsia="仿宋"/>
          <w:b/>
        </w:rPr>
        <w:t>开标一览表</w:t>
      </w:r>
    </w:p>
    <w:p w14:paraId="008656B1">
      <w:pPr>
        <w:pStyle w:val="39"/>
        <w:tabs>
          <w:tab w:val="left" w:pos="5580"/>
        </w:tabs>
        <w:spacing w:line="360" w:lineRule="auto"/>
        <w:ind w:left="1080" w:leftChars="257" w:hanging="540"/>
        <w:jc w:val="center"/>
        <w:rPr>
          <w:rFonts w:ascii="Times New Roman" w:eastAsia="仿宋"/>
          <w:b/>
        </w:rPr>
      </w:pPr>
    </w:p>
    <w:p w14:paraId="21A92DB7">
      <w:pPr>
        <w:pStyle w:val="39"/>
        <w:tabs>
          <w:tab w:val="left" w:pos="5580"/>
        </w:tabs>
        <w:spacing w:line="360" w:lineRule="auto"/>
        <w:ind w:left="1080" w:leftChars="257" w:hanging="540"/>
        <w:rPr>
          <w:rFonts w:ascii="Times New Roman" w:eastAsia="仿宋"/>
        </w:rPr>
      </w:pPr>
    </w:p>
    <w:p w14:paraId="06D55D59">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报价单位：人民币</w:t>
      </w:r>
      <w:r>
        <w:rPr>
          <w:rFonts w:eastAsia="仿宋"/>
          <w:b/>
          <w:bCs/>
          <w:sz w:val="24"/>
        </w:rPr>
        <w:t>元</w:t>
      </w:r>
    </w:p>
    <w:tbl>
      <w:tblPr>
        <w:tblStyle w:val="24"/>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14:paraId="71E5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420" w:type="dxa"/>
            <w:vAlign w:val="center"/>
          </w:tcPr>
          <w:p w14:paraId="175C6B4D">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vAlign w:val="center"/>
          </w:tcPr>
          <w:p w14:paraId="6790CF35">
            <w:pPr>
              <w:tabs>
                <w:tab w:val="left" w:pos="5580"/>
              </w:tabs>
              <w:spacing w:line="360" w:lineRule="auto"/>
              <w:jc w:val="center"/>
              <w:rPr>
                <w:rFonts w:eastAsia="仿宋"/>
                <w:sz w:val="24"/>
              </w:rPr>
            </w:pPr>
            <w:r>
              <w:rPr>
                <w:rFonts w:eastAsia="仿宋"/>
                <w:sz w:val="24"/>
              </w:rPr>
              <w:t>投标总价</w:t>
            </w:r>
          </w:p>
        </w:tc>
        <w:tc>
          <w:tcPr>
            <w:tcW w:w="1805" w:type="dxa"/>
            <w:vAlign w:val="center"/>
          </w:tcPr>
          <w:p w14:paraId="2B302951">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14:paraId="7FF9CEBA">
            <w:pPr>
              <w:tabs>
                <w:tab w:val="left" w:pos="5580"/>
              </w:tabs>
              <w:spacing w:line="360" w:lineRule="auto"/>
              <w:jc w:val="center"/>
              <w:rPr>
                <w:rFonts w:eastAsia="仿宋"/>
                <w:sz w:val="24"/>
              </w:rPr>
            </w:pPr>
            <w:r>
              <w:rPr>
                <w:rFonts w:hint="eastAsia" w:eastAsia="仿宋"/>
                <w:sz w:val="24"/>
              </w:rPr>
              <w:t>交货期</w:t>
            </w:r>
          </w:p>
        </w:tc>
        <w:tc>
          <w:tcPr>
            <w:tcW w:w="1016" w:type="dxa"/>
            <w:vAlign w:val="center"/>
          </w:tcPr>
          <w:p w14:paraId="5467F286">
            <w:pPr>
              <w:tabs>
                <w:tab w:val="left" w:pos="5580"/>
              </w:tabs>
              <w:spacing w:line="360" w:lineRule="auto"/>
              <w:jc w:val="center"/>
              <w:rPr>
                <w:rFonts w:eastAsia="仿宋"/>
                <w:sz w:val="24"/>
              </w:rPr>
            </w:pPr>
            <w:r>
              <w:rPr>
                <w:rFonts w:hint="eastAsia" w:eastAsia="仿宋"/>
                <w:sz w:val="24"/>
              </w:rPr>
              <w:t>交货</w:t>
            </w:r>
            <w:r>
              <w:rPr>
                <w:rFonts w:eastAsia="仿宋"/>
                <w:sz w:val="24"/>
              </w:rPr>
              <w:t>地点</w:t>
            </w:r>
          </w:p>
        </w:tc>
        <w:tc>
          <w:tcPr>
            <w:tcW w:w="1129" w:type="dxa"/>
            <w:vAlign w:val="center"/>
          </w:tcPr>
          <w:p w14:paraId="2B91ABC0">
            <w:pPr>
              <w:tabs>
                <w:tab w:val="left" w:pos="5580"/>
              </w:tabs>
              <w:spacing w:line="360" w:lineRule="auto"/>
              <w:jc w:val="center"/>
              <w:rPr>
                <w:rFonts w:eastAsia="仿宋"/>
                <w:sz w:val="24"/>
              </w:rPr>
            </w:pPr>
            <w:r>
              <w:rPr>
                <w:rFonts w:eastAsia="仿宋"/>
                <w:sz w:val="24"/>
              </w:rPr>
              <w:t>备注</w:t>
            </w:r>
          </w:p>
        </w:tc>
      </w:tr>
      <w:tr w14:paraId="490D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40" w:hRule="atLeast"/>
          <w:jc w:val="center"/>
        </w:trPr>
        <w:tc>
          <w:tcPr>
            <w:tcW w:w="1420" w:type="dxa"/>
            <w:vAlign w:val="center"/>
          </w:tcPr>
          <w:p w14:paraId="2CD8F454">
            <w:pPr>
              <w:tabs>
                <w:tab w:val="left" w:pos="5580"/>
              </w:tabs>
              <w:spacing w:line="360" w:lineRule="auto"/>
              <w:ind w:left="1080" w:leftChars="257" w:hanging="540"/>
              <w:jc w:val="center"/>
              <w:rPr>
                <w:rFonts w:eastAsia="仿宋"/>
                <w:sz w:val="24"/>
              </w:rPr>
            </w:pPr>
          </w:p>
        </w:tc>
        <w:tc>
          <w:tcPr>
            <w:tcW w:w="2340" w:type="dxa"/>
            <w:vAlign w:val="center"/>
          </w:tcPr>
          <w:p w14:paraId="6D84C0A9">
            <w:pPr>
              <w:tabs>
                <w:tab w:val="left" w:pos="5580"/>
              </w:tabs>
              <w:spacing w:line="360" w:lineRule="auto"/>
              <w:jc w:val="left"/>
              <w:rPr>
                <w:rFonts w:eastAsia="仿宋"/>
                <w:sz w:val="24"/>
              </w:rPr>
            </w:pPr>
            <w:r>
              <w:rPr>
                <w:rFonts w:eastAsia="仿宋"/>
                <w:sz w:val="24"/>
              </w:rPr>
              <w:t>大写：</w:t>
            </w:r>
          </w:p>
          <w:p w14:paraId="080A5F16">
            <w:pPr>
              <w:tabs>
                <w:tab w:val="left" w:pos="5580"/>
              </w:tabs>
              <w:spacing w:line="360" w:lineRule="auto"/>
              <w:jc w:val="left"/>
              <w:rPr>
                <w:rFonts w:eastAsia="仿宋"/>
                <w:sz w:val="24"/>
              </w:rPr>
            </w:pPr>
            <w:r>
              <w:rPr>
                <w:rFonts w:eastAsia="仿宋"/>
                <w:sz w:val="24"/>
              </w:rPr>
              <w:t>小写：</w:t>
            </w:r>
          </w:p>
        </w:tc>
        <w:tc>
          <w:tcPr>
            <w:tcW w:w="1805" w:type="dxa"/>
            <w:vAlign w:val="center"/>
          </w:tcPr>
          <w:p w14:paraId="12054A29">
            <w:pPr>
              <w:tabs>
                <w:tab w:val="left" w:pos="5580"/>
              </w:tabs>
              <w:spacing w:line="360" w:lineRule="auto"/>
              <w:ind w:left="1080" w:leftChars="257" w:hanging="540"/>
              <w:jc w:val="center"/>
              <w:rPr>
                <w:rFonts w:eastAsia="仿宋"/>
                <w:sz w:val="24"/>
              </w:rPr>
            </w:pPr>
          </w:p>
        </w:tc>
        <w:tc>
          <w:tcPr>
            <w:tcW w:w="1445" w:type="dxa"/>
            <w:vAlign w:val="center"/>
          </w:tcPr>
          <w:p w14:paraId="018A94B7">
            <w:pPr>
              <w:tabs>
                <w:tab w:val="left" w:pos="5580"/>
              </w:tabs>
              <w:spacing w:line="360" w:lineRule="auto"/>
              <w:ind w:left="1080" w:leftChars="257" w:hanging="540"/>
              <w:jc w:val="center"/>
              <w:rPr>
                <w:rFonts w:eastAsia="仿宋"/>
                <w:sz w:val="24"/>
              </w:rPr>
            </w:pPr>
          </w:p>
        </w:tc>
        <w:tc>
          <w:tcPr>
            <w:tcW w:w="1016" w:type="dxa"/>
            <w:vAlign w:val="center"/>
          </w:tcPr>
          <w:p w14:paraId="69B8381C">
            <w:pPr>
              <w:tabs>
                <w:tab w:val="left" w:pos="5580"/>
              </w:tabs>
              <w:spacing w:line="360" w:lineRule="auto"/>
              <w:ind w:left="1080" w:leftChars="257" w:hanging="540"/>
              <w:jc w:val="center"/>
              <w:rPr>
                <w:rFonts w:eastAsia="仿宋"/>
                <w:sz w:val="24"/>
              </w:rPr>
            </w:pPr>
          </w:p>
        </w:tc>
        <w:tc>
          <w:tcPr>
            <w:tcW w:w="1129" w:type="dxa"/>
            <w:vAlign w:val="center"/>
          </w:tcPr>
          <w:p w14:paraId="0A35ED00">
            <w:pPr>
              <w:tabs>
                <w:tab w:val="left" w:pos="5580"/>
              </w:tabs>
              <w:rPr>
                <w:rFonts w:eastAsia="仿宋"/>
                <w:sz w:val="24"/>
              </w:rPr>
            </w:pPr>
          </w:p>
        </w:tc>
      </w:tr>
    </w:tbl>
    <w:p w14:paraId="71A86F8E">
      <w:pPr>
        <w:pStyle w:val="44"/>
        <w:tabs>
          <w:tab w:val="left" w:pos="5580"/>
        </w:tabs>
        <w:spacing w:line="360" w:lineRule="auto"/>
        <w:ind w:left="1080" w:leftChars="257" w:hanging="540"/>
        <w:rPr>
          <w:rFonts w:ascii="Times New Roman" w:hAnsi="Times New Roman" w:eastAsia="仿宋"/>
          <w:sz w:val="24"/>
        </w:rPr>
      </w:pPr>
    </w:p>
    <w:p w14:paraId="155A93A5">
      <w:pPr>
        <w:pStyle w:val="44"/>
        <w:tabs>
          <w:tab w:val="left" w:pos="5580"/>
        </w:tabs>
        <w:spacing w:line="360" w:lineRule="auto"/>
        <w:rPr>
          <w:rFonts w:ascii="Times New Roman" w:hAnsi="Times New Roman" w:eastAsia="仿宋"/>
          <w:sz w:val="24"/>
          <w:u w:val="single"/>
        </w:rPr>
      </w:pPr>
    </w:p>
    <w:p w14:paraId="33D50688">
      <w:pPr>
        <w:pStyle w:val="44"/>
        <w:tabs>
          <w:tab w:val="left" w:pos="5580"/>
        </w:tabs>
        <w:spacing w:line="360" w:lineRule="auto"/>
        <w:ind w:left="1080" w:leftChars="257" w:hanging="540"/>
        <w:rPr>
          <w:rFonts w:hint="default" w:ascii="Times New Roman" w:hAnsi="Times New Roman" w:eastAsia="仿宋"/>
          <w:sz w:val="24"/>
          <w:u w:val="single"/>
          <w:lang w:val="en-US" w:eastAsia="zh-CN"/>
        </w:rPr>
      </w:pPr>
      <w:r>
        <w:rPr>
          <w:rFonts w:ascii="Times New Roman" w:hAnsi="Times New Roman" w:eastAsia="仿宋"/>
          <w:sz w:val="24"/>
        </w:rPr>
        <w:t>投标人名称（单位章）：</w:t>
      </w:r>
      <w:r>
        <w:rPr>
          <w:rFonts w:hint="eastAsia" w:ascii="Times New Roman" w:hAnsi="Times New Roman" w:eastAsia="仿宋"/>
          <w:sz w:val="24"/>
          <w:u w:val="single"/>
          <w:lang w:val="en-US" w:eastAsia="zh-CN"/>
        </w:rPr>
        <w:t xml:space="preserve">         </w:t>
      </w:r>
    </w:p>
    <w:p w14:paraId="22C43D02">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ascii="Times New Roman" w:hAnsi="Times New Roman" w:eastAsia="仿宋"/>
          <w:color w:val="000000"/>
          <w:sz w:val="24"/>
          <w:u w:val="single"/>
        </w:rPr>
        <w:t>签字或签章</w:t>
      </w:r>
      <w:r>
        <w:rPr>
          <w:rFonts w:ascii="Times New Roman" w:hAnsi="Times New Roman" w:eastAsia="仿宋"/>
          <w:sz w:val="24"/>
        </w:rPr>
        <w:t>):</w:t>
      </w:r>
      <w:r>
        <w:rPr>
          <w:rFonts w:ascii="Times New Roman" w:hAnsi="Times New Roman" w:eastAsia="仿宋"/>
          <w:sz w:val="24"/>
          <w:u w:val="single"/>
        </w:rPr>
        <w:tab/>
      </w:r>
    </w:p>
    <w:p w14:paraId="6A3B6FA6">
      <w:pPr>
        <w:pStyle w:val="44"/>
        <w:tabs>
          <w:tab w:val="left" w:pos="5580"/>
        </w:tabs>
        <w:spacing w:line="360" w:lineRule="auto"/>
        <w:rPr>
          <w:rFonts w:ascii="Times New Roman" w:hAnsi="Times New Roman" w:eastAsia="仿宋"/>
          <w:sz w:val="24"/>
          <w:u w:val="single"/>
        </w:rPr>
      </w:pPr>
    </w:p>
    <w:p w14:paraId="207BE90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注:此表中，投标总价应和投标分项报价表的总价相一致。</w:t>
      </w:r>
    </w:p>
    <w:p w14:paraId="6074E694">
      <w:pPr>
        <w:pStyle w:val="44"/>
        <w:tabs>
          <w:tab w:val="left" w:pos="5580"/>
        </w:tabs>
        <w:spacing w:line="360" w:lineRule="auto"/>
        <w:rPr>
          <w:rFonts w:ascii="Times New Roman" w:hAnsi="Times New Roman" w:eastAsia="仿宋"/>
          <w:sz w:val="24"/>
        </w:rPr>
      </w:pPr>
    </w:p>
    <w:p w14:paraId="341BFC38">
      <w:pPr>
        <w:pStyle w:val="34"/>
        <w:spacing w:before="0" w:line="240" w:lineRule="auto"/>
        <w:ind w:firstLine="482" w:firstLineChars="200"/>
        <w:jc w:val="left"/>
        <w:rPr>
          <w:rFonts w:ascii="仿宋" w:hAnsi="仿宋" w:eastAsia="仿宋"/>
          <w:sz w:val="24"/>
        </w:rPr>
      </w:pPr>
      <w:bookmarkStart w:id="292" w:name="_Toc39671740"/>
      <w:bookmarkEnd w:id="292"/>
      <w:bookmarkStart w:id="293" w:name="_Toc8636"/>
      <w:bookmarkEnd w:id="293"/>
      <w:bookmarkStart w:id="294" w:name="_Toc16681"/>
      <w:bookmarkEnd w:id="294"/>
      <w:bookmarkStart w:id="295" w:name="_Toc16161"/>
      <w:bookmarkEnd w:id="295"/>
      <w:bookmarkStart w:id="296" w:name="_Toc10556"/>
      <w:bookmarkEnd w:id="296"/>
      <w:bookmarkStart w:id="297" w:name="_Toc30939"/>
      <w:bookmarkEnd w:id="297"/>
      <w:bookmarkStart w:id="298" w:name="_Toc13932"/>
      <w:bookmarkEnd w:id="298"/>
      <w:bookmarkStart w:id="299" w:name="_Toc22031"/>
      <w:bookmarkEnd w:id="299"/>
      <w:bookmarkStart w:id="300" w:name="_Toc22494199"/>
      <w:bookmarkEnd w:id="300"/>
      <w:bookmarkStart w:id="301" w:name="_Toc15266"/>
      <w:bookmarkEnd w:id="301"/>
      <w:r>
        <w:rPr>
          <w:rFonts w:ascii="仿宋" w:hAnsi="仿宋" w:eastAsia="仿宋"/>
          <w:sz w:val="24"/>
        </w:rPr>
        <w:t>2、</w:t>
      </w:r>
      <w:r>
        <w:rPr>
          <w:rFonts w:hint="eastAsia" w:ascii="仿宋" w:hAnsi="仿宋" w:eastAsia="仿宋"/>
          <w:sz w:val="24"/>
        </w:rPr>
        <w:t>独立承担民事责任能力的企业、事业、自然人，提供营业执照等经营性证件；</w:t>
      </w:r>
    </w:p>
    <w:p w14:paraId="3C77C1BC">
      <w:pPr>
        <w:pStyle w:val="44"/>
        <w:tabs>
          <w:tab w:val="left" w:pos="5580"/>
        </w:tabs>
        <w:spacing w:line="360" w:lineRule="auto"/>
        <w:ind w:left="1679" w:leftChars="228" w:hanging="1200" w:hangingChars="5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31FEEE18">
      <w:pPr>
        <w:pStyle w:val="44"/>
        <w:tabs>
          <w:tab w:val="left" w:pos="5580"/>
        </w:tabs>
        <w:spacing w:line="360" w:lineRule="auto"/>
        <w:ind w:left="1677" w:leftChars="570" w:hanging="480" w:hangingChars="2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2）投标人必须满足《中华人民共和国政府采购法》第二十二条要求，法定代表人（或企业负责人）授权书（自然人投标的无需提供）。</w:t>
      </w:r>
    </w:p>
    <w:p w14:paraId="25AA0731">
      <w:pPr>
        <w:pStyle w:val="44"/>
        <w:tabs>
          <w:tab w:val="left" w:pos="5580"/>
        </w:tabs>
        <w:spacing w:line="360" w:lineRule="auto"/>
        <w:rPr>
          <w:rFonts w:ascii="Times New Roman" w:hAnsi="Times New Roman" w:eastAsia="仿宋"/>
          <w:color w:val="000000"/>
          <w:sz w:val="24"/>
        </w:rPr>
      </w:pPr>
    </w:p>
    <w:p w14:paraId="568FD31B">
      <w:pPr>
        <w:pStyle w:val="44"/>
        <w:numPr>
          <w:ilvl w:val="0"/>
          <w:numId w:val="6"/>
        </w:numPr>
        <w:tabs>
          <w:tab w:val="left" w:pos="5580"/>
        </w:tabs>
        <w:spacing w:line="360" w:lineRule="auto"/>
        <w:ind w:firstLine="482" w:firstLineChars="200"/>
        <w:rPr>
          <w:rFonts w:ascii="仿宋" w:hAnsi="仿宋" w:eastAsia="仿宋"/>
          <w:b/>
          <w:kern w:val="0"/>
          <w:sz w:val="24"/>
        </w:rPr>
      </w:pPr>
      <w:r>
        <w:rPr>
          <w:rFonts w:ascii="仿宋" w:hAnsi="仿宋" w:eastAsia="仿宋"/>
          <w:b/>
          <w:kern w:val="0"/>
          <w:sz w:val="24"/>
        </w:rPr>
        <w:t>法人身份证明或法人授权委托书（含法人身份证复印件）和被授权人身份有效证件；</w:t>
      </w:r>
    </w:p>
    <w:p w14:paraId="11631808">
      <w:pPr>
        <w:pStyle w:val="44"/>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0C5DDDA8">
      <w:pPr>
        <w:pStyle w:val="44"/>
        <w:tabs>
          <w:tab w:val="left" w:pos="5580"/>
        </w:tabs>
        <w:spacing w:line="360" w:lineRule="auto"/>
        <w:ind w:left="479" w:leftChars="228" w:firstLine="480" w:firstLineChars="200"/>
        <w:rPr>
          <w:rFonts w:ascii="Times New Roman" w:hAnsi="Times New Roman" w:eastAsia="仿宋"/>
          <w:color w:val="000000"/>
          <w:sz w:val="24"/>
        </w:rPr>
      </w:pPr>
    </w:p>
    <w:p w14:paraId="30E17E42">
      <w:pPr>
        <w:pStyle w:val="35"/>
        <w:spacing w:before="0" w:after="0" w:line="360" w:lineRule="auto"/>
        <w:jc w:val="center"/>
        <w:rPr>
          <w:rFonts w:ascii="Times New Roman" w:eastAsia="仿宋"/>
          <w:u w:val="none"/>
        </w:rPr>
      </w:pPr>
      <w:bookmarkStart w:id="302" w:name="_Toc3323"/>
      <w:bookmarkEnd w:id="302"/>
      <w:r>
        <w:rPr>
          <w:rFonts w:ascii="Times New Roman" w:eastAsia="仿宋"/>
          <w:u w:val="none"/>
        </w:rPr>
        <w:t>法定代表人（或企业负责人）授权委托书</w:t>
      </w:r>
    </w:p>
    <w:p w14:paraId="03245E13">
      <w:pPr>
        <w:pStyle w:val="35"/>
        <w:spacing w:before="0" w:after="0" w:line="360" w:lineRule="auto"/>
        <w:jc w:val="center"/>
        <w:rPr>
          <w:rFonts w:ascii="Times New Roman" w:eastAsia="仿宋"/>
        </w:rPr>
      </w:pPr>
      <w:bookmarkStart w:id="303" w:name="_Toc18132"/>
      <w:bookmarkEnd w:id="303"/>
      <w:r>
        <w:rPr>
          <w:rFonts w:ascii="Times New Roman" w:eastAsia="仿宋"/>
        </w:rPr>
        <w:t>本授权书声明：</w:t>
      </w:r>
    </w:p>
    <w:p w14:paraId="1B5A2D95">
      <w:pPr>
        <w:pStyle w:val="44"/>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17EA14A8">
      <w:pPr>
        <w:pStyle w:val="44"/>
        <w:tabs>
          <w:tab w:val="left" w:pos="5580"/>
        </w:tabs>
        <w:spacing w:line="360" w:lineRule="auto"/>
        <w:ind w:firstLine="720" w:firstLineChars="300"/>
        <w:rPr>
          <w:rFonts w:ascii="Times New Roman" w:hAnsi="Times New Roman" w:eastAsia="仿宋"/>
          <w:sz w:val="24"/>
        </w:rPr>
      </w:pPr>
    </w:p>
    <w:p w14:paraId="79F35263">
      <w:pPr>
        <w:pStyle w:val="44"/>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51601806">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6D2AFC">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52CF8716">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51E282D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75EC6842">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662CCFEF">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52C3130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1300C6D1">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4F49D40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4"/>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9E1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13D93E78">
            <w:pPr>
              <w:widowControl/>
              <w:jc w:val="left"/>
              <w:rPr>
                <w:rFonts w:ascii="宋体" w:hAnsi="宋体"/>
                <w:szCs w:val="21"/>
              </w:rPr>
            </w:pPr>
          </w:p>
          <w:p w14:paraId="7E89F72E">
            <w:pPr>
              <w:widowControl/>
              <w:rPr>
                <w:rFonts w:ascii="宋体" w:hAnsi="宋体"/>
                <w:szCs w:val="21"/>
              </w:rPr>
            </w:pPr>
          </w:p>
          <w:p w14:paraId="69F23864">
            <w:pPr>
              <w:widowControl/>
              <w:rPr>
                <w:rFonts w:ascii="宋体" w:hAnsi="宋体"/>
                <w:szCs w:val="21"/>
              </w:rPr>
            </w:pPr>
          </w:p>
          <w:p w14:paraId="396F1469">
            <w:pPr>
              <w:widowControl/>
              <w:jc w:val="center"/>
              <w:rPr>
                <w:rFonts w:ascii="宋体" w:hAnsi="宋体"/>
                <w:szCs w:val="21"/>
              </w:rPr>
            </w:pPr>
            <w:r>
              <w:rPr>
                <w:rFonts w:hint="eastAsia" w:ascii="宋体" w:hAnsi="宋体"/>
                <w:szCs w:val="21"/>
              </w:rPr>
              <w:t>授权委托人身份证正面</w:t>
            </w:r>
          </w:p>
          <w:p w14:paraId="5DF6E3F3">
            <w:pPr>
              <w:widowControl/>
              <w:rPr>
                <w:rFonts w:ascii="宋体" w:hAnsi="宋体"/>
                <w:szCs w:val="21"/>
              </w:rPr>
            </w:pPr>
          </w:p>
          <w:p w14:paraId="1CA452FA">
            <w:pPr>
              <w:widowControl/>
              <w:rPr>
                <w:rFonts w:ascii="宋体" w:hAnsi="宋体"/>
                <w:szCs w:val="21"/>
              </w:rPr>
            </w:pPr>
          </w:p>
          <w:p w14:paraId="1A6FAAC7">
            <w:pPr>
              <w:widowControl/>
              <w:rPr>
                <w:rFonts w:ascii="宋体" w:hAnsi="宋体"/>
                <w:szCs w:val="21"/>
              </w:rPr>
            </w:pPr>
          </w:p>
          <w:p w14:paraId="71641827">
            <w:pPr>
              <w:widowControl/>
              <w:rPr>
                <w:rFonts w:ascii="宋体" w:hAnsi="宋体"/>
                <w:szCs w:val="21"/>
              </w:rPr>
            </w:pPr>
          </w:p>
        </w:tc>
        <w:tc>
          <w:tcPr>
            <w:tcW w:w="4201" w:type="dxa"/>
          </w:tcPr>
          <w:p w14:paraId="02CC67C5">
            <w:pPr>
              <w:widowControl/>
              <w:jc w:val="left"/>
              <w:rPr>
                <w:rFonts w:ascii="宋体" w:hAnsi="宋体"/>
                <w:szCs w:val="21"/>
              </w:rPr>
            </w:pPr>
          </w:p>
          <w:p w14:paraId="63E2FB4F">
            <w:pPr>
              <w:widowControl/>
              <w:rPr>
                <w:rFonts w:ascii="宋体" w:hAnsi="宋体"/>
                <w:szCs w:val="21"/>
              </w:rPr>
            </w:pPr>
          </w:p>
          <w:p w14:paraId="693697F9">
            <w:pPr>
              <w:widowControl/>
              <w:jc w:val="center"/>
              <w:rPr>
                <w:rFonts w:ascii="宋体" w:hAnsi="宋体"/>
                <w:szCs w:val="21"/>
              </w:rPr>
            </w:pPr>
          </w:p>
          <w:p w14:paraId="5979FDF4">
            <w:pPr>
              <w:widowControl/>
              <w:jc w:val="center"/>
              <w:rPr>
                <w:rFonts w:ascii="宋体" w:hAnsi="宋体"/>
                <w:szCs w:val="21"/>
              </w:rPr>
            </w:pPr>
            <w:r>
              <w:rPr>
                <w:rFonts w:hint="eastAsia" w:ascii="宋体" w:hAnsi="宋体"/>
                <w:szCs w:val="21"/>
              </w:rPr>
              <w:t>授权委托人身份证反面</w:t>
            </w:r>
          </w:p>
          <w:p w14:paraId="2F5C12F3">
            <w:pPr>
              <w:widowControl/>
              <w:rPr>
                <w:rFonts w:ascii="宋体" w:hAnsi="宋体"/>
                <w:szCs w:val="21"/>
              </w:rPr>
            </w:pPr>
          </w:p>
          <w:p w14:paraId="7D7D6D74">
            <w:pPr>
              <w:widowControl/>
              <w:rPr>
                <w:rFonts w:ascii="宋体" w:hAnsi="宋体"/>
                <w:szCs w:val="21"/>
              </w:rPr>
            </w:pPr>
          </w:p>
          <w:p w14:paraId="0EF3155A">
            <w:pPr>
              <w:widowControl/>
              <w:rPr>
                <w:rFonts w:ascii="宋体" w:hAnsi="宋体"/>
                <w:szCs w:val="21"/>
              </w:rPr>
            </w:pPr>
          </w:p>
          <w:p w14:paraId="6D20BAB4">
            <w:pPr>
              <w:widowControl/>
              <w:rPr>
                <w:rFonts w:ascii="宋体" w:hAnsi="宋体"/>
                <w:szCs w:val="21"/>
              </w:rPr>
            </w:pPr>
          </w:p>
        </w:tc>
      </w:tr>
    </w:tbl>
    <w:p w14:paraId="1ABE373F">
      <w:pPr>
        <w:pStyle w:val="39"/>
        <w:ind w:firstLine="0"/>
        <w:rPr>
          <w:rFonts w:ascii="Times New Roman" w:eastAsia="仿宋"/>
        </w:rPr>
      </w:pP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7874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39D7168D">
            <w:pPr>
              <w:widowControl/>
              <w:jc w:val="left"/>
              <w:rPr>
                <w:rFonts w:ascii="宋体" w:hAnsi="宋体"/>
                <w:szCs w:val="21"/>
              </w:rPr>
            </w:pPr>
          </w:p>
          <w:p w14:paraId="298F6892">
            <w:pPr>
              <w:widowControl/>
              <w:rPr>
                <w:rFonts w:ascii="宋体" w:hAnsi="宋体"/>
                <w:szCs w:val="21"/>
              </w:rPr>
            </w:pPr>
          </w:p>
          <w:p w14:paraId="68F338F7">
            <w:pPr>
              <w:widowControl/>
              <w:rPr>
                <w:rFonts w:ascii="宋体" w:hAnsi="宋体"/>
                <w:szCs w:val="21"/>
              </w:rPr>
            </w:pPr>
          </w:p>
          <w:p w14:paraId="23E7D490">
            <w:pPr>
              <w:widowControl/>
              <w:jc w:val="center"/>
              <w:rPr>
                <w:rFonts w:ascii="宋体" w:hAnsi="宋体"/>
                <w:szCs w:val="21"/>
              </w:rPr>
            </w:pPr>
            <w:r>
              <w:rPr>
                <w:rFonts w:hint="eastAsia" w:ascii="宋体" w:hAnsi="宋体"/>
                <w:szCs w:val="21"/>
              </w:rPr>
              <w:t>法定代表人身份证正面</w:t>
            </w:r>
          </w:p>
          <w:p w14:paraId="1CBA5302">
            <w:pPr>
              <w:widowControl/>
              <w:rPr>
                <w:rFonts w:ascii="宋体" w:hAnsi="宋体"/>
                <w:szCs w:val="21"/>
              </w:rPr>
            </w:pPr>
          </w:p>
          <w:p w14:paraId="6B800A19">
            <w:pPr>
              <w:widowControl/>
              <w:rPr>
                <w:rFonts w:ascii="宋体" w:hAnsi="宋体"/>
                <w:szCs w:val="21"/>
              </w:rPr>
            </w:pPr>
          </w:p>
          <w:p w14:paraId="687FCE67">
            <w:pPr>
              <w:widowControl/>
              <w:rPr>
                <w:rFonts w:ascii="宋体" w:hAnsi="宋体"/>
                <w:szCs w:val="21"/>
              </w:rPr>
            </w:pPr>
          </w:p>
          <w:p w14:paraId="3A0CC8A6">
            <w:pPr>
              <w:widowControl/>
              <w:rPr>
                <w:rFonts w:ascii="宋体" w:hAnsi="宋体"/>
                <w:szCs w:val="21"/>
              </w:rPr>
            </w:pPr>
          </w:p>
        </w:tc>
        <w:tc>
          <w:tcPr>
            <w:tcW w:w="4201" w:type="dxa"/>
          </w:tcPr>
          <w:p w14:paraId="03324FEA">
            <w:pPr>
              <w:widowControl/>
              <w:jc w:val="left"/>
              <w:rPr>
                <w:rFonts w:ascii="宋体" w:hAnsi="宋体"/>
                <w:szCs w:val="21"/>
              </w:rPr>
            </w:pPr>
          </w:p>
          <w:p w14:paraId="314C095D">
            <w:pPr>
              <w:widowControl/>
              <w:rPr>
                <w:rFonts w:ascii="宋体" w:hAnsi="宋体"/>
                <w:szCs w:val="21"/>
              </w:rPr>
            </w:pPr>
          </w:p>
          <w:p w14:paraId="6ADF4EA5">
            <w:pPr>
              <w:widowControl/>
              <w:jc w:val="center"/>
              <w:rPr>
                <w:rFonts w:ascii="宋体" w:hAnsi="宋体"/>
                <w:szCs w:val="21"/>
              </w:rPr>
            </w:pPr>
          </w:p>
          <w:p w14:paraId="6DB1C8C9">
            <w:pPr>
              <w:widowControl/>
              <w:jc w:val="center"/>
              <w:rPr>
                <w:rFonts w:ascii="宋体" w:hAnsi="宋体"/>
                <w:szCs w:val="21"/>
              </w:rPr>
            </w:pPr>
            <w:r>
              <w:rPr>
                <w:rFonts w:hint="eastAsia" w:ascii="宋体" w:hAnsi="宋体"/>
                <w:szCs w:val="21"/>
              </w:rPr>
              <w:t>法定代表人身份证反面</w:t>
            </w:r>
          </w:p>
          <w:p w14:paraId="0779EAC4">
            <w:pPr>
              <w:widowControl/>
              <w:rPr>
                <w:rFonts w:ascii="宋体" w:hAnsi="宋体"/>
                <w:szCs w:val="21"/>
              </w:rPr>
            </w:pPr>
          </w:p>
          <w:p w14:paraId="02C427CC">
            <w:pPr>
              <w:widowControl/>
              <w:rPr>
                <w:rFonts w:ascii="宋体" w:hAnsi="宋体"/>
                <w:szCs w:val="21"/>
              </w:rPr>
            </w:pPr>
          </w:p>
          <w:p w14:paraId="7922C1E0">
            <w:pPr>
              <w:widowControl/>
              <w:rPr>
                <w:rFonts w:ascii="宋体" w:hAnsi="宋体"/>
                <w:szCs w:val="21"/>
              </w:rPr>
            </w:pPr>
          </w:p>
          <w:p w14:paraId="7E519889">
            <w:pPr>
              <w:widowControl/>
              <w:rPr>
                <w:rFonts w:ascii="宋体" w:hAnsi="宋体"/>
                <w:szCs w:val="21"/>
              </w:rPr>
            </w:pPr>
          </w:p>
        </w:tc>
      </w:tr>
    </w:tbl>
    <w:p w14:paraId="02C40BC4">
      <w:pPr>
        <w:pStyle w:val="39"/>
        <w:spacing w:line="360" w:lineRule="auto"/>
        <w:ind w:firstLine="0"/>
        <w:rPr>
          <w:rFonts w:ascii="Times New Roman" w:eastAsia="仿宋"/>
        </w:rPr>
      </w:pPr>
    </w:p>
    <w:p w14:paraId="7F1055FE">
      <w:pPr>
        <w:pStyle w:val="39"/>
        <w:spacing w:line="360" w:lineRule="auto"/>
        <w:ind w:firstLine="0"/>
        <w:rPr>
          <w:rFonts w:ascii="Times New Roman" w:eastAsia="仿宋"/>
          <w:color w:val="000000"/>
        </w:rPr>
      </w:pPr>
    </w:p>
    <w:p w14:paraId="6578AA12">
      <w:pPr>
        <w:pStyle w:val="39"/>
        <w:spacing w:line="360" w:lineRule="auto"/>
        <w:rPr>
          <w:rFonts w:ascii="Times New Roman" w:eastAsia="仿宋"/>
          <w:color w:val="000000"/>
        </w:rPr>
      </w:pPr>
    </w:p>
    <w:p w14:paraId="48FEAC5F">
      <w:pPr>
        <w:spacing w:line="360" w:lineRule="auto"/>
        <w:rPr>
          <w:rFonts w:eastAsia="仿宋"/>
          <w:b/>
          <w:bCs/>
          <w:sz w:val="24"/>
        </w:rPr>
      </w:pPr>
      <w:bookmarkStart w:id="304" w:name="_Toc130"/>
      <w:bookmarkEnd w:id="304"/>
      <w:bookmarkStart w:id="305" w:name="_Toc11020"/>
      <w:bookmarkEnd w:id="305"/>
      <w:r>
        <w:rPr>
          <w:rFonts w:hint="eastAsia" w:eastAsia="仿宋"/>
          <w:b/>
          <w:bCs/>
          <w:sz w:val="24"/>
        </w:rPr>
        <w:t>4.</w:t>
      </w:r>
      <w:r>
        <w:rPr>
          <w:rFonts w:hint="eastAsia" w:eastAsia="仿宋"/>
          <w:b/>
          <w:bCs/>
          <w:sz w:val="24"/>
          <w:lang w:eastAsia="zh-CN"/>
        </w:rPr>
        <w:t>近两年任意一年完整的</w:t>
      </w:r>
      <w:r>
        <w:rPr>
          <w:rFonts w:hint="eastAsia" w:eastAsia="仿宋"/>
          <w:b/>
          <w:bCs/>
          <w:sz w:val="24"/>
        </w:rPr>
        <w:t>财务审计报告（新成立公司提供开标前三个月内任意一个月有效银行资信证明）；</w:t>
      </w:r>
    </w:p>
    <w:p w14:paraId="0B83DEAE">
      <w:pPr>
        <w:pStyle w:val="39"/>
        <w:rPr>
          <w:rFonts w:ascii="仿宋" w:hAnsi="仿宋" w:eastAsia="仿宋"/>
          <w:color w:val="000000"/>
          <w:kern w:val="2"/>
          <w:szCs w:val="24"/>
        </w:rPr>
      </w:pPr>
      <w:r>
        <w:rPr>
          <w:rFonts w:hint="eastAsia" w:ascii="仿宋" w:hAnsi="仿宋" w:eastAsia="仿宋"/>
          <w:color w:val="000000"/>
          <w:kern w:val="2"/>
          <w:szCs w:val="24"/>
        </w:rPr>
        <w:t>说明：</w:t>
      </w:r>
    </w:p>
    <w:p w14:paraId="77AE93EC">
      <w:pPr>
        <w:pStyle w:val="39"/>
        <w:rPr>
          <w:rFonts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67296A75">
      <w:pPr>
        <w:pStyle w:val="39"/>
        <w:rPr>
          <w:rFonts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5E39DD0D">
      <w:pPr>
        <w:pStyle w:val="44"/>
        <w:tabs>
          <w:tab w:val="left" w:pos="5580"/>
        </w:tabs>
        <w:spacing w:line="360" w:lineRule="auto"/>
        <w:ind w:left="1080" w:leftChars="257" w:hanging="540"/>
        <w:rPr>
          <w:rFonts w:ascii="Times New Roman" w:hAnsi="Times New Roman" w:eastAsia="仿宋"/>
          <w:color w:val="000000"/>
          <w:sz w:val="24"/>
        </w:rPr>
      </w:pPr>
    </w:p>
    <w:p w14:paraId="5B8099F6">
      <w:pPr>
        <w:tabs>
          <w:tab w:val="left" w:pos="5580"/>
        </w:tabs>
        <w:spacing w:line="360" w:lineRule="auto"/>
        <w:ind w:left="540" w:firstLine="480" w:firstLineChars="200"/>
        <w:rPr>
          <w:rFonts w:eastAsia="仿宋"/>
          <w:bCs/>
          <w:color w:val="000000"/>
          <w:sz w:val="24"/>
        </w:rPr>
      </w:pPr>
    </w:p>
    <w:p w14:paraId="513B3ADF">
      <w:pPr>
        <w:spacing w:line="360" w:lineRule="auto"/>
        <w:rPr>
          <w:rFonts w:eastAsia="仿宋"/>
          <w:b/>
          <w:bCs/>
          <w:sz w:val="24"/>
        </w:rPr>
      </w:pPr>
      <w:r>
        <w:rPr>
          <w:rFonts w:hint="eastAsia" w:eastAsia="仿宋"/>
          <w:b/>
          <w:bCs/>
          <w:sz w:val="24"/>
        </w:rPr>
        <w:t>5.投标企业</w:t>
      </w:r>
      <w:r>
        <w:rPr>
          <w:rFonts w:hint="eastAsia" w:ascii="仿宋" w:hAnsi="仿宋" w:eastAsia="仿宋"/>
          <w:b/>
          <w:bCs/>
          <w:sz w:val="24"/>
        </w:rPr>
        <w:t>依法缴纳近 6 个月任意一个月社会保险的凭据</w:t>
      </w:r>
      <w:r>
        <w:rPr>
          <w:rFonts w:hint="eastAsia" w:eastAsia="仿宋"/>
          <w:b/>
          <w:bCs/>
          <w:sz w:val="24"/>
        </w:rPr>
        <w:t>；</w:t>
      </w:r>
    </w:p>
    <w:p w14:paraId="724E997F">
      <w:pPr>
        <w:spacing w:line="360" w:lineRule="auto"/>
        <w:ind w:firstLine="480" w:firstLineChars="200"/>
        <w:rPr>
          <w:rFonts w:ascii="仿宋" w:hAnsi="仿宋" w:eastAsia="仿宋"/>
          <w:color w:val="000000"/>
          <w:sz w:val="24"/>
        </w:rPr>
      </w:pPr>
      <w:r>
        <w:rPr>
          <w:rFonts w:hint="eastAsia" w:ascii="仿宋" w:hAnsi="仿宋" w:eastAsia="仿宋"/>
          <w:color w:val="000000"/>
          <w:sz w:val="24"/>
        </w:rPr>
        <w:t>说明：复印件上应加盖本单位章。</w:t>
      </w:r>
    </w:p>
    <w:p w14:paraId="6D63020C">
      <w:pPr>
        <w:pStyle w:val="44"/>
        <w:tabs>
          <w:tab w:val="left" w:pos="5580"/>
        </w:tabs>
        <w:spacing w:line="360" w:lineRule="auto"/>
        <w:ind w:left="1080" w:leftChars="257" w:hanging="540"/>
        <w:rPr>
          <w:rFonts w:ascii="Times New Roman" w:hAnsi="Times New Roman" w:eastAsia="仿宋"/>
          <w:color w:val="000000"/>
          <w:sz w:val="24"/>
        </w:rPr>
      </w:pPr>
    </w:p>
    <w:p w14:paraId="7EF56F55">
      <w:pPr>
        <w:spacing w:line="360" w:lineRule="auto"/>
        <w:rPr>
          <w:rFonts w:ascii="仿宋" w:hAnsi="仿宋" w:eastAsia="仿宋"/>
          <w:b/>
          <w:bCs/>
          <w:sz w:val="24"/>
        </w:rPr>
      </w:pPr>
      <w:r>
        <w:rPr>
          <w:rFonts w:hint="eastAsia" w:ascii="仿宋" w:hAnsi="仿宋" w:eastAsia="仿宋"/>
          <w:b/>
          <w:bCs/>
          <w:sz w:val="24"/>
        </w:rPr>
        <w:t>6.投标企业提供税务部门出具的近 6 个月任意一个月的完税证明；</w:t>
      </w:r>
    </w:p>
    <w:p w14:paraId="22BC0CD9">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说明：</w:t>
      </w:r>
    </w:p>
    <w:p w14:paraId="11B54A10">
      <w:pPr>
        <w:pStyle w:val="44"/>
        <w:numPr>
          <w:ilvl w:val="0"/>
          <w:numId w:val="7"/>
        </w:numPr>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投标企业提供税务部门出具的近6个月任意一个月的完税证明”：</w:t>
      </w:r>
    </w:p>
    <w:p w14:paraId="5DEA97DE">
      <w:pPr>
        <w:pStyle w:val="44"/>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03245BE6">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4F35AF2B">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2）复印件上应加盖本单位章。</w:t>
      </w:r>
    </w:p>
    <w:p w14:paraId="5F7A1786">
      <w:pPr>
        <w:tabs>
          <w:tab w:val="left" w:pos="5580"/>
        </w:tabs>
        <w:spacing w:line="360" w:lineRule="auto"/>
        <w:ind w:left="1080" w:leftChars="257" w:hanging="540"/>
        <w:rPr>
          <w:rFonts w:eastAsia="仿宋"/>
          <w:color w:val="000000"/>
          <w:sz w:val="24"/>
        </w:rPr>
      </w:pPr>
    </w:p>
    <w:p w14:paraId="4CD4F7F4">
      <w:pPr>
        <w:tabs>
          <w:tab w:val="left" w:pos="5580"/>
        </w:tabs>
        <w:spacing w:line="240" w:lineRule="atLeast"/>
        <w:rPr>
          <w:rFonts w:ascii="仿宋" w:hAnsi="仿宋" w:eastAsia="仿宋"/>
          <w:b/>
          <w:bCs/>
          <w:sz w:val="24"/>
        </w:rPr>
      </w:pPr>
      <w:r>
        <w:rPr>
          <w:rFonts w:hint="eastAsia" w:ascii="仿宋" w:hAnsi="仿宋" w:eastAsia="仿宋"/>
          <w:b/>
          <w:bCs/>
          <w:sz w:val="24"/>
        </w:rPr>
        <w:t>7.参与政府采购活动供应商在前3年内未被“信用中国”网站（www.creditchina.gov.cn）、“中国政府采购网”(www.ccgp.gov.cn)列入失信被执行人、重大税收违法案件当事人名单、政府采购严重失信行为记录名单（提供网页截图或承诺函</w:t>
      </w:r>
      <w:r>
        <w:rPr>
          <w:rFonts w:hint="eastAsia" w:ascii="仿宋" w:hAnsi="仿宋" w:eastAsia="仿宋"/>
          <w:b/>
          <w:bCs/>
          <w:sz w:val="24"/>
          <w:lang w:val="en-US" w:eastAsia="zh-CN"/>
        </w:rPr>
        <w:t>任一均可</w:t>
      </w:r>
      <w:r>
        <w:rPr>
          <w:rFonts w:hint="eastAsia" w:ascii="仿宋" w:hAnsi="仿宋" w:eastAsia="仿宋"/>
          <w:b/>
          <w:bCs/>
          <w:sz w:val="24"/>
        </w:rPr>
        <w:t>）；（以招标代理或招标人查询为准）</w:t>
      </w:r>
    </w:p>
    <w:p w14:paraId="2942AFD0">
      <w:pPr>
        <w:pStyle w:val="44"/>
        <w:tabs>
          <w:tab w:val="left" w:pos="5580"/>
        </w:tabs>
        <w:spacing w:line="240" w:lineRule="atLeast"/>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说明：</w:t>
      </w:r>
      <w:r>
        <w:rPr>
          <w:rFonts w:hint="eastAsia" w:ascii="仿宋" w:hAnsi="仿宋" w:eastAsia="仿宋"/>
          <w:color w:val="000000"/>
          <w:sz w:val="24"/>
          <w:lang w:val="en-US" w:eastAsia="zh-CN"/>
        </w:rPr>
        <w:t>1、网页截图：3张，</w:t>
      </w:r>
    </w:p>
    <w:p w14:paraId="17328185">
      <w:pPr>
        <w:pStyle w:val="44"/>
        <w:numPr>
          <w:ilvl w:val="0"/>
          <w:numId w:val="8"/>
        </w:numPr>
        <w:tabs>
          <w:tab w:val="left" w:pos="5580"/>
        </w:tabs>
        <w:spacing w:line="240" w:lineRule="atLeast"/>
        <w:ind w:firstLine="1205" w:firstLineChars="500"/>
        <w:rPr>
          <w:rFonts w:hint="eastAsia" w:ascii="仿宋" w:hAnsi="仿宋" w:eastAsia="仿宋"/>
          <w:b/>
          <w:bCs/>
          <w:sz w:val="24"/>
        </w:rPr>
      </w:pPr>
      <w:r>
        <w:rPr>
          <w:rFonts w:hint="eastAsia" w:ascii="仿宋" w:hAnsi="仿宋" w:eastAsia="仿宋"/>
          <w:b/>
          <w:bCs/>
          <w:sz w:val="24"/>
        </w:rPr>
        <w:t>列入失信被执行人(信用中国</w:t>
      </w:r>
      <w:r>
        <w:rPr>
          <w:rFonts w:hint="eastAsia" w:ascii="仿宋" w:hAnsi="仿宋" w:eastAsia="仿宋"/>
          <w:b/>
          <w:bCs/>
          <w:sz w:val="24"/>
          <w:lang w:val="en-US" w:eastAsia="zh-CN"/>
        </w:rPr>
        <w:t>-</w:t>
      </w:r>
      <w:r>
        <w:rPr>
          <w:rFonts w:hint="eastAsia" w:ascii="仿宋" w:hAnsi="仿宋" w:eastAsia="仿宋"/>
          <w:b/>
          <w:bCs/>
          <w:sz w:val="24"/>
        </w:rPr>
        <w:t>信用服务-重点领域严重失信主</w:t>
      </w:r>
    </w:p>
    <w:p w14:paraId="218C0332">
      <w:pPr>
        <w:pStyle w:val="44"/>
        <w:numPr>
          <w:ilvl w:val="0"/>
          <w:numId w:val="0"/>
        </w:numPr>
        <w:tabs>
          <w:tab w:val="left" w:pos="5580"/>
        </w:tabs>
        <w:spacing w:line="240" w:lineRule="atLeast"/>
        <w:ind w:left="1915" w:leftChars="912" w:firstLine="0" w:firstLineChars="0"/>
        <w:rPr>
          <w:rFonts w:hint="eastAsia" w:ascii="仿宋" w:hAnsi="仿宋" w:eastAsia="仿宋"/>
          <w:b/>
          <w:bCs/>
          <w:sz w:val="24"/>
        </w:rPr>
      </w:pPr>
      <w:r>
        <w:rPr>
          <w:rFonts w:hint="eastAsia" w:ascii="仿宋" w:hAnsi="仿宋" w:eastAsia="仿宋"/>
          <w:b/>
          <w:bCs/>
          <w:sz w:val="24"/>
        </w:rPr>
        <w:t>体名单查询-失信被执行人</w:t>
      </w:r>
      <w:r>
        <w:rPr>
          <w:rFonts w:hint="eastAsia" w:ascii="仿宋" w:hAnsi="仿宋" w:eastAsia="仿宋"/>
          <w:b/>
          <w:bCs/>
          <w:sz w:val="24"/>
          <w:lang w:eastAsia="zh-CN"/>
        </w:rPr>
        <w:t>（</w:t>
      </w:r>
      <w:r>
        <w:rPr>
          <w:rFonts w:hint="eastAsia" w:ascii="仿宋" w:hAnsi="仿宋" w:eastAsia="仿宋"/>
          <w:b/>
          <w:bCs/>
          <w:sz w:val="24"/>
          <w:lang w:val="en-US" w:eastAsia="zh-CN"/>
        </w:rPr>
        <w:t>跳转中国执行信息公开网</w:t>
      </w:r>
      <w:r>
        <w:rPr>
          <w:rFonts w:hint="eastAsia" w:ascii="仿宋" w:hAnsi="仿宋" w:eastAsia="仿宋"/>
          <w:b/>
          <w:bCs/>
          <w:sz w:val="24"/>
          <w:lang w:eastAsia="zh-CN"/>
        </w:rPr>
        <w:t>）</w:t>
      </w:r>
      <w:r>
        <w:rPr>
          <w:rFonts w:hint="eastAsia" w:ascii="仿宋" w:hAnsi="仿宋" w:eastAsia="仿宋"/>
          <w:b/>
          <w:bCs/>
          <w:sz w:val="24"/>
          <w:lang w:val="en-US" w:eastAsia="zh-CN"/>
        </w:rPr>
        <w:t>-</w:t>
      </w:r>
      <w:r>
        <w:rPr>
          <w:rFonts w:hint="eastAsia" w:ascii="仿宋" w:hAnsi="仿宋" w:eastAsia="仿宋"/>
          <w:b/>
          <w:bCs/>
          <w:sz w:val="24"/>
        </w:rPr>
        <w:t>搜索栏输入单位全称-截图)</w:t>
      </w:r>
    </w:p>
    <w:p w14:paraId="7DC830B8">
      <w:pPr>
        <w:pStyle w:val="44"/>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重大税收违法案件当事人名单(信用服务-重点领域严重失信主</w:t>
      </w:r>
    </w:p>
    <w:p w14:paraId="398B1FED">
      <w:pPr>
        <w:pStyle w:val="44"/>
        <w:numPr>
          <w:ilvl w:val="0"/>
          <w:numId w:val="0"/>
        </w:numPr>
        <w:tabs>
          <w:tab w:val="left" w:pos="5580"/>
        </w:tabs>
        <w:spacing w:line="240" w:lineRule="atLeast"/>
        <w:ind w:firstLine="1928" w:firstLineChars="800"/>
        <w:rPr>
          <w:rFonts w:hint="eastAsia" w:ascii="仿宋" w:hAnsi="仿宋" w:eastAsia="仿宋"/>
          <w:color w:val="000000"/>
          <w:sz w:val="24"/>
        </w:rPr>
      </w:pPr>
      <w:r>
        <w:rPr>
          <w:rFonts w:hint="eastAsia" w:ascii="仿宋" w:hAnsi="仿宋" w:eastAsia="仿宋"/>
          <w:b/>
          <w:bCs/>
          <w:sz w:val="24"/>
        </w:rPr>
        <w:t>体名单查询-搜索栏输入单位全称-截图)、</w:t>
      </w:r>
    </w:p>
    <w:p w14:paraId="18101811">
      <w:pPr>
        <w:pStyle w:val="44"/>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中国政府采购网严重违法失信行为记录名单</w:t>
      </w:r>
    </w:p>
    <w:p w14:paraId="4C10D9C7">
      <w:pPr>
        <w:pStyle w:val="44"/>
        <w:tabs>
          <w:tab w:val="left" w:pos="5580"/>
        </w:tabs>
        <w:spacing w:line="240" w:lineRule="atLeast"/>
        <w:ind w:left="1677" w:leftChars="570" w:hanging="480" w:hangingChars="200"/>
        <w:rPr>
          <w:rFonts w:ascii="仿宋" w:hAnsi="仿宋" w:eastAsia="仿宋"/>
          <w:color w:val="000000"/>
          <w:sz w:val="24"/>
        </w:rPr>
      </w:pPr>
      <w:r>
        <w:rPr>
          <w:rFonts w:hint="eastAsia" w:ascii="仿宋" w:hAnsi="仿宋" w:eastAsia="仿宋"/>
          <w:color w:val="000000"/>
          <w:sz w:val="24"/>
          <w:lang w:val="en-US" w:eastAsia="zh-CN"/>
        </w:rPr>
        <w:t>2、提供承诺函</w:t>
      </w:r>
      <w:r>
        <w:rPr>
          <w:rFonts w:hint="eastAsia" w:ascii="仿宋" w:hAnsi="仿宋" w:eastAsia="仿宋"/>
          <w:color w:val="000000"/>
          <w:sz w:val="24"/>
        </w:rPr>
        <w:t>按照招标文件的规定加盖单位章（自然人投标的无需盖章，需要签字）。</w:t>
      </w:r>
    </w:p>
    <w:p w14:paraId="2CAC2CEC"/>
    <w:p w14:paraId="28A2BBDF">
      <w:pPr>
        <w:spacing w:line="360" w:lineRule="auto"/>
        <w:rPr>
          <w:rFonts w:hint="default" w:ascii="仿宋" w:hAnsi="仿宋" w:eastAsia="仿宋"/>
          <w:b/>
          <w:bCs/>
          <w:lang w:val="en-US" w:eastAsia="zh-CN"/>
        </w:rPr>
      </w:pPr>
    </w:p>
    <w:p w14:paraId="0A80243D">
      <w:pPr>
        <w:spacing w:line="360" w:lineRule="auto"/>
        <w:rPr>
          <w:rFonts w:ascii="仿宋" w:hAnsi="仿宋" w:eastAsia="仿宋"/>
          <w:b/>
          <w:bCs/>
        </w:rPr>
      </w:pPr>
      <w:r>
        <w:rPr>
          <w:rFonts w:hint="eastAsia" w:ascii="仿宋" w:hAnsi="仿宋" w:eastAsia="仿宋"/>
          <w:b/>
          <w:bCs/>
          <w:sz w:val="24"/>
          <w:lang w:val="en-US" w:eastAsia="zh-CN"/>
        </w:rPr>
        <w:t>8</w:t>
      </w:r>
      <w:r>
        <w:rPr>
          <w:rFonts w:hint="eastAsia" w:ascii="仿宋" w:hAnsi="仿宋" w:eastAsia="仿宋"/>
          <w:b/>
          <w:bCs/>
          <w:sz w:val="24"/>
        </w:rPr>
        <w:t>.提供针对本次项目《反商业贿赂承诺书》</w:t>
      </w:r>
    </w:p>
    <w:p w14:paraId="35C1D266">
      <w:pPr>
        <w:pStyle w:val="40"/>
        <w:tabs>
          <w:tab w:val="clear" w:pos="567"/>
        </w:tabs>
        <w:rPr>
          <w:rFonts w:ascii="仿宋" w:hAnsi="仿宋" w:eastAsia="仿宋"/>
          <w:color w:val="000000"/>
        </w:rPr>
      </w:pPr>
      <w:r>
        <w:rPr>
          <w:rFonts w:hint="eastAsia" w:ascii="仿宋" w:hAnsi="仿宋" w:eastAsia="仿宋"/>
          <w:color w:val="000000"/>
        </w:rPr>
        <w:t>说明：承诺书应加盖本单位章</w:t>
      </w:r>
    </w:p>
    <w:p w14:paraId="7B95C50E">
      <w:pPr>
        <w:spacing w:line="360" w:lineRule="auto"/>
        <w:rPr>
          <w:rFonts w:ascii="仿宋" w:hAnsi="仿宋" w:eastAsia="仿宋"/>
          <w:b/>
          <w:bCs/>
          <w:sz w:val="24"/>
        </w:rPr>
      </w:pPr>
      <w:bookmarkStart w:id="306" w:name="_Toc39671745"/>
      <w:bookmarkEnd w:id="306"/>
      <w:bookmarkStart w:id="307" w:name="_Toc21096"/>
      <w:bookmarkEnd w:id="307"/>
      <w:bookmarkStart w:id="308" w:name="_Toc22494204"/>
      <w:bookmarkEnd w:id="308"/>
      <w:bookmarkStart w:id="309" w:name="_Toc19464"/>
      <w:bookmarkEnd w:id="309"/>
    </w:p>
    <w:p w14:paraId="4A8BEC17">
      <w:pPr>
        <w:spacing w:line="360" w:lineRule="auto"/>
        <w:rPr>
          <w:rFonts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.缴纳投标保证金（电汇或转账）凭证复印件加盖公章；</w:t>
      </w:r>
    </w:p>
    <w:p w14:paraId="44B4A7EA">
      <w:pPr>
        <w:pStyle w:val="39"/>
        <w:ind w:left="0" w:leftChars="0" w:firstLine="482" w:firstLineChars="200"/>
        <w:rPr>
          <w:rFonts w:ascii="仿宋" w:hAnsi="仿宋" w:eastAsia="仿宋"/>
          <w:b/>
          <w:color w:val="000000"/>
          <w:szCs w:val="24"/>
        </w:rPr>
      </w:pPr>
      <w:r>
        <w:rPr>
          <w:rFonts w:hint="eastAsia" w:ascii="仿宋" w:hAnsi="仿宋" w:eastAsia="仿宋"/>
          <w:b/>
          <w:color w:val="000000"/>
          <w:szCs w:val="24"/>
        </w:rPr>
        <w:drawing>
          <wp:inline distT="0" distB="0" distL="0" distR="0">
            <wp:extent cx="135255" cy="126365"/>
            <wp:effectExtent l="0" t="0" r="17145" b="6985"/>
            <wp:docPr id="1" name="_x0000_i1030"/>
            <wp:cNvGraphicFramePr/>
            <a:graphic xmlns:a="http://schemas.openxmlformats.org/drawingml/2006/main">
              <a:graphicData uri="http://schemas.openxmlformats.org/drawingml/2006/picture">
                <pic:pic xmlns:pic="http://schemas.openxmlformats.org/drawingml/2006/picture">
                  <pic:nvPicPr>
                    <pic:cNvPr id="1" name="_x0000_i1030"/>
                    <pic:cNvPicPr/>
                  </pic:nvPicPr>
                  <pic:blipFill>
                    <a:blip r:embed="rId13"/>
                    <a:stretch>
                      <a:fillRect/>
                    </a:stretch>
                  </pic:blipFill>
                  <pic:spPr>
                    <a:xfrm>
                      <a:off x="0" y="0"/>
                      <a:ext cx="135843" cy="126987"/>
                    </a:xfrm>
                    <a:prstGeom prst="rect">
                      <a:avLst/>
                    </a:prstGeom>
                  </pic:spPr>
                </pic:pic>
              </a:graphicData>
            </a:graphic>
          </wp:inline>
        </w:drawing>
      </w:r>
      <w:r>
        <w:rPr>
          <w:rFonts w:hint="eastAsia" w:ascii="仿宋" w:hAnsi="仿宋" w:eastAsia="仿宋"/>
          <w:b/>
          <w:bCs/>
          <w:color w:val="000000"/>
          <w:kern w:val="2"/>
          <w:szCs w:val="24"/>
        </w:rPr>
        <w:t>本项目无需换取保证金收据。（通过银行转账方式缴纳的保证金，项目结束后在五个工作日内自动退还。）</w:t>
      </w:r>
    </w:p>
    <w:p w14:paraId="30F3DE51">
      <w:pPr>
        <w:rPr>
          <w:rFonts w:ascii="仿宋" w:hAnsi="仿宋" w:eastAsia="仿宋"/>
        </w:rPr>
      </w:pPr>
    </w:p>
    <w:p w14:paraId="21FF13BB">
      <w:pPr>
        <w:spacing w:line="360" w:lineRule="auto"/>
        <w:rPr>
          <w:rFonts w:ascii="仿宋" w:hAnsi="仿宋" w:eastAsia="仿宋"/>
          <w:b/>
          <w:color w:val="000000"/>
          <w:kern w:val="0"/>
          <w:sz w:val="24"/>
          <w:szCs w:val="20"/>
        </w:rPr>
      </w:pPr>
    </w:p>
    <w:p w14:paraId="5AC011D2">
      <w:pPr>
        <w:spacing w:line="360" w:lineRule="auto"/>
        <w:rPr>
          <w:rFonts w:ascii="仿宋" w:hAnsi="仿宋" w:eastAsia="仿宋"/>
          <w:color w:val="000000"/>
          <w:sz w:val="24"/>
        </w:rPr>
      </w:pPr>
      <w:r>
        <w:rPr>
          <w:rFonts w:hint="eastAsia" w:ascii="仿宋" w:hAnsi="仿宋" w:eastAsia="仿宋" w:cs="Times New Roman"/>
          <w:b/>
          <w:color w:val="000000"/>
          <w:kern w:val="0"/>
          <w:sz w:val="24"/>
          <w:szCs w:val="20"/>
          <w:lang w:val="en-US" w:eastAsia="zh-CN"/>
        </w:rPr>
        <w:t>10</w:t>
      </w:r>
      <w:r>
        <w:rPr>
          <w:rFonts w:hint="eastAsia" w:ascii="仿宋" w:hAnsi="仿宋" w:eastAsia="仿宋" w:cs="Times New Roman"/>
          <w:b/>
          <w:color w:val="000000"/>
          <w:kern w:val="0"/>
          <w:sz w:val="24"/>
          <w:szCs w:val="20"/>
        </w:rPr>
        <w:t>.本项</w:t>
      </w:r>
      <w:r>
        <w:rPr>
          <w:rFonts w:hint="eastAsia" w:ascii="仿宋" w:hAnsi="仿宋" w:eastAsia="仿宋"/>
          <w:b/>
          <w:color w:val="000000"/>
          <w:kern w:val="0"/>
          <w:sz w:val="24"/>
          <w:szCs w:val="20"/>
        </w:rPr>
        <w:t>目不接受</w:t>
      </w:r>
      <w:r>
        <w:rPr>
          <w:rFonts w:hint="eastAsia" w:ascii="仿宋" w:hAnsi="仿宋" w:eastAsia="仿宋"/>
          <w:b/>
          <w:kern w:val="0"/>
          <w:sz w:val="24"/>
          <w:szCs w:val="20"/>
        </w:rPr>
        <w:t>联合体投标。</w:t>
      </w:r>
    </w:p>
    <w:p w14:paraId="43BB02D1">
      <w:pPr>
        <w:spacing w:line="360" w:lineRule="auto"/>
        <w:rPr>
          <w:rFonts w:ascii="仿宋" w:hAnsi="仿宋" w:eastAsia="仿宋"/>
          <w:color w:val="000000"/>
          <w:sz w:val="24"/>
        </w:rPr>
      </w:pPr>
      <w:r>
        <w:rPr>
          <w:rFonts w:hint="eastAsia" w:ascii="仿宋" w:hAnsi="仿宋" w:eastAsia="仿宋"/>
          <w:color w:val="000000"/>
          <w:sz w:val="24"/>
        </w:rPr>
        <w:t xml:space="preserve">   说明：承诺书应加盖本单位章</w:t>
      </w:r>
    </w:p>
    <w:p w14:paraId="1781A13E">
      <w:pPr>
        <w:pStyle w:val="47"/>
        <w:tabs>
          <w:tab w:val="clear" w:pos="4153"/>
          <w:tab w:val="clear" w:pos="8306"/>
        </w:tabs>
        <w:spacing w:line="360" w:lineRule="auto"/>
        <w:jc w:val="center"/>
        <w:rPr>
          <w:rFonts w:ascii="Times New Roman" w:eastAsia="仿宋"/>
          <w:bCs/>
          <w:iCs/>
          <w:color w:val="000000"/>
          <w:kern w:val="2"/>
          <w:sz w:val="24"/>
          <w:szCs w:val="24"/>
        </w:rPr>
      </w:pPr>
      <w:bookmarkStart w:id="310" w:name="_Toc16844"/>
      <w:bookmarkEnd w:id="310"/>
      <w:bookmarkStart w:id="311" w:name="_Toc518923115"/>
      <w:bookmarkEnd w:id="311"/>
      <w:r>
        <w:rPr>
          <w:rFonts w:ascii="Times New Roman" w:eastAsia="仿宋"/>
          <w:bCs/>
          <w:iCs/>
          <w:color w:val="000000"/>
          <w:kern w:val="2"/>
          <w:sz w:val="24"/>
          <w:szCs w:val="24"/>
        </w:rPr>
        <w:br w:type="page"/>
      </w:r>
      <w:r>
        <w:rPr>
          <w:rFonts w:ascii="Times New Roman" w:eastAsia="仿宋"/>
          <w:b/>
          <w:bCs/>
          <w:sz w:val="28"/>
          <w:szCs w:val="21"/>
        </w:rPr>
        <w:t>第二部分</w:t>
      </w:r>
      <w:r>
        <w:rPr>
          <w:rFonts w:hint="eastAsia" w:ascii="Times New Roman" w:eastAsia="仿宋"/>
          <w:b/>
          <w:bCs/>
          <w:sz w:val="28"/>
          <w:szCs w:val="21"/>
          <w:lang w:val="en-US" w:eastAsia="zh-CN"/>
        </w:rPr>
        <w:t xml:space="preserve"> </w:t>
      </w:r>
      <w:r>
        <w:rPr>
          <w:rFonts w:ascii="Times New Roman" w:eastAsia="仿宋"/>
          <w:b/>
          <w:bCs/>
          <w:sz w:val="28"/>
          <w:szCs w:val="21"/>
        </w:rPr>
        <w:t>商务及技术文件</w:t>
      </w:r>
    </w:p>
    <w:p w14:paraId="5FCB6E0A">
      <w:pPr>
        <w:pStyle w:val="44"/>
        <w:spacing w:line="360" w:lineRule="auto"/>
        <w:ind w:left="1080" w:leftChars="257" w:hanging="540"/>
        <w:rPr>
          <w:rFonts w:ascii="Times New Roman" w:hAnsi="Times New Roman" w:eastAsia="仿宋"/>
          <w:sz w:val="24"/>
        </w:rPr>
      </w:pPr>
    </w:p>
    <w:p w14:paraId="594BCBAE">
      <w:pPr>
        <w:pStyle w:val="44"/>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7920048D">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w:t>
      </w:r>
    </w:p>
    <w:p w14:paraId="723BBF1F">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w:t>
      </w:r>
    </w:p>
    <w:p w14:paraId="0A299D99">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w:t>
      </w:r>
    </w:p>
    <w:p w14:paraId="3A95A3C0">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6DFC73CF">
      <w:pPr>
        <w:pStyle w:val="1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5-1《中小企业声明函》</w:t>
      </w:r>
    </w:p>
    <w:p w14:paraId="73A92D1E">
      <w:pPr>
        <w:pStyle w:val="1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5-2 残疾人福利性单位声明函</w:t>
      </w:r>
    </w:p>
    <w:p w14:paraId="41E9F2CC">
      <w:pPr>
        <w:pStyle w:val="4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5-3 《监狱企业声明函》</w:t>
      </w:r>
    </w:p>
    <w:p w14:paraId="0EF7A000">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6、供应商关联单位的说明</w:t>
      </w:r>
    </w:p>
    <w:p w14:paraId="4609F0CD">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7、其他有利于供应商的文件或证明材料</w:t>
      </w:r>
    </w:p>
    <w:p w14:paraId="28993363">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8、对本项目响应文件（响应文件）中资料真实性的承诺</w:t>
      </w:r>
    </w:p>
    <w:p w14:paraId="5CD82568">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14:paraId="4B1137A6">
      <w:pPr>
        <w:pStyle w:val="34"/>
        <w:spacing w:before="0" w:line="360" w:lineRule="auto"/>
        <w:ind w:left="1080" w:leftChars="257" w:hanging="540"/>
        <w:rPr>
          <w:rFonts w:eastAsia="仿宋"/>
          <w:sz w:val="24"/>
        </w:rPr>
      </w:pPr>
      <w:bookmarkStart w:id="312" w:name="_Toc15081"/>
      <w:bookmarkEnd w:id="312"/>
      <w:bookmarkStart w:id="313" w:name="_Toc14169"/>
      <w:bookmarkEnd w:id="313"/>
      <w:bookmarkStart w:id="314" w:name="_Toc26126"/>
      <w:bookmarkEnd w:id="314"/>
      <w:bookmarkStart w:id="315" w:name="_Toc9768"/>
      <w:bookmarkEnd w:id="315"/>
      <w:bookmarkStart w:id="316" w:name="_Hlt520355504"/>
      <w:bookmarkEnd w:id="316"/>
      <w:bookmarkStart w:id="317" w:name="_Toc518923116"/>
      <w:bookmarkEnd w:id="317"/>
      <w:bookmarkStart w:id="318" w:name="_Toc10878"/>
      <w:bookmarkEnd w:id="318"/>
      <w:r>
        <w:rPr>
          <w:rFonts w:eastAsia="仿宋"/>
          <w:sz w:val="24"/>
        </w:rPr>
        <w:t>1</w:t>
      </w:r>
      <w:r>
        <w:rPr>
          <w:rFonts w:hint="eastAsia" w:eastAsia="仿宋"/>
          <w:sz w:val="24"/>
        </w:rPr>
        <w:t>.</w:t>
      </w:r>
      <w:r>
        <w:rPr>
          <w:rFonts w:eastAsia="仿宋"/>
          <w:sz w:val="24"/>
        </w:rPr>
        <w:t>投标书</w:t>
      </w:r>
    </w:p>
    <w:p w14:paraId="0C50415F">
      <w:pPr>
        <w:tabs>
          <w:tab w:val="left" w:pos="5580"/>
        </w:tabs>
        <w:spacing w:line="360" w:lineRule="auto"/>
        <w:ind w:left="1080" w:leftChars="257" w:hanging="540"/>
        <w:rPr>
          <w:rFonts w:eastAsia="仿宋"/>
          <w:sz w:val="24"/>
        </w:rPr>
      </w:pPr>
    </w:p>
    <w:p w14:paraId="63A8C134">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14:paraId="32F13D3E">
      <w:pPr>
        <w:pStyle w:val="44"/>
        <w:tabs>
          <w:tab w:val="left" w:pos="5580"/>
        </w:tabs>
        <w:spacing w:line="360" w:lineRule="auto"/>
        <w:ind w:left="1080" w:leftChars="257" w:hanging="540"/>
        <w:rPr>
          <w:rFonts w:ascii="Times New Roman" w:hAnsi="Times New Roman" w:eastAsia="仿宋"/>
          <w:sz w:val="24"/>
        </w:rPr>
      </w:pPr>
    </w:p>
    <w:p w14:paraId="43FAFFFF">
      <w:pPr>
        <w:pStyle w:val="44"/>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rPr>
        <w:t xml:space="preserve">   </w:t>
      </w:r>
      <w:r>
        <w:rPr>
          <w:rFonts w:ascii="Times New Roman" w:hAnsi="Times New Roman" w:eastAsia="仿宋"/>
          <w:sz w:val="24"/>
        </w:rPr>
        <w:t>份，并以</w:t>
      </w:r>
      <w:r>
        <w:rPr>
          <w:rFonts w:hint="eastAsia" w:ascii="Times New Roman" w:hAnsi="Times New Roman" w:eastAsia="仿宋"/>
          <w:sz w:val="24"/>
          <w:u w:val="single"/>
        </w:rPr>
        <w:t xml:space="preserve">   </w:t>
      </w:r>
      <w:r>
        <w:rPr>
          <w:rFonts w:ascii="Times New Roman" w:hAnsi="Times New Roman" w:eastAsia="仿宋"/>
          <w:sz w:val="24"/>
        </w:rPr>
        <w:t>形式出具的金额为</w:t>
      </w:r>
      <w:r>
        <w:rPr>
          <w:rFonts w:hint="eastAsia" w:ascii="Times New Roman" w:hAnsi="Times New Roman" w:eastAsia="仿宋"/>
          <w:sz w:val="24"/>
          <w:u w:val="single"/>
        </w:rPr>
        <w:t xml:space="preserve">   </w:t>
      </w:r>
      <w:r>
        <w:rPr>
          <w:rFonts w:ascii="Times New Roman" w:hAnsi="Times New Roman" w:eastAsia="仿宋"/>
          <w:sz w:val="24"/>
        </w:rPr>
        <w:t>人民币元的投标保证金。</w:t>
      </w:r>
    </w:p>
    <w:p w14:paraId="1EA24E0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01783030">
      <w:pPr>
        <w:pStyle w:val="44"/>
        <w:tabs>
          <w:tab w:val="left" w:pos="720"/>
          <w:tab w:val="left" w:pos="900"/>
        </w:tabs>
        <w:spacing w:line="360" w:lineRule="auto"/>
        <w:ind w:left="769" w:leftChars="257" w:hanging="229"/>
        <w:rPr>
          <w:rFonts w:ascii="Times New Roman" w:hAnsi="Times New Roman" w:eastAsia="仿宋"/>
          <w:sz w:val="24"/>
        </w:rPr>
      </w:pPr>
      <w:r>
        <w:rPr>
          <w:rFonts w:ascii="Times New Roman" w:hAnsi="Times New Roman" w:eastAsia="仿宋"/>
          <w:sz w:val="24"/>
        </w:rPr>
        <w:t>（1）附投标价格表中规定的应提供服务的投标总价详见开标一览表。</w:t>
      </w:r>
    </w:p>
    <w:p w14:paraId="663E2156">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hint="eastAsia" w:ascii="Times New Roman" w:hAnsi="Times New Roman" w:eastAsia="仿宋"/>
          <w:sz w:val="24"/>
          <w:u w:val="single"/>
        </w:rPr>
        <w:t xml:space="preserve"> 90 </w:t>
      </w:r>
      <w:r>
        <w:rPr>
          <w:rFonts w:ascii="Times New Roman" w:hAnsi="Times New Roman" w:eastAsia="仿宋"/>
          <w:sz w:val="24"/>
        </w:rPr>
        <w:t>个日历日。</w:t>
      </w:r>
    </w:p>
    <w:p w14:paraId="2D5B373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02F426D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2F1743C3">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7D62317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61A199D6">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52D4E537">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56A047B2">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39913CCE">
      <w:pPr>
        <w:pStyle w:val="44"/>
        <w:tabs>
          <w:tab w:val="left" w:pos="5580"/>
        </w:tabs>
        <w:spacing w:line="360" w:lineRule="auto"/>
        <w:ind w:left="359" w:leftChars="68" w:hanging="216" w:hangingChars="90"/>
        <w:rPr>
          <w:rFonts w:ascii="Times New Roman" w:hAnsi="Times New Roman" w:eastAsia="仿宋"/>
          <w:sz w:val="24"/>
        </w:rPr>
      </w:pPr>
    </w:p>
    <w:p w14:paraId="1C6EC8C1">
      <w:pPr>
        <w:pStyle w:val="44"/>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14:paraId="060A872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14:paraId="4092FEC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电话：电子函件：</w:t>
      </w:r>
    </w:p>
    <w:p w14:paraId="20B0D381">
      <w:pPr>
        <w:pStyle w:val="44"/>
        <w:tabs>
          <w:tab w:val="left" w:pos="5580"/>
        </w:tabs>
        <w:spacing w:line="360" w:lineRule="auto"/>
        <w:ind w:left="1080" w:leftChars="257" w:hanging="540"/>
        <w:rPr>
          <w:rFonts w:ascii="Times New Roman" w:hAnsi="Times New Roman" w:eastAsia="仿宋"/>
          <w:sz w:val="24"/>
        </w:rPr>
      </w:pPr>
    </w:p>
    <w:p w14:paraId="7573A9C0">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p>
    <w:p w14:paraId="07E5DAC1">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14:paraId="4B172EAE">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p>
    <w:p w14:paraId="79024D4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p>
    <w:p w14:paraId="3F0C7A38">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14:paraId="02C918BE">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14:paraId="334100DB">
      <w:pPr>
        <w:pStyle w:val="34"/>
        <w:spacing w:before="0" w:line="360" w:lineRule="auto"/>
        <w:ind w:left="1080" w:leftChars="257" w:hanging="540"/>
        <w:rPr>
          <w:rFonts w:eastAsia="仿宋"/>
          <w:sz w:val="24"/>
        </w:rPr>
      </w:pPr>
      <w:bookmarkStart w:id="319" w:name="_Hlt520356243"/>
      <w:bookmarkEnd w:id="319"/>
      <w:bookmarkStart w:id="320" w:name="_Hlt520355938"/>
      <w:bookmarkEnd w:id="320"/>
      <w:r>
        <w:rPr>
          <w:rFonts w:eastAsia="仿宋"/>
          <w:sz w:val="24"/>
        </w:rPr>
        <w:br w:type="page"/>
      </w:r>
    </w:p>
    <w:p w14:paraId="59E846BE">
      <w:pPr>
        <w:pStyle w:val="34"/>
        <w:spacing w:before="0" w:line="360" w:lineRule="auto"/>
        <w:ind w:left="1080" w:leftChars="257" w:hanging="540"/>
        <w:rPr>
          <w:rFonts w:eastAsia="仿宋"/>
          <w:sz w:val="24"/>
        </w:rPr>
      </w:pPr>
    </w:p>
    <w:p w14:paraId="7D85C0DA">
      <w:pPr>
        <w:pStyle w:val="34"/>
        <w:spacing w:before="0" w:line="360" w:lineRule="auto"/>
        <w:ind w:left="1080" w:leftChars="257" w:hanging="540"/>
        <w:rPr>
          <w:rFonts w:eastAsia="仿宋"/>
          <w:sz w:val="24"/>
        </w:rPr>
      </w:pPr>
      <w:bookmarkStart w:id="321" w:name="_Toc11050"/>
      <w:bookmarkEnd w:id="321"/>
      <w:bookmarkStart w:id="322" w:name="_Toc15800"/>
      <w:bookmarkEnd w:id="322"/>
      <w:r>
        <w:rPr>
          <w:rFonts w:hint="eastAsia" w:eastAsia="仿宋"/>
          <w:sz w:val="24"/>
        </w:rPr>
        <w:t>2.</w:t>
      </w:r>
      <w:r>
        <w:rPr>
          <w:rFonts w:eastAsia="仿宋"/>
          <w:sz w:val="24"/>
        </w:rPr>
        <w:t>投标分项报价表</w:t>
      </w:r>
    </w:p>
    <w:p w14:paraId="5F8787DA">
      <w:pPr>
        <w:pStyle w:val="44"/>
        <w:spacing w:line="360" w:lineRule="auto"/>
        <w:ind w:left="1080" w:leftChars="257" w:hanging="540"/>
        <w:rPr>
          <w:rFonts w:ascii="Times New Roman" w:hAnsi="Times New Roman" w:eastAsia="仿宋"/>
          <w:sz w:val="24"/>
        </w:rPr>
      </w:pPr>
    </w:p>
    <w:p w14:paraId="081C41E5">
      <w:pPr>
        <w:pStyle w:val="44"/>
        <w:spacing w:line="360" w:lineRule="auto"/>
        <w:ind w:left="-141" w:leftChars="-67"/>
        <w:rPr>
          <w:rFonts w:hint="default" w:ascii="Times New Roman" w:hAnsi="Times New Roman" w:eastAsia="仿宋"/>
          <w:sz w:val="24"/>
          <w:lang w:val="en-US" w:eastAsia="zh-CN"/>
        </w:rPr>
      </w:pPr>
      <w:r>
        <w:rPr>
          <w:rFonts w:ascii="Times New Roman" w:hAnsi="Times New Roman" w:eastAsia="仿宋"/>
          <w:sz w:val="24"/>
        </w:rPr>
        <w:t xml:space="preserve">项目名称:              招标编号:  </w:t>
      </w:r>
      <w:r>
        <w:rPr>
          <w:rFonts w:hint="eastAsia" w:ascii="Times New Roman" w:hAnsi="Times New Roman" w:eastAsia="仿宋"/>
          <w:sz w:val="24"/>
        </w:rPr>
        <w:t xml:space="preserve">       </w:t>
      </w:r>
      <w:r>
        <w:rPr>
          <w:rFonts w:ascii="Times New Roman" w:hAnsi="Times New Roman" w:eastAsia="仿宋"/>
          <w:sz w:val="24"/>
        </w:rPr>
        <w:t>报价单位：人民币元</w:t>
      </w:r>
      <w:r>
        <w:rPr>
          <w:rFonts w:hint="eastAsia" w:ascii="Times New Roman" w:hAnsi="Times New Roman" w:eastAsia="仿宋"/>
          <w:sz w:val="24"/>
          <w:lang w:val="en-US" w:eastAsia="zh-CN"/>
        </w:rPr>
        <w:t xml:space="preserve">    包号：</w:t>
      </w:r>
    </w:p>
    <w:tbl>
      <w:tblPr>
        <w:tblStyle w:val="24"/>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6B94BE9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BA11">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8276">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32F9">
            <w:pPr>
              <w:widowControl/>
              <w:spacing w:line="360" w:lineRule="auto"/>
              <w:ind w:firstLine="240" w:firstLineChars="100"/>
              <w:jc w:val="both"/>
              <w:rPr>
                <w:rFonts w:hint="default" w:eastAsia="仿宋"/>
                <w:kern w:val="0"/>
                <w:sz w:val="24"/>
                <w:lang w:val="en-US" w:eastAsia="zh-CN"/>
              </w:rPr>
            </w:pPr>
            <w:r>
              <w:rPr>
                <w:rFonts w:hint="eastAsia" w:ascii="Times New Roman" w:hAnsi="Times New Roman" w:eastAsia="仿宋" w:cs="Times New Roman"/>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E1C8E">
            <w:pPr>
              <w:widowControl/>
              <w:spacing w:line="360" w:lineRule="auto"/>
              <w:jc w:val="center"/>
              <w:rPr>
                <w:rFonts w:eastAsia="仿宋"/>
                <w:kern w:val="0"/>
                <w:sz w:val="24"/>
              </w:rPr>
            </w:pPr>
            <w:r>
              <w:rPr>
                <w:rFonts w:eastAsia="仿宋"/>
                <w:kern w:val="0"/>
                <w:sz w:val="24"/>
              </w:rPr>
              <w:t>型号</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8A03">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BA0C">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676E">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C37D">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F641">
            <w:pPr>
              <w:widowControl/>
              <w:spacing w:line="360" w:lineRule="auto"/>
              <w:jc w:val="center"/>
              <w:rPr>
                <w:rFonts w:eastAsia="仿宋"/>
                <w:kern w:val="0"/>
                <w:sz w:val="24"/>
              </w:rPr>
            </w:pPr>
            <w:r>
              <w:rPr>
                <w:rFonts w:eastAsia="仿宋"/>
                <w:kern w:val="0"/>
                <w:sz w:val="24"/>
              </w:rPr>
              <w:t>备注</w:t>
            </w:r>
          </w:p>
        </w:tc>
      </w:tr>
      <w:tr w14:paraId="6D8B276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37682">
            <w:pPr>
              <w:widowControl/>
              <w:spacing w:line="360" w:lineRule="auto"/>
              <w:jc w:val="center"/>
              <w:rPr>
                <w:rFonts w:eastAsia="仿宋"/>
                <w:kern w:val="0"/>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17E7">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3B6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AD07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5368">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99A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E87D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CAD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C62A">
            <w:pPr>
              <w:spacing w:line="360" w:lineRule="auto"/>
              <w:jc w:val="center"/>
              <w:rPr>
                <w:rFonts w:eastAsia="仿宋"/>
                <w:sz w:val="24"/>
              </w:rPr>
            </w:pPr>
          </w:p>
        </w:tc>
      </w:tr>
      <w:tr w14:paraId="0C009A85">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4D54">
            <w:pPr>
              <w:widowControl/>
              <w:spacing w:line="360" w:lineRule="auto"/>
              <w:jc w:val="center"/>
              <w:rPr>
                <w:rFonts w:eastAsia="仿宋"/>
                <w:kern w:val="0"/>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19E07">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84B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3E49E">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A223A">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0FAA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45F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FAF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7429D">
            <w:pPr>
              <w:spacing w:line="360" w:lineRule="auto"/>
              <w:jc w:val="center"/>
              <w:rPr>
                <w:rFonts w:eastAsia="仿宋"/>
                <w:sz w:val="24"/>
              </w:rPr>
            </w:pPr>
          </w:p>
        </w:tc>
      </w:tr>
      <w:tr w14:paraId="6E26642E">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9741D">
            <w:pPr>
              <w:widowControl/>
              <w:spacing w:line="360" w:lineRule="auto"/>
              <w:jc w:val="center"/>
              <w:rPr>
                <w:rFonts w:eastAsia="仿宋"/>
                <w:kern w:val="0"/>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4ACD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5411">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B0A0">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659FB">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A608">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F0A3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3C6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A115">
            <w:pPr>
              <w:spacing w:line="360" w:lineRule="auto"/>
              <w:jc w:val="center"/>
              <w:rPr>
                <w:rFonts w:eastAsia="仿宋"/>
                <w:sz w:val="24"/>
              </w:rPr>
            </w:pPr>
          </w:p>
        </w:tc>
      </w:tr>
      <w:tr w14:paraId="215E4C4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3DB8">
            <w:pPr>
              <w:widowControl/>
              <w:spacing w:line="360" w:lineRule="auto"/>
              <w:jc w:val="center"/>
              <w:rPr>
                <w:rFonts w:eastAsia="仿宋"/>
                <w:kern w:val="0"/>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4F0B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6EE0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A755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951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C6E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6DDA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41C5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1A0F5">
            <w:pPr>
              <w:spacing w:line="360" w:lineRule="auto"/>
              <w:jc w:val="center"/>
              <w:rPr>
                <w:rFonts w:eastAsia="仿宋"/>
                <w:sz w:val="24"/>
              </w:rPr>
            </w:pPr>
          </w:p>
        </w:tc>
      </w:tr>
      <w:tr w14:paraId="61B452A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44B8">
            <w:pPr>
              <w:widowControl/>
              <w:spacing w:line="360" w:lineRule="auto"/>
              <w:jc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B36E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F2D4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9CA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FA7D">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636A">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C432">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55DD">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F5D7">
            <w:pPr>
              <w:spacing w:line="360" w:lineRule="auto"/>
              <w:jc w:val="center"/>
              <w:rPr>
                <w:rFonts w:eastAsia="仿宋"/>
                <w:sz w:val="24"/>
              </w:rPr>
            </w:pPr>
          </w:p>
        </w:tc>
      </w:tr>
      <w:tr w14:paraId="2BF0D26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4655A">
            <w:pPr>
              <w:widowControl/>
              <w:spacing w:line="360" w:lineRule="auto"/>
              <w:jc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1086">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9DE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CD13">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7E6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267A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F8F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F384">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8711">
            <w:pPr>
              <w:spacing w:line="360" w:lineRule="auto"/>
              <w:jc w:val="center"/>
              <w:rPr>
                <w:rFonts w:eastAsia="仿宋"/>
                <w:sz w:val="24"/>
              </w:rPr>
            </w:pPr>
          </w:p>
        </w:tc>
      </w:tr>
      <w:tr w14:paraId="00834C4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4A196">
            <w:pPr>
              <w:widowControl/>
              <w:spacing w:line="360" w:lineRule="auto"/>
              <w:rPr>
                <w:rFonts w:eastAsia="仿宋"/>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1EC08">
            <w:pPr>
              <w:widowControl/>
              <w:spacing w:line="360" w:lineRule="auto"/>
              <w:rPr>
                <w:rFonts w:eastAsia="仿宋"/>
                <w:kern w:val="0"/>
                <w:sz w:val="24"/>
              </w:rPr>
            </w:pPr>
            <w:r>
              <w:rPr>
                <w:rFonts w:eastAsia="仿宋"/>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0EA61">
            <w:pPr>
              <w:spacing w:line="360" w:lineRule="auto"/>
              <w:rPr>
                <w:rFonts w:eastAsia="仿宋"/>
                <w:sz w:val="22"/>
                <w:szCs w:val="22"/>
              </w:rPr>
            </w:pPr>
          </w:p>
        </w:tc>
      </w:tr>
    </w:tbl>
    <w:p w14:paraId="3FCA836E">
      <w:pPr>
        <w:pStyle w:val="44"/>
        <w:spacing w:line="360" w:lineRule="auto"/>
        <w:ind w:left="-141" w:leftChars="-67"/>
        <w:rPr>
          <w:rFonts w:ascii="Times New Roman" w:hAnsi="Times New Roman" w:eastAsia="仿宋"/>
          <w:sz w:val="24"/>
        </w:rPr>
      </w:pPr>
    </w:p>
    <w:p w14:paraId="3BE03F65">
      <w:pPr>
        <w:rPr>
          <w:b/>
          <w:bCs/>
        </w:rPr>
      </w:pPr>
    </w:p>
    <w:p w14:paraId="4C4E7F86">
      <w:pPr>
        <w:pStyle w:val="44"/>
        <w:spacing w:line="360" w:lineRule="auto"/>
        <w:ind w:left="-141" w:leftChars="-67"/>
        <w:rPr>
          <w:rFonts w:ascii="Times New Roman" w:hAnsi="Times New Roman" w:eastAsia="仿宋"/>
          <w:sz w:val="24"/>
        </w:rPr>
      </w:pPr>
    </w:p>
    <w:p w14:paraId="22376811">
      <w:pPr>
        <w:pStyle w:val="44"/>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7B567F40">
      <w:pPr>
        <w:pStyle w:val="44"/>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507C5FFC">
      <w:pPr>
        <w:pStyle w:val="44"/>
        <w:spacing w:line="360" w:lineRule="auto"/>
        <w:rPr>
          <w:rFonts w:hint="default" w:ascii="Times New Roman" w:hAnsi="Times New Roman" w:eastAsia="仿宋"/>
          <w:sz w:val="24"/>
          <w:lang w:val="en-US" w:eastAsia="zh-CN"/>
        </w:rPr>
      </w:pPr>
    </w:p>
    <w:p w14:paraId="43770CFB">
      <w:pPr>
        <w:pStyle w:val="44"/>
        <w:spacing w:line="360" w:lineRule="auto"/>
        <w:ind w:left="1080" w:leftChars="257" w:hanging="540"/>
        <w:rPr>
          <w:rFonts w:ascii="Times New Roman" w:hAnsi="Times New Roman" w:eastAsia="仿宋"/>
          <w:sz w:val="24"/>
        </w:rPr>
      </w:pPr>
    </w:p>
    <w:p w14:paraId="41B96723">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1.如果投标人认为需要，每种货物</w:t>
      </w:r>
      <w:r>
        <w:rPr>
          <w:rFonts w:hint="eastAsia" w:ascii="Times New Roman" w:hAnsi="Times New Roman" w:eastAsia="仿宋"/>
          <w:sz w:val="24"/>
          <w:lang w:val="en-US" w:eastAsia="zh-CN"/>
        </w:rPr>
        <w:t>可</w:t>
      </w:r>
      <w:r>
        <w:rPr>
          <w:rFonts w:hint="eastAsia" w:ascii="Times New Roman" w:hAnsi="Times New Roman" w:eastAsia="仿宋"/>
          <w:sz w:val="24"/>
        </w:rPr>
        <w:t>填写一份该表。</w:t>
      </w:r>
    </w:p>
    <w:p w14:paraId="65D6696D">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14:paraId="78492952">
      <w:pPr>
        <w:pStyle w:val="44"/>
        <w:spacing w:line="360" w:lineRule="auto"/>
        <w:ind w:left="479" w:leftChars="228"/>
        <w:rPr>
          <w:rFonts w:ascii="Times New Roman" w:hAnsi="Times New Roman" w:eastAsia="仿宋"/>
          <w:sz w:val="24"/>
        </w:rPr>
      </w:pPr>
      <w:r>
        <w:rPr>
          <w:rFonts w:hint="eastAsia" w:ascii="Times New Roman" w:hAnsi="Times New Roman" w:eastAsia="仿宋"/>
          <w:sz w:val="24"/>
        </w:rPr>
        <w:t>3.如果不提供详细分项报价将视为没有实质性响应招标文件</w:t>
      </w:r>
      <w:r>
        <w:rPr>
          <w:rFonts w:hint="eastAsia" w:ascii="Times New Roman" w:hAnsi="Times New Roman" w:eastAsia="仿宋"/>
          <w:b/>
          <w:bCs/>
          <w:sz w:val="24"/>
        </w:rPr>
        <w:t>（名称、</w:t>
      </w:r>
      <w:r>
        <w:rPr>
          <w:rFonts w:hint="eastAsia" w:ascii="Times New Roman" w:hAnsi="Times New Roman" w:eastAsia="仿宋"/>
          <w:b/>
          <w:bCs/>
          <w:sz w:val="24"/>
          <w:lang w:val="en-US" w:eastAsia="zh-CN"/>
        </w:rPr>
        <w:t>品牌、</w:t>
      </w:r>
      <w:r>
        <w:rPr>
          <w:rFonts w:hint="eastAsia" w:ascii="Times New Roman" w:hAnsi="Times New Roman" w:eastAsia="仿宋"/>
          <w:b/>
          <w:bCs/>
          <w:sz w:val="24"/>
        </w:rPr>
        <w:t>型号、数量、制造商名称、单价、总价需全部完整填写）</w:t>
      </w:r>
      <w:r>
        <w:rPr>
          <w:rFonts w:hint="eastAsia" w:ascii="Times New Roman" w:hAnsi="Times New Roman" w:eastAsia="仿宋"/>
          <w:sz w:val="24"/>
        </w:rPr>
        <w:t>。</w:t>
      </w:r>
    </w:p>
    <w:p w14:paraId="101B2C79">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4.如果投标人认为需要，</w:t>
      </w:r>
      <w:r>
        <w:rPr>
          <w:rFonts w:hint="eastAsia" w:ascii="Times New Roman" w:hAnsi="Times New Roman" w:eastAsia="仿宋"/>
          <w:sz w:val="24"/>
          <w:lang w:val="en-US" w:eastAsia="zh-CN"/>
        </w:rPr>
        <w:t>可在不删减原表基础上新增其他内容或</w:t>
      </w:r>
      <w:r>
        <w:rPr>
          <w:rFonts w:hint="eastAsia" w:ascii="Times New Roman" w:hAnsi="Times New Roman" w:eastAsia="仿宋"/>
          <w:sz w:val="24"/>
        </w:rPr>
        <w:t>另页描述。</w:t>
      </w:r>
    </w:p>
    <w:p w14:paraId="544EB220">
      <w:pPr>
        <w:pStyle w:val="4"/>
        <w:numPr>
          <w:ilvl w:val="1"/>
          <w:numId w:val="0"/>
        </w:numPr>
        <w:spacing w:line="360" w:lineRule="auto"/>
        <w:ind w:firstLine="482" w:firstLineChars="200"/>
        <w:rPr>
          <w:rFonts w:ascii="仿宋" w:hAnsi="仿宋" w:eastAsia="仿宋" w:cs="仿宋"/>
          <w:sz w:val="24"/>
        </w:rPr>
      </w:pPr>
      <w:bookmarkStart w:id="323" w:name="_Toc14331"/>
      <w:bookmarkEnd w:id="323"/>
      <w:bookmarkStart w:id="324" w:name="_Toc2103"/>
      <w:bookmarkEnd w:id="324"/>
      <w:bookmarkStart w:id="325" w:name="_Toc31304"/>
      <w:bookmarkEnd w:id="325"/>
      <w:r>
        <w:rPr>
          <w:rFonts w:hint="eastAsia" w:ascii="Times New Roman" w:hAnsi="Times New Roman" w:eastAsia="仿宋"/>
          <w:sz w:val="24"/>
        </w:rPr>
        <w:t>5.如果开标一览表（报价表）内容与投标文件中明细表内容不一致的，以开标一览表（报价表）内容为准。</w:t>
      </w:r>
      <w:r>
        <w:rPr>
          <w:rFonts w:ascii="仿宋_GB2312" w:eastAsia="仿宋_GB2312"/>
          <w:sz w:val="24"/>
        </w:rPr>
        <w:br w:type="page"/>
      </w:r>
      <w:bookmarkStart w:id="326" w:name="_Toc16728"/>
      <w:r>
        <w:rPr>
          <w:rFonts w:hint="eastAsia" w:ascii="仿宋" w:hAnsi="仿宋" w:eastAsia="仿宋" w:cs="仿宋"/>
          <w:sz w:val="24"/>
        </w:rPr>
        <w:t>3 技术规格偏离表</w:t>
      </w:r>
      <w:bookmarkEnd w:id="326"/>
    </w:p>
    <w:p w14:paraId="2906D2A2">
      <w:pPr>
        <w:pStyle w:val="14"/>
        <w:spacing w:line="360" w:lineRule="auto"/>
        <w:ind w:left="1080" w:leftChars="257" w:hanging="540"/>
        <w:rPr>
          <w:rFonts w:ascii="仿宋" w:hAnsi="仿宋" w:eastAsia="仿宋" w:cs="仿宋"/>
          <w:sz w:val="24"/>
        </w:rPr>
      </w:pPr>
    </w:p>
    <w:p w14:paraId="27AD507B">
      <w:pPr>
        <w:pStyle w:val="14"/>
        <w:spacing w:line="360" w:lineRule="auto"/>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01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vAlign w:val="center"/>
          </w:tcPr>
          <w:p w14:paraId="3976F1FC">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1537" w:type="dxa"/>
            <w:vAlign w:val="center"/>
          </w:tcPr>
          <w:p w14:paraId="056A4C18">
            <w:pPr>
              <w:pStyle w:val="14"/>
              <w:spacing w:line="360" w:lineRule="auto"/>
              <w:jc w:val="center"/>
              <w:rPr>
                <w:rFonts w:ascii="仿宋" w:hAnsi="仿宋" w:eastAsia="仿宋" w:cs="仿宋"/>
                <w:sz w:val="24"/>
              </w:rPr>
            </w:pPr>
            <w:r>
              <w:rPr>
                <w:rFonts w:hint="eastAsia" w:ascii="仿宋" w:hAnsi="仿宋" w:eastAsia="仿宋" w:cs="仿宋"/>
                <w:sz w:val="24"/>
              </w:rPr>
              <w:t>名称</w:t>
            </w:r>
          </w:p>
        </w:tc>
        <w:tc>
          <w:tcPr>
            <w:tcW w:w="1938" w:type="dxa"/>
            <w:vAlign w:val="center"/>
          </w:tcPr>
          <w:p w14:paraId="317EC26B">
            <w:pPr>
              <w:pStyle w:val="14"/>
              <w:spacing w:line="360" w:lineRule="auto"/>
              <w:jc w:val="center"/>
              <w:rPr>
                <w:rFonts w:ascii="仿宋" w:hAnsi="仿宋" w:eastAsia="仿宋" w:cs="仿宋"/>
                <w:sz w:val="24"/>
              </w:rPr>
            </w:pPr>
            <w:r>
              <w:rPr>
                <w:rFonts w:hint="eastAsia" w:ascii="仿宋" w:hAnsi="仿宋" w:eastAsia="仿宋" w:cs="仿宋"/>
                <w:sz w:val="24"/>
              </w:rPr>
              <w:t>招标规格</w:t>
            </w:r>
          </w:p>
        </w:tc>
        <w:tc>
          <w:tcPr>
            <w:tcW w:w="1660" w:type="dxa"/>
            <w:vAlign w:val="center"/>
          </w:tcPr>
          <w:p w14:paraId="4BC3F8C0">
            <w:pPr>
              <w:pStyle w:val="14"/>
              <w:spacing w:line="360" w:lineRule="auto"/>
              <w:jc w:val="center"/>
              <w:rPr>
                <w:rFonts w:ascii="仿宋" w:hAnsi="仿宋" w:eastAsia="仿宋" w:cs="仿宋"/>
                <w:sz w:val="24"/>
              </w:rPr>
            </w:pPr>
            <w:r>
              <w:rPr>
                <w:rFonts w:hint="eastAsia" w:ascii="仿宋" w:hAnsi="仿宋" w:eastAsia="仿宋" w:cs="仿宋"/>
                <w:sz w:val="24"/>
              </w:rPr>
              <w:t>投标规格</w:t>
            </w:r>
          </w:p>
        </w:tc>
        <w:tc>
          <w:tcPr>
            <w:tcW w:w="1270" w:type="dxa"/>
            <w:vAlign w:val="center"/>
          </w:tcPr>
          <w:p w14:paraId="2D0BECFF">
            <w:pPr>
              <w:pStyle w:val="14"/>
              <w:spacing w:line="360" w:lineRule="auto"/>
              <w:jc w:val="center"/>
              <w:rPr>
                <w:rFonts w:ascii="仿宋" w:hAnsi="仿宋" w:eastAsia="仿宋" w:cs="仿宋"/>
                <w:sz w:val="24"/>
              </w:rPr>
            </w:pPr>
            <w:r>
              <w:rPr>
                <w:rFonts w:hint="eastAsia" w:ascii="仿宋" w:hAnsi="仿宋" w:eastAsia="仿宋" w:cs="仿宋"/>
                <w:sz w:val="24"/>
              </w:rPr>
              <w:t>偏离</w:t>
            </w:r>
          </w:p>
        </w:tc>
        <w:tc>
          <w:tcPr>
            <w:tcW w:w="966" w:type="dxa"/>
            <w:vAlign w:val="center"/>
          </w:tcPr>
          <w:p w14:paraId="20553217">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46A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6A7C57A9">
            <w:pPr>
              <w:pStyle w:val="14"/>
              <w:spacing w:line="360" w:lineRule="auto"/>
              <w:ind w:left="1080" w:leftChars="257" w:hanging="540"/>
              <w:rPr>
                <w:rFonts w:ascii="仿宋" w:hAnsi="仿宋" w:eastAsia="仿宋" w:cs="仿宋"/>
                <w:sz w:val="24"/>
              </w:rPr>
            </w:pPr>
          </w:p>
        </w:tc>
        <w:tc>
          <w:tcPr>
            <w:tcW w:w="1537" w:type="dxa"/>
          </w:tcPr>
          <w:p w14:paraId="3D04869F">
            <w:pPr>
              <w:pStyle w:val="14"/>
              <w:spacing w:line="360" w:lineRule="auto"/>
              <w:ind w:left="1080" w:leftChars="257" w:hanging="540"/>
              <w:rPr>
                <w:rFonts w:ascii="仿宋" w:hAnsi="仿宋" w:eastAsia="仿宋" w:cs="仿宋"/>
                <w:sz w:val="24"/>
              </w:rPr>
            </w:pPr>
          </w:p>
        </w:tc>
        <w:tc>
          <w:tcPr>
            <w:tcW w:w="1938" w:type="dxa"/>
          </w:tcPr>
          <w:p w14:paraId="50E44296">
            <w:pPr>
              <w:pStyle w:val="14"/>
              <w:spacing w:line="360" w:lineRule="auto"/>
              <w:ind w:left="1080" w:leftChars="257" w:hanging="540"/>
              <w:rPr>
                <w:rFonts w:ascii="仿宋" w:hAnsi="仿宋" w:eastAsia="仿宋" w:cs="仿宋"/>
                <w:sz w:val="24"/>
              </w:rPr>
            </w:pPr>
          </w:p>
        </w:tc>
        <w:tc>
          <w:tcPr>
            <w:tcW w:w="1660" w:type="dxa"/>
          </w:tcPr>
          <w:p w14:paraId="3E05B77A">
            <w:pPr>
              <w:pStyle w:val="14"/>
              <w:spacing w:line="360" w:lineRule="auto"/>
              <w:ind w:left="1080" w:leftChars="257" w:hanging="540"/>
              <w:rPr>
                <w:rFonts w:ascii="仿宋" w:hAnsi="仿宋" w:eastAsia="仿宋" w:cs="仿宋"/>
                <w:sz w:val="24"/>
              </w:rPr>
            </w:pPr>
          </w:p>
        </w:tc>
        <w:tc>
          <w:tcPr>
            <w:tcW w:w="1270" w:type="dxa"/>
          </w:tcPr>
          <w:p w14:paraId="0E64C2AC">
            <w:pPr>
              <w:pStyle w:val="14"/>
              <w:spacing w:line="360" w:lineRule="auto"/>
              <w:ind w:left="1080" w:leftChars="257" w:hanging="540"/>
              <w:rPr>
                <w:rFonts w:ascii="仿宋" w:hAnsi="仿宋" w:eastAsia="仿宋" w:cs="仿宋"/>
                <w:sz w:val="24"/>
              </w:rPr>
            </w:pPr>
          </w:p>
        </w:tc>
        <w:tc>
          <w:tcPr>
            <w:tcW w:w="966" w:type="dxa"/>
          </w:tcPr>
          <w:p w14:paraId="263D8E3B">
            <w:pPr>
              <w:pStyle w:val="14"/>
              <w:spacing w:line="360" w:lineRule="auto"/>
              <w:ind w:left="1080" w:leftChars="257" w:hanging="540"/>
              <w:rPr>
                <w:rFonts w:ascii="仿宋" w:hAnsi="仿宋" w:eastAsia="仿宋" w:cs="仿宋"/>
                <w:sz w:val="24"/>
              </w:rPr>
            </w:pPr>
          </w:p>
        </w:tc>
      </w:tr>
      <w:tr w14:paraId="3C9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3EFDCCC">
            <w:pPr>
              <w:pStyle w:val="14"/>
              <w:spacing w:line="360" w:lineRule="auto"/>
              <w:ind w:left="1080" w:leftChars="257" w:hanging="540"/>
              <w:rPr>
                <w:rFonts w:ascii="仿宋" w:hAnsi="仿宋" w:eastAsia="仿宋" w:cs="仿宋"/>
                <w:sz w:val="24"/>
              </w:rPr>
            </w:pPr>
          </w:p>
        </w:tc>
        <w:tc>
          <w:tcPr>
            <w:tcW w:w="1537" w:type="dxa"/>
          </w:tcPr>
          <w:p w14:paraId="064CA4DF">
            <w:pPr>
              <w:pStyle w:val="14"/>
              <w:spacing w:line="360" w:lineRule="auto"/>
              <w:ind w:left="1080" w:leftChars="257" w:hanging="540"/>
              <w:rPr>
                <w:rFonts w:ascii="仿宋" w:hAnsi="仿宋" w:eastAsia="仿宋" w:cs="仿宋"/>
                <w:sz w:val="24"/>
              </w:rPr>
            </w:pPr>
          </w:p>
        </w:tc>
        <w:tc>
          <w:tcPr>
            <w:tcW w:w="1938" w:type="dxa"/>
          </w:tcPr>
          <w:p w14:paraId="03800E2C">
            <w:pPr>
              <w:pStyle w:val="14"/>
              <w:spacing w:line="360" w:lineRule="auto"/>
              <w:ind w:left="1080" w:leftChars="257" w:hanging="540"/>
              <w:rPr>
                <w:rFonts w:ascii="仿宋" w:hAnsi="仿宋" w:eastAsia="仿宋" w:cs="仿宋"/>
                <w:sz w:val="24"/>
              </w:rPr>
            </w:pPr>
          </w:p>
        </w:tc>
        <w:tc>
          <w:tcPr>
            <w:tcW w:w="1660" w:type="dxa"/>
          </w:tcPr>
          <w:p w14:paraId="759ED083">
            <w:pPr>
              <w:pStyle w:val="14"/>
              <w:spacing w:line="360" w:lineRule="auto"/>
              <w:ind w:left="1080" w:leftChars="257" w:hanging="540"/>
              <w:rPr>
                <w:rFonts w:ascii="仿宋" w:hAnsi="仿宋" w:eastAsia="仿宋" w:cs="仿宋"/>
                <w:sz w:val="24"/>
              </w:rPr>
            </w:pPr>
          </w:p>
        </w:tc>
        <w:tc>
          <w:tcPr>
            <w:tcW w:w="1270" w:type="dxa"/>
          </w:tcPr>
          <w:p w14:paraId="1E2259DE">
            <w:pPr>
              <w:pStyle w:val="14"/>
              <w:spacing w:line="360" w:lineRule="auto"/>
              <w:ind w:left="1080" w:leftChars="257" w:hanging="540"/>
              <w:rPr>
                <w:rFonts w:ascii="仿宋" w:hAnsi="仿宋" w:eastAsia="仿宋" w:cs="仿宋"/>
                <w:sz w:val="24"/>
              </w:rPr>
            </w:pPr>
          </w:p>
        </w:tc>
        <w:tc>
          <w:tcPr>
            <w:tcW w:w="966" w:type="dxa"/>
          </w:tcPr>
          <w:p w14:paraId="017BCA9F">
            <w:pPr>
              <w:pStyle w:val="14"/>
              <w:spacing w:line="360" w:lineRule="auto"/>
              <w:ind w:left="1080" w:leftChars="257" w:hanging="540"/>
              <w:rPr>
                <w:rFonts w:ascii="仿宋" w:hAnsi="仿宋" w:eastAsia="仿宋" w:cs="仿宋"/>
                <w:sz w:val="24"/>
              </w:rPr>
            </w:pPr>
          </w:p>
        </w:tc>
      </w:tr>
      <w:tr w14:paraId="433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1ED43C07">
            <w:pPr>
              <w:pStyle w:val="14"/>
              <w:spacing w:line="360" w:lineRule="auto"/>
              <w:ind w:left="1080" w:leftChars="257" w:hanging="540"/>
              <w:rPr>
                <w:rFonts w:ascii="仿宋" w:hAnsi="仿宋" w:eastAsia="仿宋" w:cs="仿宋"/>
                <w:sz w:val="24"/>
              </w:rPr>
            </w:pPr>
          </w:p>
        </w:tc>
        <w:tc>
          <w:tcPr>
            <w:tcW w:w="1537" w:type="dxa"/>
          </w:tcPr>
          <w:p w14:paraId="0C0F8F75">
            <w:pPr>
              <w:pStyle w:val="14"/>
              <w:spacing w:line="360" w:lineRule="auto"/>
              <w:ind w:left="1080" w:leftChars="257" w:hanging="540"/>
              <w:rPr>
                <w:rFonts w:ascii="仿宋" w:hAnsi="仿宋" w:eastAsia="仿宋" w:cs="仿宋"/>
                <w:sz w:val="24"/>
              </w:rPr>
            </w:pPr>
          </w:p>
        </w:tc>
        <w:tc>
          <w:tcPr>
            <w:tcW w:w="1938" w:type="dxa"/>
          </w:tcPr>
          <w:p w14:paraId="480F0B5A">
            <w:pPr>
              <w:pStyle w:val="14"/>
              <w:spacing w:line="360" w:lineRule="auto"/>
              <w:ind w:left="1080" w:leftChars="257" w:hanging="540"/>
              <w:rPr>
                <w:rFonts w:ascii="仿宋" w:hAnsi="仿宋" w:eastAsia="仿宋" w:cs="仿宋"/>
                <w:sz w:val="24"/>
              </w:rPr>
            </w:pPr>
          </w:p>
        </w:tc>
        <w:tc>
          <w:tcPr>
            <w:tcW w:w="1660" w:type="dxa"/>
          </w:tcPr>
          <w:p w14:paraId="1A91D648">
            <w:pPr>
              <w:pStyle w:val="14"/>
              <w:spacing w:line="360" w:lineRule="auto"/>
              <w:ind w:left="1080" w:leftChars="257" w:hanging="540"/>
              <w:rPr>
                <w:rFonts w:ascii="仿宋" w:hAnsi="仿宋" w:eastAsia="仿宋" w:cs="仿宋"/>
                <w:sz w:val="24"/>
              </w:rPr>
            </w:pPr>
          </w:p>
        </w:tc>
        <w:tc>
          <w:tcPr>
            <w:tcW w:w="1270" w:type="dxa"/>
          </w:tcPr>
          <w:p w14:paraId="57003EDC">
            <w:pPr>
              <w:pStyle w:val="14"/>
              <w:spacing w:line="360" w:lineRule="auto"/>
              <w:ind w:left="1080" w:leftChars="257" w:hanging="540"/>
              <w:rPr>
                <w:rFonts w:ascii="仿宋" w:hAnsi="仿宋" w:eastAsia="仿宋" w:cs="仿宋"/>
                <w:sz w:val="24"/>
              </w:rPr>
            </w:pPr>
          </w:p>
        </w:tc>
        <w:tc>
          <w:tcPr>
            <w:tcW w:w="966" w:type="dxa"/>
          </w:tcPr>
          <w:p w14:paraId="09244CAC">
            <w:pPr>
              <w:pStyle w:val="14"/>
              <w:spacing w:line="360" w:lineRule="auto"/>
              <w:ind w:left="1080" w:leftChars="257" w:hanging="540"/>
              <w:rPr>
                <w:rFonts w:ascii="仿宋" w:hAnsi="仿宋" w:eastAsia="仿宋" w:cs="仿宋"/>
                <w:sz w:val="24"/>
              </w:rPr>
            </w:pPr>
          </w:p>
        </w:tc>
      </w:tr>
      <w:tr w14:paraId="61FC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2FC49588">
            <w:pPr>
              <w:pStyle w:val="14"/>
              <w:spacing w:line="360" w:lineRule="auto"/>
              <w:ind w:left="1080" w:leftChars="257" w:hanging="540"/>
              <w:rPr>
                <w:rFonts w:ascii="仿宋" w:hAnsi="仿宋" w:eastAsia="仿宋" w:cs="仿宋"/>
                <w:sz w:val="24"/>
              </w:rPr>
            </w:pPr>
          </w:p>
        </w:tc>
        <w:tc>
          <w:tcPr>
            <w:tcW w:w="1537" w:type="dxa"/>
          </w:tcPr>
          <w:p w14:paraId="455FA5B7">
            <w:pPr>
              <w:pStyle w:val="14"/>
              <w:spacing w:line="360" w:lineRule="auto"/>
              <w:ind w:left="1080" w:leftChars="257" w:hanging="540"/>
              <w:rPr>
                <w:rFonts w:ascii="仿宋" w:hAnsi="仿宋" w:eastAsia="仿宋" w:cs="仿宋"/>
                <w:sz w:val="24"/>
              </w:rPr>
            </w:pPr>
          </w:p>
        </w:tc>
        <w:tc>
          <w:tcPr>
            <w:tcW w:w="1938" w:type="dxa"/>
          </w:tcPr>
          <w:p w14:paraId="1814C12E">
            <w:pPr>
              <w:pStyle w:val="14"/>
              <w:spacing w:line="360" w:lineRule="auto"/>
              <w:ind w:left="1080" w:leftChars="257" w:hanging="540"/>
              <w:rPr>
                <w:rFonts w:ascii="仿宋" w:hAnsi="仿宋" w:eastAsia="仿宋" w:cs="仿宋"/>
                <w:sz w:val="24"/>
              </w:rPr>
            </w:pPr>
          </w:p>
        </w:tc>
        <w:tc>
          <w:tcPr>
            <w:tcW w:w="1660" w:type="dxa"/>
          </w:tcPr>
          <w:p w14:paraId="0A7A7208">
            <w:pPr>
              <w:pStyle w:val="14"/>
              <w:spacing w:line="360" w:lineRule="auto"/>
              <w:ind w:left="1080" w:leftChars="257" w:hanging="540"/>
              <w:rPr>
                <w:rFonts w:ascii="仿宋" w:hAnsi="仿宋" w:eastAsia="仿宋" w:cs="仿宋"/>
                <w:sz w:val="24"/>
              </w:rPr>
            </w:pPr>
          </w:p>
        </w:tc>
        <w:tc>
          <w:tcPr>
            <w:tcW w:w="1270" w:type="dxa"/>
          </w:tcPr>
          <w:p w14:paraId="504D498A">
            <w:pPr>
              <w:pStyle w:val="14"/>
              <w:spacing w:line="360" w:lineRule="auto"/>
              <w:ind w:left="1080" w:leftChars="257" w:hanging="540"/>
              <w:rPr>
                <w:rFonts w:ascii="仿宋" w:hAnsi="仿宋" w:eastAsia="仿宋" w:cs="仿宋"/>
                <w:sz w:val="24"/>
              </w:rPr>
            </w:pPr>
          </w:p>
        </w:tc>
        <w:tc>
          <w:tcPr>
            <w:tcW w:w="966" w:type="dxa"/>
          </w:tcPr>
          <w:p w14:paraId="6245017C">
            <w:pPr>
              <w:pStyle w:val="14"/>
              <w:spacing w:line="360" w:lineRule="auto"/>
              <w:ind w:left="1080" w:leftChars="257" w:hanging="540"/>
              <w:rPr>
                <w:rFonts w:ascii="仿宋" w:hAnsi="仿宋" w:eastAsia="仿宋" w:cs="仿宋"/>
                <w:sz w:val="24"/>
              </w:rPr>
            </w:pPr>
          </w:p>
        </w:tc>
      </w:tr>
      <w:tr w14:paraId="056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0B1E85F1">
            <w:pPr>
              <w:pStyle w:val="14"/>
              <w:spacing w:line="360" w:lineRule="auto"/>
              <w:ind w:left="1080" w:leftChars="257" w:hanging="540"/>
              <w:rPr>
                <w:rFonts w:ascii="仿宋" w:hAnsi="仿宋" w:eastAsia="仿宋" w:cs="仿宋"/>
                <w:sz w:val="24"/>
              </w:rPr>
            </w:pPr>
          </w:p>
        </w:tc>
        <w:tc>
          <w:tcPr>
            <w:tcW w:w="1537" w:type="dxa"/>
          </w:tcPr>
          <w:p w14:paraId="2FD5DED2">
            <w:pPr>
              <w:pStyle w:val="14"/>
              <w:spacing w:line="360" w:lineRule="auto"/>
              <w:ind w:left="1080" w:leftChars="257" w:hanging="540"/>
              <w:rPr>
                <w:rFonts w:ascii="仿宋" w:hAnsi="仿宋" w:eastAsia="仿宋" w:cs="仿宋"/>
                <w:sz w:val="24"/>
              </w:rPr>
            </w:pPr>
          </w:p>
        </w:tc>
        <w:tc>
          <w:tcPr>
            <w:tcW w:w="1938" w:type="dxa"/>
          </w:tcPr>
          <w:p w14:paraId="1D266835">
            <w:pPr>
              <w:pStyle w:val="14"/>
              <w:spacing w:line="360" w:lineRule="auto"/>
              <w:ind w:left="1080" w:leftChars="257" w:hanging="540"/>
              <w:rPr>
                <w:rFonts w:ascii="仿宋" w:hAnsi="仿宋" w:eastAsia="仿宋" w:cs="仿宋"/>
                <w:sz w:val="24"/>
              </w:rPr>
            </w:pPr>
          </w:p>
        </w:tc>
        <w:tc>
          <w:tcPr>
            <w:tcW w:w="1660" w:type="dxa"/>
          </w:tcPr>
          <w:p w14:paraId="5B78F128">
            <w:pPr>
              <w:pStyle w:val="14"/>
              <w:spacing w:line="360" w:lineRule="auto"/>
              <w:ind w:left="1080" w:leftChars="257" w:hanging="540"/>
              <w:rPr>
                <w:rFonts w:ascii="仿宋" w:hAnsi="仿宋" w:eastAsia="仿宋" w:cs="仿宋"/>
                <w:sz w:val="24"/>
              </w:rPr>
            </w:pPr>
          </w:p>
        </w:tc>
        <w:tc>
          <w:tcPr>
            <w:tcW w:w="1270" w:type="dxa"/>
          </w:tcPr>
          <w:p w14:paraId="11D95A32">
            <w:pPr>
              <w:pStyle w:val="14"/>
              <w:spacing w:line="360" w:lineRule="auto"/>
              <w:ind w:left="1080" w:leftChars="257" w:hanging="540"/>
              <w:rPr>
                <w:rFonts w:ascii="仿宋" w:hAnsi="仿宋" w:eastAsia="仿宋" w:cs="仿宋"/>
                <w:sz w:val="24"/>
              </w:rPr>
            </w:pPr>
          </w:p>
        </w:tc>
        <w:tc>
          <w:tcPr>
            <w:tcW w:w="966" w:type="dxa"/>
          </w:tcPr>
          <w:p w14:paraId="62FF4750">
            <w:pPr>
              <w:pStyle w:val="14"/>
              <w:spacing w:line="360" w:lineRule="auto"/>
              <w:ind w:left="1080" w:leftChars="257" w:hanging="540"/>
              <w:rPr>
                <w:rFonts w:ascii="仿宋" w:hAnsi="仿宋" w:eastAsia="仿宋" w:cs="仿宋"/>
                <w:sz w:val="24"/>
              </w:rPr>
            </w:pPr>
          </w:p>
        </w:tc>
      </w:tr>
      <w:tr w14:paraId="7D3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8274507">
            <w:pPr>
              <w:pStyle w:val="14"/>
              <w:spacing w:line="360" w:lineRule="auto"/>
              <w:ind w:left="1080" w:leftChars="257" w:hanging="540"/>
              <w:rPr>
                <w:rFonts w:ascii="仿宋" w:hAnsi="仿宋" w:eastAsia="仿宋" w:cs="仿宋"/>
                <w:sz w:val="24"/>
              </w:rPr>
            </w:pPr>
          </w:p>
        </w:tc>
        <w:tc>
          <w:tcPr>
            <w:tcW w:w="1537" w:type="dxa"/>
          </w:tcPr>
          <w:p w14:paraId="586A2938">
            <w:pPr>
              <w:pStyle w:val="14"/>
              <w:spacing w:line="360" w:lineRule="auto"/>
              <w:ind w:left="1080" w:leftChars="257" w:hanging="540"/>
              <w:rPr>
                <w:rFonts w:ascii="仿宋" w:hAnsi="仿宋" w:eastAsia="仿宋" w:cs="仿宋"/>
                <w:sz w:val="24"/>
              </w:rPr>
            </w:pPr>
          </w:p>
        </w:tc>
        <w:tc>
          <w:tcPr>
            <w:tcW w:w="1938" w:type="dxa"/>
          </w:tcPr>
          <w:p w14:paraId="7D853DA5">
            <w:pPr>
              <w:pStyle w:val="14"/>
              <w:spacing w:line="360" w:lineRule="auto"/>
              <w:ind w:left="1080" w:leftChars="257" w:hanging="540"/>
              <w:rPr>
                <w:rFonts w:ascii="仿宋" w:hAnsi="仿宋" w:eastAsia="仿宋" w:cs="仿宋"/>
                <w:sz w:val="24"/>
              </w:rPr>
            </w:pPr>
          </w:p>
        </w:tc>
        <w:tc>
          <w:tcPr>
            <w:tcW w:w="1660" w:type="dxa"/>
          </w:tcPr>
          <w:p w14:paraId="654C7198">
            <w:pPr>
              <w:pStyle w:val="14"/>
              <w:spacing w:line="360" w:lineRule="auto"/>
              <w:ind w:left="1080" w:leftChars="257" w:hanging="540"/>
              <w:rPr>
                <w:rFonts w:ascii="仿宋" w:hAnsi="仿宋" w:eastAsia="仿宋" w:cs="仿宋"/>
                <w:sz w:val="24"/>
              </w:rPr>
            </w:pPr>
          </w:p>
        </w:tc>
        <w:tc>
          <w:tcPr>
            <w:tcW w:w="1270" w:type="dxa"/>
          </w:tcPr>
          <w:p w14:paraId="1E2343BA">
            <w:pPr>
              <w:pStyle w:val="14"/>
              <w:spacing w:line="360" w:lineRule="auto"/>
              <w:ind w:left="1080" w:leftChars="257" w:hanging="540"/>
              <w:rPr>
                <w:rFonts w:ascii="仿宋" w:hAnsi="仿宋" w:eastAsia="仿宋" w:cs="仿宋"/>
                <w:sz w:val="24"/>
              </w:rPr>
            </w:pPr>
          </w:p>
        </w:tc>
        <w:tc>
          <w:tcPr>
            <w:tcW w:w="966" w:type="dxa"/>
          </w:tcPr>
          <w:p w14:paraId="17FC0443">
            <w:pPr>
              <w:pStyle w:val="14"/>
              <w:spacing w:line="360" w:lineRule="auto"/>
              <w:ind w:left="1080" w:leftChars="257" w:hanging="540"/>
              <w:rPr>
                <w:rFonts w:ascii="仿宋" w:hAnsi="仿宋" w:eastAsia="仿宋" w:cs="仿宋"/>
                <w:sz w:val="24"/>
              </w:rPr>
            </w:pPr>
          </w:p>
        </w:tc>
      </w:tr>
      <w:tr w14:paraId="271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933182D">
            <w:pPr>
              <w:pStyle w:val="14"/>
              <w:spacing w:line="360" w:lineRule="auto"/>
              <w:ind w:left="1080" w:leftChars="257" w:hanging="540"/>
              <w:rPr>
                <w:rFonts w:ascii="仿宋" w:hAnsi="仿宋" w:eastAsia="仿宋" w:cs="仿宋"/>
                <w:sz w:val="24"/>
              </w:rPr>
            </w:pPr>
          </w:p>
        </w:tc>
        <w:tc>
          <w:tcPr>
            <w:tcW w:w="1537" w:type="dxa"/>
          </w:tcPr>
          <w:p w14:paraId="2C9097D5">
            <w:pPr>
              <w:pStyle w:val="14"/>
              <w:spacing w:line="360" w:lineRule="auto"/>
              <w:ind w:left="1080" w:leftChars="257" w:hanging="540"/>
              <w:rPr>
                <w:rFonts w:ascii="仿宋" w:hAnsi="仿宋" w:eastAsia="仿宋" w:cs="仿宋"/>
                <w:sz w:val="24"/>
              </w:rPr>
            </w:pPr>
          </w:p>
        </w:tc>
        <w:tc>
          <w:tcPr>
            <w:tcW w:w="1938" w:type="dxa"/>
          </w:tcPr>
          <w:p w14:paraId="7125232F">
            <w:pPr>
              <w:pStyle w:val="14"/>
              <w:spacing w:line="360" w:lineRule="auto"/>
              <w:ind w:left="1080" w:leftChars="257" w:hanging="540"/>
              <w:rPr>
                <w:rFonts w:ascii="仿宋" w:hAnsi="仿宋" w:eastAsia="仿宋" w:cs="仿宋"/>
                <w:sz w:val="24"/>
              </w:rPr>
            </w:pPr>
          </w:p>
        </w:tc>
        <w:tc>
          <w:tcPr>
            <w:tcW w:w="1660" w:type="dxa"/>
          </w:tcPr>
          <w:p w14:paraId="3995432B">
            <w:pPr>
              <w:pStyle w:val="14"/>
              <w:spacing w:line="360" w:lineRule="auto"/>
              <w:ind w:left="1080" w:leftChars="257" w:hanging="540"/>
              <w:rPr>
                <w:rFonts w:ascii="仿宋" w:hAnsi="仿宋" w:eastAsia="仿宋" w:cs="仿宋"/>
                <w:sz w:val="24"/>
              </w:rPr>
            </w:pPr>
          </w:p>
        </w:tc>
        <w:tc>
          <w:tcPr>
            <w:tcW w:w="1270" w:type="dxa"/>
          </w:tcPr>
          <w:p w14:paraId="67EFCA99">
            <w:pPr>
              <w:pStyle w:val="14"/>
              <w:spacing w:line="360" w:lineRule="auto"/>
              <w:ind w:left="1080" w:leftChars="257" w:hanging="540"/>
              <w:rPr>
                <w:rFonts w:ascii="仿宋" w:hAnsi="仿宋" w:eastAsia="仿宋" w:cs="仿宋"/>
                <w:sz w:val="24"/>
              </w:rPr>
            </w:pPr>
          </w:p>
        </w:tc>
        <w:tc>
          <w:tcPr>
            <w:tcW w:w="966" w:type="dxa"/>
          </w:tcPr>
          <w:p w14:paraId="3540A40A">
            <w:pPr>
              <w:pStyle w:val="14"/>
              <w:spacing w:line="360" w:lineRule="auto"/>
              <w:ind w:left="1080" w:leftChars="257" w:hanging="540"/>
              <w:rPr>
                <w:rFonts w:ascii="仿宋" w:hAnsi="仿宋" w:eastAsia="仿宋" w:cs="仿宋"/>
                <w:sz w:val="24"/>
              </w:rPr>
            </w:pPr>
          </w:p>
        </w:tc>
      </w:tr>
      <w:tr w14:paraId="218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B18243C">
            <w:pPr>
              <w:pStyle w:val="14"/>
              <w:spacing w:line="360" w:lineRule="auto"/>
              <w:ind w:left="1080" w:leftChars="257" w:hanging="540"/>
              <w:rPr>
                <w:rFonts w:ascii="仿宋" w:hAnsi="仿宋" w:eastAsia="仿宋" w:cs="仿宋"/>
                <w:sz w:val="24"/>
              </w:rPr>
            </w:pPr>
          </w:p>
        </w:tc>
        <w:tc>
          <w:tcPr>
            <w:tcW w:w="1537" w:type="dxa"/>
          </w:tcPr>
          <w:p w14:paraId="4D04590E">
            <w:pPr>
              <w:pStyle w:val="14"/>
              <w:spacing w:line="360" w:lineRule="auto"/>
              <w:ind w:left="1080" w:leftChars="257" w:hanging="540"/>
              <w:rPr>
                <w:rFonts w:ascii="仿宋" w:hAnsi="仿宋" w:eastAsia="仿宋" w:cs="仿宋"/>
                <w:sz w:val="24"/>
              </w:rPr>
            </w:pPr>
          </w:p>
        </w:tc>
        <w:tc>
          <w:tcPr>
            <w:tcW w:w="1938" w:type="dxa"/>
          </w:tcPr>
          <w:p w14:paraId="40A9B33C">
            <w:pPr>
              <w:pStyle w:val="14"/>
              <w:spacing w:line="360" w:lineRule="auto"/>
              <w:ind w:left="1080" w:leftChars="257" w:hanging="540"/>
              <w:rPr>
                <w:rFonts w:ascii="仿宋" w:hAnsi="仿宋" w:eastAsia="仿宋" w:cs="仿宋"/>
                <w:sz w:val="24"/>
              </w:rPr>
            </w:pPr>
          </w:p>
        </w:tc>
        <w:tc>
          <w:tcPr>
            <w:tcW w:w="1660" w:type="dxa"/>
          </w:tcPr>
          <w:p w14:paraId="53D52A48">
            <w:pPr>
              <w:pStyle w:val="14"/>
              <w:spacing w:line="360" w:lineRule="auto"/>
              <w:ind w:left="1080" w:leftChars="257" w:hanging="540"/>
              <w:rPr>
                <w:rFonts w:ascii="仿宋" w:hAnsi="仿宋" w:eastAsia="仿宋" w:cs="仿宋"/>
                <w:sz w:val="24"/>
              </w:rPr>
            </w:pPr>
          </w:p>
        </w:tc>
        <w:tc>
          <w:tcPr>
            <w:tcW w:w="1270" w:type="dxa"/>
          </w:tcPr>
          <w:p w14:paraId="2A3D065A">
            <w:pPr>
              <w:pStyle w:val="14"/>
              <w:spacing w:line="360" w:lineRule="auto"/>
              <w:ind w:left="1080" w:leftChars="257" w:hanging="540"/>
              <w:rPr>
                <w:rFonts w:ascii="仿宋" w:hAnsi="仿宋" w:eastAsia="仿宋" w:cs="仿宋"/>
                <w:sz w:val="24"/>
              </w:rPr>
            </w:pPr>
          </w:p>
        </w:tc>
        <w:tc>
          <w:tcPr>
            <w:tcW w:w="966" w:type="dxa"/>
          </w:tcPr>
          <w:p w14:paraId="70061E6D">
            <w:pPr>
              <w:pStyle w:val="14"/>
              <w:spacing w:line="360" w:lineRule="auto"/>
              <w:ind w:left="1080" w:leftChars="257" w:hanging="540"/>
              <w:rPr>
                <w:rFonts w:ascii="仿宋" w:hAnsi="仿宋" w:eastAsia="仿宋" w:cs="仿宋"/>
                <w:sz w:val="24"/>
              </w:rPr>
            </w:pPr>
          </w:p>
        </w:tc>
      </w:tr>
      <w:tr w14:paraId="37A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004AF758">
            <w:pPr>
              <w:pStyle w:val="14"/>
              <w:spacing w:line="360" w:lineRule="auto"/>
              <w:ind w:left="1080" w:leftChars="257" w:hanging="540"/>
              <w:rPr>
                <w:rFonts w:ascii="仿宋" w:hAnsi="仿宋" w:eastAsia="仿宋" w:cs="仿宋"/>
                <w:sz w:val="24"/>
              </w:rPr>
            </w:pPr>
          </w:p>
        </w:tc>
        <w:tc>
          <w:tcPr>
            <w:tcW w:w="1537" w:type="dxa"/>
          </w:tcPr>
          <w:p w14:paraId="7C1A139A">
            <w:pPr>
              <w:pStyle w:val="14"/>
              <w:spacing w:line="360" w:lineRule="auto"/>
              <w:ind w:left="1080" w:leftChars="257" w:hanging="540"/>
              <w:rPr>
                <w:rFonts w:ascii="仿宋" w:hAnsi="仿宋" w:eastAsia="仿宋" w:cs="仿宋"/>
                <w:sz w:val="24"/>
              </w:rPr>
            </w:pPr>
          </w:p>
        </w:tc>
        <w:tc>
          <w:tcPr>
            <w:tcW w:w="1938" w:type="dxa"/>
          </w:tcPr>
          <w:p w14:paraId="1A358CD7">
            <w:pPr>
              <w:pStyle w:val="14"/>
              <w:spacing w:line="360" w:lineRule="auto"/>
              <w:ind w:left="1080" w:leftChars="257" w:hanging="540"/>
              <w:rPr>
                <w:rFonts w:ascii="仿宋" w:hAnsi="仿宋" w:eastAsia="仿宋" w:cs="仿宋"/>
                <w:sz w:val="24"/>
              </w:rPr>
            </w:pPr>
          </w:p>
        </w:tc>
        <w:tc>
          <w:tcPr>
            <w:tcW w:w="1660" w:type="dxa"/>
          </w:tcPr>
          <w:p w14:paraId="18D252EB">
            <w:pPr>
              <w:pStyle w:val="14"/>
              <w:spacing w:line="360" w:lineRule="auto"/>
              <w:ind w:left="1080" w:leftChars="257" w:hanging="540"/>
              <w:rPr>
                <w:rFonts w:ascii="仿宋" w:hAnsi="仿宋" w:eastAsia="仿宋" w:cs="仿宋"/>
                <w:sz w:val="24"/>
              </w:rPr>
            </w:pPr>
          </w:p>
        </w:tc>
        <w:tc>
          <w:tcPr>
            <w:tcW w:w="1270" w:type="dxa"/>
          </w:tcPr>
          <w:p w14:paraId="4B90DA0E">
            <w:pPr>
              <w:pStyle w:val="14"/>
              <w:spacing w:line="360" w:lineRule="auto"/>
              <w:ind w:left="1080" w:leftChars="257" w:hanging="540"/>
              <w:rPr>
                <w:rFonts w:ascii="仿宋" w:hAnsi="仿宋" w:eastAsia="仿宋" w:cs="仿宋"/>
                <w:sz w:val="24"/>
              </w:rPr>
            </w:pPr>
          </w:p>
        </w:tc>
        <w:tc>
          <w:tcPr>
            <w:tcW w:w="966" w:type="dxa"/>
          </w:tcPr>
          <w:p w14:paraId="12196711">
            <w:pPr>
              <w:pStyle w:val="14"/>
              <w:spacing w:line="360" w:lineRule="auto"/>
              <w:ind w:left="1080" w:leftChars="257" w:hanging="540"/>
              <w:rPr>
                <w:rFonts w:ascii="仿宋" w:hAnsi="仿宋" w:eastAsia="仿宋" w:cs="仿宋"/>
                <w:sz w:val="24"/>
              </w:rPr>
            </w:pPr>
          </w:p>
        </w:tc>
      </w:tr>
      <w:tr w14:paraId="4CD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40088FEB">
            <w:pPr>
              <w:pStyle w:val="14"/>
              <w:spacing w:line="360" w:lineRule="auto"/>
              <w:ind w:left="1080" w:leftChars="257" w:hanging="540"/>
              <w:rPr>
                <w:rFonts w:ascii="仿宋" w:hAnsi="仿宋" w:eastAsia="仿宋" w:cs="仿宋"/>
                <w:sz w:val="24"/>
              </w:rPr>
            </w:pPr>
          </w:p>
        </w:tc>
        <w:tc>
          <w:tcPr>
            <w:tcW w:w="1537" w:type="dxa"/>
          </w:tcPr>
          <w:p w14:paraId="10B49E2C">
            <w:pPr>
              <w:pStyle w:val="14"/>
              <w:spacing w:line="360" w:lineRule="auto"/>
              <w:ind w:left="1080" w:leftChars="257" w:hanging="540"/>
              <w:rPr>
                <w:rFonts w:ascii="仿宋" w:hAnsi="仿宋" w:eastAsia="仿宋" w:cs="仿宋"/>
                <w:sz w:val="24"/>
              </w:rPr>
            </w:pPr>
          </w:p>
        </w:tc>
        <w:tc>
          <w:tcPr>
            <w:tcW w:w="1938" w:type="dxa"/>
          </w:tcPr>
          <w:p w14:paraId="04E867CC">
            <w:pPr>
              <w:pStyle w:val="14"/>
              <w:spacing w:line="360" w:lineRule="auto"/>
              <w:ind w:left="1080" w:leftChars="257" w:hanging="540"/>
              <w:rPr>
                <w:rFonts w:ascii="仿宋" w:hAnsi="仿宋" w:eastAsia="仿宋" w:cs="仿宋"/>
                <w:sz w:val="24"/>
              </w:rPr>
            </w:pPr>
          </w:p>
        </w:tc>
        <w:tc>
          <w:tcPr>
            <w:tcW w:w="1660" w:type="dxa"/>
          </w:tcPr>
          <w:p w14:paraId="671B6543">
            <w:pPr>
              <w:pStyle w:val="14"/>
              <w:spacing w:line="360" w:lineRule="auto"/>
              <w:ind w:left="1080" w:leftChars="257" w:hanging="540"/>
              <w:rPr>
                <w:rFonts w:ascii="仿宋" w:hAnsi="仿宋" w:eastAsia="仿宋" w:cs="仿宋"/>
                <w:sz w:val="24"/>
              </w:rPr>
            </w:pPr>
          </w:p>
        </w:tc>
        <w:tc>
          <w:tcPr>
            <w:tcW w:w="1270" w:type="dxa"/>
          </w:tcPr>
          <w:p w14:paraId="1C20318D">
            <w:pPr>
              <w:pStyle w:val="14"/>
              <w:spacing w:line="360" w:lineRule="auto"/>
              <w:ind w:left="1080" w:leftChars="257" w:hanging="540"/>
              <w:rPr>
                <w:rFonts w:ascii="仿宋" w:hAnsi="仿宋" w:eastAsia="仿宋" w:cs="仿宋"/>
                <w:sz w:val="24"/>
              </w:rPr>
            </w:pPr>
          </w:p>
        </w:tc>
        <w:tc>
          <w:tcPr>
            <w:tcW w:w="966" w:type="dxa"/>
          </w:tcPr>
          <w:p w14:paraId="63E9FB72">
            <w:pPr>
              <w:pStyle w:val="14"/>
              <w:spacing w:line="360" w:lineRule="auto"/>
              <w:ind w:left="1080" w:leftChars="257" w:hanging="540"/>
              <w:rPr>
                <w:rFonts w:ascii="仿宋" w:hAnsi="仿宋" w:eastAsia="仿宋" w:cs="仿宋"/>
                <w:sz w:val="24"/>
              </w:rPr>
            </w:pPr>
          </w:p>
        </w:tc>
      </w:tr>
      <w:tr w14:paraId="781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51B0F436">
            <w:pPr>
              <w:pStyle w:val="14"/>
              <w:spacing w:line="360" w:lineRule="auto"/>
              <w:ind w:left="1080" w:leftChars="257" w:hanging="540"/>
              <w:rPr>
                <w:rFonts w:ascii="仿宋" w:hAnsi="仿宋" w:eastAsia="仿宋" w:cs="仿宋"/>
                <w:sz w:val="24"/>
              </w:rPr>
            </w:pPr>
          </w:p>
        </w:tc>
        <w:tc>
          <w:tcPr>
            <w:tcW w:w="1537" w:type="dxa"/>
          </w:tcPr>
          <w:p w14:paraId="45581690">
            <w:pPr>
              <w:pStyle w:val="14"/>
              <w:spacing w:line="360" w:lineRule="auto"/>
              <w:ind w:left="1080" w:leftChars="257" w:hanging="540"/>
              <w:rPr>
                <w:rFonts w:ascii="仿宋" w:hAnsi="仿宋" w:eastAsia="仿宋" w:cs="仿宋"/>
                <w:sz w:val="24"/>
              </w:rPr>
            </w:pPr>
          </w:p>
        </w:tc>
        <w:tc>
          <w:tcPr>
            <w:tcW w:w="1938" w:type="dxa"/>
          </w:tcPr>
          <w:p w14:paraId="21B99184">
            <w:pPr>
              <w:pStyle w:val="14"/>
              <w:spacing w:line="360" w:lineRule="auto"/>
              <w:ind w:left="1080" w:leftChars="257" w:hanging="540"/>
              <w:rPr>
                <w:rFonts w:ascii="仿宋" w:hAnsi="仿宋" w:eastAsia="仿宋" w:cs="仿宋"/>
                <w:sz w:val="24"/>
              </w:rPr>
            </w:pPr>
          </w:p>
        </w:tc>
        <w:tc>
          <w:tcPr>
            <w:tcW w:w="1660" w:type="dxa"/>
          </w:tcPr>
          <w:p w14:paraId="449F9273">
            <w:pPr>
              <w:pStyle w:val="14"/>
              <w:spacing w:line="360" w:lineRule="auto"/>
              <w:ind w:left="1080" w:leftChars="257" w:hanging="540"/>
              <w:rPr>
                <w:rFonts w:ascii="仿宋" w:hAnsi="仿宋" w:eastAsia="仿宋" w:cs="仿宋"/>
                <w:sz w:val="24"/>
              </w:rPr>
            </w:pPr>
          </w:p>
        </w:tc>
        <w:tc>
          <w:tcPr>
            <w:tcW w:w="1270" w:type="dxa"/>
          </w:tcPr>
          <w:p w14:paraId="0ADFCC51">
            <w:pPr>
              <w:pStyle w:val="14"/>
              <w:spacing w:line="360" w:lineRule="auto"/>
              <w:ind w:left="1080" w:leftChars="257" w:hanging="540"/>
              <w:rPr>
                <w:rFonts w:ascii="仿宋" w:hAnsi="仿宋" w:eastAsia="仿宋" w:cs="仿宋"/>
                <w:sz w:val="24"/>
              </w:rPr>
            </w:pPr>
          </w:p>
        </w:tc>
        <w:tc>
          <w:tcPr>
            <w:tcW w:w="966" w:type="dxa"/>
          </w:tcPr>
          <w:p w14:paraId="52FD0169">
            <w:pPr>
              <w:pStyle w:val="14"/>
              <w:spacing w:line="360" w:lineRule="auto"/>
              <w:ind w:left="1080" w:leftChars="257" w:hanging="540"/>
              <w:rPr>
                <w:rFonts w:ascii="仿宋" w:hAnsi="仿宋" w:eastAsia="仿宋" w:cs="仿宋"/>
                <w:sz w:val="24"/>
              </w:rPr>
            </w:pPr>
          </w:p>
        </w:tc>
      </w:tr>
    </w:tbl>
    <w:p w14:paraId="3AE7D12E">
      <w:pPr>
        <w:pStyle w:val="14"/>
        <w:spacing w:line="360" w:lineRule="auto"/>
        <w:ind w:left="1080" w:leftChars="257" w:hanging="540"/>
        <w:rPr>
          <w:rFonts w:ascii="仿宋" w:hAnsi="仿宋" w:eastAsia="仿宋" w:cs="仿宋"/>
          <w:sz w:val="24"/>
        </w:rPr>
      </w:pPr>
    </w:p>
    <w:p w14:paraId="4085B5BA">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26A07F55">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57D73CCF">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w:t>
      </w:r>
      <w:r>
        <w:rPr>
          <w:rFonts w:hint="eastAsia" w:ascii="仿宋" w:hAnsi="仿宋" w:eastAsia="仿宋" w:cs="仿宋"/>
          <w:sz w:val="24"/>
          <w:lang w:val="en-US" w:eastAsia="zh-CN"/>
        </w:rPr>
        <w:t>投标人认为有必要提供说明或备注</w:t>
      </w:r>
      <w:r>
        <w:rPr>
          <w:rFonts w:hint="eastAsia" w:ascii="仿宋" w:hAnsi="仿宋" w:eastAsia="仿宋" w:cs="仿宋"/>
          <w:sz w:val="24"/>
        </w:rPr>
        <w:t>应在说明栏中注明该条在响应文件中相关部分(或页码)相应的依据;</w:t>
      </w:r>
    </w:p>
    <w:p w14:paraId="39E69515">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63CC170E">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0BB7945D">
      <w:pPr>
        <w:pStyle w:val="14"/>
        <w:spacing w:line="360" w:lineRule="auto"/>
        <w:rPr>
          <w:rFonts w:ascii="仿宋" w:hAnsi="仿宋" w:eastAsia="仿宋" w:cs="仿宋"/>
          <w:sz w:val="24"/>
        </w:rPr>
      </w:pPr>
    </w:p>
    <w:p w14:paraId="523CD7B9">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A5EBC7">
      <w:pPr>
        <w:pStyle w:val="14"/>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30251698">
      <w:pPr>
        <w:pStyle w:val="14"/>
        <w:spacing w:line="360" w:lineRule="auto"/>
        <w:ind w:left="1080" w:leftChars="257" w:hanging="540"/>
        <w:rPr>
          <w:rFonts w:ascii="仿宋" w:hAnsi="仿宋" w:eastAsia="仿宋" w:cs="仿宋"/>
          <w:sz w:val="24"/>
        </w:rPr>
      </w:pPr>
      <w:r>
        <w:rPr>
          <w:rFonts w:hint="eastAsia" w:ascii="仿宋" w:hAnsi="仿宋" w:eastAsia="仿宋" w:cs="仿宋"/>
          <w:sz w:val="24"/>
          <w:u w:val="single"/>
        </w:rPr>
        <w:br w:type="page"/>
      </w:r>
    </w:p>
    <w:p w14:paraId="001CDF19">
      <w:pPr>
        <w:pStyle w:val="4"/>
        <w:numPr>
          <w:ilvl w:val="1"/>
          <w:numId w:val="0"/>
        </w:numPr>
        <w:spacing w:line="360" w:lineRule="auto"/>
        <w:jc w:val="center"/>
        <w:rPr>
          <w:rFonts w:ascii="仿宋" w:hAnsi="仿宋" w:eastAsia="仿宋" w:cs="仿宋"/>
          <w:sz w:val="24"/>
        </w:rPr>
      </w:pPr>
      <w:bookmarkStart w:id="327" w:name="_Toc20532"/>
      <w:bookmarkStart w:id="328" w:name="_Toc8079"/>
      <w:bookmarkStart w:id="329" w:name="_Toc15309"/>
      <w:bookmarkStart w:id="330" w:name="_Toc216582818"/>
      <w:bookmarkStart w:id="331" w:name="_Toc24529"/>
      <w:bookmarkStart w:id="332" w:name="_Toc518923119"/>
      <w:r>
        <w:rPr>
          <w:rFonts w:hint="eastAsia" w:ascii="仿宋" w:hAnsi="仿宋" w:eastAsia="仿宋" w:cs="仿宋"/>
          <w:sz w:val="24"/>
        </w:rPr>
        <w:t>4.商务条款偏离表</w:t>
      </w:r>
      <w:bookmarkEnd w:id="327"/>
      <w:bookmarkEnd w:id="328"/>
      <w:bookmarkEnd w:id="329"/>
      <w:bookmarkEnd w:id="330"/>
      <w:bookmarkEnd w:id="331"/>
      <w:bookmarkEnd w:id="332"/>
    </w:p>
    <w:p w14:paraId="03C57D6A">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6B4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862731C">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2520" w:type="dxa"/>
          </w:tcPr>
          <w:p w14:paraId="7C752F77">
            <w:pPr>
              <w:pStyle w:val="14"/>
              <w:spacing w:line="360" w:lineRule="auto"/>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14:paraId="3AD1ADF9">
            <w:pPr>
              <w:pStyle w:val="14"/>
              <w:spacing w:line="360" w:lineRule="auto"/>
              <w:jc w:val="center"/>
              <w:rPr>
                <w:rFonts w:ascii="仿宋" w:hAnsi="仿宋" w:eastAsia="仿宋" w:cs="仿宋"/>
                <w:sz w:val="24"/>
              </w:rPr>
            </w:pPr>
            <w:r>
              <w:rPr>
                <w:rFonts w:hint="eastAsia" w:ascii="仿宋" w:hAnsi="仿宋" w:eastAsia="仿宋" w:cs="仿宋"/>
                <w:sz w:val="24"/>
              </w:rPr>
              <w:t>投标文件的商务条款</w:t>
            </w:r>
          </w:p>
        </w:tc>
        <w:tc>
          <w:tcPr>
            <w:tcW w:w="1301" w:type="dxa"/>
          </w:tcPr>
          <w:p w14:paraId="2FE3C28E">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642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4019933">
            <w:pPr>
              <w:pStyle w:val="14"/>
              <w:spacing w:line="360" w:lineRule="auto"/>
              <w:ind w:left="1080" w:leftChars="257" w:hanging="540"/>
              <w:rPr>
                <w:rFonts w:ascii="仿宋" w:hAnsi="仿宋" w:eastAsia="仿宋" w:cs="仿宋"/>
                <w:sz w:val="24"/>
              </w:rPr>
            </w:pPr>
          </w:p>
        </w:tc>
        <w:tc>
          <w:tcPr>
            <w:tcW w:w="2520" w:type="dxa"/>
          </w:tcPr>
          <w:p w14:paraId="03BC06FA">
            <w:pPr>
              <w:pStyle w:val="14"/>
              <w:spacing w:line="360" w:lineRule="auto"/>
              <w:ind w:left="1080" w:leftChars="257" w:hanging="540"/>
              <w:jc w:val="center"/>
              <w:rPr>
                <w:rFonts w:ascii="仿宋" w:hAnsi="仿宋" w:eastAsia="仿宋" w:cs="仿宋"/>
                <w:sz w:val="24"/>
              </w:rPr>
            </w:pPr>
          </w:p>
        </w:tc>
        <w:tc>
          <w:tcPr>
            <w:tcW w:w="2520" w:type="dxa"/>
          </w:tcPr>
          <w:p w14:paraId="0A0425B7">
            <w:pPr>
              <w:pStyle w:val="14"/>
              <w:spacing w:line="360" w:lineRule="auto"/>
              <w:ind w:left="1080" w:leftChars="257" w:hanging="540"/>
              <w:jc w:val="center"/>
              <w:rPr>
                <w:rFonts w:ascii="仿宋" w:hAnsi="仿宋" w:eastAsia="仿宋" w:cs="仿宋"/>
                <w:sz w:val="24"/>
              </w:rPr>
            </w:pPr>
          </w:p>
        </w:tc>
        <w:tc>
          <w:tcPr>
            <w:tcW w:w="1301" w:type="dxa"/>
          </w:tcPr>
          <w:p w14:paraId="065FC25E">
            <w:pPr>
              <w:pStyle w:val="14"/>
              <w:spacing w:line="360" w:lineRule="auto"/>
              <w:ind w:left="1080" w:leftChars="257" w:hanging="540"/>
              <w:rPr>
                <w:rFonts w:ascii="仿宋" w:hAnsi="仿宋" w:eastAsia="仿宋" w:cs="仿宋"/>
                <w:sz w:val="24"/>
              </w:rPr>
            </w:pPr>
          </w:p>
        </w:tc>
      </w:tr>
      <w:tr w14:paraId="5CF6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4DC461">
            <w:pPr>
              <w:pStyle w:val="14"/>
              <w:spacing w:line="360" w:lineRule="auto"/>
              <w:ind w:left="1080" w:leftChars="257" w:hanging="540"/>
              <w:rPr>
                <w:rFonts w:ascii="仿宋" w:hAnsi="仿宋" w:eastAsia="仿宋" w:cs="仿宋"/>
                <w:sz w:val="24"/>
              </w:rPr>
            </w:pPr>
          </w:p>
        </w:tc>
        <w:tc>
          <w:tcPr>
            <w:tcW w:w="2520" w:type="dxa"/>
          </w:tcPr>
          <w:p w14:paraId="47322EE5">
            <w:pPr>
              <w:pStyle w:val="14"/>
              <w:spacing w:line="360" w:lineRule="auto"/>
              <w:ind w:left="1080" w:leftChars="257" w:hanging="540"/>
              <w:rPr>
                <w:rFonts w:ascii="仿宋" w:hAnsi="仿宋" w:eastAsia="仿宋" w:cs="仿宋"/>
                <w:sz w:val="24"/>
              </w:rPr>
            </w:pPr>
          </w:p>
        </w:tc>
        <w:tc>
          <w:tcPr>
            <w:tcW w:w="2520" w:type="dxa"/>
          </w:tcPr>
          <w:p w14:paraId="3BE94195">
            <w:pPr>
              <w:pStyle w:val="14"/>
              <w:spacing w:line="360" w:lineRule="auto"/>
              <w:ind w:left="1080" w:leftChars="257" w:hanging="540"/>
              <w:rPr>
                <w:rFonts w:ascii="仿宋" w:hAnsi="仿宋" w:eastAsia="仿宋" w:cs="仿宋"/>
                <w:sz w:val="24"/>
              </w:rPr>
            </w:pPr>
          </w:p>
        </w:tc>
        <w:tc>
          <w:tcPr>
            <w:tcW w:w="1301" w:type="dxa"/>
          </w:tcPr>
          <w:p w14:paraId="6FD35617">
            <w:pPr>
              <w:pStyle w:val="14"/>
              <w:spacing w:line="360" w:lineRule="auto"/>
              <w:ind w:left="1080" w:leftChars="257" w:hanging="540"/>
              <w:rPr>
                <w:rFonts w:ascii="仿宋" w:hAnsi="仿宋" w:eastAsia="仿宋" w:cs="仿宋"/>
                <w:sz w:val="24"/>
              </w:rPr>
            </w:pPr>
          </w:p>
        </w:tc>
      </w:tr>
      <w:tr w14:paraId="090A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DC345E1">
            <w:pPr>
              <w:pStyle w:val="14"/>
              <w:spacing w:line="360" w:lineRule="auto"/>
              <w:ind w:left="1080" w:leftChars="257" w:hanging="540"/>
              <w:rPr>
                <w:rFonts w:ascii="仿宋" w:hAnsi="仿宋" w:eastAsia="仿宋" w:cs="仿宋"/>
                <w:sz w:val="24"/>
              </w:rPr>
            </w:pPr>
          </w:p>
        </w:tc>
        <w:tc>
          <w:tcPr>
            <w:tcW w:w="2520" w:type="dxa"/>
          </w:tcPr>
          <w:p w14:paraId="310FC412">
            <w:pPr>
              <w:pStyle w:val="14"/>
              <w:spacing w:line="360" w:lineRule="auto"/>
              <w:ind w:left="1080" w:leftChars="257" w:hanging="540"/>
              <w:rPr>
                <w:rFonts w:ascii="仿宋" w:hAnsi="仿宋" w:eastAsia="仿宋" w:cs="仿宋"/>
                <w:sz w:val="24"/>
              </w:rPr>
            </w:pPr>
          </w:p>
        </w:tc>
        <w:tc>
          <w:tcPr>
            <w:tcW w:w="2520" w:type="dxa"/>
          </w:tcPr>
          <w:p w14:paraId="19FE14DC">
            <w:pPr>
              <w:pStyle w:val="14"/>
              <w:spacing w:line="360" w:lineRule="auto"/>
              <w:ind w:left="1080" w:leftChars="257" w:hanging="540"/>
              <w:rPr>
                <w:rFonts w:ascii="仿宋" w:hAnsi="仿宋" w:eastAsia="仿宋" w:cs="仿宋"/>
                <w:sz w:val="24"/>
              </w:rPr>
            </w:pPr>
          </w:p>
        </w:tc>
        <w:tc>
          <w:tcPr>
            <w:tcW w:w="1301" w:type="dxa"/>
          </w:tcPr>
          <w:p w14:paraId="4968EC25">
            <w:pPr>
              <w:pStyle w:val="14"/>
              <w:spacing w:line="360" w:lineRule="auto"/>
              <w:ind w:left="1080" w:leftChars="257" w:hanging="540"/>
              <w:rPr>
                <w:rFonts w:ascii="仿宋" w:hAnsi="仿宋" w:eastAsia="仿宋" w:cs="仿宋"/>
                <w:sz w:val="24"/>
              </w:rPr>
            </w:pPr>
          </w:p>
        </w:tc>
      </w:tr>
      <w:tr w14:paraId="460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D517D5C">
            <w:pPr>
              <w:pStyle w:val="14"/>
              <w:spacing w:line="360" w:lineRule="auto"/>
              <w:ind w:left="1080" w:leftChars="257" w:hanging="540"/>
              <w:rPr>
                <w:rFonts w:ascii="仿宋" w:hAnsi="仿宋" w:eastAsia="仿宋" w:cs="仿宋"/>
                <w:sz w:val="24"/>
              </w:rPr>
            </w:pPr>
          </w:p>
        </w:tc>
        <w:tc>
          <w:tcPr>
            <w:tcW w:w="2520" w:type="dxa"/>
          </w:tcPr>
          <w:p w14:paraId="62E695CF">
            <w:pPr>
              <w:pStyle w:val="14"/>
              <w:spacing w:line="360" w:lineRule="auto"/>
              <w:ind w:left="1080" w:leftChars="257" w:hanging="540"/>
              <w:rPr>
                <w:rFonts w:ascii="仿宋" w:hAnsi="仿宋" w:eastAsia="仿宋" w:cs="仿宋"/>
                <w:sz w:val="24"/>
              </w:rPr>
            </w:pPr>
          </w:p>
        </w:tc>
        <w:tc>
          <w:tcPr>
            <w:tcW w:w="2520" w:type="dxa"/>
          </w:tcPr>
          <w:p w14:paraId="177F56F4">
            <w:pPr>
              <w:pStyle w:val="14"/>
              <w:spacing w:line="360" w:lineRule="auto"/>
              <w:ind w:left="1080" w:leftChars="257" w:hanging="540"/>
              <w:rPr>
                <w:rFonts w:ascii="仿宋" w:hAnsi="仿宋" w:eastAsia="仿宋" w:cs="仿宋"/>
                <w:sz w:val="24"/>
              </w:rPr>
            </w:pPr>
          </w:p>
        </w:tc>
        <w:tc>
          <w:tcPr>
            <w:tcW w:w="1301" w:type="dxa"/>
          </w:tcPr>
          <w:p w14:paraId="59D822AD">
            <w:pPr>
              <w:pStyle w:val="14"/>
              <w:spacing w:line="360" w:lineRule="auto"/>
              <w:ind w:left="1080" w:leftChars="257" w:hanging="540"/>
              <w:rPr>
                <w:rFonts w:ascii="仿宋" w:hAnsi="仿宋" w:eastAsia="仿宋" w:cs="仿宋"/>
                <w:sz w:val="24"/>
              </w:rPr>
            </w:pPr>
          </w:p>
        </w:tc>
      </w:tr>
      <w:tr w14:paraId="7F5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AAF992D">
            <w:pPr>
              <w:pStyle w:val="14"/>
              <w:spacing w:line="360" w:lineRule="auto"/>
              <w:ind w:left="1080" w:leftChars="257" w:hanging="540"/>
              <w:rPr>
                <w:rFonts w:ascii="仿宋" w:hAnsi="仿宋" w:eastAsia="仿宋" w:cs="仿宋"/>
                <w:sz w:val="24"/>
              </w:rPr>
            </w:pPr>
          </w:p>
        </w:tc>
        <w:tc>
          <w:tcPr>
            <w:tcW w:w="2520" w:type="dxa"/>
          </w:tcPr>
          <w:p w14:paraId="65524AD0">
            <w:pPr>
              <w:pStyle w:val="14"/>
              <w:spacing w:line="360" w:lineRule="auto"/>
              <w:ind w:left="1080" w:leftChars="257" w:hanging="540"/>
              <w:rPr>
                <w:rFonts w:ascii="仿宋" w:hAnsi="仿宋" w:eastAsia="仿宋" w:cs="仿宋"/>
                <w:sz w:val="24"/>
              </w:rPr>
            </w:pPr>
          </w:p>
        </w:tc>
        <w:tc>
          <w:tcPr>
            <w:tcW w:w="2520" w:type="dxa"/>
          </w:tcPr>
          <w:p w14:paraId="03DDAD91">
            <w:pPr>
              <w:pStyle w:val="14"/>
              <w:spacing w:line="360" w:lineRule="auto"/>
              <w:ind w:left="1080" w:leftChars="257" w:hanging="540"/>
              <w:rPr>
                <w:rFonts w:ascii="仿宋" w:hAnsi="仿宋" w:eastAsia="仿宋" w:cs="仿宋"/>
                <w:sz w:val="24"/>
              </w:rPr>
            </w:pPr>
          </w:p>
        </w:tc>
        <w:tc>
          <w:tcPr>
            <w:tcW w:w="1301" w:type="dxa"/>
          </w:tcPr>
          <w:p w14:paraId="3EC9FA26">
            <w:pPr>
              <w:pStyle w:val="14"/>
              <w:spacing w:line="360" w:lineRule="auto"/>
              <w:ind w:left="1080" w:leftChars="257" w:hanging="540"/>
              <w:rPr>
                <w:rFonts w:ascii="仿宋" w:hAnsi="仿宋" w:eastAsia="仿宋" w:cs="仿宋"/>
                <w:sz w:val="24"/>
              </w:rPr>
            </w:pPr>
          </w:p>
        </w:tc>
      </w:tr>
      <w:tr w14:paraId="634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3E955E5">
            <w:pPr>
              <w:pStyle w:val="14"/>
              <w:spacing w:line="360" w:lineRule="auto"/>
              <w:ind w:left="1080" w:leftChars="257" w:hanging="540"/>
              <w:rPr>
                <w:rFonts w:ascii="仿宋" w:hAnsi="仿宋" w:eastAsia="仿宋" w:cs="仿宋"/>
                <w:sz w:val="24"/>
              </w:rPr>
            </w:pPr>
          </w:p>
        </w:tc>
        <w:tc>
          <w:tcPr>
            <w:tcW w:w="2520" w:type="dxa"/>
          </w:tcPr>
          <w:p w14:paraId="4E36CD6F">
            <w:pPr>
              <w:pStyle w:val="14"/>
              <w:spacing w:line="360" w:lineRule="auto"/>
              <w:ind w:left="1080" w:leftChars="257" w:hanging="540"/>
              <w:rPr>
                <w:rFonts w:ascii="仿宋" w:hAnsi="仿宋" w:eastAsia="仿宋" w:cs="仿宋"/>
                <w:sz w:val="24"/>
              </w:rPr>
            </w:pPr>
          </w:p>
        </w:tc>
        <w:tc>
          <w:tcPr>
            <w:tcW w:w="2520" w:type="dxa"/>
          </w:tcPr>
          <w:p w14:paraId="46A1BD6F">
            <w:pPr>
              <w:pStyle w:val="14"/>
              <w:spacing w:line="360" w:lineRule="auto"/>
              <w:ind w:left="1080" w:leftChars="257" w:hanging="540"/>
              <w:rPr>
                <w:rFonts w:ascii="仿宋" w:hAnsi="仿宋" w:eastAsia="仿宋" w:cs="仿宋"/>
                <w:sz w:val="24"/>
              </w:rPr>
            </w:pPr>
          </w:p>
        </w:tc>
        <w:tc>
          <w:tcPr>
            <w:tcW w:w="1301" w:type="dxa"/>
          </w:tcPr>
          <w:p w14:paraId="64D9508E">
            <w:pPr>
              <w:pStyle w:val="14"/>
              <w:spacing w:line="360" w:lineRule="auto"/>
              <w:ind w:left="1080" w:leftChars="257" w:hanging="540"/>
              <w:rPr>
                <w:rFonts w:ascii="仿宋" w:hAnsi="仿宋" w:eastAsia="仿宋" w:cs="仿宋"/>
                <w:sz w:val="24"/>
              </w:rPr>
            </w:pPr>
          </w:p>
        </w:tc>
      </w:tr>
      <w:tr w14:paraId="506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698BE5">
            <w:pPr>
              <w:pStyle w:val="14"/>
              <w:spacing w:line="360" w:lineRule="auto"/>
              <w:ind w:left="1080" w:leftChars="257" w:hanging="540"/>
              <w:rPr>
                <w:rFonts w:ascii="仿宋" w:hAnsi="仿宋" w:eastAsia="仿宋" w:cs="仿宋"/>
                <w:sz w:val="24"/>
              </w:rPr>
            </w:pPr>
          </w:p>
        </w:tc>
        <w:tc>
          <w:tcPr>
            <w:tcW w:w="2520" w:type="dxa"/>
          </w:tcPr>
          <w:p w14:paraId="011622C7">
            <w:pPr>
              <w:pStyle w:val="14"/>
              <w:spacing w:line="360" w:lineRule="auto"/>
              <w:ind w:left="1080" w:leftChars="257" w:hanging="540"/>
              <w:rPr>
                <w:rFonts w:ascii="仿宋" w:hAnsi="仿宋" w:eastAsia="仿宋" w:cs="仿宋"/>
                <w:sz w:val="24"/>
              </w:rPr>
            </w:pPr>
          </w:p>
        </w:tc>
        <w:tc>
          <w:tcPr>
            <w:tcW w:w="2520" w:type="dxa"/>
          </w:tcPr>
          <w:p w14:paraId="0B5CC983">
            <w:pPr>
              <w:pStyle w:val="14"/>
              <w:spacing w:line="360" w:lineRule="auto"/>
              <w:ind w:left="1080" w:leftChars="257" w:hanging="540"/>
              <w:rPr>
                <w:rFonts w:ascii="仿宋" w:hAnsi="仿宋" w:eastAsia="仿宋" w:cs="仿宋"/>
                <w:sz w:val="24"/>
              </w:rPr>
            </w:pPr>
          </w:p>
        </w:tc>
        <w:tc>
          <w:tcPr>
            <w:tcW w:w="1301" w:type="dxa"/>
          </w:tcPr>
          <w:p w14:paraId="3B722AA1">
            <w:pPr>
              <w:pStyle w:val="14"/>
              <w:spacing w:line="360" w:lineRule="auto"/>
              <w:ind w:left="1080" w:leftChars="257" w:hanging="540"/>
              <w:rPr>
                <w:rFonts w:ascii="仿宋" w:hAnsi="仿宋" w:eastAsia="仿宋" w:cs="仿宋"/>
                <w:sz w:val="24"/>
              </w:rPr>
            </w:pPr>
          </w:p>
        </w:tc>
      </w:tr>
      <w:tr w14:paraId="6EB5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019538C">
            <w:pPr>
              <w:pStyle w:val="14"/>
              <w:spacing w:line="360" w:lineRule="auto"/>
              <w:ind w:left="1080" w:leftChars="257" w:hanging="540"/>
              <w:rPr>
                <w:rFonts w:ascii="仿宋" w:hAnsi="仿宋" w:eastAsia="仿宋" w:cs="仿宋"/>
                <w:sz w:val="24"/>
              </w:rPr>
            </w:pPr>
          </w:p>
        </w:tc>
        <w:tc>
          <w:tcPr>
            <w:tcW w:w="2520" w:type="dxa"/>
          </w:tcPr>
          <w:p w14:paraId="420CFD03">
            <w:pPr>
              <w:pStyle w:val="14"/>
              <w:spacing w:line="360" w:lineRule="auto"/>
              <w:ind w:left="1080" w:leftChars="257" w:hanging="540"/>
              <w:rPr>
                <w:rFonts w:ascii="仿宋" w:hAnsi="仿宋" w:eastAsia="仿宋" w:cs="仿宋"/>
                <w:sz w:val="24"/>
              </w:rPr>
            </w:pPr>
          </w:p>
        </w:tc>
        <w:tc>
          <w:tcPr>
            <w:tcW w:w="2520" w:type="dxa"/>
          </w:tcPr>
          <w:p w14:paraId="27048E53">
            <w:pPr>
              <w:pStyle w:val="14"/>
              <w:spacing w:line="360" w:lineRule="auto"/>
              <w:ind w:left="1080" w:leftChars="257" w:hanging="540"/>
              <w:rPr>
                <w:rFonts w:ascii="仿宋" w:hAnsi="仿宋" w:eastAsia="仿宋" w:cs="仿宋"/>
                <w:sz w:val="24"/>
              </w:rPr>
            </w:pPr>
          </w:p>
        </w:tc>
        <w:tc>
          <w:tcPr>
            <w:tcW w:w="1301" w:type="dxa"/>
          </w:tcPr>
          <w:p w14:paraId="102496CE">
            <w:pPr>
              <w:pStyle w:val="14"/>
              <w:spacing w:line="360" w:lineRule="auto"/>
              <w:ind w:left="1080" w:leftChars="257" w:hanging="540"/>
              <w:rPr>
                <w:rFonts w:ascii="仿宋" w:hAnsi="仿宋" w:eastAsia="仿宋" w:cs="仿宋"/>
                <w:sz w:val="24"/>
              </w:rPr>
            </w:pPr>
          </w:p>
        </w:tc>
      </w:tr>
      <w:tr w14:paraId="6D1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D8ED304">
            <w:pPr>
              <w:pStyle w:val="14"/>
              <w:spacing w:line="360" w:lineRule="auto"/>
              <w:ind w:left="1080" w:leftChars="257" w:hanging="540"/>
              <w:rPr>
                <w:rFonts w:ascii="仿宋" w:hAnsi="仿宋" w:eastAsia="仿宋" w:cs="仿宋"/>
                <w:sz w:val="24"/>
              </w:rPr>
            </w:pPr>
          </w:p>
        </w:tc>
        <w:tc>
          <w:tcPr>
            <w:tcW w:w="2520" w:type="dxa"/>
          </w:tcPr>
          <w:p w14:paraId="20CD50F9">
            <w:pPr>
              <w:pStyle w:val="14"/>
              <w:spacing w:line="360" w:lineRule="auto"/>
              <w:ind w:left="1080" w:leftChars="257" w:hanging="540"/>
              <w:rPr>
                <w:rFonts w:ascii="仿宋" w:hAnsi="仿宋" w:eastAsia="仿宋" w:cs="仿宋"/>
                <w:sz w:val="24"/>
              </w:rPr>
            </w:pPr>
          </w:p>
        </w:tc>
        <w:tc>
          <w:tcPr>
            <w:tcW w:w="2520" w:type="dxa"/>
          </w:tcPr>
          <w:p w14:paraId="595F38AE">
            <w:pPr>
              <w:pStyle w:val="14"/>
              <w:spacing w:line="360" w:lineRule="auto"/>
              <w:ind w:left="1080" w:leftChars="257" w:hanging="540"/>
              <w:rPr>
                <w:rFonts w:ascii="仿宋" w:hAnsi="仿宋" w:eastAsia="仿宋" w:cs="仿宋"/>
                <w:sz w:val="24"/>
              </w:rPr>
            </w:pPr>
          </w:p>
        </w:tc>
        <w:tc>
          <w:tcPr>
            <w:tcW w:w="1301" w:type="dxa"/>
          </w:tcPr>
          <w:p w14:paraId="7AAC9FE9">
            <w:pPr>
              <w:pStyle w:val="14"/>
              <w:spacing w:line="360" w:lineRule="auto"/>
              <w:ind w:left="1080" w:leftChars="257" w:hanging="540"/>
              <w:rPr>
                <w:rFonts w:ascii="仿宋" w:hAnsi="仿宋" w:eastAsia="仿宋" w:cs="仿宋"/>
                <w:sz w:val="24"/>
              </w:rPr>
            </w:pPr>
          </w:p>
        </w:tc>
      </w:tr>
      <w:tr w14:paraId="5A5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70F332A">
            <w:pPr>
              <w:pStyle w:val="14"/>
              <w:spacing w:line="360" w:lineRule="auto"/>
              <w:ind w:left="1080" w:leftChars="257" w:hanging="540"/>
              <w:rPr>
                <w:rFonts w:ascii="仿宋" w:hAnsi="仿宋" w:eastAsia="仿宋" w:cs="仿宋"/>
                <w:sz w:val="24"/>
              </w:rPr>
            </w:pPr>
          </w:p>
        </w:tc>
        <w:tc>
          <w:tcPr>
            <w:tcW w:w="2520" w:type="dxa"/>
          </w:tcPr>
          <w:p w14:paraId="41BA6435">
            <w:pPr>
              <w:pStyle w:val="14"/>
              <w:spacing w:line="360" w:lineRule="auto"/>
              <w:ind w:left="1080" w:leftChars="257" w:hanging="540"/>
              <w:rPr>
                <w:rFonts w:ascii="仿宋" w:hAnsi="仿宋" w:eastAsia="仿宋" w:cs="仿宋"/>
                <w:sz w:val="24"/>
              </w:rPr>
            </w:pPr>
          </w:p>
        </w:tc>
        <w:tc>
          <w:tcPr>
            <w:tcW w:w="2520" w:type="dxa"/>
          </w:tcPr>
          <w:p w14:paraId="00D3FCDA">
            <w:pPr>
              <w:pStyle w:val="14"/>
              <w:spacing w:line="360" w:lineRule="auto"/>
              <w:ind w:left="1080" w:leftChars="257" w:hanging="540"/>
              <w:rPr>
                <w:rFonts w:ascii="仿宋" w:hAnsi="仿宋" w:eastAsia="仿宋" w:cs="仿宋"/>
                <w:sz w:val="24"/>
              </w:rPr>
            </w:pPr>
          </w:p>
        </w:tc>
        <w:tc>
          <w:tcPr>
            <w:tcW w:w="1301" w:type="dxa"/>
          </w:tcPr>
          <w:p w14:paraId="408FD5CF">
            <w:pPr>
              <w:pStyle w:val="14"/>
              <w:spacing w:line="360" w:lineRule="auto"/>
              <w:ind w:left="1080" w:leftChars="257" w:hanging="540"/>
              <w:rPr>
                <w:rFonts w:ascii="仿宋" w:hAnsi="仿宋" w:eastAsia="仿宋" w:cs="仿宋"/>
                <w:sz w:val="24"/>
              </w:rPr>
            </w:pPr>
          </w:p>
        </w:tc>
      </w:tr>
    </w:tbl>
    <w:p w14:paraId="7DFA1279">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38B2899A">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、合同履约期限等内容;</w:t>
      </w:r>
    </w:p>
    <w:p w14:paraId="651E2EF2">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应对照采购文件要求的商务条款内容，说明已对采购文件要求的商务条款作出了响应或偏离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6B905851">
      <w:pPr>
        <w:pStyle w:val="14"/>
        <w:spacing w:line="360" w:lineRule="auto"/>
        <w:ind w:left="1080" w:leftChars="257" w:hanging="540"/>
        <w:rPr>
          <w:rFonts w:hint="eastAsia" w:ascii="仿宋" w:hAnsi="仿宋" w:eastAsia="仿宋" w:cs="仿宋"/>
          <w:sz w:val="24"/>
          <w:lang w:eastAsia="zh-CN"/>
        </w:rPr>
      </w:pPr>
      <w:r>
        <w:rPr>
          <w:rFonts w:hint="eastAsia" w:ascii="仿宋" w:hAnsi="仿宋" w:eastAsia="仿宋" w:cs="仿宋"/>
          <w:sz w:val="24"/>
        </w:rPr>
        <w:t>3、以上响应/偏离内容投标人认为有必要提供说明或备注应在说明栏中注明该条在响应文件中相关部分(或页码)相应的依据</w:t>
      </w:r>
      <w:r>
        <w:rPr>
          <w:rFonts w:hint="eastAsia" w:ascii="仿宋" w:hAnsi="仿宋" w:eastAsia="仿宋" w:cs="仿宋"/>
          <w:sz w:val="24"/>
          <w:lang w:eastAsia="zh-CN"/>
        </w:rPr>
        <w:t>；</w:t>
      </w:r>
    </w:p>
    <w:p w14:paraId="3FF6B2E2">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0C9D526A">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626EC03E">
      <w:pPr>
        <w:pStyle w:val="14"/>
        <w:spacing w:line="360" w:lineRule="auto"/>
        <w:ind w:left="1080" w:leftChars="257" w:hanging="540"/>
        <w:rPr>
          <w:rFonts w:ascii="仿宋" w:hAnsi="仿宋" w:eastAsia="仿宋" w:cs="仿宋"/>
          <w:sz w:val="24"/>
        </w:rPr>
      </w:pPr>
    </w:p>
    <w:p w14:paraId="17495435">
      <w:pPr>
        <w:pStyle w:val="14"/>
        <w:spacing w:line="360" w:lineRule="auto"/>
        <w:ind w:left="1080" w:leftChars="257" w:hanging="540"/>
        <w:rPr>
          <w:rFonts w:ascii="仿宋" w:hAnsi="仿宋" w:eastAsia="仿宋" w:cs="仿宋"/>
          <w:sz w:val="24"/>
        </w:rPr>
      </w:pPr>
    </w:p>
    <w:p w14:paraId="6B629C42">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572CB91E">
      <w:pPr>
        <w:pStyle w:val="14"/>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2C1A5B81">
      <w:pPr>
        <w:pStyle w:val="44"/>
        <w:tabs>
          <w:tab w:val="left" w:pos="5370"/>
        </w:tabs>
        <w:spacing w:line="360" w:lineRule="auto"/>
        <w:ind w:left="1080" w:leftChars="257" w:hanging="540"/>
        <w:rPr>
          <w:rFonts w:ascii="Times New Roman" w:hAnsi="Times New Roman" w:eastAsia="仿宋"/>
          <w:sz w:val="24"/>
        </w:rPr>
      </w:pPr>
      <w:r>
        <w:rPr>
          <w:rFonts w:hint="eastAsia" w:ascii="仿宋" w:hAnsi="仿宋" w:eastAsia="仿宋" w:cs="仿宋"/>
          <w:sz w:val="24"/>
          <w:u w:val="single"/>
        </w:rPr>
        <w:br w:type="page"/>
      </w:r>
    </w:p>
    <w:p w14:paraId="1672F0AA">
      <w:pPr>
        <w:pStyle w:val="34"/>
        <w:spacing w:before="0" w:line="360" w:lineRule="auto"/>
        <w:ind w:firstLine="723" w:firstLineChars="300"/>
        <w:jc w:val="both"/>
        <w:rPr>
          <w:rFonts w:hint="eastAsia" w:ascii="仿宋" w:hAnsi="仿宋" w:eastAsia="仿宋"/>
          <w:bCs/>
          <w:sz w:val="24"/>
        </w:rPr>
      </w:pPr>
      <w:bookmarkStart w:id="333" w:name="_Toc17685"/>
      <w:bookmarkEnd w:id="333"/>
      <w:bookmarkStart w:id="334" w:name="_Toc518923120"/>
      <w:bookmarkEnd w:id="334"/>
      <w:bookmarkStart w:id="335" w:name="_Toc480"/>
      <w:bookmarkEnd w:id="335"/>
      <w:bookmarkStart w:id="336" w:name="_Toc23731"/>
      <w:bookmarkEnd w:id="336"/>
      <w:bookmarkStart w:id="337" w:name="_Toc12180"/>
      <w:bookmarkEnd w:id="337"/>
      <w:bookmarkStart w:id="338" w:name="_Toc29458"/>
      <w:bookmarkEnd w:id="338"/>
      <w:r>
        <w:rPr>
          <w:rFonts w:hint="eastAsia" w:eastAsia="仿宋"/>
          <w:sz w:val="24"/>
        </w:rPr>
        <w:t xml:space="preserve">5-1 </w:t>
      </w:r>
      <w:r>
        <w:rPr>
          <w:rFonts w:hint="eastAsia" w:ascii="仿宋" w:hAnsi="仿宋" w:eastAsia="仿宋"/>
          <w:bCs/>
          <w:sz w:val="24"/>
        </w:rPr>
        <w:t>中小企业声明函</w:t>
      </w:r>
    </w:p>
    <w:p w14:paraId="1DD04EB6">
      <w:pPr>
        <w:pStyle w:val="34"/>
        <w:spacing w:before="0" w:line="360" w:lineRule="auto"/>
        <w:ind w:firstLine="723" w:firstLineChars="300"/>
        <w:jc w:val="center"/>
        <w:rPr>
          <w:rFonts w:hint="eastAsia" w:ascii="仿宋" w:hAnsi="仿宋" w:eastAsia="仿宋"/>
          <w:b/>
          <w:bCs/>
          <w:kern w:val="0"/>
          <w:sz w:val="24"/>
        </w:rPr>
      </w:pPr>
      <w:r>
        <w:rPr>
          <w:rFonts w:hint="eastAsia" w:ascii="仿宋" w:hAnsi="仿宋" w:eastAsia="仿宋"/>
          <w:b/>
          <w:bCs/>
          <w:kern w:val="0"/>
          <w:sz w:val="24"/>
        </w:rPr>
        <w:t>中小企业声明函（货物）</w:t>
      </w:r>
    </w:p>
    <w:p w14:paraId="48F3BE2C">
      <w:pPr>
        <w:widowControl/>
        <w:spacing w:before="100" w:beforeAutospacing="1" w:after="100" w:afterAutospacing="1" w:line="330" w:lineRule="atLeast"/>
        <w:ind w:firstLine="720" w:firstLineChars="300"/>
        <w:jc w:val="left"/>
        <w:rPr>
          <w:rFonts w:hint="eastAsia" w:ascii="仿宋" w:hAnsi="仿宋" w:eastAsia="仿宋"/>
          <w:kern w:val="0"/>
          <w:sz w:val="24"/>
        </w:rPr>
      </w:pPr>
      <w:r>
        <w:rPr>
          <w:rFonts w:hint="eastAsia" w:ascii="仿宋" w:hAnsi="仿宋" w:eastAsia="仿宋"/>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169B7474">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1.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571C631A">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2.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357F6BB8">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w:t>
      </w:r>
    </w:p>
    <w:p w14:paraId="6BF629FB">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 xml:space="preserve">以上企业，不属于大企业的分支机构，不存在控股股东为大企业的情形，也不存在与大企业的负责人为同一人的情形。 </w:t>
      </w:r>
    </w:p>
    <w:p w14:paraId="71DE3C3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w:t>
      </w:r>
    </w:p>
    <w:p w14:paraId="0C04654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以上企业，不属于大企业的分支机构，不存在控股股东为大企业的情形，也不存在与大企业的负责人为同一人的情形。</w:t>
      </w:r>
    </w:p>
    <w:p w14:paraId="7B5172B0">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 xml:space="preserve">本企业对上述声明内容的真实性负责。如有虚假，将依法承担相应责任。 </w:t>
      </w:r>
    </w:p>
    <w:p w14:paraId="1FA24E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 xml:space="preserve">企业名称（盖章）： </w:t>
      </w:r>
    </w:p>
    <w:p w14:paraId="6A8B0F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日 期</w:t>
      </w:r>
    </w:p>
    <w:p w14:paraId="6AB72DD6">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备注：</w:t>
      </w:r>
    </w:p>
    <w:p w14:paraId="6AF39CB8">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04743058">
      <w:pPr>
        <w:widowControl/>
        <w:spacing w:line="330" w:lineRule="atLeast"/>
        <w:ind w:firstLine="482" w:firstLineChars="200"/>
        <w:jc w:val="left"/>
        <w:rPr>
          <w:rFonts w:hint="eastAsia" w:ascii="仿宋" w:hAnsi="仿宋" w:eastAsia="仿宋"/>
          <w:b/>
          <w:bCs/>
          <w:kern w:val="0"/>
          <w:sz w:val="24"/>
        </w:rPr>
      </w:pPr>
      <w:r>
        <w:rPr>
          <w:rFonts w:hint="eastAsia" w:ascii="仿宋" w:hAnsi="仿宋" w:eastAsia="仿宋"/>
          <w:b/>
          <w:bCs/>
          <w:kern w:val="0"/>
          <w:sz w:val="24"/>
        </w:rPr>
        <w:t>2、中小企业声明函（货物）中“标的名称”是指货物的具体名称，例如一个项目内有多项货物，分别由不同制造商生产，应分项填写货物名称及制造商信息。</w:t>
      </w:r>
    </w:p>
    <w:p w14:paraId="5BC02A46">
      <w:pPr>
        <w:widowControl/>
        <w:spacing w:line="330" w:lineRule="atLeast"/>
        <w:ind w:firstLine="482" w:firstLineChars="200"/>
        <w:jc w:val="left"/>
        <w:rPr>
          <w:rFonts w:ascii="仿宋" w:hAnsi="仿宋" w:eastAsia="仿宋"/>
          <w:b/>
          <w:bCs/>
          <w:color w:val="000000"/>
          <w:kern w:val="0"/>
          <w:sz w:val="24"/>
        </w:rPr>
      </w:pPr>
      <w:r>
        <w:rPr>
          <w:rFonts w:hint="eastAsia" w:ascii="仿宋" w:hAnsi="仿宋" w:eastAsia="仿宋"/>
          <w:b/>
          <w:bCs/>
          <w:kern w:val="0"/>
          <w:sz w:val="24"/>
          <w:lang w:val="en-US" w:eastAsia="zh-CN"/>
        </w:rPr>
        <w:t>3、所属行业：工业</w:t>
      </w:r>
      <w:r>
        <w:rPr>
          <w:rFonts w:ascii="仿宋" w:hAnsi="仿宋" w:eastAsia="仿宋"/>
          <w:b/>
          <w:bCs/>
          <w:color w:val="000000"/>
          <w:kern w:val="0"/>
          <w:sz w:val="24"/>
        </w:rPr>
        <w:br w:type="page"/>
      </w:r>
    </w:p>
    <w:p w14:paraId="0B4B7E44">
      <w:pPr>
        <w:widowControl/>
        <w:spacing w:before="100" w:beforeAutospacing="1" w:after="100" w:afterAutospacing="1" w:line="360" w:lineRule="auto"/>
        <w:jc w:val="left"/>
        <w:rPr>
          <w:rFonts w:ascii="仿宋" w:hAnsi="仿宋" w:eastAsia="仿宋" w:cs="仿宋"/>
          <w:b/>
          <w:sz w:val="24"/>
        </w:rPr>
      </w:pPr>
      <w:r>
        <w:rPr>
          <w:rFonts w:hint="eastAsia" w:ascii="仿宋" w:hAnsi="仿宋" w:eastAsia="仿宋" w:cs="仿宋"/>
          <w:b/>
          <w:kern w:val="0"/>
          <w:sz w:val="24"/>
        </w:rPr>
        <w:t>5-2.</w:t>
      </w:r>
      <w:r>
        <w:rPr>
          <w:rFonts w:hint="eastAsia" w:ascii="仿宋" w:hAnsi="仿宋" w:eastAsia="仿宋" w:cs="仿宋"/>
          <w:b/>
          <w:bCs/>
          <w:kern w:val="0"/>
          <w:sz w:val="24"/>
        </w:rPr>
        <w:t>残疾人福利性单位声明函（若无，可不填）</w:t>
      </w:r>
    </w:p>
    <w:p w14:paraId="6BFEFECB">
      <w:pPr>
        <w:snapToGrid w:val="0"/>
        <w:spacing w:line="400" w:lineRule="exact"/>
        <w:ind w:firstLine="567"/>
        <w:textAlignment w:val="baseline"/>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380447D3">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8995814">
      <w:pPr>
        <w:snapToGrid w:val="0"/>
        <w:spacing w:line="400" w:lineRule="exact"/>
        <w:textAlignment w:val="baseline"/>
        <w:rPr>
          <w:rFonts w:ascii="仿宋" w:hAnsi="仿宋" w:eastAsia="仿宋" w:cs="仿宋"/>
          <w:kern w:val="0"/>
          <w:sz w:val="24"/>
        </w:rPr>
      </w:pPr>
    </w:p>
    <w:p w14:paraId="18001F97">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w:t>
      </w:r>
    </w:p>
    <w:p w14:paraId="70750DA9">
      <w:pPr>
        <w:snapToGrid w:val="0"/>
        <w:spacing w:line="400" w:lineRule="exact"/>
        <w:ind w:left="1080" w:leftChars="257" w:hanging="540"/>
        <w:jc w:val="center"/>
        <w:textAlignment w:val="baseline"/>
        <w:rPr>
          <w:rFonts w:ascii="仿宋" w:hAnsi="仿宋" w:eastAsia="仿宋" w:cs="仿宋"/>
          <w:kern w:val="0"/>
          <w:sz w:val="24"/>
        </w:rPr>
      </w:pPr>
    </w:p>
    <w:p w14:paraId="4A5D63B6">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4C622A05">
      <w:pPr>
        <w:pStyle w:val="6"/>
        <w:spacing w:line="400" w:lineRule="exact"/>
        <w:ind w:firstLine="1920" w:firstLineChars="800"/>
        <w:rPr>
          <w:rFonts w:ascii="仿宋" w:hAnsi="仿宋" w:eastAsia="仿宋" w:cs="仿宋"/>
          <w:szCs w:val="24"/>
        </w:rPr>
      </w:pPr>
      <w:r>
        <w:rPr>
          <w:rFonts w:hint="eastAsia" w:ascii="仿宋" w:hAnsi="仿宋" w:eastAsia="仿宋" w:cs="仿宋"/>
          <w:szCs w:val="24"/>
        </w:rPr>
        <w:t>日  期：_____________________</w:t>
      </w:r>
    </w:p>
    <w:p w14:paraId="20E4A74A">
      <w:pPr>
        <w:widowControl/>
        <w:spacing w:before="100" w:beforeAutospacing="1" w:after="100" w:afterAutospacing="1" w:line="400" w:lineRule="exact"/>
        <w:rPr>
          <w:rFonts w:ascii="仿宋" w:hAnsi="仿宋" w:eastAsia="仿宋" w:cs="仿宋"/>
          <w:b/>
          <w:kern w:val="0"/>
          <w:sz w:val="24"/>
        </w:rPr>
      </w:pPr>
    </w:p>
    <w:p w14:paraId="3D649D4D">
      <w:pPr>
        <w:widowControl/>
        <w:spacing w:before="100" w:beforeAutospacing="1" w:after="100" w:afterAutospacing="1" w:line="400" w:lineRule="exact"/>
        <w:rPr>
          <w:rFonts w:ascii="仿宋" w:hAnsi="仿宋" w:eastAsia="仿宋" w:cs="仿宋"/>
          <w:b/>
          <w:kern w:val="0"/>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A90ED9E">
      <w:pPr>
        <w:widowControl/>
        <w:spacing w:before="100" w:beforeAutospacing="1" w:after="100" w:afterAutospacing="1" w:line="400" w:lineRule="exact"/>
        <w:rPr>
          <w:rFonts w:ascii="仿宋" w:hAnsi="仿宋" w:eastAsia="仿宋" w:cs="仿宋"/>
          <w:b/>
          <w:kern w:val="0"/>
          <w:sz w:val="24"/>
        </w:rPr>
      </w:pPr>
      <w:r>
        <w:rPr>
          <w:rFonts w:hint="eastAsia" w:ascii="仿宋" w:hAnsi="仿宋" w:eastAsia="仿宋" w:cs="仿宋"/>
          <w:b/>
          <w:kern w:val="0"/>
          <w:sz w:val="24"/>
        </w:rPr>
        <w:t>5-3.《监狱企业声明函》</w:t>
      </w:r>
      <w:r>
        <w:rPr>
          <w:rFonts w:hint="eastAsia" w:ascii="仿宋" w:hAnsi="仿宋" w:eastAsia="仿宋" w:cs="仿宋"/>
          <w:b/>
          <w:bCs/>
          <w:kern w:val="0"/>
          <w:sz w:val="24"/>
        </w:rPr>
        <w:t>（若无，可不填）</w:t>
      </w:r>
    </w:p>
    <w:p w14:paraId="2D421B3E">
      <w:pPr>
        <w:spacing w:line="400" w:lineRule="exact"/>
        <w:ind w:left="1080" w:leftChars="257" w:hanging="540"/>
        <w:jc w:val="center"/>
        <w:rPr>
          <w:rFonts w:ascii="仿宋" w:hAnsi="仿宋" w:eastAsia="仿宋" w:cs="仿宋"/>
          <w:b/>
          <w:kern w:val="0"/>
          <w:sz w:val="24"/>
        </w:rPr>
      </w:pPr>
    </w:p>
    <w:p w14:paraId="1624FF48">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0E667B49">
      <w:pPr>
        <w:snapToGrid w:val="0"/>
        <w:spacing w:line="400" w:lineRule="exact"/>
        <w:ind w:firstLine="480" w:firstLineChars="200"/>
        <w:textAlignment w:val="baseline"/>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06B13ACD">
      <w:pPr>
        <w:spacing w:after="60" w:afterLines="25"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20C44EA4">
      <w:pPr>
        <w:spacing w:after="60" w:afterLines="25" w:line="400" w:lineRule="exact"/>
        <w:ind w:firstLine="480" w:firstLineChars="200"/>
        <w:rPr>
          <w:rFonts w:ascii="仿宋" w:hAnsi="仿宋" w:eastAsia="仿宋" w:cs="仿宋"/>
          <w:kern w:val="0"/>
          <w:sz w:val="24"/>
        </w:rPr>
      </w:pPr>
      <w:r>
        <w:rPr>
          <w:rFonts w:hint="eastAsia" w:ascii="仿宋" w:hAnsi="仿宋" w:eastAsia="仿宋" w:cs="仿宋"/>
          <w:sz w:val="24"/>
        </w:rPr>
        <w:t xml:space="preserve">…… </w:t>
      </w:r>
    </w:p>
    <w:p w14:paraId="4E2E42BB">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5CD16A94">
      <w:pPr>
        <w:snapToGrid w:val="0"/>
        <w:spacing w:line="400" w:lineRule="exact"/>
        <w:textAlignment w:val="baseline"/>
        <w:rPr>
          <w:rFonts w:ascii="仿宋" w:hAnsi="仿宋" w:eastAsia="仿宋" w:cs="仿宋"/>
          <w:kern w:val="0"/>
          <w:sz w:val="24"/>
        </w:rPr>
      </w:pPr>
    </w:p>
    <w:p w14:paraId="2E36D0B9">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1E0509DB">
      <w:pPr>
        <w:snapToGrid w:val="0"/>
        <w:spacing w:line="400" w:lineRule="exact"/>
        <w:ind w:left="1080" w:leftChars="257" w:hanging="540"/>
        <w:textAlignment w:val="baseline"/>
        <w:rPr>
          <w:rFonts w:ascii="仿宋" w:hAnsi="仿宋" w:eastAsia="仿宋" w:cs="仿宋"/>
          <w:kern w:val="0"/>
          <w:sz w:val="24"/>
        </w:rPr>
      </w:pPr>
    </w:p>
    <w:p w14:paraId="15496587">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投标人（单位盖章）：________</w:t>
      </w:r>
    </w:p>
    <w:p w14:paraId="03DA931D">
      <w:pPr>
        <w:snapToGrid w:val="0"/>
        <w:spacing w:line="400" w:lineRule="exact"/>
        <w:ind w:left="1080" w:leftChars="257" w:hanging="540"/>
        <w:textAlignment w:val="baseline"/>
        <w:rPr>
          <w:rFonts w:ascii="仿宋" w:hAnsi="仿宋" w:eastAsia="仿宋" w:cs="仿宋"/>
          <w:kern w:val="0"/>
          <w:sz w:val="24"/>
          <w:u w:val="single"/>
        </w:rPr>
      </w:pPr>
      <w:r>
        <w:rPr>
          <w:rFonts w:hint="eastAsia" w:ascii="仿宋" w:hAnsi="仿宋" w:eastAsia="仿宋" w:cs="仿宋"/>
          <w:kern w:val="0"/>
          <w:sz w:val="24"/>
        </w:rPr>
        <w:t>日  期：_______</w:t>
      </w:r>
    </w:p>
    <w:p w14:paraId="67A1B77D">
      <w:pPr>
        <w:pStyle w:val="6"/>
        <w:spacing w:line="400" w:lineRule="exact"/>
        <w:rPr>
          <w:rFonts w:hAnsi="宋体" w:cs="宋体"/>
          <w:szCs w:val="24"/>
        </w:rPr>
      </w:pPr>
    </w:p>
    <w:p w14:paraId="457735D4">
      <w:pPr>
        <w:rPr>
          <w:rFonts w:eastAsia="仿宋"/>
          <w:b/>
          <w:bCs/>
        </w:rPr>
      </w:pPr>
      <w:r>
        <w:rPr>
          <w:rFonts w:hint="eastAsia" w:eastAsia="仿宋"/>
          <w:b/>
          <w:bCs/>
        </w:rPr>
        <w:br w:type="page"/>
      </w:r>
    </w:p>
    <w:p w14:paraId="2D677344">
      <w:pPr>
        <w:pStyle w:val="59"/>
        <w:rPr>
          <w:rFonts w:eastAsia="仿宋"/>
        </w:rPr>
      </w:pPr>
    </w:p>
    <w:p w14:paraId="5C94F527">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6   供应商关联单位的说明</w:t>
      </w:r>
    </w:p>
    <w:p w14:paraId="3809999E">
      <w:pPr>
        <w:pStyle w:val="44"/>
        <w:spacing w:line="360" w:lineRule="auto"/>
        <w:ind w:left="1080" w:leftChars="257" w:hanging="540"/>
        <w:rPr>
          <w:rFonts w:ascii="Times New Roman" w:hAnsi="Times New Roman" w:eastAsia="仿宋"/>
          <w:b/>
          <w:bCs/>
          <w:kern w:val="0"/>
          <w:sz w:val="24"/>
        </w:rPr>
      </w:pPr>
    </w:p>
    <w:p w14:paraId="0B66333C">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说明：供应商应当如实披露与本单位存在下列关联关系的单位名称：</w:t>
      </w:r>
    </w:p>
    <w:p w14:paraId="0EC0B102">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（1）与供应商单位负责人为同一人的其他单位；</w:t>
      </w:r>
    </w:p>
    <w:p w14:paraId="5C5DB1E0">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（2）与供应商存在直接控股、管理关系的其他单位。</w:t>
      </w:r>
    </w:p>
    <w:p w14:paraId="14525648">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br w:type="page"/>
      </w:r>
    </w:p>
    <w:p w14:paraId="129B33D4">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14:paraId="7856B0BA">
      <w:pPr>
        <w:pStyle w:val="44"/>
        <w:spacing w:line="360" w:lineRule="auto"/>
        <w:ind w:left="1080" w:leftChars="257" w:hanging="540"/>
        <w:rPr>
          <w:rFonts w:ascii="Times New Roman" w:hAnsi="Times New Roman" w:eastAsia="仿宋"/>
          <w:kern w:val="0"/>
          <w:sz w:val="24"/>
        </w:rPr>
      </w:pPr>
      <w:r>
        <w:rPr>
          <w:rFonts w:hint="eastAsia" w:ascii="Times New Roman" w:hAnsi="Times New Roman" w:eastAsia="仿宋"/>
          <w:kern w:val="0"/>
          <w:sz w:val="24"/>
        </w:rPr>
        <w:t>注：参照“第六章评分方法和标准”，提供有力于供应商的其他证明文件或供货及实施方案、服务方案</w:t>
      </w:r>
    </w:p>
    <w:p w14:paraId="6FBB1597">
      <w:pPr>
        <w:pStyle w:val="44"/>
        <w:spacing w:line="360" w:lineRule="auto"/>
        <w:ind w:left="1080" w:leftChars="257" w:hanging="540"/>
        <w:jc w:val="left"/>
        <w:rPr>
          <w:rFonts w:ascii="Times New Roman" w:hAnsi="Times New Roman" w:eastAsia="仿宋"/>
          <w:b/>
          <w:bCs/>
          <w:kern w:val="0"/>
          <w:sz w:val="24"/>
        </w:rPr>
      </w:pPr>
      <w:r>
        <w:rPr>
          <w:rFonts w:hint="eastAsia" w:ascii="Times New Roman" w:hAnsi="Times New Roman" w:eastAsia="仿宋"/>
          <w:b/>
          <w:bCs/>
          <w:kern w:val="0"/>
          <w:sz w:val="24"/>
        </w:rPr>
        <w:br w:type="page"/>
      </w:r>
    </w:p>
    <w:p w14:paraId="1B9CFE1E">
      <w:pPr>
        <w:spacing w:line="360" w:lineRule="auto"/>
        <w:ind w:left="1080" w:leftChars="257" w:hanging="540"/>
        <w:jc w:val="left"/>
        <w:rPr>
          <w:rFonts w:eastAsia="仿宋"/>
          <w:b/>
          <w:bCs/>
          <w:kern w:val="0"/>
          <w:sz w:val="24"/>
          <w:szCs w:val="20"/>
        </w:rPr>
      </w:pPr>
      <w:r>
        <w:rPr>
          <w:rFonts w:hint="eastAsia" w:eastAsia="仿宋"/>
          <w:b/>
          <w:bCs/>
          <w:kern w:val="0"/>
          <w:sz w:val="24"/>
          <w:szCs w:val="20"/>
        </w:rPr>
        <w:t>8 对本项目响应文件（响应文件）中资料真实性的承诺</w:t>
      </w:r>
    </w:p>
    <w:p w14:paraId="19AC5F34">
      <w:pPr>
        <w:spacing w:line="360" w:lineRule="auto"/>
        <w:ind w:left="1080" w:leftChars="257" w:hanging="540"/>
        <w:jc w:val="left"/>
        <w:rPr>
          <w:rFonts w:eastAsia="仿宋"/>
          <w:b/>
          <w:bCs/>
          <w:kern w:val="0"/>
          <w:sz w:val="24"/>
          <w:szCs w:val="20"/>
        </w:rPr>
      </w:pPr>
    </w:p>
    <w:p w14:paraId="1964A6A0">
      <w:pPr>
        <w:spacing w:line="360" w:lineRule="auto"/>
        <w:jc w:val="left"/>
        <w:rPr>
          <w:rFonts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058DAB6F">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71370F8C">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6D1D1F2C">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68376498">
      <w:pPr>
        <w:spacing w:line="360" w:lineRule="auto"/>
        <w:ind w:firstLine="480" w:firstLineChars="200"/>
        <w:rPr>
          <w:rFonts w:eastAsia="仿宋"/>
          <w:kern w:val="0"/>
          <w:sz w:val="24"/>
          <w:szCs w:val="20"/>
        </w:rPr>
      </w:pPr>
      <w:r>
        <w:rPr>
          <w:rFonts w:hint="eastAsia" w:eastAsia="仿宋"/>
          <w:kern w:val="0"/>
          <w:sz w:val="24"/>
          <w:szCs w:val="20"/>
        </w:rPr>
        <w:t>特此承诺</w:t>
      </w:r>
    </w:p>
    <w:p w14:paraId="34987621">
      <w:pPr>
        <w:spacing w:line="360" w:lineRule="auto"/>
        <w:ind w:left="1080" w:leftChars="257" w:hanging="540"/>
        <w:jc w:val="center"/>
        <w:rPr>
          <w:rFonts w:eastAsia="仿宋"/>
          <w:b/>
          <w:bCs/>
          <w:kern w:val="0"/>
          <w:sz w:val="24"/>
          <w:szCs w:val="20"/>
        </w:rPr>
      </w:pPr>
    </w:p>
    <w:p w14:paraId="2369C6F6">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p>
    <w:p w14:paraId="55FEC303">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1D607C25">
      <w:pPr>
        <w:widowControl/>
        <w:spacing w:line="560" w:lineRule="exact"/>
        <w:ind w:firstLine="480" w:firstLineChars="200"/>
        <w:jc w:val="center"/>
        <w:rPr>
          <w:rFonts w:eastAsia="仿宋"/>
          <w:kern w:val="0"/>
          <w:sz w:val="24"/>
        </w:rPr>
      </w:pPr>
      <w:r>
        <w:rPr>
          <w:rFonts w:hint="eastAsia" w:eastAsia="仿宋"/>
          <w:kern w:val="0"/>
          <w:sz w:val="24"/>
        </w:rPr>
        <w:t xml:space="preserve">           日期：年 月 日</w:t>
      </w:r>
    </w:p>
    <w:p w14:paraId="5DB746BD">
      <w:pPr>
        <w:spacing w:line="360" w:lineRule="auto"/>
        <w:ind w:left="1080" w:leftChars="257" w:hanging="540"/>
        <w:jc w:val="center"/>
        <w:rPr>
          <w:rFonts w:eastAsia="仿宋"/>
          <w:b/>
          <w:bCs/>
          <w:kern w:val="0"/>
          <w:sz w:val="24"/>
          <w:szCs w:val="20"/>
        </w:rPr>
      </w:pPr>
    </w:p>
    <w:p w14:paraId="58712E9A">
      <w:pPr>
        <w:spacing w:line="360" w:lineRule="auto"/>
        <w:ind w:left="1080" w:leftChars="257" w:hanging="540"/>
        <w:jc w:val="center"/>
        <w:rPr>
          <w:rFonts w:eastAsia="仿宋"/>
          <w:b/>
          <w:bCs/>
          <w:kern w:val="0"/>
          <w:sz w:val="24"/>
          <w:szCs w:val="20"/>
        </w:rPr>
      </w:pPr>
    </w:p>
    <w:p w14:paraId="7705EEE2">
      <w:pPr>
        <w:spacing w:line="360" w:lineRule="auto"/>
        <w:ind w:left="1080" w:leftChars="257" w:hanging="540"/>
        <w:jc w:val="center"/>
        <w:rPr>
          <w:rFonts w:eastAsia="仿宋"/>
          <w:sz w:val="24"/>
        </w:rPr>
      </w:pPr>
      <w:r>
        <w:rPr>
          <w:rFonts w:eastAsia="仿宋"/>
          <w:sz w:val="24"/>
        </w:rPr>
        <w:br w:type="page"/>
      </w:r>
    </w:p>
    <w:p w14:paraId="5ABA4E06">
      <w:pPr>
        <w:spacing w:line="360" w:lineRule="auto"/>
        <w:jc w:val="center"/>
        <w:rPr>
          <w:rFonts w:eastAsia="仿宋"/>
          <w:b/>
          <w:sz w:val="44"/>
          <w:szCs w:val="44"/>
        </w:rPr>
      </w:pPr>
    </w:p>
    <w:p w14:paraId="043CAC04">
      <w:pPr>
        <w:pStyle w:val="40"/>
        <w:tabs>
          <w:tab w:val="clear" w:pos="567"/>
        </w:tabs>
        <w:rPr>
          <w:rFonts w:ascii="Times New Roman" w:hAnsi="Times New Roman" w:eastAsia="仿宋"/>
          <w:b/>
          <w:sz w:val="52"/>
          <w:szCs w:val="52"/>
        </w:rPr>
      </w:pPr>
    </w:p>
    <w:p w14:paraId="30DEAE19">
      <w:pPr>
        <w:widowControl/>
        <w:spacing w:line="360" w:lineRule="auto"/>
        <w:jc w:val="center"/>
        <w:rPr>
          <w:rFonts w:hint="eastAsia" w:ascii="方正小标宋简体" w:hAnsi="方正小标宋简体" w:eastAsia="方正小标宋简体"/>
          <w:b/>
          <w:sz w:val="52"/>
          <w:szCs w:val="52"/>
          <w:lang w:val="en-US" w:eastAsia="zh-CN"/>
        </w:rPr>
      </w:pPr>
    </w:p>
    <w:p w14:paraId="33ACF654">
      <w:pPr>
        <w:widowControl/>
        <w:spacing w:line="360" w:lineRule="auto"/>
        <w:jc w:val="center"/>
        <w:rPr>
          <w:rFonts w:hint="eastAsia" w:ascii="方正小标宋简体" w:hAnsi="方正小标宋简体" w:eastAsia="方正小标宋简体"/>
          <w:b/>
          <w:sz w:val="52"/>
          <w:szCs w:val="52"/>
          <w:lang w:val="en-US" w:eastAsia="zh-CN"/>
        </w:rPr>
      </w:pPr>
    </w:p>
    <w:p w14:paraId="2428E906">
      <w:pPr>
        <w:widowControl/>
        <w:spacing w:line="360" w:lineRule="auto"/>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val="en-US" w:eastAsia="zh-CN"/>
        </w:rPr>
        <w:t>喀什职业技术学院文艺实训基地设备采购项目</w:t>
      </w:r>
    </w:p>
    <w:p w14:paraId="5491ED3A">
      <w:pPr>
        <w:widowControl/>
        <w:spacing w:line="360" w:lineRule="auto"/>
        <w:jc w:val="left"/>
        <w:rPr>
          <w:rFonts w:eastAsia="仿宋"/>
        </w:rPr>
      </w:pPr>
    </w:p>
    <w:p w14:paraId="2F7C917B">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25715DF3">
      <w:pPr>
        <w:spacing w:line="360" w:lineRule="auto"/>
        <w:ind w:left="1080" w:leftChars="257" w:hanging="540"/>
        <w:jc w:val="center"/>
        <w:rPr>
          <w:rFonts w:eastAsia="仿宋"/>
          <w:bCs/>
          <w:sz w:val="52"/>
          <w:szCs w:val="52"/>
        </w:rPr>
      </w:pPr>
    </w:p>
    <w:p w14:paraId="10359797">
      <w:pPr>
        <w:spacing w:line="360" w:lineRule="auto"/>
        <w:ind w:left="1080" w:leftChars="257" w:hanging="540"/>
        <w:jc w:val="center"/>
        <w:rPr>
          <w:rFonts w:eastAsia="仿宋"/>
          <w:bCs/>
          <w:sz w:val="32"/>
          <w:szCs w:val="32"/>
        </w:rPr>
      </w:pPr>
      <w:r>
        <w:rPr>
          <w:rFonts w:eastAsia="仿宋"/>
          <w:bCs/>
          <w:sz w:val="32"/>
          <w:szCs w:val="32"/>
        </w:rPr>
        <w:t>（项目编号：</w:t>
      </w:r>
      <w:r>
        <w:rPr>
          <w:rFonts w:hint="eastAsia" w:ascii="Times New Roman" w:hAnsi="Times New Roman" w:eastAsia="仿宋" w:cs="Times New Roman"/>
          <w:bCs/>
          <w:sz w:val="32"/>
          <w:szCs w:val="32"/>
        </w:rPr>
        <w:t>KSDQZFCG（GK）</w:t>
      </w:r>
      <w:r>
        <w:rPr>
          <w:rFonts w:hint="eastAsia" w:eastAsia="仿宋" w:cs="Times New Roman"/>
          <w:bCs/>
          <w:sz w:val="32"/>
          <w:szCs w:val="32"/>
          <w:lang w:eastAsia="zh-CN"/>
        </w:rPr>
        <w:t>2025-</w:t>
      </w:r>
      <w:r>
        <w:rPr>
          <w:rFonts w:hint="eastAsia" w:eastAsia="仿宋" w:cs="Times New Roman"/>
          <w:bCs/>
          <w:sz w:val="32"/>
          <w:szCs w:val="32"/>
          <w:lang w:val="en-US" w:eastAsia="zh-CN"/>
        </w:rPr>
        <w:t>30</w:t>
      </w:r>
      <w:r>
        <w:rPr>
          <w:rFonts w:eastAsia="仿宋"/>
          <w:bCs/>
          <w:sz w:val="32"/>
          <w:szCs w:val="32"/>
        </w:rPr>
        <w:t>）</w:t>
      </w:r>
    </w:p>
    <w:p w14:paraId="3E8CE301">
      <w:pPr>
        <w:spacing w:line="360" w:lineRule="auto"/>
        <w:ind w:left="1080" w:leftChars="257" w:hanging="540"/>
        <w:jc w:val="center"/>
        <w:rPr>
          <w:rFonts w:eastAsia="仿宋"/>
          <w:b/>
          <w:sz w:val="32"/>
          <w:szCs w:val="32"/>
        </w:rPr>
      </w:pPr>
    </w:p>
    <w:p w14:paraId="07A2CD33">
      <w:pPr>
        <w:spacing w:line="360" w:lineRule="auto"/>
        <w:ind w:left="1080" w:leftChars="257" w:hanging="540"/>
        <w:jc w:val="center"/>
        <w:rPr>
          <w:rFonts w:eastAsia="仿宋"/>
          <w:b/>
          <w:sz w:val="52"/>
        </w:rPr>
      </w:pPr>
      <w:r>
        <w:rPr>
          <w:rFonts w:eastAsia="仿宋"/>
          <w:b/>
          <w:sz w:val="36"/>
          <w:szCs w:val="36"/>
        </w:rPr>
        <w:t>第</w:t>
      </w:r>
      <w:r>
        <w:rPr>
          <w:rFonts w:hint="eastAsia" w:eastAsia="仿宋"/>
          <w:b/>
          <w:sz w:val="36"/>
          <w:szCs w:val="36"/>
        </w:rPr>
        <w:t>二</w:t>
      </w:r>
      <w:r>
        <w:rPr>
          <w:rFonts w:eastAsia="仿宋"/>
          <w:b/>
          <w:sz w:val="36"/>
          <w:szCs w:val="36"/>
        </w:rPr>
        <w:t>册</w:t>
      </w:r>
    </w:p>
    <w:p w14:paraId="7B26A814">
      <w:pPr>
        <w:pStyle w:val="40"/>
        <w:tabs>
          <w:tab w:val="clear" w:pos="567"/>
        </w:tabs>
        <w:rPr>
          <w:rFonts w:ascii="Times New Roman" w:hAnsi="Times New Roman" w:eastAsia="仿宋"/>
          <w:b/>
          <w:sz w:val="52"/>
        </w:rPr>
      </w:pPr>
    </w:p>
    <w:p w14:paraId="79E6CC52">
      <w:pPr>
        <w:spacing w:line="360" w:lineRule="auto"/>
        <w:ind w:firstLine="837" w:firstLineChars="299"/>
        <w:jc w:val="left"/>
        <w:rPr>
          <w:rFonts w:eastAsia="仿宋"/>
          <w:sz w:val="28"/>
          <w:szCs w:val="28"/>
        </w:rPr>
      </w:pPr>
    </w:p>
    <w:p w14:paraId="45E4AF54">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765A3BFA">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3107D">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1AE6513D">
      <w:pPr>
        <w:spacing w:line="360" w:lineRule="auto"/>
        <w:rPr>
          <w:rFonts w:eastAsia="仿宋"/>
          <w:b/>
          <w:sz w:val="52"/>
        </w:rPr>
      </w:pPr>
    </w:p>
    <w:p w14:paraId="4A3A3FEB">
      <w:pPr>
        <w:pStyle w:val="33"/>
        <w:tabs>
          <w:tab w:val="left" w:pos="0"/>
        </w:tabs>
        <w:spacing w:before="0" w:after="0" w:line="360" w:lineRule="auto"/>
        <w:jc w:val="both"/>
        <w:rPr>
          <w:rFonts w:ascii="Times New Roman" w:eastAsia="仿宋"/>
          <w:b w:val="0"/>
          <w:sz w:val="52"/>
        </w:rPr>
      </w:pPr>
      <w:r>
        <w:rPr>
          <w:rFonts w:ascii="Times New Roman" w:eastAsia="仿宋"/>
          <w:b w:val="0"/>
          <w:sz w:val="52"/>
        </w:rPr>
        <w:br w:type="page"/>
      </w:r>
    </w:p>
    <w:p w14:paraId="0D87AE33">
      <w:pPr>
        <w:pStyle w:val="33"/>
        <w:tabs>
          <w:tab w:val="left" w:pos="0"/>
        </w:tabs>
        <w:spacing w:before="0" w:after="0" w:line="360" w:lineRule="auto"/>
        <w:rPr>
          <w:rFonts w:ascii="Times New Roman" w:eastAsia="仿宋"/>
        </w:rPr>
      </w:pPr>
      <w:bookmarkStart w:id="339" w:name="_Toc14452"/>
      <w:bookmarkEnd w:id="339"/>
      <w:bookmarkStart w:id="340" w:name="_Toc30701"/>
      <w:bookmarkEnd w:id="340"/>
      <w:bookmarkStart w:id="341" w:name="_Toc6823"/>
      <w:bookmarkEnd w:id="341"/>
      <w:r>
        <w:rPr>
          <w:rFonts w:hint="eastAsia" w:ascii="Times New Roman" w:eastAsia="仿宋"/>
        </w:rPr>
        <w:t>第3章</w:t>
      </w:r>
      <w:r>
        <w:rPr>
          <w:rFonts w:ascii="Times New Roman" w:eastAsia="仿宋"/>
        </w:rPr>
        <w:t>投标邀请</w:t>
      </w:r>
    </w:p>
    <w:p w14:paraId="1B34050A">
      <w:pPr>
        <w:widowControl/>
        <w:spacing w:line="360" w:lineRule="auto"/>
        <w:jc w:val="center"/>
        <w:rPr>
          <w:rFonts w:eastAsia="仿宋"/>
          <w:b/>
          <w:bCs/>
          <w:color w:val="000000"/>
          <w:kern w:val="0"/>
          <w:sz w:val="28"/>
          <w:szCs w:val="28"/>
        </w:rPr>
      </w:pPr>
      <w:r>
        <w:rPr>
          <w:rFonts w:hint="eastAsia" w:eastAsia="仿宋"/>
          <w:b/>
          <w:bCs/>
          <w:color w:val="000000"/>
          <w:sz w:val="28"/>
          <w:szCs w:val="28"/>
          <w:lang w:val="en-US" w:eastAsia="zh-CN"/>
        </w:rPr>
        <w:t>喀什职业技术学院文艺实训基地设备采购项目</w:t>
      </w:r>
      <w:r>
        <w:rPr>
          <w:rFonts w:hint="eastAsia" w:eastAsia="仿宋"/>
          <w:b/>
          <w:bCs/>
          <w:color w:val="000000"/>
          <w:kern w:val="0"/>
          <w:sz w:val="28"/>
          <w:szCs w:val="28"/>
        </w:rPr>
        <w:t>招标公告</w:t>
      </w:r>
    </w:p>
    <w:p w14:paraId="2BCC79D0">
      <w:pPr>
        <w:keepNext/>
        <w:keepLines/>
        <w:tabs>
          <w:tab w:val="left" w:pos="0"/>
        </w:tabs>
        <w:autoSpaceDE w:val="0"/>
        <w:autoSpaceDN w:val="0"/>
        <w:jc w:val="center"/>
        <w:outlineLvl w:val="0"/>
        <w:rPr>
          <w:rFonts w:ascii="楷体" w:hAnsi="楷体" w:eastAsia="楷体"/>
          <w:b/>
          <w:bCs/>
          <w:kern w:val="44"/>
          <w:sz w:val="24"/>
        </w:rPr>
      </w:pPr>
    </w:p>
    <w:p w14:paraId="0BEDF7AB">
      <w:pPr>
        <w:pBdr>
          <w:top w:val="single" w:color="000000" w:sz="4" w:space="1"/>
          <w:left w:val="single" w:color="000000" w:sz="4" w:space="4"/>
          <w:bottom w:val="single" w:color="000000" w:sz="4" w:space="1"/>
          <w:right w:val="single" w:color="000000" w:sz="4" w:space="4"/>
        </w:pBdr>
        <w:jc w:val="left"/>
        <w:rPr>
          <w:rFonts w:ascii="仿宋" w:hAnsi="仿宋" w:eastAsia="仿宋"/>
          <w:b/>
          <w:bCs/>
          <w:sz w:val="24"/>
        </w:rPr>
      </w:pPr>
      <w:r>
        <w:rPr>
          <w:rFonts w:hint="eastAsia" w:ascii="仿宋" w:hAnsi="仿宋" w:eastAsia="仿宋"/>
          <w:b/>
          <w:bCs/>
          <w:sz w:val="24"/>
        </w:rPr>
        <w:t>项目概况</w:t>
      </w:r>
    </w:p>
    <w:p w14:paraId="3DC598F4">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仿宋" w:hAnsi="仿宋" w:eastAsia="仿宋" w:cs="Times New Roman"/>
          <w:sz w:val="24"/>
        </w:rPr>
      </w:pPr>
      <w:r>
        <w:rPr>
          <w:rFonts w:hint="eastAsia" w:ascii="仿宋" w:hAnsi="仿宋" w:eastAsia="仿宋"/>
          <w:sz w:val="24"/>
          <w:u w:val="single"/>
          <w:lang w:val="en-US" w:eastAsia="zh-CN"/>
        </w:rPr>
        <w:t>喀什职业技术学院文艺实训基地设备采购项目</w:t>
      </w:r>
      <w:r>
        <w:rPr>
          <w:rFonts w:hint="eastAsia" w:ascii="仿宋" w:hAnsi="仿宋" w:eastAsia="仿宋"/>
          <w:sz w:val="24"/>
        </w:rPr>
        <w:t>招标项目的潜在投标人应在政采云平台获取招标文件，并</w:t>
      </w:r>
      <w:r>
        <w:rPr>
          <w:rFonts w:hint="eastAsia" w:ascii="仿宋" w:hAnsi="仿宋" w:eastAsia="仿宋" w:cs="Times New Roman"/>
          <w:sz w:val="24"/>
        </w:rPr>
        <w:t xml:space="preserve">于2025年 </w:t>
      </w:r>
      <w:r>
        <w:rPr>
          <w:rFonts w:hint="eastAsia" w:ascii="仿宋" w:hAnsi="仿宋" w:eastAsia="仿宋" w:cs="Times New Roman"/>
          <w:sz w:val="24"/>
          <w:lang w:val="en-US" w:eastAsia="zh-CN"/>
        </w:rPr>
        <w:t>3</w:t>
      </w:r>
      <w:r>
        <w:rPr>
          <w:rFonts w:hint="eastAsia" w:ascii="仿宋" w:hAnsi="仿宋" w:eastAsia="仿宋" w:cs="Times New Roman"/>
          <w:sz w:val="24"/>
        </w:rPr>
        <w:t xml:space="preserve"> 月</w:t>
      </w:r>
      <w:r>
        <w:rPr>
          <w:rFonts w:hint="eastAsia" w:ascii="仿宋" w:hAnsi="仿宋" w:eastAsia="仿宋" w:cs="Times New Roman"/>
          <w:sz w:val="24"/>
          <w:lang w:val="en-US" w:eastAsia="zh-CN"/>
        </w:rPr>
        <w:t xml:space="preserve"> 27</w:t>
      </w:r>
      <w:r>
        <w:rPr>
          <w:rFonts w:hint="eastAsia" w:ascii="仿宋" w:hAnsi="仿宋" w:eastAsia="仿宋" w:cs="Times New Roman"/>
          <w:sz w:val="24"/>
        </w:rPr>
        <w:t xml:space="preserve"> 日11点00分（北京时间）前上传投标文件。</w:t>
      </w:r>
    </w:p>
    <w:p w14:paraId="1D6B9EA8">
      <w:pPr>
        <w:spacing w:line="360" w:lineRule="auto"/>
        <w:rPr>
          <w:rFonts w:eastAsia="仿宋"/>
        </w:rPr>
      </w:pPr>
    </w:p>
    <w:p w14:paraId="78DF696D">
      <w:pPr>
        <w:pStyle w:val="42"/>
        <w:spacing w:line="360" w:lineRule="exact"/>
        <w:rPr>
          <w:rFonts w:ascii="仿宋" w:hAnsi="仿宋" w:eastAsia="仿宋"/>
          <w:b/>
          <w:bCs/>
          <w:color w:val="000000"/>
        </w:rPr>
      </w:pPr>
      <w:r>
        <w:rPr>
          <w:rFonts w:hint="eastAsia" w:ascii="仿宋" w:hAnsi="仿宋" w:eastAsia="仿宋"/>
          <w:b/>
          <w:bCs/>
          <w:color w:val="000000"/>
        </w:rPr>
        <w:t>一、项目基本情况</w:t>
      </w:r>
    </w:p>
    <w:p w14:paraId="3C1FE7E2">
      <w:pPr>
        <w:pStyle w:val="42"/>
        <w:spacing w:line="360" w:lineRule="exact"/>
        <w:ind w:firstLine="480" w:firstLineChars="200"/>
        <w:rPr>
          <w:rFonts w:hint="eastAsia" w:ascii="仿宋" w:hAnsi="仿宋" w:eastAsia="仿宋" w:cs="Times New Roman"/>
          <w:color w:val="000000"/>
          <w:lang w:val="en-US" w:eastAsia="zh-CN"/>
        </w:rPr>
      </w:pPr>
      <w:r>
        <w:rPr>
          <w:rFonts w:hint="eastAsia" w:ascii="仿宋" w:hAnsi="仿宋" w:eastAsia="仿宋"/>
          <w:color w:val="000000"/>
        </w:rPr>
        <w:t>1.项目编</w:t>
      </w:r>
      <w:r>
        <w:rPr>
          <w:rFonts w:hint="eastAsia" w:ascii="仿宋" w:hAnsi="仿宋" w:eastAsia="仿宋" w:cs="Times New Roman"/>
          <w:color w:val="000000"/>
          <w:lang w:val="en-US" w:eastAsia="zh-CN"/>
        </w:rPr>
        <w:t>号：KSDQZFCG（GK）2025-30</w:t>
      </w:r>
    </w:p>
    <w:p w14:paraId="0781AFF7">
      <w:pPr>
        <w:pStyle w:val="42"/>
        <w:spacing w:line="360" w:lineRule="exact"/>
        <w:ind w:firstLine="480" w:firstLineChars="200"/>
        <w:rPr>
          <w:rFonts w:hint="eastAsia" w:ascii="仿宋" w:hAnsi="仿宋" w:eastAsia="仿宋"/>
          <w:color w:val="000000"/>
          <w:lang w:eastAsia="zh-CN"/>
        </w:rPr>
      </w:pPr>
      <w:r>
        <w:rPr>
          <w:rFonts w:hint="eastAsia" w:ascii="仿宋" w:hAnsi="仿宋" w:eastAsia="仿宋"/>
          <w:color w:val="000000"/>
        </w:rPr>
        <w:t>2.项目名称：</w:t>
      </w:r>
      <w:r>
        <w:rPr>
          <w:rFonts w:hint="eastAsia" w:ascii="仿宋" w:hAnsi="仿宋" w:eastAsia="仿宋"/>
          <w:color w:val="000000"/>
          <w:lang w:val="en-US" w:eastAsia="zh-CN"/>
        </w:rPr>
        <w:t>喀什职业技术学院文艺实训基地设备采购项目</w:t>
      </w:r>
    </w:p>
    <w:p w14:paraId="76B821D5">
      <w:pPr>
        <w:pStyle w:val="42"/>
        <w:spacing w:line="360" w:lineRule="exact"/>
        <w:ind w:firstLine="480" w:firstLineChars="200"/>
        <w:rPr>
          <w:rFonts w:ascii="仿宋" w:hAnsi="仿宋" w:eastAsia="仿宋"/>
          <w:color w:val="000000"/>
        </w:rPr>
      </w:pPr>
      <w:r>
        <w:rPr>
          <w:rFonts w:hint="eastAsia" w:ascii="仿宋" w:hAnsi="仿宋" w:eastAsia="仿宋"/>
          <w:color w:val="000000"/>
        </w:rPr>
        <w:t>3.采购方式：公开招标</w:t>
      </w:r>
    </w:p>
    <w:p w14:paraId="7122682B">
      <w:pPr>
        <w:pStyle w:val="42"/>
        <w:spacing w:line="360" w:lineRule="exact"/>
        <w:ind w:firstLine="480" w:firstLineChars="200"/>
        <w:rPr>
          <w:rFonts w:hint="default" w:ascii="仿宋" w:hAnsi="仿宋" w:eastAsia="仿宋"/>
          <w:color w:val="auto"/>
          <w:lang w:val="en-US" w:eastAsia="zh-CN"/>
        </w:rPr>
      </w:pPr>
      <w:r>
        <w:rPr>
          <w:rFonts w:hint="eastAsia" w:ascii="仿宋" w:hAnsi="仿宋" w:eastAsia="仿宋"/>
          <w:color w:val="000000"/>
        </w:rPr>
        <w:t>4.预算金额：</w:t>
      </w:r>
      <w:r>
        <w:rPr>
          <w:rFonts w:hint="eastAsia" w:ascii="仿宋" w:hAnsi="仿宋" w:eastAsia="仿宋"/>
          <w:color w:val="auto"/>
          <w:lang w:val="en-US" w:eastAsia="zh-CN"/>
        </w:rPr>
        <w:t>409.7412万元。</w:t>
      </w:r>
    </w:p>
    <w:p w14:paraId="216E16C0">
      <w:pPr>
        <w:pStyle w:val="42"/>
        <w:spacing w:line="360" w:lineRule="exact"/>
        <w:ind w:firstLine="480" w:firstLineChars="200"/>
        <w:rPr>
          <w:rFonts w:ascii="仿宋" w:hAnsi="仿宋" w:eastAsia="仿宋"/>
          <w:color w:val="000000"/>
        </w:rPr>
      </w:pPr>
      <w:r>
        <w:rPr>
          <w:rFonts w:hint="eastAsia" w:ascii="仿宋" w:hAnsi="仿宋" w:eastAsia="仿宋"/>
          <w:color w:val="000000"/>
          <w:lang w:val="en-US" w:eastAsia="zh-CN"/>
        </w:rPr>
        <w:t>5.最高限价：409.7412万元。</w:t>
      </w:r>
    </w:p>
    <w:p w14:paraId="45F37454">
      <w:pPr>
        <w:widowControl/>
        <w:ind w:firstLine="480" w:firstLineChars="200"/>
        <w:jc w:val="left"/>
        <w:rPr>
          <w:rFonts w:hint="eastAsia" w:ascii="仿宋" w:hAnsi="仿宋" w:eastAsia="仿宋"/>
          <w:color w:val="000000"/>
          <w:kern w:val="0"/>
          <w:sz w:val="24"/>
          <w:lang w:eastAsia="zh-CN"/>
        </w:rPr>
      </w:pPr>
      <w:r>
        <w:rPr>
          <w:rFonts w:hint="eastAsia" w:ascii="仿宋" w:hAnsi="仿宋" w:eastAsia="仿宋"/>
          <w:color w:val="000000"/>
          <w:kern w:val="0"/>
          <w:sz w:val="24"/>
        </w:rPr>
        <w:t>6.采购需求：本项目</w:t>
      </w:r>
      <w:r>
        <w:rPr>
          <w:rFonts w:hint="eastAsia" w:ascii="仿宋" w:hAnsi="仿宋" w:eastAsia="仿宋"/>
          <w:color w:val="000000"/>
          <w:kern w:val="0"/>
          <w:sz w:val="24"/>
          <w:lang w:val="en-US" w:eastAsia="zh-CN"/>
        </w:rPr>
        <w:t>不分包</w:t>
      </w:r>
      <w:r>
        <w:rPr>
          <w:rFonts w:hint="eastAsia" w:ascii="仿宋" w:hAnsi="仿宋" w:eastAsia="仿宋"/>
          <w:color w:val="000000"/>
          <w:kern w:val="0"/>
          <w:sz w:val="24"/>
        </w:rPr>
        <w:t>，主要为</w:t>
      </w:r>
      <w:r>
        <w:rPr>
          <w:rFonts w:hint="eastAsia" w:ascii="仿宋" w:hAnsi="仿宋" w:eastAsia="仿宋"/>
          <w:color w:val="000000"/>
          <w:kern w:val="0"/>
          <w:sz w:val="24"/>
          <w:lang w:val="en-US" w:eastAsia="zh-CN"/>
        </w:rPr>
        <w:t>喀什职业技术学院文艺实训基地</w:t>
      </w:r>
      <w:r>
        <w:rPr>
          <w:rFonts w:hint="eastAsia" w:ascii="仿宋" w:hAnsi="仿宋" w:eastAsia="仿宋"/>
          <w:color w:val="000000"/>
          <w:kern w:val="0"/>
          <w:sz w:val="24"/>
        </w:rPr>
        <w:t>采购一批设备</w:t>
      </w:r>
      <w:r>
        <w:rPr>
          <w:rFonts w:hint="eastAsia" w:ascii="仿宋" w:hAnsi="仿宋" w:eastAsia="仿宋"/>
          <w:color w:val="000000"/>
          <w:kern w:val="0"/>
          <w:sz w:val="24"/>
          <w:lang w:eastAsia="zh-CN"/>
        </w:rPr>
        <w:t>；</w:t>
      </w:r>
      <w:r>
        <w:rPr>
          <w:rFonts w:hint="eastAsia" w:ascii="仿宋" w:hAnsi="仿宋" w:eastAsia="仿宋"/>
          <w:color w:val="000000"/>
          <w:kern w:val="0"/>
          <w:sz w:val="24"/>
        </w:rPr>
        <w:t>详细采购内容详见招标文件。</w:t>
      </w:r>
    </w:p>
    <w:p w14:paraId="18B284C4">
      <w:pPr>
        <w:pStyle w:val="42"/>
        <w:spacing w:line="360" w:lineRule="exact"/>
        <w:ind w:firstLine="480" w:firstLineChars="200"/>
        <w:rPr>
          <w:rFonts w:ascii="仿宋" w:hAnsi="仿宋" w:eastAsia="仿宋"/>
          <w:color w:val="000000"/>
        </w:rPr>
      </w:pPr>
      <w:r>
        <w:rPr>
          <w:rFonts w:hint="eastAsia" w:ascii="仿宋" w:hAnsi="仿宋" w:eastAsia="仿宋"/>
          <w:color w:val="000000"/>
        </w:rPr>
        <w:t>7.本项目不接受联合体投标。</w:t>
      </w:r>
    </w:p>
    <w:p w14:paraId="70D25BBD">
      <w:pPr>
        <w:pStyle w:val="42"/>
        <w:spacing w:line="360" w:lineRule="exact"/>
        <w:rPr>
          <w:rFonts w:ascii="仿宋" w:hAnsi="仿宋" w:eastAsia="仿宋"/>
          <w:b/>
          <w:bCs/>
          <w:color w:val="000000"/>
        </w:rPr>
      </w:pPr>
      <w:bookmarkStart w:id="342" w:name="_Toc35393799"/>
      <w:bookmarkEnd w:id="342"/>
      <w:bookmarkStart w:id="343" w:name="_Toc28359013"/>
      <w:bookmarkEnd w:id="343"/>
      <w:bookmarkStart w:id="344" w:name="_Toc28359090"/>
      <w:bookmarkEnd w:id="344"/>
      <w:bookmarkStart w:id="345" w:name="_Toc35393630"/>
      <w:bookmarkEnd w:id="345"/>
      <w:r>
        <w:rPr>
          <w:rFonts w:hint="eastAsia" w:ascii="仿宋" w:hAnsi="仿宋" w:eastAsia="仿宋"/>
          <w:b/>
          <w:bCs/>
          <w:color w:val="000000"/>
        </w:rPr>
        <w:t>二、投标供应商资格要求：</w:t>
      </w:r>
    </w:p>
    <w:p w14:paraId="79C30E35">
      <w:pPr>
        <w:pStyle w:val="42"/>
        <w:spacing w:line="360" w:lineRule="exact"/>
        <w:ind w:firstLine="480" w:firstLineChars="200"/>
        <w:rPr>
          <w:rFonts w:ascii="仿宋" w:hAnsi="仿宋" w:eastAsia="仿宋"/>
          <w:color w:val="000000"/>
        </w:rPr>
      </w:pPr>
      <w:r>
        <w:rPr>
          <w:rFonts w:hint="eastAsia" w:ascii="仿宋" w:hAnsi="仿宋" w:eastAsia="仿宋"/>
          <w:color w:val="000000"/>
        </w:rPr>
        <w:t>1.满足《中华人民共和国政府采购法》第二十二条要求：</w:t>
      </w:r>
    </w:p>
    <w:p w14:paraId="50120F58">
      <w:pPr>
        <w:pStyle w:val="42"/>
        <w:spacing w:line="360" w:lineRule="exact"/>
        <w:ind w:firstLine="240" w:firstLineChars="100"/>
        <w:rPr>
          <w:rFonts w:ascii="仿宋" w:hAnsi="仿宋" w:eastAsia="仿宋"/>
          <w:color w:val="000000"/>
        </w:rPr>
      </w:pPr>
      <w:r>
        <w:rPr>
          <w:rFonts w:hint="eastAsia" w:ascii="仿宋" w:hAnsi="仿宋" w:eastAsia="仿宋"/>
          <w:color w:val="000000"/>
        </w:rPr>
        <w:t>（1）具有独立承担民事责任的能力；</w:t>
      </w:r>
    </w:p>
    <w:p w14:paraId="3A2B8E06">
      <w:pPr>
        <w:pStyle w:val="42"/>
        <w:spacing w:line="360" w:lineRule="exact"/>
        <w:ind w:firstLine="240" w:firstLineChars="100"/>
        <w:rPr>
          <w:rFonts w:ascii="仿宋" w:hAnsi="仿宋" w:eastAsia="仿宋"/>
          <w:color w:val="000000"/>
        </w:rPr>
      </w:pPr>
      <w:r>
        <w:rPr>
          <w:rFonts w:hint="eastAsia" w:ascii="仿宋" w:hAnsi="仿宋" w:eastAsia="仿宋"/>
          <w:color w:val="000000"/>
        </w:rPr>
        <w:t>（2）具有健全的财务会计制度；</w:t>
      </w:r>
    </w:p>
    <w:p w14:paraId="0516F6CC">
      <w:pPr>
        <w:pStyle w:val="42"/>
        <w:spacing w:line="360" w:lineRule="exact"/>
        <w:ind w:firstLine="240" w:firstLineChars="100"/>
        <w:rPr>
          <w:rFonts w:ascii="仿宋" w:hAnsi="仿宋" w:eastAsia="仿宋"/>
          <w:color w:val="000000"/>
        </w:rPr>
      </w:pPr>
      <w:r>
        <w:rPr>
          <w:rFonts w:hint="eastAsia" w:ascii="仿宋" w:hAnsi="仿宋" w:eastAsia="仿宋"/>
          <w:color w:val="000000"/>
        </w:rPr>
        <w:t>（3）具有履行合同所必需的设备和专业技术能力；</w:t>
      </w:r>
    </w:p>
    <w:p w14:paraId="30AB4D43">
      <w:pPr>
        <w:pStyle w:val="42"/>
        <w:spacing w:line="360" w:lineRule="exact"/>
        <w:ind w:firstLine="240" w:firstLineChars="100"/>
        <w:rPr>
          <w:rFonts w:ascii="仿宋" w:hAnsi="仿宋" w:eastAsia="仿宋"/>
          <w:color w:val="000000"/>
        </w:rPr>
      </w:pPr>
      <w:r>
        <w:rPr>
          <w:rFonts w:hint="eastAsia" w:ascii="仿宋" w:hAnsi="仿宋" w:eastAsia="仿宋"/>
          <w:color w:val="000000"/>
        </w:rPr>
        <w:t>（4）有依法缴纳税收和社会保障资金的良好记录；</w:t>
      </w:r>
    </w:p>
    <w:p w14:paraId="4B7B7A1A">
      <w:pPr>
        <w:pStyle w:val="42"/>
        <w:spacing w:line="360" w:lineRule="exact"/>
        <w:ind w:firstLine="240" w:firstLineChars="100"/>
        <w:rPr>
          <w:rFonts w:ascii="仿宋" w:hAnsi="仿宋" w:eastAsia="仿宋"/>
          <w:color w:val="000000"/>
        </w:rPr>
      </w:pPr>
      <w:r>
        <w:rPr>
          <w:rFonts w:hint="eastAsia" w:ascii="仿宋" w:hAnsi="仿宋" w:eastAsia="仿宋"/>
          <w:color w:val="000000"/>
        </w:rPr>
        <w:t>（5）参加政府采购活动前三年内，在经营活动中没有重大违法记录；</w:t>
      </w:r>
    </w:p>
    <w:p w14:paraId="2FE66B0D">
      <w:pPr>
        <w:pStyle w:val="42"/>
        <w:spacing w:line="360" w:lineRule="exact"/>
        <w:ind w:firstLine="240" w:firstLineChars="100"/>
        <w:rPr>
          <w:rFonts w:ascii="仿宋" w:hAnsi="仿宋" w:eastAsia="仿宋"/>
          <w:color w:val="000000"/>
        </w:rPr>
      </w:pPr>
      <w:r>
        <w:rPr>
          <w:rFonts w:hint="eastAsia" w:ascii="仿宋" w:hAnsi="仿宋" w:eastAsia="仿宋"/>
          <w:color w:val="000000"/>
        </w:rPr>
        <w:t>（6）法律、行政法规规定的其他条件。</w:t>
      </w:r>
    </w:p>
    <w:p w14:paraId="5C9EBCCC">
      <w:pPr>
        <w:pStyle w:val="42"/>
        <w:spacing w:line="360" w:lineRule="exact"/>
        <w:ind w:firstLine="480" w:firstLineChars="200"/>
        <w:rPr>
          <w:rFonts w:hint="eastAsia" w:ascii="仿宋" w:hAnsi="仿宋" w:eastAsia="仿宋"/>
          <w:color w:val="000000"/>
        </w:rPr>
      </w:pPr>
      <w:r>
        <w:rPr>
          <w:rFonts w:hint="eastAsia" w:ascii="仿宋" w:hAnsi="仿宋" w:eastAsia="仿宋"/>
          <w:color w:val="000000"/>
        </w:rPr>
        <w:t>2.</w:t>
      </w:r>
      <w:r>
        <w:rPr>
          <w:rFonts w:hint="eastAsia" w:ascii="仿宋" w:hAnsi="仿宋" w:eastAsia="仿宋"/>
        </w:rPr>
        <w:t>参与</w:t>
      </w:r>
      <w:r>
        <w:rPr>
          <w:rFonts w:hint="eastAsia" w:ascii="仿宋" w:hAnsi="仿宋" w:eastAsia="仿宋"/>
          <w:lang w:val="en-US" w:eastAsia="zh-CN"/>
        </w:rPr>
        <w:t>本项目的</w:t>
      </w:r>
      <w:r>
        <w:rPr>
          <w:rFonts w:hint="eastAsia" w:ascii="仿宋" w:hAnsi="仿宋" w:eastAsia="仿宋"/>
        </w:rPr>
        <w:t>政府采购活动供应商</w:t>
      </w:r>
      <w:r>
        <w:rPr>
          <w:rFonts w:hint="eastAsia" w:ascii="仿宋" w:hAnsi="仿宋" w:eastAsia="仿宋"/>
          <w:lang w:val="en-US" w:eastAsia="zh-CN"/>
        </w:rPr>
        <w:t>应</w:t>
      </w:r>
      <w:r>
        <w:rPr>
          <w:rFonts w:hint="eastAsia" w:ascii="仿宋" w:hAnsi="仿宋" w:eastAsia="仿宋"/>
        </w:rPr>
        <w:t>在前3年内未被“信用中国”网站</w:t>
      </w:r>
      <w:r>
        <w:rPr>
          <w:rFonts w:hint="eastAsia" w:ascii="仿宋" w:hAnsi="仿宋" w:eastAsia="仿宋"/>
          <w:sz w:val="24"/>
          <w:szCs w:val="24"/>
        </w:rPr>
        <w:t>（www.creditchina.gov.cn）</w:t>
      </w:r>
      <w:r>
        <w:rPr>
          <w:rFonts w:hint="eastAsia" w:ascii="仿宋" w:hAnsi="仿宋" w:eastAsia="仿宋"/>
        </w:rPr>
        <w:t>、“中国政府采购网”(www.ccgp.gov.cn)列入失信被执行人、重大税收违法案件当事人名单、政府采购严重失信行为记录名单</w:t>
      </w:r>
      <w:r>
        <w:rPr>
          <w:rFonts w:hint="eastAsia" w:ascii="仿宋" w:hAnsi="仿宋" w:eastAsia="仿宋"/>
          <w:color w:val="000000"/>
        </w:rPr>
        <w:t>。</w:t>
      </w:r>
    </w:p>
    <w:p w14:paraId="180B6A87">
      <w:pPr>
        <w:pStyle w:val="42"/>
        <w:spacing w:line="360" w:lineRule="exact"/>
        <w:ind w:firstLine="480" w:firstLineChars="200"/>
        <w:rPr>
          <w:rFonts w:hint="eastAsia" w:ascii="仿宋" w:hAnsi="仿宋" w:eastAsia="仿宋"/>
          <w:b/>
          <w:bCs/>
          <w:color w:val="000000"/>
        </w:rPr>
      </w:pPr>
      <w:r>
        <w:rPr>
          <w:rFonts w:hint="eastAsia" w:ascii="仿宋" w:hAnsi="仿宋" w:eastAsia="仿宋"/>
          <w:b w:val="0"/>
          <w:bCs w:val="0"/>
          <w:color w:val="000000"/>
          <w:lang w:val="en-US" w:eastAsia="zh-CN"/>
        </w:rPr>
        <w:t>3</w:t>
      </w:r>
      <w:r>
        <w:rPr>
          <w:rFonts w:hint="eastAsia" w:ascii="仿宋" w:hAnsi="仿宋" w:eastAsia="仿宋"/>
          <w:b w:val="0"/>
          <w:bCs w:val="0"/>
          <w:color w:val="000000"/>
        </w:rPr>
        <w:t>.</w:t>
      </w:r>
      <w:r>
        <w:rPr>
          <w:rFonts w:hint="eastAsia" w:ascii="仿宋" w:hAnsi="仿宋" w:eastAsia="仿宋"/>
          <w:color w:val="000000"/>
        </w:rPr>
        <w:t>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5685127E">
      <w:pPr>
        <w:pStyle w:val="42"/>
        <w:spacing w:line="360" w:lineRule="exact"/>
        <w:rPr>
          <w:rFonts w:ascii="仿宋" w:hAnsi="仿宋" w:eastAsia="仿宋"/>
          <w:b/>
          <w:bCs/>
          <w:color w:val="000000"/>
        </w:rPr>
      </w:pPr>
      <w:r>
        <w:rPr>
          <w:rFonts w:hint="eastAsia" w:ascii="仿宋" w:hAnsi="仿宋" w:eastAsia="仿宋"/>
          <w:b/>
          <w:bCs/>
          <w:color w:val="000000"/>
        </w:rPr>
        <w:t>三、获取采购文件</w:t>
      </w:r>
    </w:p>
    <w:p w14:paraId="67BCAEE2">
      <w:pPr>
        <w:spacing w:line="360" w:lineRule="exact"/>
        <w:ind w:firstLine="480" w:firstLineChars="200"/>
        <w:rPr>
          <w:rFonts w:hint="eastAsia" w:ascii="仿宋" w:hAnsi="仿宋" w:eastAsia="仿宋"/>
          <w:sz w:val="24"/>
        </w:rPr>
      </w:pPr>
      <w:r>
        <w:rPr>
          <w:rFonts w:hint="eastAsia" w:ascii="仿宋" w:hAnsi="仿宋" w:eastAsia="仿宋"/>
          <w:sz w:val="24"/>
        </w:rPr>
        <w:t>获取时间：202</w:t>
      </w:r>
      <w:r>
        <w:rPr>
          <w:rFonts w:hint="eastAsia" w:ascii="仿宋" w:hAnsi="仿宋" w:eastAsia="仿宋"/>
          <w:sz w:val="24"/>
          <w:lang w:val="en-US" w:eastAsia="zh-CN"/>
        </w:rPr>
        <w:t>5</w:t>
      </w:r>
      <w:r>
        <w:rPr>
          <w:rFonts w:hint="eastAsia" w:ascii="仿宋" w:hAnsi="仿宋" w:eastAsia="仿宋"/>
          <w:sz w:val="24"/>
        </w:rPr>
        <w:t xml:space="preserve">年 </w:t>
      </w:r>
      <w:r>
        <w:rPr>
          <w:rFonts w:hint="eastAsia" w:ascii="仿宋" w:hAnsi="仿宋" w:eastAsia="仿宋"/>
          <w:sz w:val="24"/>
          <w:lang w:val="en-US" w:eastAsia="zh-CN"/>
        </w:rPr>
        <w:t xml:space="preserve">3 </w:t>
      </w:r>
      <w:r>
        <w:rPr>
          <w:rFonts w:hint="eastAsia" w:ascii="仿宋" w:hAnsi="仿宋" w:eastAsia="仿宋"/>
          <w:sz w:val="24"/>
        </w:rPr>
        <w:t>月</w:t>
      </w:r>
      <w:r>
        <w:rPr>
          <w:rFonts w:hint="eastAsia" w:ascii="仿宋" w:hAnsi="仿宋" w:eastAsia="仿宋"/>
          <w:sz w:val="24"/>
          <w:lang w:val="en-US" w:eastAsia="zh-CN"/>
        </w:rPr>
        <w:t xml:space="preserve"> 4 </w:t>
      </w:r>
      <w:r>
        <w:rPr>
          <w:rFonts w:hint="eastAsia" w:ascii="仿宋" w:hAnsi="仿宋" w:eastAsia="仿宋"/>
          <w:sz w:val="24"/>
        </w:rPr>
        <w:t>日至2025年</w:t>
      </w:r>
      <w:r>
        <w:rPr>
          <w:rFonts w:hint="eastAsia" w:ascii="仿宋" w:hAnsi="仿宋" w:eastAsia="仿宋"/>
          <w:sz w:val="24"/>
          <w:lang w:val="en-US" w:eastAsia="zh-CN"/>
        </w:rPr>
        <w:t xml:space="preserve"> 3 </w:t>
      </w:r>
      <w:r>
        <w:rPr>
          <w:rFonts w:hint="eastAsia" w:ascii="仿宋" w:hAnsi="仿宋" w:eastAsia="仿宋"/>
          <w:sz w:val="24"/>
        </w:rPr>
        <w:t>月</w:t>
      </w:r>
      <w:r>
        <w:rPr>
          <w:rFonts w:hint="eastAsia" w:ascii="仿宋" w:hAnsi="仿宋" w:eastAsia="仿宋"/>
          <w:sz w:val="24"/>
          <w:lang w:val="en-US" w:eastAsia="zh-CN"/>
        </w:rPr>
        <w:t xml:space="preserve"> 26 </w:t>
      </w:r>
      <w:r>
        <w:rPr>
          <w:rFonts w:hint="eastAsia" w:ascii="仿宋" w:hAnsi="仿宋" w:eastAsia="仿宋"/>
          <w:sz w:val="24"/>
        </w:rPr>
        <w:t>日</w:t>
      </w:r>
    </w:p>
    <w:p w14:paraId="3285DA5C">
      <w:pPr>
        <w:spacing w:line="360" w:lineRule="exact"/>
        <w:ind w:firstLine="480" w:firstLineChars="200"/>
        <w:rPr>
          <w:rFonts w:ascii="仿宋" w:hAnsi="仿宋" w:eastAsia="仿宋"/>
          <w:sz w:val="24"/>
        </w:rPr>
      </w:pPr>
      <w:r>
        <w:rPr>
          <w:rFonts w:hint="eastAsia" w:ascii="仿宋" w:hAnsi="仿宋" w:eastAsia="仿宋"/>
          <w:sz w:val="24"/>
        </w:rPr>
        <w:t>获取方式：供应商登陆新疆政府采购网 (ccgp-xinjiang.gov.cn)见此项目公告附件下载。</w:t>
      </w:r>
    </w:p>
    <w:p w14:paraId="30FE6222">
      <w:pPr>
        <w:spacing w:line="360" w:lineRule="exact"/>
        <w:ind w:firstLine="480" w:firstLineChars="200"/>
        <w:rPr>
          <w:rFonts w:ascii="仿宋" w:hAnsi="仿宋" w:eastAsia="仿宋"/>
          <w:sz w:val="24"/>
        </w:rPr>
      </w:pPr>
      <w:r>
        <w:rPr>
          <w:rFonts w:hint="eastAsia" w:ascii="仿宋" w:hAnsi="仿宋" w:eastAsia="仿宋"/>
          <w:sz w:val="24"/>
        </w:rPr>
        <w:t>获取地点：供应商登陆新疆政府采购网 (ccgp-xinjiang.gov.cn)见此项目公告附件下载。</w:t>
      </w:r>
    </w:p>
    <w:p w14:paraId="0B11494C">
      <w:pPr>
        <w:spacing w:line="360" w:lineRule="exact"/>
        <w:rPr>
          <w:rFonts w:hint="eastAsia" w:ascii="仿宋" w:hAnsi="仿宋" w:eastAsia="仿宋" w:cs="Times New Roman"/>
          <w:b/>
          <w:bCs/>
          <w:color w:val="000000"/>
          <w:kern w:val="0"/>
          <w:sz w:val="24"/>
          <w:szCs w:val="24"/>
          <w:lang w:val="en-US" w:eastAsia="zh-CN" w:bidi="ar-SA"/>
        </w:rPr>
      </w:pPr>
      <w:bookmarkStart w:id="346" w:name="_Toc35393793"/>
      <w:bookmarkEnd w:id="346"/>
      <w:bookmarkStart w:id="347" w:name="_Toc28359005"/>
      <w:bookmarkEnd w:id="347"/>
      <w:bookmarkStart w:id="348" w:name="_Toc28359082"/>
      <w:bookmarkEnd w:id="348"/>
      <w:bookmarkStart w:id="349" w:name="_Toc35393624"/>
      <w:bookmarkEnd w:id="349"/>
      <w:bookmarkStart w:id="350" w:name="_Toc952"/>
      <w:bookmarkEnd w:id="350"/>
      <w:bookmarkStart w:id="351" w:name="_Toc2422"/>
      <w:bookmarkEnd w:id="351"/>
      <w:bookmarkStart w:id="352" w:name="_Toc9047"/>
      <w:bookmarkEnd w:id="352"/>
      <w:bookmarkStart w:id="353" w:name="_Toc2532"/>
      <w:bookmarkEnd w:id="353"/>
      <w:r>
        <w:rPr>
          <w:rFonts w:hint="eastAsia" w:ascii="仿宋" w:hAnsi="仿宋" w:eastAsia="仿宋" w:cs="Times New Roman"/>
          <w:b/>
          <w:bCs/>
          <w:color w:val="000000"/>
          <w:kern w:val="0"/>
          <w:sz w:val="24"/>
          <w:szCs w:val="24"/>
          <w:lang w:val="en-US" w:eastAsia="zh-CN" w:bidi="ar-SA"/>
        </w:rPr>
        <w:t>四、项目内容及需求：</w:t>
      </w:r>
    </w:p>
    <w:p w14:paraId="68C893CB">
      <w:pPr>
        <w:spacing w:line="360" w:lineRule="exact"/>
        <w:ind w:firstLine="480" w:firstLineChars="200"/>
        <w:rPr>
          <w:rFonts w:hint="eastAsia" w:ascii="仿宋" w:hAnsi="仿宋" w:eastAsia="仿宋"/>
          <w:b/>
          <w:bCs/>
          <w:sz w:val="24"/>
        </w:rPr>
      </w:pPr>
      <w:r>
        <w:rPr>
          <w:rFonts w:hint="eastAsia" w:ascii="仿宋" w:hAnsi="仿宋" w:eastAsia="仿宋"/>
          <w:sz w:val="24"/>
        </w:rPr>
        <w:t>1、采购人的具体采购需求：</w:t>
      </w:r>
      <w:r>
        <w:rPr>
          <w:rFonts w:hint="eastAsia" w:ascii="仿宋" w:hAnsi="仿宋" w:eastAsia="仿宋"/>
          <w:b/>
          <w:bCs/>
          <w:sz w:val="24"/>
        </w:rPr>
        <w:t>详见</w:t>
      </w:r>
      <w:r>
        <w:rPr>
          <w:rFonts w:hint="eastAsia" w:ascii="仿宋" w:hAnsi="仿宋" w:eastAsia="仿宋"/>
          <w:b/>
          <w:bCs/>
          <w:sz w:val="24"/>
          <w:lang w:val="en-US" w:eastAsia="zh-CN"/>
        </w:rPr>
        <w:t>招标</w:t>
      </w:r>
      <w:r>
        <w:rPr>
          <w:rFonts w:hint="eastAsia" w:ascii="仿宋" w:hAnsi="仿宋" w:eastAsia="仿宋"/>
          <w:b/>
          <w:bCs/>
          <w:sz w:val="24"/>
        </w:rPr>
        <w:t xml:space="preserve">文件第5章 项目服务需求及技术规格。 </w:t>
      </w:r>
    </w:p>
    <w:p w14:paraId="1910CE4A">
      <w:pPr>
        <w:spacing w:line="360" w:lineRule="exact"/>
        <w:ind w:firstLine="480" w:firstLineChars="200"/>
        <w:rPr>
          <w:rFonts w:hint="default" w:ascii="仿宋" w:hAnsi="仿宋" w:eastAsia="仿宋"/>
          <w:sz w:val="24"/>
          <w:lang w:val="en-US" w:eastAsia="zh-CN"/>
        </w:rPr>
      </w:pPr>
      <w:r>
        <w:rPr>
          <w:rFonts w:hint="eastAsia" w:ascii="仿宋" w:hAnsi="仿宋" w:eastAsia="仿宋"/>
          <w:sz w:val="24"/>
        </w:rPr>
        <w:t>2、本项目属于政府采购项目</w:t>
      </w:r>
      <w:r>
        <w:rPr>
          <w:rFonts w:hint="eastAsia" w:ascii="仿宋" w:hAnsi="仿宋" w:eastAsia="仿宋"/>
          <w:sz w:val="24"/>
          <w:lang w:eastAsia="zh-CN"/>
        </w:rPr>
        <w:t>：</w:t>
      </w:r>
      <w:r>
        <w:rPr>
          <w:rFonts w:hint="eastAsia" w:ascii="仿宋" w:hAnsi="仿宋" w:eastAsia="仿宋"/>
          <w:b/>
          <w:bCs/>
          <w:sz w:val="24"/>
          <w:lang w:val="en-US" w:eastAsia="zh-CN"/>
        </w:rPr>
        <w:t>货物采购。</w:t>
      </w:r>
    </w:p>
    <w:p w14:paraId="29E10904">
      <w:pPr>
        <w:spacing w:line="360" w:lineRule="exact"/>
        <w:ind w:firstLine="480" w:firstLineChars="200"/>
        <w:rPr>
          <w:rFonts w:hint="eastAsia" w:ascii="仿宋" w:hAnsi="仿宋" w:eastAsia="仿宋"/>
          <w:sz w:val="24"/>
        </w:rPr>
      </w:pPr>
      <w:r>
        <w:rPr>
          <w:rFonts w:hint="eastAsia" w:ascii="仿宋" w:hAnsi="仿宋" w:eastAsia="仿宋"/>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12B2D97C">
      <w:pPr>
        <w:spacing w:line="360" w:lineRule="exact"/>
        <w:ind w:firstLine="480" w:firstLineChars="200"/>
        <w:rPr>
          <w:rFonts w:hint="eastAsia" w:ascii="仿宋" w:hAnsi="仿宋" w:eastAsia="仿宋"/>
          <w:b/>
          <w:bCs/>
          <w:sz w:val="24"/>
          <w:u w:val="single"/>
          <w:lang w:val="en-US" w:eastAsia="zh-CN"/>
        </w:rPr>
      </w:pPr>
      <w:r>
        <w:rPr>
          <w:rFonts w:hint="eastAsia" w:ascii="仿宋" w:hAnsi="仿宋" w:eastAsia="仿宋"/>
          <w:sz w:val="24"/>
        </w:rPr>
        <w:t>4、</w:t>
      </w:r>
      <w:r>
        <w:rPr>
          <w:rFonts w:hint="eastAsia" w:ascii="仿宋" w:hAnsi="仿宋" w:eastAsia="仿宋"/>
          <w:sz w:val="24"/>
          <w:lang w:val="en-US" w:eastAsia="zh-CN"/>
        </w:rPr>
        <w:t>本项目是否专门面向中小微企业采购：</w:t>
      </w:r>
      <w:r>
        <w:rPr>
          <w:rFonts w:hint="eastAsia" w:ascii="仿宋" w:hAnsi="仿宋" w:eastAsia="仿宋"/>
          <w:b/>
          <w:bCs/>
          <w:sz w:val="24"/>
          <w:u w:val="single"/>
          <w:lang w:val="en-US" w:eastAsia="zh-CN"/>
        </w:rPr>
        <w:t>否</w:t>
      </w:r>
    </w:p>
    <w:p w14:paraId="78FF9EB5">
      <w:pPr>
        <w:spacing w:line="360" w:lineRule="exact"/>
        <w:ind w:firstLine="480" w:firstLineChars="200"/>
        <w:rPr>
          <w:rFonts w:hint="eastAsia" w:ascii="仿宋" w:hAnsi="仿宋" w:eastAsia="仿宋"/>
          <w:b/>
          <w:sz w:val="24"/>
        </w:rPr>
      </w:pPr>
      <w:r>
        <w:rPr>
          <w:rFonts w:hint="eastAsia" w:ascii="仿宋" w:hAnsi="仿宋" w:eastAsia="仿宋"/>
          <w:sz w:val="24"/>
          <w:lang w:val="en-US" w:eastAsia="zh-CN"/>
        </w:rPr>
        <w:t>5、</w:t>
      </w:r>
      <w:r>
        <w:rPr>
          <w:rFonts w:hint="eastAsia" w:ascii="仿宋" w:hAnsi="仿宋" w:eastAsia="仿宋"/>
          <w:sz w:val="24"/>
        </w:rPr>
        <w:t>本项目采购标的对应的中小企业划分标准</w:t>
      </w:r>
      <w:r>
        <w:rPr>
          <w:rFonts w:hint="eastAsia" w:ascii="仿宋" w:hAnsi="仿宋" w:eastAsia="仿宋"/>
          <w:b/>
          <w:bCs/>
          <w:sz w:val="24"/>
        </w:rPr>
        <w:t>所属行业：</w:t>
      </w:r>
      <w:r>
        <w:rPr>
          <w:rFonts w:hint="eastAsia" w:ascii="仿宋" w:hAnsi="仿宋" w:eastAsia="仿宋"/>
          <w:b/>
          <w:bCs/>
          <w:sz w:val="24"/>
          <w:lang w:val="en-US" w:eastAsia="zh-CN"/>
        </w:rPr>
        <w:t>工</w:t>
      </w:r>
      <w:r>
        <w:rPr>
          <w:rFonts w:hint="eastAsia" w:ascii="仿宋" w:hAnsi="仿宋" w:eastAsia="仿宋"/>
          <w:b/>
          <w:bCs/>
          <w:sz w:val="24"/>
        </w:rPr>
        <w:t>业。</w:t>
      </w:r>
      <w:r>
        <w:rPr>
          <w:rFonts w:hint="eastAsia" w:ascii="仿宋" w:hAnsi="仿宋" w:eastAsia="仿宋"/>
          <w:sz w:val="24"/>
        </w:rPr>
        <w:t xml:space="preserve"> </w:t>
      </w:r>
    </w:p>
    <w:p w14:paraId="2137C962">
      <w:pPr>
        <w:spacing w:line="360" w:lineRule="exact"/>
        <w:rPr>
          <w:rFonts w:ascii="仿宋" w:hAnsi="仿宋" w:eastAsia="仿宋"/>
          <w:b/>
          <w:sz w:val="24"/>
        </w:rPr>
      </w:pPr>
      <w:r>
        <w:rPr>
          <w:rFonts w:hint="eastAsia" w:ascii="仿宋" w:hAnsi="仿宋" w:eastAsia="仿宋"/>
          <w:b/>
          <w:sz w:val="24"/>
          <w:lang w:val="en-US" w:eastAsia="zh-CN"/>
        </w:rPr>
        <w:t>五</w:t>
      </w:r>
      <w:r>
        <w:rPr>
          <w:rFonts w:hint="eastAsia" w:ascii="仿宋" w:hAnsi="仿宋" w:eastAsia="仿宋"/>
          <w:b/>
          <w:sz w:val="24"/>
        </w:rPr>
        <w:t>、提交投标文件截止时间、开标时间和地点</w:t>
      </w:r>
    </w:p>
    <w:p w14:paraId="11A72A9C">
      <w:pPr>
        <w:spacing w:line="360" w:lineRule="exact"/>
        <w:ind w:firstLine="480" w:firstLineChars="200"/>
        <w:rPr>
          <w:rFonts w:ascii="仿宋" w:hAnsi="仿宋" w:eastAsia="仿宋"/>
          <w:sz w:val="24"/>
        </w:rPr>
      </w:pPr>
      <w:r>
        <w:rPr>
          <w:rFonts w:hint="eastAsia" w:ascii="仿宋" w:hAnsi="仿宋" w:eastAsia="仿宋"/>
          <w:sz w:val="24"/>
        </w:rPr>
        <w:t xml:space="preserve">提交投标文件截止时间：2025年 </w:t>
      </w:r>
      <w:r>
        <w:rPr>
          <w:rFonts w:hint="eastAsia" w:ascii="仿宋" w:hAnsi="仿宋" w:eastAsia="仿宋"/>
          <w:sz w:val="24"/>
          <w:lang w:val="en-US" w:eastAsia="zh-CN"/>
        </w:rPr>
        <w:t xml:space="preserve">3 </w:t>
      </w:r>
      <w:r>
        <w:rPr>
          <w:rFonts w:hint="eastAsia" w:ascii="仿宋" w:hAnsi="仿宋" w:eastAsia="仿宋"/>
          <w:sz w:val="24"/>
        </w:rPr>
        <w:t>月</w:t>
      </w:r>
      <w:r>
        <w:rPr>
          <w:rFonts w:hint="eastAsia" w:ascii="仿宋" w:hAnsi="仿宋" w:eastAsia="仿宋"/>
          <w:sz w:val="24"/>
          <w:lang w:val="en-US" w:eastAsia="zh-CN"/>
        </w:rPr>
        <w:t xml:space="preserve"> 27 </w:t>
      </w:r>
      <w:r>
        <w:rPr>
          <w:rFonts w:hint="eastAsia" w:ascii="仿宋" w:hAnsi="仿宋" w:eastAsia="仿宋"/>
          <w:sz w:val="24"/>
        </w:rPr>
        <w:t>日 11 点00  分（</w:t>
      </w:r>
      <w:r>
        <w:rPr>
          <w:rFonts w:hint="eastAsia" w:ascii="仿宋" w:hAnsi="仿宋" w:eastAsia="仿宋"/>
          <w:bCs/>
          <w:sz w:val="24"/>
        </w:rPr>
        <w:t>北京时间）</w:t>
      </w:r>
    </w:p>
    <w:p w14:paraId="2289164B">
      <w:pPr>
        <w:spacing w:line="360" w:lineRule="exact"/>
        <w:ind w:firstLine="480" w:firstLineChars="200"/>
        <w:rPr>
          <w:rFonts w:ascii="仿宋" w:hAnsi="仿宋" w:eastAsia="仿宋"/>
          <w:sz w:val="24"/>
        </w:rPr>
      </w:pPr>
      <w:r>
        <w:rPr>
          <w:rFonts w:hint="eastAsia" w:ascii="仿宋" w:hAnsi="仿宋" w:eastAsia="仿宋"/>
          <w:sz w:val="24"/>
        </w:rPr>
        <w:t>投标地点：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4E97DF0">
      <w:pPr>
        <w:spacing w:line="360" w:lineRule="exact"/>
        <w:ind w:firstLine="480" w:firstLineChars="200"/>
        <w:rPr>
          <w:rFonts w:ascii="仿宋" w:hAnsi="仿宋" w:eastAsia="仿宋"/>
          <w:sz w:val="24"/>
        </w:rPr>
      </w:pPr>
      <w:r>
        <w:rPr>
          <w:rFonts w:hint="eastAsia" w:ascii="仿宋" w:hAnsi="仿宋" w:eastAsia="仿宋"/>
          <w:sz w:val="24"/>
        </w:rPr>
        <w:t xml:space="preserve">开标时间：2025年 </w:t>
      </w:r>
      <w:r>
        <w:rPr>
          <w:rFonts w:hint="eastAsia" w:ascii="仿宋" w:hAnsi="仿宋" w:eastAsia="仿宋"/>
          <w:sz w:val="24"/>
          <w:lang w:val="en-US" w:eastAsia="zh-CN"/>
        </w:rPr>
        <w:t xml:space="preserve">3 </w:t>
      </w:r>
      <w:r>
        <w:rPr>
          <w:rFonts w:hint="eastAsia" w:ascii="仿宋" w:hAnsi="仿宋" w:eastAsia="仿宋"/>
          <w:sz w:val="24"/>
        </w:rPr>
        <w:t xml:space="preserve">月 </w:t>
      </w:r>
      <w:r>
        <w:rPr>
          <w:rFonts w:hint="eastAsia" w:ascii="仿宋" w:hAnsi="仿宋" w:eastAsia="仿宋"/>
          <w:sz w:val="24"/>
          <w:lang w:val="en-US" w:eastAsia="zh-CN"/>
        </w:rPr>
        <w:t xml:space="preserve">27 </w:t>
      </w:r>
      <w:r>
        <w:rPr>
          <w:rFonts w:hint="eastAsia" w:ascii="仿宋" w:hAnsi="仿宋" w:eastAsia="仿宋"/>
          <w:sz w:val="24"/>
        </w:rPr>
        <w:t>日 11 点 00 分（北京时间）</w:t>
      </w:r>
    </w:p>
    <w:p w14:paraId="4A14EF37">
      <w:pPr>
        <w:spacing w:line="360" w:lineRule="exact"/>
        <w:ind w:firstLine="480" w:firstLineChars="200"/>
        <w:rPr>
          <w:rFonts w:ascii="仿宋" w:hAnsi="仿宋" w:eastAsia="仿宋"/>
          <w:sz w:val="24"/>
        </w:rPr>
      </w:pPr>
      <w:r>
        <w:rPr>
          <w:rFonts w:hint="eastAsia" w:ascii="仿宋" w:hAnsi="仿宋" w:eastAsia="仿宋"/>
          <w:sz w:val="24"/>
        </w:rPr>
        <w:t>开标地点：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AE4C4D3">
      <w:pPr>
        <w:spacing w:line="360" w:lineRule="exact"/>
        <w:rPr>
          <w:rFonts w:ascii="仿宋" w:hAnsi="仿宋" w:eastAsia="仿宋"/>
          <w:b/>
          <w:sz w:val="24"/>
        </w:rPr>
      </w:pPr>
      <w:r>
        <w:rPr>
          <w:rFonts w:hint="eastAsia" w:ascii="仿宋" w:hAnsi="仿宋" w:eastAsia="仿宋"/>
          <w:b/>
          <w:sz w:val="24"/>
          <w:lang w:val="en-US" w:eastAsia="zh-CN"/>
        </w:rPr>
        <w:t>六</w:t>
      </w:r>
      <w:r>
        <w:rPr>
          <w:rFonts w:hint="eastAsia" w:ascii="仿宋" w:hAnsi="仿宋" w:eastAsia="仿宋"/>
          <w:b/>
          <w:sz w:val="24"/>
        </w:rPr>
        <w:t>、公告期限</w:t>
      </w:r>
    </w:p>
    <w:p w14:paraId="57B61A3A">
      <w:pPr>
        <w:spacing w:line="360" w:lineRule="exact"/>
        <w:ind w:firstLine="480" w:firstLineChars="200"/>
        <w:rPr>
          <w:rFonts w:ascii="仿宋" w:hAnsi="仿宋" w:eastAsia="仿宋"/>
          <w:kern w:val="0"/>
          <w:sz w:val="24"/>
        </w:rPr>
      </w:pPr>
      <w:r>
        <w:rPr>
          <w:rFonts w:hint="eastAsia" w:ascii="仿宋" w:hAnsi="仿宋" w:eastAsia="仿宋"/>
          <w:kern w:val="0"/>
          <w:sz w:val="24"/>
        </w:rPr>
        <w:t>自本公告发布之日起5个工作日。</w:t>
      </w:r>
    </w:p>
    <w:p w14:paraId="69F8FE80">
      <w:pPr>
        <w:spacing w:line="360" w:lineRule="exact"/>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、其它补充事宜</w:t>
      </w:r>
    </w:p>
    <w:p w14:paraId="0D7B8CD3">
      <w:pPr>
        <w:spacing w:line="360" w:lineRule="exact"/>
        <w:ind w:firstLine="540"/>
        <w:rPr>
          <w:rFonts w:ascii="仿宋" w:hAnsi="仿宋" w:eastAsia="仿宋"/>
          <w:sz w:val="24"/>
        </w:rPr>
      </w:pPr>
      <w:r>
        <w:rPr>
          <w:rFonts w:hint="eastAsia" w:ascii="仿宋" w:hAnsi="仿宋" w:eastAsia="仿宋"/>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2720304">
      <w:pPr>
        <w:spacing w:line="360" w:lineRule="exact"/>
        <w:ind w:firstLine="540"/>
        <w:rPr>
          <w:rFonts w:ascii="仿宋" w:hAnsi="仿宋" w:eastAsia="仿宋"/>
          <w:sz w:val="24"/>
        </w:rPr>
      </w:pPr>
      <w:r>
        <w:rPr>
          <w:rFonts w:hint="eastAsia" w:ascii="仿宋" w:hAnsi="仿宋" w:eastAsia="仿宋"/>
          <w:sz w:val="24"/>
        </w:rPr>
        <w:t>（1）新疆CA服务热线0991-2819</w:t>
      </w:r>
      <w:r>
        <w:rPr>
          <w:rFonts w:hint="eastAsia" w:ascii="仿宋" w:hAnsi="仿宋" w:eastAsia="仿宋"/>
          <w:sz w:val="24"/>
          <w:lang w:eastAsia="zh-CN"/>
        </w:rPr>
        <w:t>27</w:t>
      </w:r>
      <w:r>
        <w:rPr>
          <w:rFonts w:hint="eastAsia" w:ascii="仿宋" w:hAnsi="仿宋" w:eastAsia="仿宋"/>
          <w:sz w:val="24"/>
        </w:rPr>
        <w:t>0（喀什办理地点喀什东城喀什市行政审批局一楼企业服务专区数字证书窗口，联系电话15001465669）</w:t>
      </w:r>
    </w:p>
    <w:p w14:paraId="03EC09B0">
      <w:pPr>
        <w:spacing w:line="360" w:lineRule="exact"/>
        <w:ind w:firstLine="540"/>
        <w:rPr>
          <w:rFonts w:ascii="仿宋" w:hAnsi="仿宋" w:eastAsia="仿宋"/>
          <w:sz w:val="24"/>
        </w:rPr>
      </w:pPr>
      <w:r>
        <w:rPr>
          <w:rFonts w:hint="eastAsia" w:ascii="仿宋" w:hAnsi="仿宋" w:eastAsia="仿宋"/>
          <w:sz w:val="24"/>
        </w:rPr>
        <w:t>（2）翔晟CA服务热线025-66085508（总部24小时电话）（喀什办理地点：喀什市东城行政审批局一楼28号窗口13150441724（喀什现场24小时电话）</w:t>
      </w:r>
    </w:p>
    <w:p w14:paraId="5CED82F7">
      <w:pPr>
        <w:spacing w:line="360" w:lineRule="exact"/>
        <w:ind w:firstLine="540"/>
        <w:rPr>
          <w:rFonts w:ascii="仿宋" w:hAnsi="仿宋" w:eastAsia="仿宋"/>
          <w:sz w:val="24"/>
        </w:rPr>
      </w:pPr>
      <w:r>
        <w:rPr>
          <w:rFonts w:hint="eastAsia" w:ascii="仿宋" w:hAnsi="仿宋" w:eastAsia="仿宋"/>
          <w:sz w:val="24"/>
        </w:rPr>
        <w:t>2.本项目实行网上投标，采用电子投标文件(供应商须使用CA加密设备通过政采云电子投标客户端制作投标文件)。若供应商参与投标，自行承担投标一切费用。</w:t>
      </w:r>
    </w:p>
    <w:p w14:paraId="4432DEB8">
      <w:pPr>
        <w:spacing w:line="360" w:lineRule="exact"/>
        <w:ind w:firstLine="540"/>
        <w:rPr>
          <w:rFonts w:ascii="仿宋" w:hAnsi="仿宋" w:eastAsia="仿宋"/>
          <w:sz w:val="24"/>
        </w:rPr>
      </w:pPr>
      <w:r>
        <w:rPr>
          <w:rFonts w:hint="eastAsia" w:ascii="仿宋" w:hAnsi="仿宋" w:eastAsia="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32A05270">
      <w:pPr>
        <w:spacing w:line="360" w:lineRule="exact"/>
        <w:ind w:firstLine="540"/>
        <w:rPr>
          <w:rFonts w:ascii="仿宋" w:hAnsi="仿宋" w:eastAsia="仿宋"/>
          <w:sz w:val="24"/>
        </w:rPr>
      </w:pPr>
      <w:r>
        <w:rPr>
          <w:rFonts w:hint="eastAsia" w:ascii="仿宋" w:hAnsi="仿宋" w:eastAsia="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E1F6EBA">
      <w:pPr>
        <w:spacing w:line="360" w:lineRule="exact"/>
        <w:ind w:firstLine="540"/>
        <w:rPr>
          <w:rFonts w:ascii="仿宋" w:hAnsi="仿宋" w:eastAsia="仿宋"/>
          <w:sz w:val="24"/>
        </w:rPr>
      </w:pPr>
      <w:r>
        <w:rPr>
          <w:rFonts w:hint="eastAsia" w:ascii="仿宋" w:hAnsi="仿宋" w:eastAsia="仿宋"/>
          <w:sz w:val="24"/>
        </w:rPr>
        <w:t>5.供应商在开标时须使用制作加密电子投标文件所使用的CA锁及电脑，电脑须提前配置好浏览器（建议使用360浏览器或谷歌浏览器），以便开标时解锁。</w:t>
      </w:r>
    </w:p>
    <w:p w14:paraId="36E90134">
      <w:pPr>
        <w:spacing w:line="360" w:lineRule="exact"/>
        <w:ind w:firstLine="540"/>
        <w:rPr>
          <w:rFonts w:ascii="仿宋" w:hAnsi="仿宋" w:eastAsia="仿宋"/>
          <w:sz w:val="24"/>
        </w:rPr>
      </w:pPr>
      <w:r>
        <w:rPr>
          <w:rFonts w:hint="eastAsia" w:ascii="仿宋" w:hAnsi="仿宋" w:eastAsia="仿宋"/>
          <w:sz w:val="24"/>
        </w:rPr>
        <w:t>6.投标保证金缴纳及确认时间：凡拟参加本次招标项目的供应商，必须在开标前将投标保证金汇入指定账户。否则，届时其投标将被拒绝。</w:t>
      </w:r>
    </w:p>
    <w:p w14:paraId="46BAB6F4">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A9598ED">
      <w:pPr>
        <w:spacing w:line="360" w:lineRule="exact"/>
        <w:ind w:firstLine="482" w:firstLineChars="200"/>
        <w:rPr>
          <w:rFonts w:hint="eastAsia" w:ascii="仿宋" w:hAnsi="仿宋" w:eastAsia="仿宋" w:cs="Times New Roman"/>
          <w:sz w:val="24"/>
          <w:lang w:val="en-US" w:eastAsia="zh-CN"/>
        </w:rPr>
      </w:pPr>
      <w:bookmarkStart w:id="354" w:name="_Toc35393636"/>
      <w:bookmarkEnd w:id="354"/>
      <w:bookmarkStart w:id="355" w:name="_Toc35393805"/>
      <w:bookmarkEnd w:id="355"/>
      <w:bookmarkStart w:id="356" w:name="_Toc28359095"/>
      <w:bookmarkEnd w:id="356"/>
      <w:bookmarkStart w:id="357" w:name="_Toc28359018"/>
      <w:bookmarkEnd w:id="357"/>
      <w:r>
        <w:rPr>
          <w:rFonts w:hint="eastAsia" w:ascii="仿宋" w:hAnsi="仿宋" w:eastAsia="仿宋" w:cs="Times New Roman"/>
          <w:b/>
          <w:bCs/>
          <w:sz w:val="24"/>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6779E49F">
      <w:pPr>
        <w:widowControl/>
        <w:spacing w:line="360" w:lineRule="auto"/>
        <w:ind w:firstLine="482" w:firstLineChars="200"/>
        <w:jc w:val="left"/>
        <w:rPr>
          <w:rFonts w:eastAsia="仿宋"/>
          <w:b/>
          <w:bCs/>
          <w:color w:val="000000"/>
          <w:kern w:val="0"/>
          <w:sz w:val="24"/>
        </w:rPr>
      </w:pPr>
      <w:r>
        <w:rPr>
          <w:rFonts w:hint="eastAsia" w:eastAsia="仿宋"/>
          <w:b/>
          <w:bCs/>
          <w:color w:val="000000"/>
          <w:kern w:val="0"/>
          <w:sz w:val="24"/>
          <w:lang w:val="en-US" w:eastAsia="zh-CN"/>
        </w:rPr>
        <w:t>八</w:t>
      </w:r>
      <w:r>
        <w:rPr>
          <w:rFonts w:eastAsia="仿宋"/>
          <w:b/>
          <w:bCs/>
          <w:color w:val="000000"/>
          <w:kern w:val="0"/>
          <w:sz w:val="24"/>
        </w:rPr>
        <w:t>、</w:t>
      </w:r>
      <w:r>
        <w:rPr>
          <w:rFonts w:hint="eastAsia" w:eastAsia="仿宋"/>
          <w:b/>
          <w:bCs/>
          <w:color w:val="000000"/>
          <w:kern w:val="0"/>
          <w:sz w:val="24"/>
        </w:rPr>
        <w:t>凡对本次采购提出询问，请按以下方式联系。</w:t>
      </w:r>
    </w:p>
    <w:p w14:paraId="53311C5B">
      <w:pPr>
        <w:spacing w:line="360" w:lineRule="auto"/>
        <w:ind w:firstLine="480" w:firstLineChars="200"/>
        <w:rPr>
          <w:rFonts w:ascii="仿宋" w:hAnsi="仿宋" w:eastAsia="仿宋" w:cs="仿宋"/>
          <w:sz w:val="24"/>
        </w:rPr>
      </w:pPr>
      <w:bookmarkStart w:id="358" w:name="_Toc15034"/>
      <w:bookmarkEnd w:id="358"/>
      <w:bookmarkStart w:id="359" w:name="_Toc216582823"/>
      <w:bookmarkEnd w:id="359"/>
      <w:bookmarkStart w:id="360" w:name="_Toc30910"/>
      <w:bookmarkEnd w:id="360"/>
      <w:bookmarkStart w:id="361" w:name="_Toc518923125"/>
      <w:bookmarkEnd w:id="361"/>
      <w:bookmarkStart w:id="362" w:name="_Toc507399903"/>
      <w:bookmarkEnd w:id="362"/>
      <w:bookmarkStart w:id="363" w:name="_Toc7955"/>
      <w:bookmarkEnd w:id="363"/>
      <w:bookmarkStart w:id="364" w:name="_Toc28647"/>
      <w:bookmarkEnd w:id="364"/>
      <w:r>
        <w:rPr>
          <w:rFonts w:hint="eastAsia" w:ascii="仿宋" w:hAnsi="仿宋" w:eastAsia="仿宋" w:cs="仿宋"/>
          <w:sz w:val="24"/>
        </w:rPr>
        <w:t>采购人名称：喀什职业技术学院</w:t>
      </w:r>
    </w:p>
    <w:p w14:paraId="0F497E97">
      <w:pPr>
        <w:spacing w:line="360" w:lineRule="auto"/>
        <w:ind w:firstLine="480" w:firstLineChars="200"/>
        <w:rPr>
          <w:rFonts w:ascii="仿宋" w:hAnsi="仿宋" w:eastAsia="仿宋" w:cs="仿宋"/>
          <w:sz w:val="24"/>
        </w:rPr>
      </w:pPr>
      <w:r>
        <w:rPr>
          <w:rFonts w:hint="eastAsia" w:ascii="仿宋" w:hAnsi="仿宋" w:eastAsia="仿宋" w:cs="仿宋"/>
          <w:sz w:val="24"/>
        </w:rPr>
        <w:t>地    址：喀什地区疏附县吾库萨克镇广州新城花城大道48号</w:t>
      </w:r>
    </w:p>
    <w:p w14:paraId="4A182B7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穆淼</w:t>
      </w:r>
    </w:p>
    <w:p w14:paraId="7C7FB1C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联 系 电 话：</w:t>
      </w:r>
      <w:r>
        <w:rPr>
          <w:rFonts w:hint="eastAsia" w:ascii="仿宋" w:hAnsi="仿宋" w:eastAsia="仿宋" w:cs="仿宋"/>
          <w:sz w:val="24"/>
          <w:lang w:val="en-US" w:eastAsia="zh-CN"/>
        </w:rPr>
        <w:t>15099025000</w:t>
      </w:r>
    </w:p>
    <w:p w14:paraId="761D789E">
      <w:pPr>
        <w:spacing w:line="360" w:lineRule="auto"/>
        <w:ind w:firstLine="480" w:firstLineChars="200"/>
        <w:rPr>
          <w:rFonts w:ascii="仿宋" w:hAnsi="仿宋" w:eastAsia="仿宋" w:cs="仿宋"/>
          <w:sz w:val="24"/>
        </w:rPr>
      </w:pPr>
      <w:r>
        <w:rPr>
          <w:rFonts w:hint="eastAsia" w:ascii="仿宋" w:hAnsi="仿宋" w:eastAsia="仿宋" w:cs="仿宋"/>
          <w:sz w:val="24"/>
        </w:rPr>
        <w:t>采购机构：喀什地区公共资源交易中心</w:t>
      </w:r>
    </w:p>
    <w:p w14:paraId="50703A14">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采购机构地址：喀什地区疏附县商贸园区疆南农批市场内 </w:t>
      </w:r>
    </w:p>
    <w:p w14:paraId="580A7DF5">
      <w:pPr>
        <w:spacing w:line="360" w:lineRule="auto"/>
        <w:ind w:firstLine="480" w:firstLineChars="200"/>
        <w:rPr>
          <w:rFonts w:ascii="仿宋" w:hAnsi="仿宋" w:eastAsia="仿宋" w:cs="仿宋"/>
          <w:sz w:val="24"/>
        </w:rPr>
      </w:pPr>
      <w:r>
        <w:rPr>
          <w:rFonts w:hint="eastAsia" w:ascii="仿宋" w:hAnsi="仿宋" w:eastAsia="仿宋" w:cs="仿宋"/>
          <w:sz w:val="24"/>
        </w:rPr>
        <w:t>联 系 人：朱文财   刘锦秀</w:t>
      </w:r>
    </w:p>
    <w:p w14:paraId="059F9E1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 系 电 话：0998-</w:t>
      </w:r>
      <w:r>
        <w:rPr>
          <w:rFonts w:hint="eastAsia" w:ascii="仿宋" w:hAnsi="仿宋" w:eastAsia="仿宋" w:cs="仿宋"/>
          <w:sz w:val="24"/>
          <w:lang w:val="en-US" w:eastAsia="zh-CN"/>
        </w:rPr>
        <w:t>3252724</w:t>
      </w:r>
    </w:p>
    <w:p w14:paraId="4559C62A">
      <w:pPr>
        <w:spacing w:line="360" w:lineRule="auto"/>
        <w:ind w:firstLine="480" w:firstLineChars="200"/>
        <w:rPr>
          <w:rFonts w:ascii="仿宋" w:hAnsi="仿宋" w:eastAsia="仿宋" w:cs="仿宋"/>
          <w:sz w:val="24"/>
        </w:rPr>
      </w:pPr>
      <w:r>
        <w:rPr>
          <w:rFonts w:hint="eastAsia" w:ascii="仿宋" w:hAnsi="仿宋" w:eastAsia="仿宋" w:cs="仿宋"/>
          <w:sz w:val="24"/>
        </w:rPr>
        <w:t>监督单位：喀什地区财政局</w:t>
      </w:r>
    </w:p>
    <w:p w14:paraId="77F5387A">
      <w:pPr>
        <w:spacing w:line="360" w:lineRule="auto"/>
        <w:ind w:firstLine="480" w:firstLineChars="200"/>
        <w:rPr>
          <w:rFonts w:ascii="仿宋" w:hAnsi="仿宋" w:eastAsia="仿宋" w:cs="仿宋"/>
          <w:sz w:val="24"/>
        </w:rPr>
      </w:pPr>
      <w:r>
        <w:rPr>
          <w:rFonts w:hint="eastAsia" w:ascii="仿宋" w:hAnsi="仿宋" w:eastAsia="仿宋" w:cs="仿宋"/>
          <w:sz w:val="24"/>
        </w:rPr>
        <w:t>地    址：喀什市解放北路46号喀什地区财政局办公大楼二层</w:t>
      </w:r>
    </w:p>
    <w:p w14:paraId="7B60A0E7">
      <w:pPr>
        <w:pStyle w:val="6"/>
        <w:spacing w:line="360" w:lineRule="auto"/>
        <w:rPr>
          <w:rFonts w:hint="eastAsia" w:ascii="仿宋" w:hAnsi="仿宋" w:eastAsia="仿宋" w:cs="仿宋"/>
          <w:kern w:val="2"/>
          <w:szCs w:val="24"/>
        </w:rPr>
      </w:pPr>
      <w:r>
        <w:rPr>
          <w:rFonts w:hint="eastAsia" w:ascii="仿宋" w:hAnsi="仿宋" w:eastAsia="仿宋" w:cs="仿宋"/>
          <w:kern w:val="2"/>
          <w:szCs w:val="24"/>
        </w:rPr>
        <w:t>联 系 电 话：0998-2597200   2597000</w:t>
      </w:r>
    </w:p>
    <w:p w14:paraId="42A7A89F">
      <w:pPr>
        <w:pStyle w:val="33"/>
        <w:tabs>
          <w:tab w:val="left" w:pos="0"/>
        </w:tabs>
        <w:spacing w:before="0" w:after="0" w:line="360" w:lineRule="auto"/>
        <w:rPr>
          <w:rFonts w:ascii="Times New Roman" w:eastAsia="仿宋"/>
          <w:sz w:val="24"/>
        </w:rPr>
      </w:pPr>
      <w:r>
        <w:rPr>
          <w:rFonts w:ascii="Times New Roman" w:eastAsia="仿宋"/>
          <w:sz w:val="24"/>
        </w:rPr>
        <w:br w:type="page"/>
      </w:r>
      <w:r>
        <w:rPr>
          <w:rFonts w:ascii="Times New Roman" w:eastAsia="仿宋"/>
        </w:rPr>
        <w:t>第4章投标人须知资料表</w:t>
      </w:r>
    </w:p>
    <w:p w14:paraId="2BAB5016">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24"/>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840"/>
      </w:tblGrid>
      <w:tr w14:paraId="37868F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17847654">
            <w:pPr>
              <w:spacing w:line="360" w:lineRule="auto"/>
              <w:ind w:firstLine="480" w:firstLineChars="200"/>
              <w:rPr>
                <w:rFonts w:eastAsia="仿宋"/>
                <w:sz w:val="24"/>
              </w:rPr>
            </w:pPr>
            <w:r>
              <w:rPr>
                <w:rFonts w:hint="eastAsia" w:eastAsia="仿宋"/>
                <w:sz w:val="24"/>
              </w:rPr>
              <w:t>序号</w:t>
            </w:r>
          </w:p>
        </w:tc>
        <w:tc>
          <w:tcPr>
            <w:tcW w:w="6840" w:type="dxa"/>
            <w:vAlign w:val="center"/>
          </w:tcPr>
          <w:p w14:paraId="37C6DD0E">
            <w:pPr>
              <w:spacing w:line="360" w:lineRule="auto"/>
              <w:ind w:left="1080" w:leftChars="257" w:hanging="540"/>
              <w:rPr>
                <w:rFonts w:eastAsia="仿宋"/>
                <w:b/>
                <w:sz w:val="24"/>
              </w:rPr>
            </w:pPr>
            <w:r>
              <w:rPr>
                <w:rFonts w:eastAsia="仿宋"/>
                <w:b/>
                <w:sz w:val="24"/>
              </w:rPr>
              <w:t>内容</w:t>
            </w:r>
          </w:p>
        </w:tc>
      </w:tr>
      <w:tr w14:paraId="133AD7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5" w:hRule="atLeast"/>
        </w:trPr>
        <w:tc>
          <w:tcPr>
            <w:tcW w:w="1468" w:type="dxa"/>
            <w:vAlign w:val="center"/>
          </w:tcPr>
          <w:p w14:paraId="122A3C67">
            <w:pPr>
              <w:spacing w:line="360" w:lineRule="auto"/>
              <w:ind w:left="1080" w:leftChars="257" w:hanging="540"/>
              <w:rPr>
                <w:rFonts w:eastAsia="仿宋"/>
                <w:sz w:val="24"/>
              </w:rPr>
            </w:pPr>
            <w:r>
              <w:rPr>
                <w:rFonts w:hint="eastAsia" w:eastAsia="仿宋"/>
                <w:sz w:val="24"/>
              </w:rPr>
              <w:t>1</w:t>
            </w:r>
          </w:p>
        </w:tc>
        <w:tc>
          <w:tcPr>
            <w:tcW w:w="6840" w:type="dxa"/>
            <w:vAlign w:val="center"/>
          </w:tcPr>
          <w:p w14:paraId="5AFEDDE6">
            <w:pPr>
              <w:spacing w:line="360" w:lineRule="auto"/>
              <w:rPr>
                <w:rFonts w:eastAsia="仿宋"/>
                <w:sz w:val="24"/>
                <w:u w:val="single"/>
              </w:rPr>
            </w:pPr>
            <w:r>
              <w:rPr>
                <w:rFonts w:eastAsia="仿宋"/>
                <w:sz w:val="24"/>
              </w:rPr>
              <w:t>采购人：</w:t>
            </w:r>
            <w:r>
              <w:rPr>
                <w:rFonts w:hint="eastAsia" w:eastAsia="仿宋"/>
                <w:sz w:val="24"/>
                <w:u w:val="single"/>
              </w:rPr>
              <w:t>喀什职业技术学院</w:t>
            </w:r>
          </w:p>
          <w:p w14:paraId="6EE75A32">
            <w:pPr>
              <w:spacing w:line="360" w:lineRule="auto"/>
              <w:rPr>
                <w:rFonts w:eastAsia="仿宋"/>
                <w:sz w:val="24"/>
                <w:u w:val="single"/>
              </w:rPr>
            </w:pPr>
            <w:r>
              <w:rPr>
                <w:rFonts w:eastAsia="仿宋"/>
                <w:sz w:val="24"/>
              </w:rPr>
              <w:t>地  址：</w:t>
            </w:r>
            <w:r>
              <w:rPr>
                <w:rFonts w:hint="eastAsia" w:eastAsia="仿宋"/>
                <w:sz w:val="24"/>
                <w:u w:val="single"/>
              </w:rPr>
              <w:t>喀什地区疏附县吾库萨克镇广州新城花城大道48号</w:t>
            </w:r>
          </w:p>
          <w:p w14:paraId="294CEEDE">
            <w:pPr>
              <w:spacing w:line="360" w:lineRule="auto"/>
              <w:rPr>
                <w:rFonts w:eastAsia="仿宋"/>
                <w:sz w:val="24"/>
                <w:u w:val="single"/>
              </w:rPr>
            </w:pPr>
            <w:r>
              <w:rPr>
                <w:rFonts w:hint="eastAsia" w:ascii="仿宋" w:hAnsi="仿宋" w:eastAsia="仿宋" w:cs="仿宋"/>
                <w:sz w:val="24"/>
              </w:rPr>
              <w:t>联 系 人：</w:t>
            </w:r>
            <w:r>
              <w:rPr>
                <w:rFonts w:hint="eastAsia" w:ascii="仿宋" w:hAnsi="仿宋" w:eastAsia="仿宋" w:cs="仿宋"/>
                <w:sz w:val="24"/>
                <w:u w:val="single"/>
                <w:lang w:val="en-US" w:eastAsia="zh-CN"/>
              </w:rPr>
              <w:t>穆淼</w:t>
            </w:r>
          </w:p>
          <w:p w14:paraId="3AE2D38F">
            <w:pPr>
              <w:spacing w:line="360" w:lineRule="auto"/>
              <w:rPr>
                <w:rFonts w:hint="eastAsia" w:eastAsia="仿宋"/>
                <w:sz w:val="24"/>
                <w:lang w:eastAsia="zh-CN"/>
              </w:rPr>
            </w:pPr>
            <w:r>
              <w:rPr>
                <w:rFonts w:eastAsia="仿宋"/>
                <w:sz w:val="24"/>
              </w:rPr>
              <w:t>电  话：</w:t>
            </w:r>
            <w:r>
              <w:rPr>
                <w:rFonts w:hint="eastAsia" w:ascii="仿宋" w:hAnsi="仿宋" w:eastAsia="仿宋" w:cs="仿宋"/>
                <w:sz w:val="22"/>
                <w:szCs w:val="22"/>
                <w:u w:val="single"/>
                <w:lang w:val="en-US" w:eastAsia="zh-CN"/>
              </w:rPr>
              <w:t>15099025000</w:t>
            </w:r>
          </w:p>
        </w:tc>
      </w:tr>
      <w:tr w14:paraId="663B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5DFD53E">
            <w:pPr>
              <w:spacing w:line="360" w:lineRule="auto"/>
              <w:ind w:left="1080" w:leftChars="257" w:hanging="540"/>
              <w:rPr>
                <w:rFonts w:eastAsia="仿宋"/>
                <w:sz w:val="24"/>
              </w:rPr>
            </w:pPr>
            <w:r>
              <w:rPr>
                <w:rFonts w:hint="eastAsia" w:eastAsia="仿宋"/>
                <w:sz w:val="24"/>
              </w:rPr>
              <w:t>2</w:t>
            </w:r>
          </w:p>
        </w:tc>
        <w:tc>
          <w:tcPr>
            <w:tcW w:w="6840" w:type="dxa"/>
            <w:vAlign w:val="center"/>
          </w:tcPr>
          <w:p w14:paraId="2D6AF265">
            <w:pPr>
              <w:spacing w:line="360" w:lineRule="auto"/>
              <w:rPr>
                <w:rFonts w:eastAsia="仿宋"/>
                <w:sz w:val="24"/>
              </w:rPr>
            </w:pPr>
            <w:r>
              <w:rPr>
                <w:rFonts w:eastAsia="仿宋"/>
                <w:sz w:val="24"/>
              </w:rPr>
              <w:t>采购代理机构：</w:t>
            </w:r>
            <w:r>
              <w:rPr>
                <w:rFonts w:eastAsia="仿宋"/>
                <w:sz w:val="24"/>
                <w:u w:val="single"/>
              </w:rPr>
              <w:t>喀什地区公共资源交易中心</w:t>
            </w:r>
          </w:p>
          <w:p w14:paraId="20D64515">
            <w:pPr>
              <w:spacing w:line="360" w:lineRule="auto"/>
              <w:rPr>
                <w:rFonts w:eastAsia="仿宋"/>
                <w:sz w:val="24"/>
              </w:rPr>
            </w:pPr>
            <w:r>
              <w:rPr>
                <w:rFonts w:eastAsia="仿宋"/>
                <w:sz w:val="24"/>
              </w:rPr>
              <w:t>地址：</w:t>
            </w:r>
            <w:r>
              <w:rPr>
                <w:rFonts w:eastAsia="仿宋"/>
                <w:sz w:val="24"/>
                <w:u w:val="single"/>
              </w:rPr>
              <w:t>喀什地区疏附县商贸园区疆南农批电子交易大楼</w:t>
            </w:r>
          </w:p>
          <w:p w14:paraId="434F4D6B">
            <w:pPr>
              <w:spacing w:line="360" w:lineRule="auto"/>
              <w:rPr>
                <w:rFonts w:hint="eastAsia" w:eastAsia="仿宋"/>
                <w:sz w:val="24"/>
                <w:lang w:eastAsia="zh-CN"/>
              </w:rPr>
            </w:pPr>
            <w:r>
              <w:rPr>
                <w:rFonts w:eastAsia="仿宋"/>
                <w:sz w:val="24"/>
              </w:rPr>
              <w:t>业务联系人：</w:t>
            </w:r>
            <w:r>
              <w:rPr>
                <w:rFonts w:hint="eastAsia" w:eastAsia="仿宋"/>
                <w:sz w:val="24"/>
                <w:u w:val="single"/>
              </w:rPr>
              <w:t xml:space="preserve">朱文财  刘锦秀 </w:t>
            </w:r>
            <w:r>
              <w:rPr>
                <w:rFonts w:eastAsia="仿宋"/>
                <w:sz w:val="24"/>
              </w:rPr>
              <w:t>电话：</w:t>
            </w:r>
            <w:r>
              <w:rPr>
                <w:rFonts w:hint="eastAsia" w:eastAsia="仿宋"/>
                <w:sz w:val="24"/>
                <w:u w:val="single"/>
                <w:lang w:eastAsia="zh-CN"/>
              </w:rPr>
              <w:t>0998-3252724</w:t>
            </w:r>
          </w:p>
        </w:tc>
      </w:tr>
      <w:tr w14:paraId="634DF3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4EE5F384">
            <w:pPr>
              <w:spacing w:line="360" w:lineRule="auto"/>
              <w:ind w:left="1080" w:leftChars="257" w:hanging="540"/>
              <w:rPr>
                <w:rFonts w:eastAsia="仿宋"/>
                <w:sz w:val="24"/>
              </w:rPr>
            </w:pPr>
            <w:r>
              <w:rPr>
                <w:rFonts w:hint="eastAsia" w:eastAsia="仿宋"/>
                <w:sz w:val="24"/>
              </w:rPr>
              <w:t>3</w:t>
            </w:r>
          </w:p>
        </w:tc>
        <w:tc>
          <w:tcPr>
            <w:tcW w:w="6840" w:type="dxa"/>
            <w:vAlign w:val="center"/>
          </w:tcPr>
          <w:p w14:paraId="7A2E8599">
            <w:pPr>
              <w:pStyle w:val="62"/>
              <w:ind w:firstLine="0" w:firstLineChars="0"/>
              <w:rPr>
                <w:rFonts w:ascii="仿宋" w:hAnsi="仿宋" w:eastAsia="仿宋"/>
                <w:kern w:val="0"/>
                <w:sz w:val="22"/>
                <w:szCs w:val="22"/>
              </w:rPr>
            </w:pPr>
            <w:r>
              <w:rPr>
                <w:rFonts w:hint="eastAsia" w:ascii="仿宋" w:hAnsi="仿宋" w:eastAsia="仿宋"/>
                <w:kern w:val="0"/>
                <w:sz w:val="24"/>
              </w:rPr>
              <w:t>合格投标人资格要求</w:t>
            </w:r>
            <w:r>
              <w:rPr>
                <w:rFonts w:hint="eastAsia" w:ascii="仿宋" w:hAnsi="仿宋" w:eastAsia="仿宋"/>
                <w:kern w:val="0"/>
                <w:sz w:val="24"/>
                <w:lang w:eastAsia="zh-CN"/>
              </w:rPr>
              <w:t>（</w:t>
            </w:r>
            <w:r>
              <w:rPr>
                <w:rFonts w:hint="eastAsia" w:ascii="仿宋" w:hAnsi="仿宋" w:eastAsia="仿宋"/>
                <w:kern w:val="0"/>
                <w:sz w:val="22"/>
                <w:szCs w:val="22"/>
              </w:rPr>
              <w:t>满足《中华人民共和国政府采购法》第二十二条规定</w:t>
            </w:r>
            <w:r>
              <w:rPr>
                <w:rFonts w:hint="eastAsia" w:ascii="仿宋" w:hAnsi="仿宋" w:eastAsia="仿宋"/>
                <w:kern w:val="0"/>
                <w:sz w:val="22"/>
                <w:szCs w:val="22"/>
                <w:lang w:eastAsia="zh-CN"/>
              </w:rPr>
              <w:t>）</w:t>
            </w:r>
            <w:r>
              <w:rPr>
                <w:rFonts w:hint="eastAsia" w:ascii="仿宋" w:hAnsi="仿宋" w:eastAsia="仿宋"/>
                <w:kern w:val="0"/>
                <w:sz w:val="22"/>
                <w:szCs w:val="22"/>
              </w:rPr>
              <w:t>；</w:t>
            </w:r>
          </w:p>
          <w:p w14:paraId="69FCC45E">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1</w:t>
            </w:r>
            <w:r>
              <w:rPr>
                <w:rFonts w:hint="eastAsia" w:ascii="仿宋" w:hAnsi="仿宋" w:eastAsia="仿宋"/>
                <w:kern w:val="0"/>
                <w:sz w:val="22"/>
                <w:szCs w:val="22"/>
              </w:rPr>
              <w:t>.独立承担民事责任能力的企业、事业、自然人，提供营业执照等经营性证件；</w:t>
            </w:r>
          </w:p>
          <w:p w14:paraId="5F470E5A">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2</w:t>
            </w:r>
            <w:r>
              <w:rPr>
                <w:rFonts w:hint="eastAsia" w:ascii="仿宋" w:hAnsi="仿宋" w:eastAsia="仿宋"/>
                <w:kern w:val="0"/>
                <w:sz w:val="22"/>
                <w:szCs w:val="22"/>
              </w:rPr>
              <w:t>.法人身份证明或法人授权委托书（含法人身份证复印件）和被授权人身份有效证件；</w:t>
            </w:r>
          </w:p>
          <w:p w14:paraId="070FB086">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3</w:t>
            </w:r>
            <w:r>
              <w:rPr>
                <w:rFonts w:hint="eastAsia" w:ascii="仿宋" w:hAnsi="仿宋" w:eastAsia="仿宋"/>
                <w:kern w:val="0"/>
                <w:sz w:val="22"/>
                <w:szCs w:val="22"/>
              </w:rPr>
              <w:t>.</w:t>
            </w:r>
            <w:r>
              <w:rPr>
                <w:rFonts w:hint="eastAsia" w:ascii="仿宋" w:hAnsi="仿宋" w:eastAsia="仿宋"/>
                <w:kern w:val="0"/>
                <w:sz w:val="22"/>
                <w:szCs w:val="22"/>
                <w:lang w:eastAsia="zh-CN"/>
              </w:rPr>
              <w:t>近两年任意一年完整的</w:t>
            </w:r>
            <w:r>
              <w:rPr>
                <w:rFonts w:hint="eastAsia" w:ascii="仿宋" w:hAnsi="仿宋" w:eastAsia="仿宋"/>
                <w:kern w:val="0"/>
                <w:sz w:val="22"/>
                <w:szCs w:val="22"/>
              </w:rPr>
              <w:t>财务审计报告（新成立公司提供开标前三个月内任意一个月有效银行资信证明）；</w:t>
            </w:r>
          </w:p>
          <w:p w14:paraId="6D94C8A2">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4</w:t>
            </w:r>
            <w:r>
              <w:rPr>
                <w:rFonts w:hint="eastAsia" w:ascii="仿宋" w:hAnsi="仿宋" w:eastAsia="仿宋"/>
                <w:kern w:val="0"/>
                <w:sz w:val="22"/>
                <w:szCs w:val="22"/>
              </w:rPr>
              <w:t>.投标企业依法缴纳近 6 个月任意一个月社会保险的凭据；</w:t>
            </w:r>
          </w:p>
          <w:p w14:paraId="2366537D">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5</w:t>
            </w:r>
            <w:r>
              <w:rPr>
                <w:rFonts w:hint="eastAsia" w:ascii="仿宋" w:hAnsi="仿宋" w:eastAsia="仿宋"/>
                <w:kern w:val="0"/>
                <w:sz w:val="22"/>
                <w:szCs w:val="22"/>
              </w:rPr>
              <w:t>.投标企业提供税务部门出具的近 6 个月任意一个月的完税证明；</w:t>
            </w:r>
          </w:p>
          <w:p w14:paraId="527AB64E">
            <w:pPr>
              <w:pStyle w:val="62"/>
              <w:ind w:firstLine="0" w:firstLineChars="0"/>
              <w:rPr>
                <w:rFonts w:hint="eastAsia" w:ascii="仿宋" w:hAnsi="仿宋" w:eastAsia="仿宋"/>
                <w:kern w:val="0"/>
                <w:sz w:val="22"/>
                <w:szCs w:val="22"/>
                <w:lang w:eastAsia="zh-CN"/>
              </w:rPr>
            </w:pPr>
            <w:r>
              <w:rPr>
                <w:rFonts w:hint="eastAsia" w:ascii="仿宋" w:hAnsi="仿宋" w:eastAsia="仿宋"/>
                <w:kern w:val="0"/>
                <w:sz w:val="22"/>
                <w:szCs w:val="22"/>
                <w:lang w:val="en-US" w:eastAsia="zh-CN"/>
              </w:rPr>
              <w:t>6</w:t>
            </w: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p w14:paraId="1E30D0F0">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7</w:t>
            </w:r>
            <w:r>
              <w:rPr>
                <w:rFonts w:hint="eastAsia" w:ascii="仿宋" w:hAnsi="仿宋" w:eastAsia="仿宋"/>
                <w:kern w:val="0"/>
                <w:sz w:val="22"/>
                <w:szCs w:val="22"/>
              </w:rPr>
              <w:t>.提供针对本次项目《反商业贿赂承诺书》；</w:t>
            </w:r>
          </w:p>
          <w:p w14:paraId="0A4658C4">
            <w:pPr>
              <w:pStyle w:val="62"/>
              <w:ind w:firstLine="0" w:firstLineChars="0"/>
              <w:rPr>
                <w:rFonts w:hint="eastAsia" w:ascii="仿宋" w:hAnsi="仿宋" w:eastAsia="仿宋"/>
                <w:kern w:val="0"/>
                <w:sz w:val="22"/>
                <w:szCs w:val="22"/>
              </w:rPr>
            </w:pPr>
            <w:r>
              <w:rPr>
                <w:rFonts w:hint="eastAsia" w:ascii="仿宋" w:hAnsi="仿宋" w:eastAsia="仿宋"/>
                <w:kern w:val="0"/>
                <w:sz w:val="22"/>
                <w:szCs w:val="22"/>
                <w:lang w:val="en-US" w:eastAsia="zh-CN"/>
              </w:rPr>
              <w:t>8</w:t>
            </w:r>
            <w:r>
              <w:rPr>
                <w:rFonts w:hint="eastAsia" w:ascii="仿宋" w:hAnsi="仿宋" w:eastAsia="仿宋"/>
                <w:kern w:val="0"/>
                <w:sz w:val="22"/>
                <w:szCs w:val="22"/>
              </w:rPr>
              <w:t>.缴纳投标保证金有效凭证；</w:t>
            </w:r>
          </w:p>
          <w:p w14:paraId="2DF2C237">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9</w:t>
            </w:r>
            <w:r>
              <w:rPr>
                <w:rFonts w:hint="eastAsia" w:ascii="仿宋" w:hAnsi="仿宋" w:eastAsia="仿宋"/>
                <w:kern w:val="0"/>
                <w:sz w:val="22"/>
                <w:szCs w:val="22"/>
              </w:rPr>
              <w:t>.本项目不接受联合体投标。</w:t>
            </w:r>
          </w:p>
          <w:p w14:paraId="14896DC8">
            <w:pPr>
              <w:pStyle w:val="55"/>
              <w:ind w:firstLine="0" w:firstLineChars="0"/>
              <w:rPr>
                <w:rFonts w:hint="eastAsia" w:ascii="仿宋" w:hAnsi="仿宋" w:eastAsia="仿宋"/>
                <w:kern w:val="0"/>
                <w:sz w:val="18"/>
                <w:szCs w:val="18"/>
              </w:rPr>
            </w:pPr>
            <w:r>
              <w:rPr>
                <w:rFonts w:hint="eastAsia" w:ascii="仿宋" w:hAnsi="仿宋" w:eastAsia="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6D729CF3">
            <w:pPr>
              <w:pStyle w:val="55"/>
              <w:ind w:firstLine="0" w:firstLineChars="0"/>
              <w:rPr>
                <w:rFonts w:ascii="仿宋" w:hAnsi="仿宋" w:eastAsia="仿宋"/>
                <w:b/>
                <w:bCs/>
                <w:kern w:val="0"/>
                <w:sz w:val="21"/>
                <w:szCs w:val="21"/>
              </w:rPr>
            </w:pPr>
            <w:r>
              <w:rPr>
                <w:rFonts w:hint="eastAsia" w:ascii="仿宋" w:hAnsi="仿宋" w:eastAsia="仿宋"/>
                <w:b/>
                <w:bCs/>
                <w:kern w:val="0"/>
                <w:sz w:val="21"/>
                <w:szCs w:val="21"/>
              </w:rPr>
              <w:t>提示：</w:t>
            </w:r>
            <w:r>
              <w:rPr>
                <w:rFonts w:hint="eastAsia" w:ascii="仿宋" w:hAnsi="仿宋" w:eastAsia="仿宋"/>
                <w:kern w:val="0"/>
                <w:sz w:val="21"/>
                <w:szCs w:val="21"/>
              </w:rPr>
              <w:t>上述资质开标现场能够通过官方网络查证的，均视为合格供应商。</w:t>
            </w:r>
          </w:p>
        </w:tc>
      </w:tr>
      <w:tr w14:paraId="1578A9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69B05AB9">
            <w:pPr>
              <w:spacing w:line="360" w:lineRule="auto"/>
              <w:ind w:left="1080" w:leftChars="257" w:hanging="540"/>
              <w:rPr>
                <w:rFonts w:eastAsia="仿宋"/>
                <w:sz w:val="24"/>
              </w:rPr>
            </w:pPr>
            <w:r>
              <w:rPr>
                <w:rFonts w:hint="eastAsia" w:eastAsia="仿宋"/>
                <w:sz w:val="24"/>
              </w:rPr>
              <w:t>4</w:t>
            </w:r>
          </w:p>
        </w:tc>
        <w:tc>
          <w:tcPr>
            <w:tcW w:w="6840" w:type="dxa"/>
            <w:vAlign w:val="center"/>
          </w:tcPr>
          <w:p w14:paraId="30B95008">
            <w:pPr>
              <w:spacing w:line="360" w:lineRule="auto"/>
              <w:rPr>
                <w:rFonts w:hint="eastAsia" w:eastAsia="楷体"/>
                <w:b/>
                <w:bCs/>
                <w:color w:val="000000"/>
                <w:sz w:val="24"/>
                <w:lang w:eastAsia="zh-CN"/>
              </w:rPr>
            </w:pPr>
            <w:r>
              <w:rPr>
                <w:rFonts w:eastAsia="仿宋"/>
                <w:b/>
                <w:bCs/>
                <w:color w:val="000000"/>
                <w:sz w:val="24"/>
              </w:rPr>
              <w:t>是否为专门面向中小企业采购：</w:t>
            </w:r>
            <w:r>
              <w:rPr>
                <w:rFonts w:hint="eastAsia" w:eastAsia="仿宋"/>
                <w:b/>
                <w:bCs/>
                <w:color w:val="000000"/>
                <w:sz w:val="24"/>
                <w:u w:val="single"/>
                <w:lang w:val="en-US" w:eastAsia="zh-CN"/>
              </w:rPr>
              <w:t>否</w:t>
            </w:r>
            <w:r>
              <w:rPr>
                <w:rFonts w:eastAsia="仿宋"/>
                <w:b/>
                <w:bCs/>
                <w:i/>
                <w:color w:val="000000"/>
                <w:sz w:val="24"/>
              </w:rPr>
              <w:t>（是、否）</w:t>
            </w:r>
            <w:r>
              <w:rPr>
                <w:rFonts w:hint="eastAsia" w:ascii="楷体" w:hAnsi="楷体" w:eastAsia="楷体"/>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b/>
                <w:bCs/>
                <w:color w:val="auto"/>
                <w:sz w:val="24"/>
                <w:u w:val="single"/>
              </w:rPr>
              <w:t>行业类型：</w:t>
            </w:r>
            <w:r>
              <w:rPr>
                <w:rFonts w:hint="eastAsia" w:ascii="楷体" w:hAnsi="楷体" w:eastAsia="楷体" w:cs="楷体"/>
                <w:b/>
                <w:bCs/>
                <w:color w:val="auto"/>
                <w:sz w:val="24"/>
                <w:u w:val="single"/>
                <w:lang w:val="en-US" w:eastAsia="zh-CN"/>
              </w:rPr>
              <w:t>工业</w:t>
            </w:r>
          </w:p>
        </w:tc>
      </w:tr>
      <w:tr w14:paraId="033175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26E8F6C3">
            <w:pPr>
              <w:spacing w:line="360" w:lineRule="auto"/>
              <w:ind w:left="1080" w:leftChars="257" w:hanging="540"/>
              <w:rPr>
                <w:rFonts w:eastAsia="仿宋"/>
                <w:sz w:val="24"/>
              </w:rPr>
            </w:pPr>
            <w:r>
              <w:rPr>
                <w:rFonts w:hint="eastAsia" w:eastAsia="仿宋"/>
                <w:sz w:val="24"/>
              </w:rPr>
              <w:t>5</w:t>
            </w:r>
          </w:p>
        </w:tc>
        <w:tc>
          <w:tcPr>
            <w:tcW w:w="6840" w:type="dxa"/>
            <w:vAlign w:val="center"/>
          </w:tcPr>
          <w:p w14:paraId="706E4285">
            <w:pPr>
              <w:spacing w:line="360" w:lineRule="auto"/>
              <w:rPr>
                <w:rFonts w:eastAsia="仿宋"/>
                <w:sz w:val="24"/>
              </w:rPr>
            </w:pPr>
            <w:r>
              <w:rPr>
                <w:rFonts w:eastAsia="仿宋"/>
                <w:sz w:val="24"/>
              </w:rPr>
              <w:t>是否允许联合体投标：否（是、否）</w:t>
            </w:r>
          </w:p>
        </w:tc>
      </w:tr>
      <w:tr w14:paraId="3D872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468" w:type="dxa"/>
            <w:vAlign w:val="center"/>
          </w:tcPr>
          <w:p w14:paraId="62430898">
            <w:pPr>
              <w:spacing w:line="360" w:lineRule="auto"/>
              <w:ind w:left="1080" w:leftChars="257" w:hanging="540"/>
              <w:rPr>
                <w:rFonts w:eastAsia="仿宋"/>
                <w:sz w:val="24"/>
              </w:rPr>
            </w:pPr>
            <w:r>
              <w:rPr>
                <w:rFonts w:hint="eastAsia" w:eastAsia="仿宋"/>
                <w:sz w:val="24"/>
              </w:rPr>
              <w:t>6</w:t>
            </w:r>
          </w:p>
        </w:tc>
        <w:tc>
          <w:tcPr>
            <w:tcW w:w="6840" w:type="dxa"/>
            <w:vAlign w:val="center"/>
          </w:tcPr>
          <w:p w14:paraId="7EFE727A">
            <w:pPr>
              <w:keepNext w:val="0"/>
              <w:keepLines w:val="0"/>
              <w:suppressLineNumbers w:val="0"/>
              <w:spacing w:before="0" w:beforeAutospacing="0" w:after="0" w:afterAutospacing="0"/>
              <w:ind w:left="0" w:right="0"/>
              <w:rPr>
                <w:rFonts w:hint="default"/>
                <w:lang w:eastAsia="zh-CN"/>
              </w:rPr>
            </w:pPr>
            <w:r>
              <w:rPr>
                <w:rFonts w:hint="eastAsia" w:eastAsia="仿宋"/>
                <w:b/>
                <w:bCs/>
                <w:color w:val="auto"/>
                <w:sz w:val="24"/>
                <w:lang w:val="en-US" w:eastAsia="zh-CN"/>
              </w:rPr>
              <w:t>核心</w:t>
            </w:r>
            <w:r>
              <w:rPr>
                <w:rFonts w:hint="eastAsia" w:ascii="Times New Roman" w:hAnsi="Times New Roman" w:eastAsia="仿宋" w:cs="Times New Roman"/>
                <w:b/>
                <w:bCs/>
                <w:color w:val="auto"/>
                <w:sz w:val="24"/>
                <w:lang w:val="en-US" w:eastAsia="zh-CN"/>
              </w:rPr>
              <w:t>产品</w:t>
            </w:r>
            <w:r>
              <w:rPr>
                <w:rFonts w:hint="eastAsia" w:eastAsia="仿宋"/>
                <w:b/>
                <w:bCs/>
                <w:color w:val="auto"/>
                <w:sz w:val="24"/>
                <w:lang w:val="en-US" w:eastAsia="zh-CN"/>
              </w:rPr>
              <w:t>：</w:t>
            </w:r>
            <w:r>
              <w:rPr>
                <w:rFonts w:hint="default" w:ascii="Times New Roman" w:hAnsi="Times New Roman" w:eastAsia="仿宋" w:cs="Times New Roman"/>
                <w:b/>
                <w:bCs/>
                <w:color w:val="auto"/>
                <w:sz w:val="24"/>
                <w:lang w:val="en-US" w:eastAsia="zh-CN"/>
              </w:rPr>
              <w:t>主音箱</w:t>
            </w:r>
          </w:p>
        </w:tc>
      </w:tr>
      <w:tr w14:paraId="29ED6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56BE1AA4">
            <w:pPr>
              <w:spacing w:line="360" w:lineRule="auto"/>
              <w:ind w:left="1080" w:leftChars="257" w:hanging="540"/>
              <w:rPr>
                <w:rFonts w:eastAsia="仿宋"/>
                <w:sz w:val="24"/>
              </w:rPr>
            </w:pPr>
            <w:r>
              <w:rPr>
                <w:rFonts w:hint="eastAsia" w:eastAsia="仿宋"/>
                <w:sz w:val="24"/>
              </w:rPr>
              <w:t>7</w:t>
            </w:r>
          </w:p>
        </w:tc>
        <w:tc>
          <w:tcPr>
            <w:tcW w:w="6840" w:type="dxa"/>
            <w:vAlign w:val="center"/>
          </w:tcPr>
          <w:p w14:paraId="4DFF3D52">
            <w:pPr>
              <w:pStyle w:val="42"/>
              <w:spacing w:line="360" w:lineRule="exact"/>
              <w:rPr>
                <w:rFonts w:eastAsia="仿宋"/>
                <w:sz w:val="32"/>
                <w:szCs w:val="32"/>
              </w:rPr>
            </w:pPr>
            <w:r>
              <w:rPr>
                <w:rFonts w:ascii="Times New Roman" w:hAnsi="Times New Roman" w:eastAsia="仿宋"/>
              </w:rPr>
              <w:t>项目</w:t>
            </w:r>
            <w:r>
              <w:rPr>
                <w:rFonts w:hint="eastAsia" w:ascii="Times New Roman" w:hAnsi="Times New Roman" w:eastAsia="仿宋"/>
              </w:rPr>
              <w:t>总</w:t>
            </w:r>
            <w:r>
              <w:rPr>
                <w:rFonts w:ascii="Times New Roman" w:hAnsi="Times New Roman" w:eastAsia="仿宋"/>
              </w:rPr>
              <w:t>预算金额：</w:t>
            </w:r>
            <w:r>
              <w:rPr>
                <w:rFonts w:hint="eastAsia" w:ascii="仿宋" w:hAnsi="仿宋" w:eastAsia="仿宋" w:cs="Times New Roman"/>
                <w:b/>
                <w:bCs/>
                <w:color w:val="000000"/>
                <w:lang w:val="en-US" w:eastAsia="zh-CN"/>
              </w:rPr>
              <w:t>409.7412万元</w:t>
            </w:r>
          </w:p>
        </w:tc>
      </w:tr>
      <w:tr w14:paraId="24A7A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33E9CE31">
            <w:pPr>
              <w:spacing w:line="360" w:lineRule="auto"/>
              <w:ind w:left="1080" w:leftChars="257" w:hanging="540"/>
              <w:rPr>
                <w:rFonts w:eastAsia="仿宋"/>
                <w:sz w:val="24"/>
              </w:rPr>
            </w:pPr>
            <w:r>
              <w:rPr>
                <w:rFonts w:hint="eastAsia" w:eastAsia="仿宋"/>
                <w:sz w:val="24"/>
              </w:rPr>
              <w:t>8</w:t>
            </w:r>
          </w:p>
        </w:tc>
        <w:tc>
          <w:tcPr>
            <w:tcW w:w="6840" w:type="dxa"/>
            <w:vAlign w:val="center"/>
          </w:tcPr>
          <w:p w14:paraId="64116E52">
            <w:pPr>
              <w:pStyle w:val="42"/>
              <w:spacing w:line="360" w:lineRule="exact"/>
              <w:rPr>
                <w:rFonts w:eastAsia="仿宋"/>
              </w:rPr>
            </w:pPr>
            <w:r>
              <w:rPr>
                <w:rFonts w:hint="eastAsia" w:ascii="Times New Roman" w:hAnsi="Times New Roman" w:eastAsia="仿宋"/>
              </w:rPr>
              <w:t>本项目最高限价：</w:t>
            </w:r>
            <w:r>
              <w:rPr>
                <w:rFonts w:hint="eastAsia" w:ascii="仿宋" w:hAnsi="仿宋" w:eastAsia="仿宋" w:cs="Times New Roman"/>
                <w:b/>
                <w:bCs/>
                <w:color w:val="000000"/>
                <w:lang w:val="en-US" w:eastAsia="zh-CN"/>
              </w:rPr>
              <w:t>409.7412万元</w:t>
            </w:r>
          </w:p>
        </w:tc>
      </w:tr>
      <w:tr w14:paraId="7D6B2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92" w:hRule="atLeast"/>
        </w:trPr>
        <w:tc>
          <w:tcPr>
            <w:tcW w:w="1468" w:type="dxa"/>
            <w:vAlign w:val="center"/>
          </w:tcPr>
          <w:p w14:paraId="60974A7E">
            <w:pPr>
              <w:spacing w:line="360" w:lineRule="auto"/>
              <w:ind w:left="1080" w:leftChars="257" w:hanging="540"/>
              <w:rPr>
                <w:rFonts w:eastAsia="仿宋"/>
                <w:sz w:val="24"/>
              </w:rPr>
            </w:pPr>
            <w:r>
              <w:rPr>
                <w:rFonts w:hint="eastAsia" w:eastAsia="仿宋"/>
                <w:sz w:val="24"/>
              </w:rPr>
              <w:t>9</w:t>
            </w:r>
          </w:p>
        </w:tc>
        <w:tc>
          <w:tcPr>
            <w:tcW w:w="6840" w:type="dxa"/>
            <w:vAlign w:val="center"/>
          </w:tcPr>
          <w:p w14:paraId="43056EA7">
            <w:pPr>
              <w:spacing w:line="360" w:lineRule="auto"/>
              <w:rPr>
                <w:rFonts w:ascii="仿宋" w:hAnsi="仿宋" w:eastAsia="仿宋" w:cs="仿宋"/>
                <w:b/>
                <w:bCs/>
                <w:sz w:val="24"/>
              </w:rPr>
            </w:pPr>
            <w:r>
              <w:rPr>
                <w:rFonts w:hint="eastAsia" w:ascii="仿宋" w:hAnsi="仿宋" w:eastAsia="仿宋" w:cs="仿宋"/>
                <w:b/>
                <w:bCs/>
                <w:sz w:val="24"/>
              </w:rPr>
              <w:t>签字盖章：</w:t>
            </w:r>
          </w:p>
          <w:p w14:paraId="6E2165C5">
            <w:pPr>
              <w:spacing w:line="360" w:lineRule="auto"/>
            </w:pPr>
            <w:r>
              <w:rPr>
                <w:rFonts w:hint="eastAsia" w:ascii="仿宋" w:hAnsi="仿宋" w:eastAsia="仿宋" w:cs="仿宋"/>
                <w:sz w:val="22"/>
                <w:szCs w:val="22"/>
              </w:rPr>
              <w:t>供应商必须按照竞争性磋商文件的规定和要求进行签章。“电子签名”系指数据电文中以电子形式所含、所附用于识别签名人身份并表明签名人认可内容的数据；“公章”系指单位法定名称章。</w:t>
            </w:r>
          </w:p>
        </w:tc>
      </w:tr>
      <w:tr w14:paraId="351F1A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32A65F21">
            <w:pPr>
              <w:spacing w:line="360" w:lineRule="auto"/>
              <w:ind w:left="1080" w:leftChars="257" w:hanging="540"/>
              <w:rPr>
                <w:rFonts w:eastAsia="仿宋"/>
                <w:sz w:val="24"/>
              </w:rPr>
            </w:pPr>
            <w:r>
              <w:rPr>
                <w:rFonts w:hint="eastAsia" w:eastAsia="仿宋"/>
                <w:sz w:val="24"/>
              </w:rPr>
              <w:t>10</w:t>
            </w:r>
          </w:p>
        </w:tc>
        <w:tc>
          <w:tcPr>
            <w:tcW w:w="6840" w:type="dxa"/>
            <w:vAlign w:val="center"/>
          </w:tcPr>
          <w:p w14:paraId="6AE0B3AB">
            <w:pPr>
              <w:pStyle w:val="39"/>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rPr>
              <w:t>☑保函  ☑ 电汇 ☑</w:t>
            </w:r>
            <w:r>
              <w:rPr>
                <w:rFonts w:hint="eastAsia" w:ascii="仿宋" w:hAnsi="仿宋" w:eastAsia="仿宋"/>
                <w:lang w:val="en-US" w:eastAsia="zh-CN"/>
              </w:rPr>
              <w:t xml:space="preserve">支票 </w:t>
            </w:r>
            <w:r>
              <w:rPr>
                <w:rFonts w:hint="eastAsia" w:ascii="仿宋" w:hAnsi="仿宋" w:eastAsia="仿宋"/>
              </w:rPr>
              <w:t>☑</w:t>
            </w:r>
            <w:r>
              <w:rPr>
                <w:rFonts w:hint="eastAsia" w:ascii="仿宋" w:hAnsi="仿宋" w:eastAsia="仿宋"/>
                <w:lang w:val="en-US" w:eastAsia="zh-CN"/>
              </w:rPr>
              <w:t>本票</w:t>
            </w:r>
            <w:r>
              <w:rPr>
                <w:rFonts w:hint="eastAsia" w:ascii="仿宋" w:hAnsi="仿宋" w:eastAsia="仿宋"/>
              </w:rPr>
              <w:t>☑ 企业账户网银汇款（本项目允许的其他形式）</w:t>
            </w:r>
          </w:p>
          <w:p w14:paraId="6FE75D4F">
            <w:pPr>
              <w:spacing w:line="360" w:lineRule="auto"/>
              <w:rPr>
                <w:rFonts w:hint="default"/>
                <w:lang w:val="en-US" w:eastAsia="zh-CN"/>
              </w:rPr>
            </w:pPr>
            <w:r>
              <w:rPr>
                <w:rFonts w:eastAsia="仿宋"/>
                <w:sz w:val="24"/>
              </w:rPr>
              <w:t>保证金</w:t>
            </w:r>
            <w:r>
              <w:rPr>
                <w:rFonts w:hint="eastAsia" w:ascii="仿宋" w:hAnsi="仿宋" w:eastAsia="仿宋" w:cs="仿宋"/>
                <w:sz w:val="24"/>
              </w:rPr>
              <w:t>数额：</w:t>
            </w:r>
            <w:r>
              <w:rPr>
                <w:rFonts w:hint="eastAsia" w:ascii="仿宋" w:hAnsi="仿宋" w:eastAsia="仿宋" w:cs="仿宋"/>
                <w:sz w:val="24"/>
                <w:lang w:val="en-US" w:eastAsia="zh-CN"/>
              </w:rPr>
              <w:t>8万元</w:t>
            </w:r>
          </w:p>
          <w:p w14:paraId="73B1CBC6">
            <w:pPr>
              <w:spacing w:line="360" w:lineRule="auto"/>
              <w:rPr>
                <w:rFonts w:eastAsia="仿宋"/>
                <w:sz w:val="22"/>
                <w:szCs w:val="22"/>
              </w:rPr>
            </w:pPr>
            <w:r>
              <w:rPr>
                <w:rFonts w:eastAsia="仿宋"/>
                <w:sz w:val="22"/>
                <w:szCs w:val="22"/>
              </w:rPr>
              <w:t>投标保证金收款人：喀什地区公共资源交易中心</w:t>
            </w:r>
          </w:p>
          <w:p w14:paraId="6CEA6B68">
            <w:pPr>
              <w:spacing w:line="360" w:lineRule="auto"/>
              <w:rPr>
                <w:rFonts w:eastAsia="仿宋"/>
                <w:sz w:val="22"/>
                <w:szCs w:val="22"/>
              </w:rPr>
            </w:pPr>
            <w:r>
              <w:rPr>
                <w:rFonts w:eastAsia="仿宋"/>
                <w:sz w:val="22"/>
                <w:szCs w:val="22"/>
              </w:rPr>
              <w:t>开</w:t>
            </w:r>
            <w:r>
              <w:rPr>
                <w:rFonts w:hint="eastAsia" w:eastAsia="仿宋"/>
                <w:sz w:val="22"/>
                <w:szCs w:val="22"/>
                <w:lang w:val="en-US" w:eastAsia="zh-CN"/>
              </w:rPr>
              <w:t xml:space="preserve"> </w:t>
            </w:r>
            <w:r>
              <w:rPr>
                <w:rFonts w:eastAsia="仿宋"/>
                <w:sz w:val="22"/>
                <w:szCs w:val="22"/>
              </w:rPr>
              <w:t>户</w:t>
            </w:r>
            <w:r>
              <w:rPr>
                <w:rFonts w:hint="eastAsia" w:eastAsia="仿宋"/>
                <w:sz w:val="22"/>
                <w:szCs w:val="22"/>
                <w:lang w:val="en-US" w:eastAsia="zh-CN"/>
              </w:rPr>
              <w:t xml:space="preserve"> </w:t>
            </w:r>
            <w:r>
              <w:rPr>
                <w:rFonts w:eastAsia="仿宋"/>
                <w:sz w:val="22"/>
                <w:szCs w:val="22"/>
              </w:rPr>
              <w:t>行：中国建设银行股份有限公司疏附支行</w:t>
            </w:r>
          </w:p>
          <w:p w14:paraId="583DD2DE">
            <w:pPr>
              <w:spacing w:line="360" w:lineRule="auto"/>
              <w:rPr>
                <w:rFonts w:eastAsia="仿宋"/>
                <w:sz w:val="22"/>
                <w:szCs w:val="22"/>
              </w:rPr>
            </w:pPr>
            <w:r>
              <w:rPr>
                <w:rFonts w:eastAsia="仿宋"/>
                <w:sz w:val="22"/>
                <w:szCs w:val="22"/>
              </w:rPr>
              <w:t>银行账号：65050174602600000509-000003</w:t>
            </w:r>
          </w:p>
          <w:p w14:paraId="18E07720">
            <w:pPr>
              <w:spacing w:line="360" w:lineRule="auto"/>
              <w:rPr>
                <w:rFonts w:hint="eastAsia" w:eastAsia="仿宋"/>
                <w:sz w:val="22"/>
                <w:szCs w:val="22"/>
                <w:lang w:eastAsia="zh-CN"/>
              </w:rPr>
            </w:pPr>
            <w:r>
              <w:rPr>
                <w:rFonts w:eastAsia="仿宋"/>
                <w:sz w:val="22"/>
                <w:szCs w:val="22"/>
              </w:rPr>
              <w:t>行</w:t>
            </w:r>
            <w:r>
              <w:rPr>
                <w:rFonts w:hint="eastAsia" w:eastAsia="仿宋"/>
                <w:sz w:val="22"/>
                <w:szCs w:val="22"/>
                <w:lang w:val="en-US" w:eastAsia="zh-CN"/>
              </w:rPr>
              <w:t xml:space="preserve">    </w:t>
            </w:r>
            <w:r>
              <w:rPr>
                <w:rFonts w:eastAsia="仿宋"/>
                <w:sz w:val="22"/>
                <w:szCs w:val="22"/>
              </w:rPr>
              <w:t>号：1058942000</w:t>
            </w:r>
            <w:r>
              <w:rPr>
                <w:rFonts w:hint="eastAsia" w:eastAsia="仿宋"/>
                <w:sz w:val="22"/>
                <w:szCs w:val="22"/>
                <w:lang w:eastAsia="zh-CN"/>
              </w:rPr>
              <w:t>27</w:t>
            </w:r>
          </w:p>
          <w:p w14:paraId="56CFB09F">
            <w:pPr>
              <w:rPr>
                <w:rFonts w:hint="eastAsia" w:ascii="仿宋" w:hAnsi="仿宋" w:eastAsia="仿宋"/>
                <w:szCs w:val="21"/>
                <w:lang w:val="en-US" w:eastAsia="zh-CN"/>
              </w:rPr>
            </w:pPr>
            <w:r>
              <w:rPr>
                <w:rFonts w:hint="eastAsia" w:ascii="仿宋" w:hAnsi="仿宋" w:eastAsia="仿宋"/>
                <w:szCs w:val="21"/>
                <w:lang w:val="en-US" w:eastAsia="zh-CN"/>
              </w:rPr>
              <w:t>备注说明：</w:t>
            </w:r>
          </w:p>
          <w:p w14:paraId="3834FA92">
            <w:pPr>
              <w:rPr>
                <w:rFonts w:ascii="仿宋" w:hAnsi="仿宋" w:eastAsia="仿宋"/>
                <w:szCs w:val="21"/>
              </w:rPr>
            </w:pPr>
            <w:r>
              <w:rPr>
                <w:rFonts w:hint="eastAsia" w:ascii="仿宋" w:hAnsi="仿宋" w:eastAsia="仿宋"/>
                <w:szCs w:val="21"/>
              </w:rPr>
              <w:t>1.打款时必须注明投标保证金项目名称或项目编号</w:t>
            </w:r>
            <w:r>
              <w:rPr>
                <w:rFonts w:hint="eastAsia" w:ascii="仿宋" w:hAnsi="仿宋" w:eastAsia="仿宋"/>
                <w:color w:val="FF0000"/>
                <w:szCs w:val="21"/>
              </w:rPr>
              <w:t>（</w:t>
            </w:r>
            <w:r>
              <w:rPr>
                <w:rFonts w:hint="eastAsia" w:ascii="仿宋" w:hAnsi="仿宋" w:eastAsia="仿宋"/>
                <w:b/>
                <w:bCs/>
                <w:color w:val="FF0000"/>
                <w:szCs w:val="21"/>
                <w:lang w:val="en-US" w:eastAsia="zh-CN"/>
              </w:rPr>
              <w:t>打款</w:t>
            </w:r>
            <w:r>
              <w:rPr>
                <w:rFonts w:hint="eastAsia" w:ascii="仿宋" w:hAnsi="仿宋" w:eastAsia="仿宋"/>
                <w:b/>
                <w:bCs/>
                <w:color w:val="FF0000"/>
                <w:szCs w:val="21"/>
              </w:rPr>
              <w:t>到账</w:t>
            </w:r>
            <w:r>
              <w:rPr>
                <w:rFonts w:hint="eastAsia" w:ascii="仿宋" w:hAnsi="仿宋" w:eastAsia="仿宋"/>
                <w:b/>
                <w:bCs/>
                <w:color w:val="FF0000"/>
                <w:szCs w:val="21"/>
                <w:lang w:val="en-US" w:eastAsia="zh-CN"/>
              </w:rPr>
              <w:t>需为投标</w:t>
            </w:r>
            <w:r>
              <w:rPr>
                <w:rFonts w:hint="eastAsia" w:ascii="仿宋" w:hAnsi="仿宋" w:eastAsia="仿宋"/>
                <w:b/>
                <w:bCs/>
                <w:color w:val="FF0000"/>
                <w:szCs w:val="21"/>
              </w:rPr>
              <w:t>截止时间前</w:t>
            </w:r>
            <w:r>
              <w:rPr>
                <w:rFonts w:hint="eastAsia" w:ascii="仿宋" w:hAnsi="仿宋" w:eastAsia="仿宋"/>
                <w:b/>
                <w:bCs/>
                <w:color w:val="FF0000"/>
                <w:szCs w:val="21"/>
                <w:lang w:eastAsia="zh-CN"/>
              </w:rPr>
              <w:t>，</w:t>
            </w:r>
            <w:r>
              <w:rPr>
                <w:rFonts w:hint="eastAsia" w:ascii="仿宋" w:hAnsi="仿宋" w:eastAsia="仿宋"/>
                <w:b/>
                <w:bCs/>
                <w:color w:val="FF0000"/>
                <w:szCs w:val="21"/>
              </w:rPr>
              <w:t>否则视为无效打款</w:t>
            </w:r>
            <w:r>
              <w:rPr>
                <w:rFonts w:hint="eastAsia" w:ascii="仿宋" w:hAnsi="仿宋" w:eastAsia="仿宋"/>
                <w:b/>
                <w:bCs/>
                <w:color w:val="FF0000"/>
                <w:szCs w:val="21"/>
                <w:lang w:eastAsia="zh-CN"/>
              </w:rPr>
              <w:t>；</w:t>
            </w:r>
            <w:r>
              <w:rPr>
                <w:rFonts w:hint="eastAsia" w:ascii="仿宋" w:hAnsi="仿宋" w:eastAsia="仿宋"/>
                <w:b/>
                <w:bCs/>
                <w:color w:val="FF0000"/>
                <w:szCs w:val="21"/>
                <w:lang w:val="en-US" w:eastAsia="zh-CN"/>
              </w:rPr>
              <w:t>若项目分包为多标段，投标人需按标段分批打款，若出现一次性为2个及以上标段合并打款或按项目多标段总投标保证金打款视为无效</w:t>
            </w:r>
            <w:r>
              <w:rPr>
                <w:rFonts w:hint="eastAsia" w:ascii="仿宋" w:hAnsi="仿宋" w:eastAsia="仿宋"/>
                <w:color w:val="FF0000"/>
                <w:szCs w:val="21"/>
              </w:rPr>
              <w:t>）</w:t>
            </w:r>
            <w:r>
              <w:rPr>
                <w:rFonts w:hint="eastAsia" w:ascii="仿宋" w:hAnsi="仿宋" w:eastAsia="仿宋"/>
                <w:szCs w:val="21"/>
              </w:rPr>
              <w:t>。</w:t>
            </w:r>
          </w:p>
          <w:p w14:paraId="0032FB94">
            <w:pPr>
              <w:rPr>
                <w:rFonts w:ascii="仿宋" w:hAnsi="仿宋" w:eastAsia="仿宋"/>
                <w:szCs w:val="21"/>
              </w:rPr>
            </w:pPr>
            <w:r>
              <w:rPr>
                <w:rFonts w:hint="eastAsia" w:ascii="仿宋" w:hAnsi="仿宋" w:eastAsia="仿宋"/>
                <w:szCs w:val="21"/>
              </w:rPr>
              <w:t>2.本项目不需要换取收据，银行汇款凭证用于投标保证金证明。如因投标人自身原因打款不成功的，代理公司不承担任何责任。</w:t>
            </w:r>
          </w:p>
          <w:p w14:paraId="1CB8A4FC">
            <w:pPr>
              <w:rPr>
                <w:rFonts w:hint="eastAsia" w:ascii="仿宋" w:hAnsi="仿宋" w:eastAsia="仿宋"/>
                <w:szCs w:val="21"/>
              </w:rPr>
            </w:pPr>
            <w:r>
              <w:rPr>
                <w:rFonts w:hint="eastAsia" w:ascii="仿宋" w:hAnsi="仿宋" w:eastAsia="仿宋"/>
                <w:szCs w:val="21"/>
              </w:rPr>
              <w:t>3.中标人应在与采购人签订合同之日起5个工作日内，</w:t>
            </w:r>
            <w:r>
              <w:rPr>
                <w:rFonts w:hint="eastAsia" w:ascii="仿宋" w:hAnsi="仿宋" w:eastAsia="仿宋"/>
                <w:szCs w:val="21"/>
                <w:lang w:val="en-US" w:eastAsia="zh-CN"/>
              </w:rPr>
              <w:t>将合同上传至政府采购网，并及时与交易中心联系，经交易中心核实后原账户返回。</w:t>
            </w:r>
          </w:p>
          <w:p w14:paraId="2EE079FA">
            <w:pPr>
              <w:rPr>
                <w:rFonts w:ascii="仿宋" w:hAnsi="仿宋" w:eastAsia="仿宋"/>
                <w:szCs w:val="21"/>
              </w:rPr>
            </w:pPr>
            <w:r>
              <w:rPr>
                <w:rFonts w:hint="eastAsia" w:ascii="仿宋" w:hAnsi="仿宋" w:eastAsia="仿宋"/>
                <w:szCs w:val="21"/>
              </w:rPr>
              <w:t>4.未中标投标人的投标保证金将在中标通知书发出之日暨中标结果公告公布之日起5个工作日内无息</w:t>
            </w:r>
            <w:r>
              <w:rPr>
                <w:rFonts w:hint="eastAsia" w:ascii="仿宋" w:hAnsi="仿宋" w:eastAsia="仿宋"/>
                <w:szCs w:val="21"/>
                <w:lang w:val="en-US" w:eastAsia="zh-CN"/>
              </w:rPr>
              <w:t>原账户返还。</w:t>
            </w:r>
          </w:p>
        </w:tc>
      </w:tr>
      <w:tr w14:paraId="7B1EC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4" w:hRule="atLeast"/>
        </w:trPr>
        <w:tc>
          <w:tcPr>
            <w:tcW w:w="1468" w:type="dxa"/>
            <w:vAlign w:val="center"/>
          </w:tcPr>
          <w:p w14:paraId="23DBD82E">
            <w:pPr>
              <w:spacing w:line="360" w:lineRule="auto"/>
              <w:ind w:left="1080" w:leftChars="257" w:hanging="540"/>
              <w:rPr>
                <w:rFonts w:eastAsia="仿宋"/>
                <w:sz w:val="24"/>
              </w:rPr>
            </w:pPr>
            <w:r>
              <w:rPr>
                <w:rFonts w:hint="eastAsia" w:eastAsia="仿宋"/>
                <w:sz w:val="24"/>
              </w:rPr>
              <w:t>11</w:t>
            </w:r>
          </w:p>
        </w:tc>
        <w:tc>
          <w:tcPr>
            <w:tcW w:w="6840" w:type="dxa"/>
            <w:vAlign w:val="center"/>
          </w:tcPr>
          <w:p w14:paraId="5E082003">
            <w:pPr>
              <w:spacing w:line="360" w:lineRule="auto"/>
              <w:rPr>
                <w:rFonts w:eastAsia="仿宋"/>
                <w:sz w:val="24"/>
              </w:rPr>
            </w:pPr>
            <w:r>
              <w:rPr>
                <w:rFonts w:eastAsia="仿宋"/>
                <w:sz w:val="24"/>
              </w:rPr>
              <w:t>投标有效期：</w:t>
            </w:r>
            <w:r>
              <w:rPr>
                <w:rFonts w:eastAsia="仿宋"/>
                <w:sz w:val="24"/>
                <w:u w:val="single"/>
              </w:rPr>
              <w:t>90</w:t>
            </w:r>
            <w:r>
              <w:rPr>
                <w:rFonts w:eastAsia="仿宋"/>
                <w:sz w:val="24"/>
              </w:rPr>
              <w:t>日历日</w:t>
            </w:r>
          </w:p>
        </w:tc>
      </w:tr>
      <w:tr w14:paraId="63847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1468" w:type="dxa"/>
            <w:vAlign w:val="center"/>
          </w:tcPr>
          <w:p w14:paraId="52778EAF">
            <w:pPr>
              <w:spacing w:line="360" w:lineRule="auto"/>
              <w:ind w:left="1080" w:leftChars="257" w:hanging="540"/>
              <w:rPr>
                <w:rFonts w:eastAsia="仿宋"/>
                <w:sz w:val="24"/>
              </w:rPr>
            </w:pPr>
            <w:r>
              <w:rPr>
                <w:rFonts w:hint="eastAsia" w:eastAsia="仿宋"/>
                <w:sz w:val="24"/>
              </w:rPr>
              <w:t>12</w:t>
            </w:r>
          </w:p>
        </w:tc>
        <w:tc>
          <w:tcPr>
            <w:tcW w:w="6840" w:type="dxa"/>
            <w:vAlign w:val="center"/>
          </w:tcPr>
          <w:p w14:paraId="66F435DD">
            <w:pPr>
              <w:rPr>
                <w:rFonts w:ascii="仿宋" w:hAnsi="仿宋" w:eastAsia="仿宋"/>
                <w:szCs w:val="21"/>
              </w:rPr>
            </w:pPr>
            <w:r>
              <w:rPr>
                <w:rFonts w:hint="eastAsia" w:ascii="仿宋" w:hAnsi="仿宋" w:eastAsia="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0843E3F">
            <w:pPr>
              <w:rPr>
                <w:rFonts w:ascii="仿宋" w:hAnsi="仿宋" w:eastAsia="仿宋"/>
                <w:szCs w:val="21"/>
              </w:rPr>
            </w:pPr>
            <w:r>
              <w:rPr>
                <w:rFonts w:hint="eastAsia" w:ascii="仿宋" w:hAnsi="仿宋" w:eastAsia="仿宋"/>
                <w:szCs w:val="21"/>
              </w:rPr>
              <w:t>（1）新疆CA服务热线0991-2819</w:t>
            </w:r>
            <w:r>
              <w:rPr>
                <w:rFonts w:hint="eastAsia" w:ascii="仿宋" w:hAnsi="仿宋" w:eastAsia="仿宋"/>
                <w:szCs w:val="21"/>
                <w:lang w:eastAsia="zh-CN"/>
              </w:rPr>
              <w:t>27</w:t>
            </w:r>
            <w:r>
              <w:rPr>
                <w:rFonts w:hint="eastAsia" w:ascii="仿宋" w:hAnsi="仿宋" w:eastAsia="仿宋"/>
                <w:szCs w:val="21"/>
              </w:rPr>
              <w:t>0（喀什办理地点喀什东城喀什市行政审批局一楼企业服务专区数字证书窗口，联系电话15001465669）</w:t>
            </w:r>
          </w:p>
          <w:p w14:paraId="527B8651">
            <w:pPr>
              <w:rPr>
                <w:rFonts w:ascii="仿宋" w:hAnsi="仿宋" w:eastAsia="仿宋"/>
                <w:szCs w:val="21"/>
              </w:rPr>
            </w:pPr>
            <w:r>
              <w:rPr>
                <w:rFonts w:hint="eastAsia" w:ascii="仿宋" w:hAnsi="仿宋" w:eastAsia="仿宋"/>
                <w:szCs w:val="21"/>
              </w:rPr>
              <w:t>（2）翔晟CA服务热线025-66085508（总部24小时电话）（喀什办理地点：喀什市东城行政审批局一楼28号窗口13150441724（喀什现场24小时电话）</w:t>
            </w:r>
          </w:p>
          <w:p w14:paraId="37503E3D">
            <w:pPr>
              <w:rPr>
                <w:rFonts w:ascii="仿宋" w:hAnsi="仿宋" w:eastAsia="仿宋"/>
                <w:szCs w:val="21"/>
              </w:rPr>
            </w:pPr>
            <w:r>
              <w:rPr>
                <w:rFonts w:hint="eastAsia" w:ascii="仿宋" w:hAnsi="仿宋" w:eastAsia="仿宋"/>
                <w:szCs w:val="21"/>
              </w:rPr>
              <w:t>2.本项目实行网上投标，采用电子投标文件(供应商须使用CA加密设备通过政采云电子投标客户端制作投标文件)。若供应商参与投标，自行承担投标一切费用。</w:t>
            </w:r>
          </w:p>
          <w:p w14:paraId="0CAFB878">
            <w:pPr>
              <w:rPr>
                <w:rFonts w:ascii="仿宋" w:hAnsi="仿宋" w:eastAsia="仿宋"/>
                <w:szCs w:val="21"/>
              </w:rPr>
            </w:pPr>
            <w:r>
              <w:rPr>
                <w:rFonts w:hint="eastAsia" w:ascii="仿宋" w:hAnsi="仿宋" w:eastAsia="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49EE5309">
            <w:pPr>
              <w:rPr>
                <w:rFonts w:ascii="仿宋" w:hAnsi="仿宋" w:eastAsia="仿宋"/>
                <w:szCs w:val="21"/>
              </w:rPr>
            </w:pPr>
            <w:r>
              <w:rPr>
                <w:rFonts w:hint="eastAsia" w:ascii="仿宋" w:hAnsi="仿宋" w:eastAsia="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F2951D6">
            <w:pPr>
              <w:rPr>
                <w:rFonts w:ascii="仿宋" w:hAnsi="仿宋" w:eastAsia="仿宋"/>
                <w:szCs w:val="21"/>
              </w:rPr>
            </w:pPr>
            <w:r>
              <w:rPr>
                <w:rFonts w:hint="eastAsia" w:ascii="仿宋" w:hAnsi="仿宋" w:eastAsia="仿宋"/>
                <w:szCs w:val="21"/>
              </w:rPr>
              <w:t>5.供应商在开标时须使用制作加密电子投标文件所使用的CA锁及电脑，电脑须提前配置好浏览器（建议使用360浏览器或谷歌浏览器），以便开标时解锁。</w:t>
            </w:r>
          </w:p>
          <w:p w14:paraId="17ADADD4">
            <w:pPr>
              <w:rPr>
                <w:rFonts w:ascii="仿宋" w:hAnsi="仿宋" w:eastAsia="仿宋"/>
                <w:szCs w:val="21"/>
              </w:rPr>
            </w:pPr>
            <w:r>
              <w:rPr>
                <w:rFonts w:hint="eastAsia" w:ascii="仿宋" w:hAnsi="仿宋" w:eastAsia="仿宋"/>
                <w:szCs w:val="21"/>
              </w:rPr>
              <w:t>6.投标保证金缴纳及确认时间：凡拟参加本次招标项目的供应商，必须在开标前将投标保证金汇入指定账户。否则，届时其投标将被拒绝。</w:t>
            </w:r>
          </w:p>
          <w:p w14:paraId="304EEC01">
            <w:pPr>
              <w:rPr>
                <w:rFonts w:ascii="仿宋" w:hAnsi="仿宋" w:eastAsia="仿宋"/>
                <w:szCs w:val="21"/>
              </w:rPr>
            </w:pPr>
            <w:r>
              <w:rPr>
                <w:rFonts w:hint="eastAsia" w:ascii="仿宋" w:hAnsi="仿宋" w:eastAsia="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027E60F">
            <w:pPr>
              <w:rPr>
                <w:rFonts w:ascii="仿宋" w:hAnsi="仿宋" w:eastAsia="仿宋"/>
                <w:szCs w:val="21"/>
              </w:rPr>
            </w:pPr>
            <w:r>
              <w:rPr>
                <w:rFonts w:hint="eastAsia" w:ascii="仿宋" w:hAnsi="仿宋" w:eastAsia="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6F8FFF49">
            <w:pPr>
              <w:rPr>
                <w:rFonts w:ascii="仿宋" w:hAnsi="仿宋" w:eastAsia="仿宋"/>
                <w:szCs w:val="21"/>
              </w:rPr>
            </w:pPr>
            <w:r>
              <w:rPr>
                <w:rFonts w:hint="eastAsia" w:ascii="仿宋" w:hAnsi="仿宋" w:eastAsia="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66432837">
            <w:pPr>
              <w:rPr>
                <w:rFonts w:ascii="仿宋" w:hAnsi="仿宋" w:eastAsia="仿宋"/>
                <w:szCs w:val="21"/>
              </w:rPr>
            </w:pPr>
            <w:r>
              <w:rPr>
                <w:rFonts w:hint="eastAsia" w:ascii="仿宋" w:hAnsi="仿宋" w:eastAsia="仿宋"/>
                <w:szCs w:val="21"/>
              </w:rPr>
              <w:t>10.解密时长为30分钟。</w:t>
            </w:r>
          </w:p>
        </w:tc>
      </w:tr>
      <w:tr w14:paraId="66564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4" w:hRule="atLeast"/>
        </w:trPr>
        <w:tc>
          <w:tcPr>
            <w:tcW w:w="1468" w:type="dxa"/>
            <w:vAlign w:val="center"/>
          </w:tcPr>
          <w:p w14:paraId="717C2108">
            <w:pPr>
              <w:spacing w:line="360" w:lineRule="auto"/>
              <w:ind w:left="1080" w:leftChars="257" w:hanging="540"/>
              <w:rPr>
                <w:rFonts w:eastAsia="仿宋"/>
                <w:sz w:val="24"/>
              </w:rPr>
            </w:pPr>
            <w:r>
              <w:rPr>
                <w:rFonts w:hint="eastAsia" w:eastAsia="仿宋"/>
                <w:sz w:val="24"/>
              </w:rPr>
              <w:t>13</w:t>
            </w:r>
          </w:p>
        </w:tc>
        <w:tc>
          <w:tcPr>
            <w:tcW w:w="6840" w:type="dxa"/>
            <w:vAlign w:val="center"/>
          </w:tcPr>
          <w:p w14:paraId="7C3931DC">
            <w:pPr>
              <w:spacing w:line="360" w:lineRule="auto"/>
              <w:rPr>
                <w:rFonts w:eastAsia="仿宋"/>
                <w:sz w:val="24"/>
                <w:highlight w:val="none"/>
              </w:rPr>
            </w:pPr>
            <w:r>
              <w:rPr>
                <w:rFonts w:eastAsia="仿宋"/>
                <w:sz w:val="24"/>
                <w:highlight w:val="none"/>
              </w:rPr>
              <w:t>投标截止时间：</w:t>
            </w:r>
            <w:r>
              <w:rPr>
                <w:rFonts w:eastAsia="仿宋"/>
                <w:sz w:val="24"/>
                <w:highlight w:val="none"/>
                <w:u w:val="single"/>
              </w:rPr>
              <w:t>202</w:t>
            </w:r>
            <w:r>
              <w:rPr>
                <w:rFonts w:hint="eastAsia" w:eastAsia="仿宋"/>
                <w:sz w:val="24"/>
                <w:highlight w:val="none"/>
                <w:u w:val="single"/>
              </w:rPr>
              <w:t>5</w:t>
            </w:r>
            <w:r>
              <w:rPr>
                <w:rFonts w:eastAsia="仿宋"/>
                <w:sz w:val="24"/>
                <w:highlight w:val="none"/>
                <w:u w:val="single"/>
              </w:rPr>
              <w:t>年</w:t>
            </w:r>
            <w:r>
              <w:rPr>
                <w:rFonts w:hint="eastAsia" w:eastAsia="仿宋"/>
                <w:sz w:val="24"/>
                <w:highlight w:val="none"/>
                <w:u w:val="single"/>
              </w:rPr>
              <w:t xml:space="preserve"> </w:t>
            </w:r>
            <w:r>
              <w:rPr>
                <w:rFonts w:hint="eastAsia" w:eastAsia="仿宋"/>
                <w:sz w:val="24"/>
                <w:highlight w:val="none"/>
                <w:u w:val="single"/>
                <w:lang w:val="en-US" w:eastAsia="zh-CN"/>
              </w:rPr>
              <w:t xml:space="preserve">3 </w:t>
            </w:r>
            <w:r>
              <w:rPr>
                <w:rFonts w:hint="eastAsia" w:eastAsia="仿宋"/>
                <w:sz w:val="24"/>
                <w:highlight w:val="none"/>
                <w:u w:val="single"/>
              </w:rPr>
              <w:t xml:space="preserve"> </w:t>
            </w:r>
            <w:r>
              <w:rPr>
                <w:rFonts w:eastAsia="仿宋"/>
                <w:sz w:val="24"/>
                <w:highlight w:val="none"/>
                <w:u w:val="single"/>
              </w:rPr>
              <w:t>月</w:t>
            </w:r>
            <w:r>
              <w:rPr>
                <w:rFonts w:hint="eastAsia" w:eastAsia="仿宋"/>
                <w:sz w:val="24"/>
                <w:highlight w:val="none"/>
                <w:u w:val="single"/>
              </w:rPr>
              <w:t xml:space="preserve"> </w:t>
            </w:r>
            <w:r>
              <w:rPr>
                <w:rFonts w:hint="eastAsia" w:eastAsia="仿宋"/>
                <w:sz w:val="24"/>
                <w:highlight w:val="none"/>
                <w:u w:val="single"/>
                <w:lang w:val="en-US" w:eastAsia="zh-CN"/>
              </w:rPr>
              <w:t xml:space="preserve">27  </w:t>
            </w:r>
            <w:r>
              <w:rPr>
                <w:rFonts w:hint="eastAsia" w:eastAsia="仿宋"/>
                <w:sz w:val="24"/>
                <w:highlight w:val="none"/>
                <w:u w:val="single"/>
              </w:rPr>
              <w:t xml:space="preserve"> </w:t>
            </w:r>
            <w:r>
              <w:rPr>
                <w:rFonts w:eastAsia="仿宋"/>
                <w:sz w:val="24"/>
                <w:highlight w:val="none"/>
                <w:u w:val="single"/>
              </w:rPr>
              <w:t>日</w:t>
            </w:r>
            <w:r>
              <w:rPr>
                <w:rFonts w:hint="eastAsia" w:eastAsia="仿宋"/>
                <w:sz w:val="24"/>
                <w:highlight w:val="none"/>
                <w:u w:val="single"/>
              </w:rPr>
              <w:t xml:space="preserve">11:00  </w:t>
            </w:r>
            <w:r>
              <w:rPr>
                <w:rFonts w:eastAsia="仿宋"/>
                <w:sz w:val="24"/>
                <w:highlight w:val="none"/>
                <w:u w:val="single"/>
              </w:rPr>
              <w:t>（北京时间）</w:t>
            </w:r>
          </w:p>
        </w:tc>
      </w:tr>
      <w:tr w14:paraId="20ADE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1468" w:type="dxa"/>
            <w:vAlign w:val="center"/>
          </w:tcPr>
          <w:p w14:paraId="5EDCC050">
            <w:pPr>
              <w:spacing w:line="360" w:lineRule="auto"/>
              <w:ind w:left="1080" w:leftChars="257" w:hanging="540"/>
              <w:rPr>
                <w:rFonts w:eastAsia="仿宋"/>
                <w:sz w:val="24"/>
              </w:rPr>
            </w:pPr>
            <w:r>
              <w:rPr>
                <w:rFonts w:hint="eastAsia" w:eastAsia="仿宋"/>
                <w:sz w:val="24"/>
              </w:rPr>
              <w:t>14</w:t>
            </w:r>
          </w:p>
        </w:tc>
        <w:tc>
          <w:tcPr>
            <w:tcW w:w="6840" w:type="dxa"/>
            <w:vAlign w:val="center"/>
          </w:tcPr>
          <w:p w14:paraId="01354C03">
            <w:pPr>
              <w:spacing w:line="360" w:lineRule="auto"/>
              <w:rPr>
                <w:rFonts w:eastAsia="仿宋"/>
                <w:sz w:val="24"/>
                <w:highlight w:val="none"/>
              </w:rPr>
            </w:pPr>
            <w:r>
              <w:rPr>
                <w:rFonts w:eastAsia="仿宋"/>
                <w:sz w:val="24"/>
                <w:highlight w:val="none"/>
              </w:rPr>
              <w:t>开标时间：</w:t>
            </w:r>
            <w:r>
              <w:rPr>
                <w:rFonts w:eastAsia="仿宋"/>
                <w:b/>
                <w:bCs/>
                <w:sz w:val="24"/>
                <w:highlight w:val="none"/>
              </w:rPr>
              <w:t>202</w:t>
            </w:r>
            <w:r>
              <w:rPr>
                <w:rFonts w:hint="eastAsia" w:eastAsia="仿宋"/>
                <w:b/>
                <w:bCs/>
                <w:sz w:val="24"/>
                <w:highlight w:val="none"/>
              </w:rPr>
              <w:t>5</w:t>
            </w:r>
            <w:r>
              <w:rPr>
                <w:rFonts w:eastAsia="仿宋"/>
                <w:b/>
                <w:bCs/>
                <w:sz w:val="24"/>
                <w:highlight w:val="none"/>
              </w:rPr>
              <w:t>年</w:t>
            </w:r>
            <w:r>
              <w:rPr>
                <w:rFonts w:hint="eastAsia" w:eastAsia="仿宋"/>
                <w:b/>
                <w:bCs/>
                <w:sz w:val="24"/>
                <w:highlight w:val="none"/>
              </w:rPr>
              <w:t xml:space="preserve"> </w:t>
            </w:r>
            <w:r>
              <w:rPr>
                <w:rFonts w:hint="eastAsia" w:eastAsia="仿宋"/>
                <w:b/>
                <w:bCs/>
                <w:sz w:val="24"/>
                <w:highlight w:val="none"/>
                <w:lang w:val="en-US" w:eastAsia="zh-CN"/>
              </w:rPr>
              <w:t xml:space="preserve"> 3</w:t>
            </w:r>
            <w:r>
              <w:rPr>
                <w:rFonts w:hint="eastAsia" w:eastAsia="仿宋"/>
                <w:b/>
                <w:bCs/>
                <w:sz w:val="24"/>
                <w:highlight w:val="none"/>
              </w:rPr>
              <w:t xml:space="preserve"> </w:t>
            </w:r>
            <w:r>
              <w:rPr>
                <w:rFonts w:eastAsia="仿宋"/>
                <w:b/>
                <w:bCs/>
                <w:sz w:val="24"/>
                <w:highlight w:val="none"/>
              </w:rPr>
              <w:t>月</w:t>
            </w:r>
            <w:r>
              <w:rPr>
                <w:rFonts w:hint="eastAsia" w:eastAsia="仿宋"/>
                <w:b/>
                <w:bCs/>
                <w:sz w:val="24"/>
                <w:highlight w:val="none"/>
              </w:rPr>
              <w:t xml:space="preserve"> </w:t>
            </w:r>
            <w:r>
              <w:rPr>
                <w:rFonts w:hint="eastAsia" w:eastAsia="仿宋"/>
                <w:b/>
                <w:bCs/>
                <w:sz w:val="24"/>
                <w:highlight w:val="none"/>
                <w:lang w:val="en-US" w:eastAsia="zh-CN"/>
              </w:rPr>
              <w:t>27</w:t>
            </w:r>
            <w:bookmarkStart w:id="399" w:name="_GoBack"/>
            <w:bookmarkEnd w:id="399"/>
            <w:r>
              <w:rPr>
                <w:rFonts w:hint="eastAsia" w:eastAsia="仿宋"/>
                <w:b/>
                <w:bCs/>
                <w:sz w:val="24"/>
                <w:highlight w:val="none"/>
                <w:lang w:val="en-US" w:eastAsia="zh-CN"/>
              </w:rPr>
              <w:t xml:space="preserve">  </w:t>
            </w:r>
            <w:r>
              <w:rPr>
                <w:rFonts w:eastAsia="仿宋"/>
                <w:b/>
                <w:bCs/>
                <w:sz w:val="24"/>
                <w:highlight w:val="none"/>
              </w:rPr>
              <w:t>日</w:t>
            </w:r>
            <w:r>
              <w:rPr>
                <w:rFonts w:hint="eastAsia" w:eastAsia="仿宋"/>
                <w:b/>
                <w:bCs/>
                <w:sz w:val="24"/>
                <w:highlight w:val="none"/>
              </w:rPr>
              <w:t xml:space="preserve">11:00  </w:t>
            </w:r>
            <w:r>
              <w:rPr>
                <w:rFonts w:eastAsia="仿宋"/>
                <w:b/>
                <w:bCs/>
                <w:sz w:val="24"/>
                <w:highlight w:val="none"/>
              </w:rPr>
              <w:t>（北京时间）</w:t>
            </w:r>
          </w:p>
          <w:p w14:paraId="4818575B">
            <w:pPr>
              <w:spacing w:line="360" w:lineRule="auto"/>
              <w:jc w:val="left"/>
              <w:rPr>
                <w:rFonts w:ascii="仿宋" w:hAnsi="仿宋" w:eastAsia="仿宋"/>
                <w:sz w:val="24"/>
                <w:highlight w:val="none"/>
              </w:rPr>
            </w:pPr>
            <w:r>
              <w:rPr>
                <w:rFonts w:hint="eastAsia" w:ascii="仿宋" w:hAnsi="仿宋" w:eastAsia="仿宋"/>
                <w:sz w:val="24"/>
                <w:highlight w:val="none"/>
              </w:rPr>
              <w:t>开标地点：政采云平台（https://login.zcygov.cn/user-login/#/login</w:t>
            </w:r>
          </w:p>
        </w:tc>
      </w:tr>
      <w:tr w14:paraId="6D474C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70" w:hRule="atLeast"/>
        </w:trPr>
        <w:tc>
          <w:tcPr>
            <w:tcW w:w="1468" w:type="dxa"/>
            <w:vAlign w:val="center"/>
          </w:tcPr>
          <w:p w14:paraId="3929E750">
            <w:pPr>
              <w:spacing w:line="360" w:lineRule="auto"/>
              <w:ind w:left="1080" w:leftChars="257" w:hanging="540"/>
              <w:rPr>
                <w:rFonts w:eastAsia="仿宋"/>
                <w:sz w:val="24"/>
              </w:rPr>
            </w:pPr>
            <w:r>
              <w:rPr>
                <w:rFonts w:hint="eastAsia" w:eastAsia="仿宋"/>
                <w:sz w:val="24"/>
              </w:rPr>
              <w:t>15</w:t>
            </w:r>
          </w:p>
        </w:tc>
        <w:tc>
          <w:tcPr>
            <w:tcW w:w="6840" w:type="dxa"/>
            <w:vAlign w:val="center"/>
          </w:tcPr>
          <w:p w14:paraId="22F7B146">
            <w:pPr>
              <w:spacing w:line="360" w:lineRule="auto"/>
              <w:rPr>
                <w:rFonts w:eastAsia="仿宋"/>
                <w:sz w:val="24"/>
              </w:rPr>
            </w:pPr>
            <w:r>
              <w:rPr>
                <w:rFonts w:eastAsia="仿宋"/>
                <w:sz w:val="24"/>
              </w:rPr>
              <w:t>评标方法：适用</w:t>
            </w:r>
            <w:r>
              <w:rPr>
                <w:rFonts w:eastAsia="仿宋"/>
                <w:sz w:val="24"/>
                <w:u w:val="single"/>
              </w:rPr>
              <w:t>综合评分法</w:t>
            </w:r>
          </w:p>
        </w:tc>
      </w:tr>
      <w:tr w14:paraId="0F355F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3077F4A2">
            <w:pPr>
              <w:spacing w:line="360" w:lineRule="auto"/>
              <w:ind w:left="1080" w:leftChars="257" w:hanging="540"/>
              <w:rPr>
                <w:rFonts w:eastAsia="仿宋"/>
                <w:sz w:val="24"/>
              </w:rPr>
            </w:pPr>
            <w:r>
              <w:rPr>
                <w:rFonts w:hint="eastAsia" w:eastAsia="仿宋"/>
                <w:sz w:val="24"/>
              </w:rPr>
              <w:t>16</w:t>
            </w:r>
          </w:p>
        </w:tc>
        <w:tc>
          <w:tcPr>
            <w:tcW w:w="6840" w:type="dxa"/>
            <w:vAlign w:val="center"/>
          </w:tcPr>
          <w:p w14:paraId="33D89D83">
            <w:pPr>
              <w:spacing w:line="360" w:lineRule="auto"/>
              <w:rPr>
                <w:rFonts w:eastAsia="仿宋"/>
                <w:sz w:val="24"/>
              </w:rPr>
            </w:pPr>
            <w:r>
              <w:rPr>
                <w:rFonts w:eastAsia="仿宋"/>
                <w:sz w:val="24"/>
              </w:rPr>
              <w:t>推荐中标候选供应商的数量：</w:t>
            </w:r>
            <w:r>
              <w:rPr>
                <w:rFonts w:eastAsia="仿宋"/>
                <w:sz w:val="24"/>
                <w:u w:val="single"/>
              </w:rPr>
              <w:t>3</w:t>
            </w:r>
          </w:p>
        </w:tc>
      </w:tr>
      <w:tr w14:paraId="5B039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223BBCCC">
            <w:pPr>
              <w:spacing w:line="360" w:lineRule="auto"/>
              <w:ind w:left="1080" w:leftChars="257" w:hanging="540"/>
              <w:rPr>
                <w:rFonts w:eastAsia="仿宋"/>
                <w:sz w:val="24"/>
              </w:rPr>
            </w:pPr>
            <w:r>
              <w:rPr>
                <w:rFonts w:hint="eastAsia" w:eastAsia="仿宋"/>
                <w:sz w:val="24"/>
              </w:rPr>
              <w:t>17</w:t>
            </w:r>
          </w:p>
        </w:tc>
        <w:tc>
          <w:tcPr>
            <w:tcW w:w="6840" w:type="dxa"/>
            <w:vAlign w:val="center"/>
          </w:tcPr>
          <w:p w14:paraId="7A930015">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14:paraId="72AFB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2395CB8E">
            <w:pPr>
              <w:spacing w:line="360" w:lineRule="auto"/>
              <w:ind w:left="1080" w:leftChars="257" w:hanging="540"/>
              <w:rPr>
                <w:rFonts w:eastAsia="仿宋"/>
                <w:sz w:val="24"/>
              </w:rPr>
            </w:pPr>
            <w:r>
              <w:rPr>
                <w:rFonts w:hint="eastAsia" w:eastAsia="仿宋"/>
                <w:sz w:val="24"/>
              </w:rPr>
              <w:t>18</w:t>
            </w:r>
          </w:p>
        </w:tc>
        <w:tc>
          <w:tcPr>
            <w:tcW w:w="6840" w:type="dxa"/>
            <w:vAlign w:val="center"/>
          </w:tcPr>
          <w:p w14:paraId="0FAE117D">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lang w:val="en-US" w:eastAsia="zh-CN"/>
              </w:rPr>
              <w:t>5</w:t>
            </w:r>
            <w:r>
              <w:rPr>
                <w:rFonts w:eastAsia="仿宋"/>
                <w:b/>
                <w:bCs/>
                <w:sz w:val="24"/>
              </w:rPr>
              <w:t>%计算向下取整至万元（不得超过政府采购合同金额的10%）</w:t>
            </w:r>
            <w:r>
              <w:rPr>
                <w:rFonts w:eastAsia="仿宋"/>
                <w:sz w:val="24"/>
              </w:rPr>
              <w:t>。</w:t>
            </w:r>
          </w:p>
          <w:p w14:paraId="6AE80673">
            <w:pPr>
              <w:spacing w:line="360" w:lineRule="auto"/>
              <w:rPr>
                <w:rFonts w:eastAsia="仿宋"/>
                <w:sz w:val="24"/>
              </w:rPr>
            </w:pPr>
            <w:bookmarkStart w:id="365" w:name="_Hlk22725541"/>
            <w:bookmarkEnd w:id="365"/>
            <w:r>
              <w:rPr>
                <w:rFonts w:eastAsia="仿宋"/>
                <w:sz w:val="24"/>
              </w:rPr>
              <w:t>履约保证金形式：电汇或企业账户网银汇款。</w:t>
            </w:r>
          </w:p>
          <w:p w14:paraId="3DFE937B">
            <w:pPr>
              <w:spacing w:line="360" w:lineRule="auto"/>
              <w:rPr>
                <w:rFonts w:ascii="仿宋" w:hAnsi="仿宋" w:eastAsia="仿宋"/>
                <w:sz w:val="24"/>
              </w:rPr>
            </w:pPr>
            <w:r>
              <w:rPr>
                <w:rFonts w:hint="eastAsia" w:ascii="仿宋" w:hAnsi="仿宋" w:eastAsia="仿宋"/>
                <w:sz w:val="24"/>
              </w:rPr>
              <w:t>提交履约保证金的时间：签订合同前打入甲方指定账户</w:t>
            </w:r>
          </w:p>
          <w:p w14:paraId="3E0EFE72">
            <w:pPr>
              <w:spacing w:line="360" w:lineRule="auto"/>
              <w:rPr>
                <w:rFonts w:ascii="仿宋" w:hAnsi="仿宋" w:eastAsia="仿宋"/>
                <w:sz w:val="24"/>
              </w:rPr>
            </w:pPr>
            <w:r>
              <w:rPr>
                <w:rFonts w:hint="eastAsia" w:ascii="仿宋" w:hAnsi="仿宋" w:eastAsia="仿宋"/>
                <w:sz w:val="24"/>
              </w:rPr>
              <w:t xml:space="preserve"> 注：</w:t>
            </w:r>
            <w:r>
              <w:rPr>
                <w:rFonts w:hint="eastAsia" w:ascii="仿宋" w:hAnsi="仿宋" w:eastAsia="仿宋"/>
                <w:sz w:val="24"/>
                <w:lang w:val="zh-CN"/>
              </w:rPr>
              <w:t>双方可以通过协商另行约定其他退还时间和方式及用途。</w:t>
            </w:r>
          </w:p>
          <w:p w14:paraId="6DC6C107">
            <w:pPr>
              <w:spacing w:line="360" w:lineRule="auto"/>
              <w:rPr>
                <w:rFonts w:eastAsia="仿宋"/>
                <w:sz w:val="24"/>
              </w:rPr>
            </w:pPr>
            <w:r>
              <w:rPr>
                <w:rFonts w:eastAsia="仿宋"/>
                <w:sz w:val="24"/>
              </w:rPr>
              <w:t>履约保证金收款人：</w:t>
            </w:r>
            <w:r>
              <w:rPr>
                <w:rFonts w:hint="eastAsia" w:eastAsia="仿宋"/>
                <w:sz w:val="24"/>
              </w:rPr>
              <w:t>喀什职业技术学院</w:t>
            </w:r>
          </w:p>
        </w:tc>
      </w:tr>
      <w:tr w14:paraId="7A4956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27C10EF">
            <w:pPr>
              <w:spacing w:line="360" w:lineRule="auto"/>
              <w:ind w:left="1080" w:leftChars="257" w:hanging="540"/>
              <w:rPr>
                <w:rFonts w:eastAsia="仿宋"/>
                <w:sz w:val="24"/>
              </w:rPr>
            </w:pPr>
            <w:r>
              <w:rPr>
                <w:rFonts w:hint="eastAsia" w:eastAsia="仿宋"/>
                <w:sz w:val="24"/>
              </w:rPr>
              <w:t>19</w:t>
            </w:r>
          </w:p>
        </w:tc>
        <w:tc>
          <w:tcPr>
            <w:tcW w:w="6840" w:type="dxa"/>
            <w:vAlign w:val="center"/>
          </w:tcPr>
          <w:p w14:paraId="5A0C2B9D">
            <w:pPr>
              <w:spacing w:line="360" w:lineRule="auto"/>
              <w:rPr>
                <w:rFonts w:eastAsia="仿宋"/>
                <w:sz w:val="24"/>
              </w:rPr>
            </w:pPr>
            <w:r>
              <w:rPr>
                <w:rFonts w:eastAsia="仿宋"/>
                <w:sz w:val="24"/>
              </w:rPr>
              <w:t>本项目无中标服务费</w:t>
            </w:r>
          </w:p>
        </w:tc>
      </w:tr>
      <w:tr w14:paraId="457FA2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E1CCE95">
            <w:pPr>
              <w:spacing w:line="360" w:lineRule="auto"/>
              <w:ind w:left="1080" w:leftChars="257" w:hanging="540"/>
              <w:rPr>
                <w:rFonts w:eastAsia="仿宋"/>
                <w:sz w:val="24"/>
              </w:rPr>
            </w:pPr>
            <w:r>
              <w:rPr>
                <w:rFonts w:hint="eastAsia" w:eastAsia="仿宋"/>
                <w:sz w:val="24"/>
              </w:rPr>
              <w:t>20</w:t>
            </w:r>
          </w:p>
        </w:tc>
        <w:tc>
          <w:tcPr>
            <w:tcW w:w="6840" w:type="dxa"/>
            <w:vAlign w:val="center"/>
          </w:tcPr>
          <w:p w14:paraId="572DEE29">
            <w:pPr>
              <w:spacing w:line="360" w:lineRule="auto"/>
              <w:rPr>
                <w:rFonts w:eastAsia="仿宋"/>
                <w:sz w:val="24"/>
              </w:rPr>
            </w:pPr>
            <w:r>
              <w:rPr>
                <w:rFonts w:eastAsia="仿宋"/>
                <w:sz w:val="24"/>
              </w:rPr>
              <w:t>本项目是否属于信用担保试点范围：</w:t>
            </w:r>
            <w:r>
              <w:rPr>
                <w:rFonts w:hint="eastAsia" w:eastAsia="仿宋"/>
                <w:sz w:val="24"/>
                <w:u w:val="single"/>
              </w:rPr>
              <w:t>是</w:t>
            </w:r>
            <w:r>
              <w:rPr>
                <w:rFonts w:eastAsia="仿宋"/>
                <w:i/>
                <w:sz w:val="24"/>
              </w:rPr>
              <w:t>（是、否）</w:t>
            </w:r>
          </w:p>
        </w:tc>
      </w:tr>
      <w:tr w14:paraId="284CE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78F85A8A">
            <w:pPr>
              <w:spacing w:line="360" w:lineRule="auto"/>
              <w:ind w:left="1080" w:leftChars="257" w:hanging="540"/>
              <w:rPr>
                <w:rFonts w:eastAsia="仿宋"/>
                <w:sz w:val="24"/>
              </w:rPr>
            </w:pPr>
            <w:r>
              <w:rPr>
                <w:rFonts w:hint="eastAsia" w:eastAsia="仿宋"/>
                <w:sz w:val="24"/>
              </w:rPr>
              <w:t>21</w:t>
            </w:r>
          </w:p>
        </w:tc>
        <w:tc>
          <w:tcPr>
            <w:tcW w:w="6840" w:type="dxa"/>
            <w:vAlign w:val="center"/>
          </w:tcPr>
          <w:p w14:paraId="1FECC645">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14:paraId="06363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04AD797D">
            <w:pPr>
              <w:spacing w:line="360" w:lineRule="auto"/>
              <w:ind w:left="1080" w:leftChars="257" w:hanging="540"/>
              <w:rPr>
                <w:rFonts w:eastAsia="仿宋"/>
                <w:sz w:val="24"/>
              </w:rPr>
            </w:pPr>
            <w:r>
              <w:rPr>
                <w:rFonts w:hint="eastAsia" w:eastAsia="仿宋"/>
                <w:sz w:val="24"/>
              </w:rPr>
              <w:t>22</w:t>
            </w:r>
          </w:p>
        </w:tc>
        <w:tc>
          <w:tcPr>
            <w:tcW w:w="6840" w:type="dxa"/>
            <w:vAlign w:val="center"/>
          </w:tcPr>
          <w:p w14:paraId="09F08D96">
            <w:pPr>
              <w:spacing w:line="360" w:lineRule="auto"/>
              <w:ind w:left="710" w:leftChars="-23" w:hanging="758" w:hangingChars="316"/>
              <w:rPr>
                <w:rFonts w:eastAsia="仿宋"/>
                <w:sz w:val="24"/>
              </w:rPr>
            </w:pPr>
            <w:r>
              <w:rPr>
                <w:rFonts w:eastAsia="仿宋"/>
                <w:sz w:val="24"/>
              </w:rPr>
              <w:t>联系部门</w:t>
            </w:r>
            <w:r>
              <w:rPr>
                <w:rFonts w:eastAsia="仿宋"/>
                <w:sz w:val="24"/>
                <w:u w:val="single"/>
              </w:rPr>
              <w:t>：</w:t>
            </w:r>
            <w:r>
              <w:rPr>
                <w:rFonts w:hint="eastAsia" w:eastAsia="仿宋"/>
                <w:sz w:val="24"/>
                <w:u w:val="single"/>
              </w:rPr>
              <w:t>喀什职业技术学院</w:t>
            </w:r>
            <w:r>
              <w:rPr>
                <w:rFonts w:eastAsia="仿宋"/>
                <w:sz w:val="24"/>
                <w:u w:val="single"/>
              </w:rPr>
              <w:t>或地区公共资源交易中心</w:t>
            </w:r>
          </w:p>
          <w:p w14:paraId="704B7046">
            <w:pPr>
              <w:spacing w:line="360" w:lineRule="auto"/>
              <w:ind w:left="710" w:leftChars="-23" w:hanging="758" w:hangingChars="316"/>
              <w:rPr>
                <w:rFonts w:hint="eastAsia" w:eastAsia="仿宋"/>
                <w:sz w:val="24"/>
                <w:lang w:eastAsia="zh-CN"/>
              </w:rPr>
            </w:pPr>
            <w:r>
              <w:rPr>
                <w:rFonts w:eastAsia="仿宋"/>
                <w:sz w:val="24"/>
              </w:rPr>
              <w:t>联系电话：</w:t>
            </w:r>
            <w:r>
              <w:rPr>
                <w:rFonts w:hint="eastAsia" w:eastAsia="仿宋"/>
                <w:sz w:val="24"/>
                <w:u w:val="single"/>
                <w:lang w:val="en-US" w:eastAsia="zh-CN"/>
              </w:rPr>
              <w:t>15099025000</w:t>
            </w:r>
            <w:r>
              <w:rPr>
                <w:rFonts w:hint="eastAsia" w:eastAsia="仿宋"/>
                <w:sz w:val="24"/>
                <w:u w:val="single"/>
                <w:lang w:eastAsia="zh-CN"/>
              </w:rPr>
              <w:t xml:space="preserve">  </w:t>
            </w:r>
            <w:r>
              <w:rPr>
                <w:rFonts w:hint="eastAsia" w:eastAsia="仿宋"/>
                <w:sz w:val="24"/>
                <w:u w:val="single"/>
              </w:rPr>
              <w:t xml:space="preserve">  </w:t>
            </w:r>
            <w:r>
              <w:rPr>
                <w:rFonts w:eastAsia="仿宋"/>
                <w:sz w:val="24"/>
                <w:u w:val="single"/>
              </w:rPr>
              <w:t xml:space="preserve"> </w:t>
            </w:r>
            <w:r>
              <w:rPr>
                <w:rFonts w:hint="eastAsia" w:eastAsia="仿宋"/>
                <w:sz w:val="24"/>
                <w:u w:val="single"/>
                <w:lang w:eastAsia="zh-CN"/>
              </w:rPr>
              <w:t>0998-3252724</w:t>
            </w:r>
          </w:p>
        </w:tc>
      </w:tr>
      <w:tr w14:paraId="2A0FA88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244" w:hRule="atLeast"/>
        </w:trPr>
        <w:tc>
          <w:tcPr>
            <w:tcW w:w="8308" w:type="dxa"/>
            <w:gridSpan w:val="2"/>
            <w:vAlign w:val="center"/>
          </w:tcPr>
          <w:p w14:paraId="061544B7">
            <w:pPr>
              <w:spacing w:line="360" w:lineRule="auto"/>
              <w:rPr>
                <w:rFonts w:eastAsia="仿宋"/>
                <w:sz w:val="24"/>
              </w:rPr>
            </w:pPr>
          </w:p>
        </w:tc>
      </w:tr>
    </w:tbl>
    <w:p w14:paraId="72D640CD">
      <w:pPr>
        <w:spacing w:line="360" w:lineRule="auto"/>
        <w:ind w:left="1080" w:leftChars="257" w:hanging="540"/>
        <w:rPr>
          <w:rFonts w:eastAsia="仿宋"/>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41"/>
          <w:cols w:space="720" w:num="1"/>
          <w:docGrid w:linePitch="312" w:charSpace="0"/>
        </w:sectPr>
      </w:pPr>
    </w:p>
    <w:p w14:paraId="12C4555B">
      <w:pPr>
        <w:pStyle w:val="33"/>
        <w:rPr>
          <w:sz w:val="24"/>
          <w:szCs w:val="16"/>
        </w:rPr>
      </w:pPr>
      <w:bookmarkStart w:id="366" w:name="_Toc24868"/>
      <w:bookmarkEnd w:id="366"/>
      <w:bookmarkStart w:id="367" w:name="_Toc20857"/>
      <w:bookmarkEnd w:id="367"/>
      <w:bookmarkStart w:id="368" w:name="_Toc20390"/>
      <w:bookmarkEnd w:id="368"/>
      <w:bookmarkStart w:id="369" w:name="_Toc7753"/>
      <w:bookmarkEnd w:id="369"/>
      <w:r>
        <w:rPr>
          <w:sz w:val="24"/>
          <w:szCs w:val="16"/>
        </w:rPr>
        <w:t>资格审查表</w:t>
      </w:r>
    </w:p>
    <w:p w14:paraId="18DABFFE">
      <w:pPr>
        <w:rPr>
          <w:rFonts w:eastAsia="仿宋"/>
        </w:rPr>
      </w:pPr>
    </w:p>
    <w:tbl>
      <w:tblPr>
        <w:tblStyle w:val="24"/>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45F290B7">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3031AA4F">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47A67D7E">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339BC46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2AE55C05">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投标人N</w:t>
            </w:r>
          </w:p>
        </w:tc>
      </w:tr>
      <w:tr w14:paraId="40F0F287">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87D7556">
            <w:pPr>
              <w:widowControl/>
              <w:spacing w:line="360" w:lineRule="auto"/>
              <w:jc w:val="left"/>
              <w:rPr>
                <w:rFonts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68DD584F">
            <w:pPr>
              <w:widowControl/>
              <w:spacing w:line="360" w:lineRule="auto"/>
              <w:jc w:val="left"/>
              <w:rPr>
                <w:rFonts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53F34D8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0AA1AF72">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55306C1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18DF801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r>
      <w:tr w14:paraId="7062F948">
        <w:tblPrEx>
          <w:tblCellMar>
            <w:top w:w="0" w:type="dxa"/>
            <w:left w:w="108" w:type="dxa"/>
            <w:bottom w:w="0" w:type="dxa"/>
            <w:right w:w="108" w:type="dxa"/>
          </w:tblCellMar>
        </w:tblPrEx>
        <w:trPr>
          <w:trHeight w:val="611" w:hRule="atLeast"/>
          <w:jc w:val="center"/>
        </w:trPr>
        <w:tc>
          <w:tcPr>
            <w:tcW w:w="945" w:type="dxa"/>
            <w:tcBorders>
              <w:top w:val="nil"/>
              <w:left w:val="single" w:color="000000" w:sz="4" w:space="0"/>
              <w:bottom w:val="single" w:color="000000" w:sz="4" w:space="0"/>
              <w:right w:val="single" w:color="000000" w:sz="4" w:space="0"/>
            </w:tcBorders>
            <w:vAlign w:val="center"/>
          </w:tcPr>
          <w:p w14:paraId="3367A40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2F8FABCD">
            <w:pPr>
              <w:widowControl/>
              <w:spacing w:line="360" w:lineRule="auto"/>
              <w:jc w:val="left"/>
              <w:rPr>
                <w:rFonts w:ascii="仿宋" w:hAnsi="仿宋" w:eastAsia="仿宋"/>
                <w:kern w:val="0"/>
                <w:szCs w:val="21"/>
              </w:rPr>
            </w:pPr>
            <w:r>
              <w:rPr>
                <w:rFonts w:hint="eastAsia" w:ascii="仿宋" w:hAnsi="仿宋" w:eastAsia="仿宋"/>
                <w:kern w:val="0"/>
                <w:szCs w:val="21"/>
              </w:rPr>
              <w:t>独立承担民事责任能力的企业、事业、自然人，提供营业执照等经营性证件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780AA3B2">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B1173E7">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68D1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0AB863C">
            <w:pPr>
              <w:widowControl/>
              <w:spacing w:line="360" w:lineRule="auto"/>
              <w:jc w:val="left"/>
              <w:rPr>
                <w:rFonts w:ascii="仿宋" w:hAnsi="仿宋" w:eastAsia="仿宋"/>
                <w:color w:val="000000"/>
                <w:kern w:val="0"/>
                <w:szCs w:val="21"/>
              </w:rPr>
            </w:pPr>
          </w:p>
        </w:tc>
      </w:tr>
      <w:tr w14:paraId="6A63F358">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72E8778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369C9376">
            <w:pPr>
              <w:widowControl/>
              <w:spacing w:line="360" w:lineRule="auto"/>
              <w:jc w:val="left"/>
              <w:rPr>
                <w:rFonts w:ascii="仿宋" w:hAnsi="仿宋" w:eastAsia="仿宋"/>
                <w:kern w:val="0"/>
                <w:szCs w:val="21"/>
              </w:rPr>
            </w:pPr>
            <w:r>
              <w:rPr>
                <w:rFonts w:hint="eastAsia" w:ascii="仿宋" w:hAnsi="仿宋" w:eastAsia="仿宋"/>
                <w:kern w:val="0"/>
                <w:szCs w:val="21"/>
              </w:rPr>
              <w:t>法人身份证明或法人授权委托书（含法人身份证复印件）和被授权人身份有效证件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2428BF05">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2D3CBA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D3B10D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26F620E">
            <w:pPr>
              <w:widowControl/>
              <w:spacing w:line="360" w:lineRule="auto"/>
              <w:jc w:val="left"/>
              <w:rPr>
                <w:rFonts w:ascii="仿宋" w:hAnsi="仿宋" w:eastAsia="仿宋"/>
                <w:color w:val="000000"/>
                <w:kern w:val="0"/>
                <w:szCs w:val="21"/>
              </w:rPr>
            </w:pPr>
          </w:p>
        </w:tc>
      </w:tr>
      <w:tr w14:paraId="1BC7CBA7">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139862A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732DDFB7">
            <w:pPr>
              <w:pStyle w:val="62"/>
              <w:ind w:firstLine="0" w:firstLineChars="0"/>
              <w:rPr>
                <w:rFonts w:ascii="仿宋" w:hAnsi="仿宋" w:eastAsia="仿宋"/>
                <w:kern w:val="0"/>
                <w:szCs w:val="21"/>
              </w:rPr>
            </w:pPr>
            <w:r>
              <w:rPr>
                <w:rFonts w:hint="eastAsia" w:ascii="仿宋" w:hAnsi="仿宋" w:eastAsia="仿宋"/>
                <w:kern w:val="0"/>
                <w:szCs w:val="21"/>
                <w:lang w:eastAsia="zh-CN"/>
              </w:rPr>
              <w:t>近两年任意一年完整的</w:t>
            </w:r>
            <w:r>
              <w:rPr>
                <w:rFonts w:hint="eastAsia" w:ascii="仿宋" w:hAnsi="仿宋" w:eastAsia="仿宋"/>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6226E7DE">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52C81F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EA99B8A">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4E9C3BA9">
            <w:pPr>
              <w:widowControl/>
              <w:spacing w:line="360" w:lineRule="auto"/>
              <w:jc w:val="left"/>
              <w:rPr>
                <w:rFonts w:ascii="仿宋" w:hAnsi="仿宋" w:eastAsia="仿宋"/>
                <w:color w:val="000000"/>
                <w:kern w:val="0"/>
                <w:szCs w:val="21"/>
              </w:rPr>
            </w:pPr>
          </w:p>
        </w:tc>
      </w:tr>
      <w:tr w14:paraId="18874C6B">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7CC16E7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5958BAB5">
            <w:pPr>
              <w:widowControl/>
              <w:spacing w:line="360" w:lineRule="auto"/>
              <w:jc w:val="left"/>
              <w:rPr>
                <w:rFonts w:ascii="仿宋" w:hAnsi="仿宋" w:eastAsia="仿宋"/>
                <w:kern w:val="0"/>
                <w:szCs w:val="21"/>
              </w:rPr>
            </w:pPr>
            <w:r>
              <w:rPr>
                <w:rFonts w:hint="eastAsia" w:ascii="仿宋" w:hAnsi="仿宋" w:eastAsia="仿宋"/>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4B679AC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49D2F8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16353DB">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8B5E5B8">
            <w:pPr>
              <w:widowControl/>
              <w:spacing w:line="360" w:lineRule="auto"/>
              <w:jc w:val="left"/>
              <w:rPr>
                <w:rFonts w:ascii="仿宋" w:hAnsi="仿宋" w:eastAsia="仿宋"/>
                <w:color w:val="000000"/>
                <w:kern w:val="0"/>
                <w:szCs w:val="21"/>
              </w:rPr>
            </w:pPr>
          </w:p>
        </w:tc>
      </w:tr>
      <w:tr w14:paraId="1263F695">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09F5B4FB">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3A590948">
            <w:pPr>
              <w:widowControl/>
              <w:spacing w:line="360" w:lineRule="auto"/>
              <w:jc w:val="left"/>
              <w:rPr>
                <w:rFonts w:ascii="仿宋" w:hAnsi="仿宋" w:eastAsia="仿宋"/>
                <w:kern w:val="0"/>
                <w:szCs w:val="21"/>
              </w:rPr>
            </w:pPr>
            <w:r>
              <w:rPr>
                <w:rFonts w:hint="eastAsia" w:ascii="仿宋" w:hAnsi="仿宋" w:eastAsia="仿宋"/>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13F7BA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6AC07FD">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67DE593">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62FEAF9">
            <w:pPr>
              <w:widowControl/>
              <w:spacing w:line="360" w:lineRule="auto"/>
              <w:jc w:val="left"/>
              <w:rPr>
                <w:rFonts w:ascii="仿宋" w:hAnsi="仿宋" w:eastAsia="仿宋"/>
                <w:color w:val="000000"/>
                <w:kern w:val="0"/>
                <w:szCs w:val="21"/>
              </w:rPr>
            </w:pPr>
          </w:p>
        </w:tc>
      </w:tr>
      <w:tr w14:paraId="3550E9D9">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573C3E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0C3888C9">
            <w:pPr>
              <w:widowControl/>
              <w:spacing w:line="360" w:lineRule="auto"/>
              <w:jc w:val="left"/>
              <w:rPr>
                <w:rFonts w:ascii="仿宋" w:hAnsi="仿宋" w:eastAsia="仿宋"/>
                <w:szCs w:val="21"/>
              </w:rPr>
            </w:pP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tc>
        <w:tc>
          <w:tcPr>
            <w:tcW w:w="355" w:type="dxa"/>
            <w:tcBorders>
              <w:top w:val="nil"/>
              <w:left w:val="nil"/>
              <w:bottom w:val="single" w:color="000000" w:sz="4" w:space="0"/>
              <w:right w:val="single" w:color="000000" w:sz="4" w:space="0"/>
            </w:tcBorders>
            <w:vAlign w:val="center"/>
          </w:tcPr>
          <w:p w14:paraId="59083C5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8012A2B">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2A599C6">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C589073">
            <w:pPr>
              <w:widowControl/>
              <w:spacing w:line="360" w:lineRule="auto"/>
              <w:jc w:val="left"/>
              <w:rPr>
                <w:rFonts w:ascii="仿宋" w:hAnsi="仿宋" w:eastAsia="仿宋"/>
                <w:color w:val="000000"/>
                <w:kern w:val="0"/>
                <w:szCs w:val="21"/>
              </w:rPr>
            </w:pPr>
          </w:p>
        </w:tc>
      </w:tr>
      <w:tr w14:paraId="61B467F6">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7D88EF82">
            <w:pPr>
              <w:widowControl/>
              <w:spacing w:line="360" w:lineRule="auto"/>
              <w:jc w:val="center"/>
              <w:rPr>
                <w:rFonts w:hint="eastAsia" w:ascii="仿宋" w:hAnsi="仿宋" w:eastAsia="仿宋"/>
                <w:color w:val="000000"/>
                <w:kern w:val="0"/>
                <w:szCs w:val="21"/>
                <w:lang w:eastAsia="zh-CN"/>
              </w:rPr>
            </w:pPr>
            <w:r>
              <w:rPr>
                <w:rFonts w:hint="eastAsia" w:ascii="仿宋" w:hAnsi="仿宋" w:eastAsia="仿宋"/>
                <w:color w:val="000000"/>
                <w:kern w:val="0"/>
                <w:szCs w:val="21"/>
                <w:lang w:val="en-US" w:eastAsia="zh-CN"/>
              </w:rPr>
              <w:t>7</w:t>
            </w:r>
          </w:p>
        </w:tc>
        <w:tc>
          <w:tcPr>
            <w:tcW w:w="6138" w:type="dxa"/>
            <w:tcBorders>
              <w:top w:val="nil"/>
              <w:left w:val="nil"/>
              <w:bottom w:val="single" w:color="000000" w:sz="4" w:space="0"/>
              <w:right w:val="single" w:color="000000" w:sz="4" w:space="0"/>
            </w:tcBorders>
            <w:vAlign w:val="center"/>
          </w:tcPr>
          <w:p w14:paraId="4185BBF4">
            <w:pPr>
              <w:widowControl/>
              <w:spacing w:line="360" w:lineRule="auto"/>
              <w:jc w:val="left"/>
              <w:rPr>
                <w:rFonts w:ascii="仿宋" w:hAnsi="仿宋" w:eastAsia="仿宋"/>
                <w:kern w:val="0"/>
                <w:szCs w:val="21"/>
              </w:rPr>
            </w:pPr>
            <w:r>
              <w:rPr>
                <w:rFonts w:hint="eastAsia" w:ascii="仿宋" w:hAnsi="仿宋" w:eastAsia="仿宋"/>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410235E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1F75F2F">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587E9E7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124D0703">
            <w:pPr>
              <w:widowControl/>
              <w:spacing w:line="360" w:lineRule="auto"/>
              <w:jc w:val="left"/>
              <w:rPr>
                <w:rFonts w:ascii="仿宋" w:hAnsi="仿宋" w:eastAsia="仿宋"/>
                <w:color w:val="000000"/>
                <w:kern w:val="0"/>
                <w:szCs w:val="21"/>
              </w:rPr>
            </w:pPr>
          </w:p>
        </w:tc>
      </w:tr>
      <w:tr w14:paraId="22DA540B">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25C10067">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8</w:t>
            </w:r>
          </w:p>
        </w:tc>
        <w:tc>
          <w:tcPr>
            <w:tcW w:w="6138" w:type="dxa"/>
            <w:tcBorders>
              <w:top w:val="nil"/>
              <w:left w:val="nil"/>
              <w:bottom w:val="single" w:color="000000" w:sz="4" w:space="0"/>
              <w:right w:val="single" w:color="000000" w:sz="4" w:space="0"/>
            </w:tcBorders>
            <w:vAlign w:val="center"/>
          </w:tcPr>
          <w:p w14:paraId="7E17A383">
            <w:pPr>
              <w:pStyle w:val="47"/>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5E5B2D2C">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28CF29C">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7AC6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9F76C31">
            <w:pPr>
              <w:widowControl/>
              <w:spacing w:line="360" w:lineRule="auto"/>
              <w:jc w:val="left"/>
              <w:rPr>
                <w:rFonts w:ascii="仿宋" w:hAnsi="仿宋" w:eastAsia="仿宋"/>
                <w:color w:val="000000"/>
                <w:kern w:val="0"/>
                <w:szCs w:val="21"/>
              </w:rPr>
            </w:pPr>
          </w:p>
        </w:tc>
      </w:tr>
      <w:tr w14:paraId="1379B31E">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7ADF41F4">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9</w:t>
            </w:r>
          </w:p>
        </w:tc>
        <w:tc>
          <w:tcPr>
            <w:tcW w:w="6138" w:type="dxa"/>
            <w:tcBorders>
              <w:top w:val="nil"/>
              <w:left w:val="nil"/>
              <w:bottom w:val="single" w:color="000000" w:sz="4" w:space="0"/>
              <w:right w:val="single" w:color="000000" w:sz="4" w:space="0"/>
            </w:tcBorders>
            <w:vAlign w:val="center"/>
          </w:tcPr>
          <w:p w14:paraId="31E87B88">
            <w:pPr>
              <w:pStyle w:val="47"/>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6419FD0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A4D5CD0">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99C814F">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EDEC10D">
            <w:pPr>
              <w:widowControl/>
              <w:spacing w:line="360" w:lineRule="auto"/>
              <w:jc w:val="left"/>
              <w:rPr>
                <w:rFonts w:ascii="仿宋" w:hAnsi="仿宋" w:eastAsia="仿宋"/>
                <w:color w:val="000000"/>
                <w:kern w:val="0"/>
                <w:szCs w:val="21"/>
              </w:rPr>
            </w:pPr>
          </w:p>
        </w:tc>
      </w:tr>
      <w:tr w14:paraId="43FE40A2">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49FAB4A">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 xml:space="preserve">  </w:t>
            </w:r>
          </w:p>
        </w:tc>
        <w:tc>
          <w:tcPr>
            <w:tcW w:w="6138" w:type="dxa"/>
            <w:tcBorders>
              <w:top w:val="single" w:color="000000" w:sz="4" w:space="0"/>
              <w:left w:val="nil"/>
              <w:bottom w:val="single" w:color="000000" w:sz="4" w:space="0"/>
              <w:right w:val="single" w:color="000000" w:sz="4" w:space="0"/>
            </w:tcBorders>
            <w:vAlign w:val="center"/>
          </w:tcPr>
          <w:p w14:paraId="6D5122FF">
            <w:pPr>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6E07E663">
            <w:pPr>
              <w:widowControl/>
              <w:spacing w:line="360" w:lineRule="auto"/>
              <w:jc w:val="left"/>
              <w:rPr>
                <w:rFonts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452B79CF">
            <w:pPr>
              <w:widowControl/>
              <w:spacing w:line="360" w:lineRule="auto"/>
              <w:jc w:val="left"/>
              <w:rPr>
                <w:rFonts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62217F5B">
            <w:pPr>
              <w:widowControl/>
              <w:spacing w:line="360" w:lineRule="auto"/>
              <w:jc w:val="left"/>
              <w:rPr>
                <w:rFonts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73E99EA8">
            <w:pPr>
              <w:widowControl/>
              <w:spacing w:line="360" w:lineRule="auto"/>
              <w:jc w:val="left"/>
              <w:rPr>
                <w:rFonts w:ascii="仿宋" w:hAnsi="仿宋" w:eastAsia="仿宋"/>
                <w:color w:val="000000"/>
                <w:kern w:val="0"/>
                <w:szCs w:val="21"/>
              </w:rPr>
            </w:pPr>
          </w:p>
        </w:tc>
      </w:tr>
    </w:tbl>
    <w:p w14:paraId="7E1535C6">
      <w:pPr>
        <w:rPr>
          <w:rFonts w:eastAsia="仿宋"/>
        </w:rPr>
      </w:pPr>
      <w:r>
        <w:rPr>
          <w:rFonts w:eastAsia="仿宋"/>
        </w:rPr>
        <w:br w:type="page"/>
      </w:r>
    </w:p>
    <w:p w14:paraId="5ABC7E1A">
      <w:pPr>
        <w:pStyle w:val="59"/>
        <w:rPr>
          <w:rFonts w:eastAsia="仿宋"/>
        </w:rPr>
      </w:pPr>
    </w:p>
    <w:p w14:paraId="12E0CF73">
      <w:pPr>
        <w:pStyle w:val="33"/>
        <w:tabs>
          <w:tab w:val="left" w:pos="0"/>
        </w:tabs>
        <w:spacing w:before="0" w:after="0" w:line="240" w:lineRule="atLeast"/>
        <w:ind w:left="630"/>
        <w:rPr>
          <w:rFonts w:ascii="Times New Roman" w:eastAsia="仿宋"/>
        </w:rPr>
      </w:pPr>
      <w:bookmarkStart w:id="370" w:name="_Toc7801"/>
      <w:bookmarkEnd w:id="370"/>
      <w:bookmarkStart w:id="371" w:name="_Toc12390"/>
      <w:bookmarkEnd w:id="371"/>
      <w:bookmarkStart w:id="372" w:name="_Toc6254"/>
      <w:bookmarkEnd w:id="372"/>
      <w:r>
        <w:rPr>
          <w:rFonts w:ascii="Times New Roman" w:eastAsia="仿宋"/>
        </w:rPr>
        <w:t>第5章</w:t>
      </w:r>
      <w:r>
        <w:rPr>
          <w:rFonts w:hint="eastAsia" w:ascii="Times New Roman" w:eastAsia="仿宋"/>
        </w:rPr>
        <w:t xml:space="preserve"> 项目服务需求及技术规格</w:t>
      </w:r>
    </w:p>
    <w:p w14:paraId="6BB1F931">
      <w:pPr>
        <w:widowControl/>
        <w:numPr>
          <w:ilvl w:val="0"/>
          <w:numId w:val="0"/>
        </w:numPr>
        <w:spacing w:line="360" w:lineRule="auto"/>
        <w:jc w:val="both"/>
        <w:rPr>
          <w:rFonts w:hint="eastAsia" w:eastAsia="仿宋"/>
          <w:b/>
          <w:bCs/>
          <w:color w:val="000000"/>
          <w:sz w:val="28"/>
          <w:szCs w:val="28"/>
          <w:lang w:eastAsia="zh-CN"/>
        </w:rPr>
      </w:pPr>
    </w:p>
    <w:p w14:paraId="04A814D6">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喀什职业技术学院文艺实训基地设备采购项目</w:t>
      </w:r>
    </w:p>
    <w:p w14:paraId="53BD2DA2">
      <w:pPr>
        <w:widowControl/>
        <w:spacing w:line="240" w:lineRule="auto"/>
        <w:ind w:firstLine="0" w:firstLineChars="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83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78"/>
        <w:gridCol w:w="5442"/>
        <w:gridCol w:w="571"/>
        <w:gridCol w:w="459"/>
        <w:gridCol w:w="601"/>
      </w:tblGrid>
      <w:tr w14:paraId="46B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508" w:type="dxa"/>
            <w:shd w:val="clear" w:color="auto" w:fill="BFBFBF"/>
            <w:noWrap/>
            <w:vAlign w:val="center"/>
          </w:tcPr>
          <w:p w14:paraId="6BE58047">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序号</w:t>
            </w:r>
          </w:p>
        </w:tc>
        <w:tc>
          <w:tcPr>
            <w:tcW w:w="778" w:type="dxa"/>
            <w:shd w:val="clear" w:color="auto" w:fill="BFBFBF"/>
            <w:vAlign w:val="center"/>
          </w:tcPr>
          <w:p w14:paraId="71D2F329">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设备名称</w:t>
            </w:r>
          </w:p>
        </w:tc>
        <w:tc>
          <w:tcPr>
            <w:tcW w:w="5442" w:type="dxa"/>
            <w:shd w:val="clear" w:color="auto" w:fill="BFBFBF"/>
            <w:vAlign w:val="center"/>
          </w:tcPr>
          <w:p w14:paraId="52B3E240">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主要规格参数</w:t>
            </w:r>
          </w:p>
        </w:tc>
        <w:tc>
          <w:tcPr>
            <w:tcW w:w="571" w:type="dxa"/>
            <w:shd w:val="clear" w:color="auto" w:fill="BFBFBF"/>
            <w:noWrap/>
            <w:vAlign w:val="center"/>
          </w:tcPr>
          <w:p w14:paraId="756EBB38">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数量</w:t>
            </w:r>
          </w:p>
        </w:tc>
        <w:tc>
          <w:tcPr>
            <w:tcW w:w="459" w:type="dxa"/>
            <w:shd w:val="clear" w:color="auto" w:fill="BFBFBF"/>
            <w:noWrap/>
            <w:vAlign w:val="center"/>
          </w:tcPr>
          <w:p w14:paraId="34D1ED4B">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单位</w:t>
            </w:r>
          </w:p>
        </w:tc>
        <w:tc>
          <w:tcPr>
            <w:tcW w:w="601" w:type="dxa"/>
            <w:shd w:val="clear" w:color="auto" w:fill="BFBFBF"/>
            <w:noWrap/>
            <w:vAlign w:val="center"/>
          </w:tcPr>
          <w:p w14:paraId="5278B79B">
            <w:pPr>
              <w:shd w:val="clear"/>
              <w:kinsoku w:val="0"/>
              <w:jc w:val="center"/>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备注</w:t>
            </w:r>
          </w:p>
        </w:tc>
      </w:tr>
      <w:tr w14:paraId="79FF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359" w:type="dxa"/>
            <w:gridSpan w:val="6"/>
            <w:shd w:val="clear" w:color="auto" w:fill="auto"/>
            <w:noWrap/>
            <w:vAlign w:val="center"/>
          </w:tcPr>
          <w:p w14:paraId="665357A0">
            <w:pPr>
              <w:shd w:val="clear"/>
              <w:kinsoku w:val="0"/>
              <w:jc w:val="left"/>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lang w:bidi="ar"/>
                <w14:textFill>
                  <w14:solidFill>
                    <w14:schemeClr w14:val="tx1"/>
                  </w14:solidFill>
                </w14:textFill>
              </w:rPr>
              <w:t>1扩声系统</w:t>
            </w:r>
          </w:p>
        </w:tc>
      </w:tr>
      <w:tr w14:paraId="2F58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3851D3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778" w:type="dxa"/>
            <w:shd w:val="clear" w:color="auto" w:fill="auto"/>
            <w:vAlign w:val="center"/>
          </w:tcPr>
          <w:p w14:paraId="3AD0750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eastAsia" w:ascii="仿宋" w:hAnsi="仿宋" w:eastAsia="仿宋" w:cs="仿宋"/>
                <w:b/>
                <w:bCs/>
                <w:color w:val="000000"/>
                <w:sz w:val="21"/>
                <w:szCs w:val="21"/>
                <w:highlight w:val="none"/>
                <w:lang w:val="en-US" w:eastAsia="zh-CN"/>
              </w:rPr>
              <w:t>▲</w:t>
            </w:r>
            <w:r>
              <w:rPr>
                <w:rFonts w:hint="default" w:ascii="Times New Roman" w:hAnsi="Times New Roman" w:cs="Times New Roman"/>
                <w:color w:val="000000" w:themeColor="text1"/>
                <w:sz w:val="18"/>
                <w:szCs w:val="18"/>
                <w:highlight w:val="none"/>
                <w14:textFill>
                  <w14:solidFill>
                    <w14:schemeClr w14:val="tx1"/>
                  </w14:solidFill>
                </w14:textFill>
              </w:rPr>
              <w:t>主音箱</w:t>
            </w:r>
          </w:p>
        </w:tc>
        <w:tc>
          <w:tcPr>
            <w:tcW w:w="5442" w:type="dxa"/>
            <w:shd w:val="clear" w:color="auto" w:fill="auto"/>
            <w:vAlign w:val="center"/>
          </w:tcPr>
          <w:p w14:paraId="70968DA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1.频率响应：≥50Hz~18KHz(±3dB)、30Hz~20KHz(-10dB)；</w:t>
            </w:r>
          </w:p>
          <w:p w14:paraId="7546132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2.灵敏度(1W/1m)：≥97dBSPL；</w:t>
            </w:r>
          </w:p>
          <w:p w14:paraId="0D9EB79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3.阻抗：≥8Ω；</w:t>
            </w:r>
          </w:p>
          <w:p w14:paraId="0123445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4.额定功率(AES)：≥500W；</w:t>
            </w:r>
          </w:p>
          <w:p w14:paraId="0C0AE51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5.低音单元：≥15寸75芯；</w:t>
            </w:r>
          </w:p>
          <w:p w14:paraId="55CBD62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6.高音单元：≥3寸(1.5寸喉口)压缩驱动器；</w:t>
            </w:r>
          </w:p>
          <w:p w14:paraId="3C5A33D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7.覆盖角(H×V)：≥80゜×50゜；</w:t>
            </w:r>
          </w:p>
          <w:p w14:paraId="37038E93">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8.最大声压级(/1m)：≥123dB(连续)，≥129dB(峰值)。</w:t>
            </w:r>
          </w:p>
        </w:tc>
        <w:tc>
          <w:tcPr>
            <w:tcW w:w="571" w:type="dxa"/>
            <w:shd w:val="clear" w:color="auto" w:fill="auto"/>
            <w:noWrap/>
            <w:vAlign w:val="center"/>
          </w:tcPr>
          <w:p w14:paraId="55B3796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64BB8B5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6581A457">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核心产品</w:t>
            </w: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7BA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04C7D2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778" w:type="dxa"/>
            <w:shd w:val="clear" w:color="auto" w:fill="auto"/>
            <w:vAlign w:val="center"/>
          </w:tcPr>
          <w:p w14:paraId="01007ED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主音箱功放机</w:t>
            </w:r>
          </w:p>
        </w:tc>
        <w:tc>
          <w:tcPr>
            <w:tcW w:w="5442" w:type="dxa"/>
            <w:shd w:val="clear" w:color="auto" w:fill="auto"/>
            <w:vAlign w:val="center"/>
          </w:tcPr>
          <w:p w14:paraId="215A596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1.立体声功率8Ω：≥800W×2；</w:t>
            </w:r>
          </w:p>
          <w:p w14:paraId="65D5DCF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2.立体声功率4Ω：≥1500W×2；</w:t>
            </w:r>
          </w:p>
          <w:p w14:paraId="6E5A9EB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3.失真度THD+N：＜1%；</w:t>
            </w:r>
          </w:p>
          <w:p w14:paraId="7EB6A88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4.频率响应(±1dB）：≥20Hz~20KHz；</w:t>
            </w:r>
          </w:p>
          <w:p w14:paraId="758E279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5.信噪比（1KHz）：≥98dB；</w:t>
            </w:r>
          </w:p>
          <w:p w14:paraId="1B6DE86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6.输入阻抗：≥平衡20KΩ/非平衡10KΩ；</w:t>
            </w:r>
          </w:p>
          <w:p w14:paraId="681206D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7.输入方式：XLR母座；</w:t>
            </w:r>
          </w:p>
          <w:p w14:paraId="6D731874">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8.输出连接：NL4MP插座；</w:t>
            </w:r>
          </w:p>
        </w:tc>
        <w:tc>
          <w:tcPr>
            <w:tcW w:w="571" w:type="dxa"/>
            <w:shd w:val="clear" w:color="auto" w:fill="auto"/>
            <w:noWrap/>
            <w:vAlign w:val="center"/>
          </w:tcPr>
          <w:p w14:paraId="64B4155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0CC3212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653A2637">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775754934" name="Picture 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54934" name="Picture 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9525"/>
                  <wp:effectExtent l="0" t="0" r="0" b="0"/>
                  <wp:wrapNone/>
                  <wp:docPr id="736654589" name="图片 5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54589" name="图片 5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9525"/>
                  <wp:effectExtent l="0" t="0" r="0" b="0"/>
                  <wp:wrapNone/>
                  <wp:docPr id="1703575503" name="图片 5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75503" name="图片 5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9525"/>
                  <wp:effectExtent l="0" t="0" r="0" b="0"/>
                  <wp:wrapNone/>
                  <wp:docPr id="723719534" name="图片 5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19534" name="图片 5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9525"/>
                  <wp:effectExtent l="0" t="0" r="0" b="0"/>
                  <wp:wrapNone/>
                  <wp:docPr id="96228782" name="图片 5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8782" name="图片 5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525" cy="9525"/>
                  <wp:effectExtent l="0" t="0" r="0" b="0"/>
                  <wp:wrapNone/>
                  <wp:docPr id="1789621845" name="图片 5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1845" name="图片 5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525" cy="9525"/>
                  <wp:effectExtent l="0" t="0" r="0" b="0"/>
                  <wp:wrapNone/>
                  <wp:docPr id="1166334879" name="图片 5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34879" name="图片 5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9525"/>
                  <wp:effectExtent l="0" t="0" r="0" b="0"/>
                  <wp:wrapNone/>
                  <wp:docPr id="1386729298" name="图片 5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29298" name="图片 5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9525"/>
                  <wp:effectExtent l="0" t="0" r="0" b="0"/>
                  <wp:wrapNone/>
                  <wp:docPr id="672087870" name="图片 5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87870" name="图片 5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9525"/>
                  <wp:effectExtent l="0" t="0" r="0" b="0"/>
                  <wp:wrapNone/>
                  <wp:docPr id="829016275" name="图片 5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16275" name="图片 50"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525" cy="9525"/>
                  <wp:effectExtent l="0" t="0" r="0" b="0"/>
                  <wp:wrapNone/>
                  <wp:docPr id="200421210" name="图片 4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1210" name="图片 49"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525" cy="9525"/>
                  <wp:effectExtent l="0" t="0" r="0" b="0"/>
                  <wp:wrapNone/>
                  <wp:docPr id="2030845139" name="图片 4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45139" name="图片 4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525" cy="9525"/>
                  <wp:effectExtent l="0" t="0" r="0" b="0"/>
                  <wp:wrapNone/>
                  <wp:docPr id="820722162" name="图片 4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22162" name="图片 4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9525" cy="9525"/>
                  <wp:effectExtent l="0" t="0" r="0" b="0"/>
                  <wp:wrapNone/>
                  <wp:docPr id="2014386020" name="图片 4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6020" name="图片 4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525" cy="9525"/>
                  <wp:effectExtent l="0" t="0" r="0" b="0"/>
                  <wp:wrapNone/>
                  <wp:docPr id="2017893679" name="图片 4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93679" name="图片 4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525" cy="9525"/>
                  <wp:effectExtent l="0" t="0" r="0" b="0"/>
                  <wp:wrapNone/>
                  <wp:docPr id="1843563032" name="图片 4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63032" name="图片 4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525" cy="9525"/>
                  <wp:effectExtent l="0" t="0" r="0" b="0"/>
                  <wp:wrapNone/>
                  <wp:docPr id="859787930" name="图片 4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87930" name="图片 4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525" cy="9525"/>
                  <wp:effectExtent l="0" t="0" r="0" b="0"/>
                  <wp:wrapNone/>
                  <wp:docPr id="467995109" name="图片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95109" name="图片 4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525" cy="9525"/>
                  <wp:effectExtent l="0" t="0" r="0" b="0"/>
                  <wp:wrapNone/>
                  <wp:docPr id="1198209145" name="图片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09145" name="图片 4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525" cy="9525"/>
                  <wp:effectExtent l="0" t="0" r="0" b="0"/>
                  <wp:wrapNone/>
                  <wp:docPr id="1115456419" name="图片 4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56419" name="图片 40"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9525" cy="9525"/>
                  <wp:effectExtent l="0" t="0" r="0" b="0"/>
                  <wp:wrapNone/>
                  <wp:docPr id="659569493" name="图片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69493" name="图片 39"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9525" cy="9525"/>
                  <wp:effectExtent l="0" t="0" r="0" b="0"/>
                  <wp:wrapNone/>
                  <wp:docPr id="1615400674" name="图片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00674" name="图片 3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9525" cy="9525"/>
                  <wp:effectExtent l="0" t="0" r="0" b="0"/>
                  <wp:wrapNone/>
                  <wp:docPr id="1550462024" name="图片 3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62024" name="图片 3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525" cy="9525"/>
                  <wp:effectExtent l="0" t="0" r="0" b="0"/>
                  <wp:wrapNone/>
                  <wp:docPr id="53784801" name="图片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801" name="图片 3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525" cy="9525"/>
                  <wp:effectExtent l="0" t="0" r="0" b="0"/>
                  <wp:wrapNone/>
                  <wp:docPr id="1644449333" name="图片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49333" name="图片 3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9525" cy="9525"/>
                  <wp:effectExtent l="0" t="0" r="0" b="0"/>
                  <wp:wrapNone/>
                  <wp:docPr id="1836281496" name="图片 3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81496" name="图片 3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9525" cy="9525"/>
                  <wp:effectExtent l="0" t="0" r="0" b="0"/>
                  <wp:wrapNone/>
                  <wp:docPr id="2009958609" name="图片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8609" name="图片 3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9525" cy="9525"/>
                  <wp:effectExtent l="0" t="0" r="0" b="0"/>
                  <wp:wrapNone/>
                  <wp:docPr id="923330934" name="图片 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30934" name="图片 3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9525" cy="9525"/>
                  <wp:effectExtent l="0" t="0" r="0" b="0"/>
                  <wp:wrapNone/>
                  <wp:docPr id="908395867" name="图片 3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95867" name="图片 3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9525" cy="9525"/>
                  <wp:effectExtent l="0" t="0" r="0" b="0"/>
                  <wp:wrapNone/>
                  <wp:docPr id="44486918" name="图片 4448691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6918" name="图片 4448691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9525" cy="9525"/>
                  <wp:effectExtent l="0" t="0" r="0" b="0"/>
                  <wp:wrapNone/>
                  <wp:docPr id="1045873173" name="图片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73173" name="图片 30"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9525" cy="9525"/>
                  <wp:effectExtent l="0" t="0" r="0" b="0"/>
                  <wp:wrapNone/>
                  <wp:docPr id="810402933" name="图片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02933" name="图片 29"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9525" cy="9525"/>
                  <wp:effectExtent l="0" t="0" r="0" b="0"/>
                  <wp:wrapNone/>
                  <wp:docPr id="553371234" name="图片 2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71234" name="图片 2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9525" cy="9525"/>
                  <wp:effectExtent l="0" t="0" r="0" b="0"/>
                  <wp:wrapNone/>
                  <wp:docPr id="1471725825" name="图片 2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25825" name="图片 2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9525" cy="9525"/>
                  <wp:effectExtent l="0" t="0" r="0" b="0"/>
                  <wp:wrapNone/>
                  <wp:docPr id="754768390" name="图片 2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68390" name="图片 2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9525" cy="9525"/>
                  <wp:effectExtent l="0" t="0" r="0" b="0"/>
                  <wp:wrapNone/>
                  <wp:docPr id="84409348" name="图片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9348" name="图片 2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9525" cy="9525"/>
                  <wp:effectExtent l="0" t="0" r="0" b="0"/>
                  <wp:wrapNone/>
                  <wp:docPr id="6305322" name="图片 2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22" name="图片 2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9525" cy="9525"/>
                  <wp:effectExtent l="0" t="0" r="0" b="0"/>
                  <wp:wrapNone/>
                  <wp:docPr id="193478583" name="图片 2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8583" name="图片 2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9525" cy="9525"/>
                  <wp:effectExtent l="0" t="0" r="0" b="0"/>
                  <wp:wrapNone/>
                  <wp:docPr id="748176969" name="图片 2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76969" name="图片 2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9525" cy="9525"/>
                  <wp:effectExtent l="0" t="0" r="0" b="0"/>
                  <wp:wrapNone/>
                  <wp:docPr id="1823990139" name="图片 2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90139" name="图片 2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9525" cy="9525"/>
                  <wp:effectExtent l="0" t="0" r="0" b="0"/>
                  <wp:wrapNone/>
                  <wp:docPr id="1482899631" name="图片 2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99631" name="图片 20"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9525" cy="9525"/>
                  <wp:effectExtent l="0" t="0" r="0" b="0"/>
                  <wp:wrapNone/>
                  <wp:docPr id="507546612" name="图片 1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46612" name="图片 19"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9525" cy="9525"/>
                  <wp:effectExtent l="0" t="0" r="0" b="0"/>
                  <wp:wrapNone/>
                  <wp:docPr id="1721998740" name="图片 1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98740" name="图片 1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9525" cy="9525"/>
                  <wp:effectExtent l="0" t="0" r="0" b="0"/>
                  <wp:wrapNone/>
                  <wp:docPr id="1007161382" name="图片 1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1382" name="图片 1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9525" cy="9525"/>
                  <wp:effectExtent l="0" t="0" r="0" b="0"/>
                  <wp:wrapNone/>
                  <wp:docPr id="2138505755" name="图片 1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05755" name="图片 1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9525" cy="9525"/>
                  <wp:effectExtent l="0" t="0" r="0" b="0"/>
                  <wp:wrapNone/>
                  <wp:docPr id="189514092" name="图片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4092" name="图片 1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9525" cy="9525"/>
                  <wp:effectExtent l="0" t="0" r="0" b="0"/>
                  <wp:wrapNone/>
                  <wp:docPr id="1594946935" name="图片 1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46935" name="图片 1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9525" cy="9525"/>
                  <wp:effectExtent l="0" t="0" r="0" b="0"/>
                  <wp:wrapNone/>
                  <wp:docPr id="1425406604" name="图片 1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06604" name="图片 1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9525" cy="9525"/>
                  <wp:effectExtent l="0" t="0" r="0" b="0"/>
                  <wp:wrapNone/>
                  <wp:docPr id="363314907" name="图片 1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14907" name="图片 1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9525" cy="9525"/>
                  <wp:effectExtent l="0" t="0" r="0" b="0"/>
                  <wp:wrapNone/>
                  <wp:docPr id="472943052" name="图片 1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43052" name="图片 1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9525" cy="9525"/>
                  <wp:effectExtent l="0" t="0" r="0" b="0"/>
                  <wp:wrapNone/>
                  <wp:docPr id="674608886" name="图片 1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08886" name="图片 10"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9525" cy="9525"/>
                  <wp:effectExtent l="0" t="0" r="0" b="0"/>
                  <wp:wrapNone/>
                  <wp:docPr id="748247330" name="图片 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330" name="图片 9"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9525" cy="9525"/>
                  <wp:effectExtent l="0" t="0" r="0" b="0"/>
                  <wp:wrapNone/>
                  <wp:docPr id="840043527" name="图片 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43527" name="图片 8"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9525" cy="9525"/>
                  <wp:effectExtent l="0" t="0" r="0" b="0"/>
                  <wp:wrapNone/>
                  <wp:docPr id="729266837" name="图片 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6837" name="图片 7"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9525" cy="9525"/>
                  <wp:effectExtent l="0" t="0" r="0" b="0"/>
                  <wp:wrapNone/>
                  <wp:docPr id="759929811" name="图片 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29811" name="图片 6"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9525" cy="9525"/>
                  <wp:effectExtent l="0" t="0" r="0" b="0"/>
                  <wp:wrapNone/>
                  <wp:docPr id="1333563237" name="图片 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63237" name="图片 5"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9525" cy="9525"/>
                  <wp:effectExtent l="0" t="0" r="0" b="0"/>
                  <wp:wrapNone/>
                  <wp:docPr id="1506972283" name="图片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72283" name="图片 4"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9525" cy="9525"/>
                  <wp:effectExtent l="0" t="0" r="0" b="0"/>
                  <wp:wrapNone/>
                  <wp:docPr id="120664519" name="图片 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4519" name="图片 3"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9525" cy="9525"/>
                  <wp:effectExtent l="0" t="0" r="0" b="0"/>
                  <wp:wrapNone/>
                  <wp:docPr id="1310748161" name="图片 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48161" name="图片 2"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r>
              <w:rPr>
                <w:rFonts w:hint="default" w:ascii="Times New Roman" w:hAnsi="Times New Roman" w:cs="Times New Roman"/>
                <w:color w:val="000000" w:themeColor="text1"/>
                <w:sz w:val="18"/>
                <w:szCs w:val="18"/>
                <w:highlight w:val="none"/>
                <w14:textFill>
                  <w14:solidFill>
                    <w14:schemeClr w14:val="tx1"/>
                  </w14:solidFill>
                </w14:textFill>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9525" cy="9525"/>
                  <wp:effectExtent l="0" t="0" r="0" b="0"/>
                  <wp:wrapNone/>
                  <wp:docPr id="610771518" name="图片 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71518" name="图片 1" descr="bl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p>
        </w:tc>
      </w:tr>
      <w:tr w14:paraId="2BF5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9FCA842">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p>
        </w:tc>
        <w:tc>
          <w:tcPr>
            <w:tcW w:w="778" w:type="dxa"/>
            <w:shd w:val="clear" w:color="auto" w:fill="auto"/>
            <w:vAlign w:val="center"/>
          </w:tcPr>
          <w:p w14:paraId="24AFF121">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超低音音箱</w:t>
            </w:r>
          </w:p>
        </w:tc>
        <w:tc>
          <w:tcPr>
            <w:tcW w:w="5442" w:type="dxa"/>
            <w:shd w:val="clear" w:color="auto" w:fill="auto"/>
            <w:vAlign w:val="center"/>
          </w:tcPr>
          <w:p w14:paraId="67F466A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1.频率响应：≥32Hz~180Hz(+3dB)、30Hz~250Hz(-10dB)；</w:t>
            </w:r>
          </w:p>
          <w:p w14:paraId="763F311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2.灵敏度(1W/1m)：≥102dBSPL；</w:t>
            </w:r>
          </w:p>
          <w:p w14:paraId="341A154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3.阻抗：≥4Ω；</w:t>
            </w:r>
          </w:p>
          <w:p w14:paraId="144310A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4.额定功率(AES)：≥2400W；</w:t>
            </w:r>
          </w:p>
          <w:p w14:paraId="50F2451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5.低音单元：≥2×18〞；</w:t>
            </w:r>
          </w:p>
          <w:p w14:paraId="6CECBA9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6.最大声压级(/1m)：≥135dB(连续)，≥141dB(峰值)。</w:t>
            </w:r>
          </w:p>
        </w:tc>
        <w:tc>
          <w:tcPr>
            <w:tcW w:w="571" w:type="dxa"/>
            <w:shd w:val="clear" w:color="auto" w:fill="auto"/>
            <w:noWrap/>
            <w:vAlign w:val="center"/>
          </w:tcPr>
          <w:p w14:paraId="133A159E">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0EB0CA74">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1E4FF5DD">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14:paraId="16D8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76759D3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778" w:type="dxa"/>
            <w:shd w:val="clear" w:color="auto" w:fill="auto"/>
            <w:vAlign w:val="center"/>
          </w:tcPr>
          <w:p w14:paraId="6957344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超低音音箱功放机</w:t>
            </w:r>
          </w:p>
        </w:tc>
        <w:tc>
          <w:tcPr>
            <w:tcW w:w="5442" w:type="dxa"/>
            <w:shd w:val="clear" w:color="auto" w:fill="auto"/>
            <w:vAlign w:val="center"/>
          </w:tcPr>
          <w:p w14:paraId="5166B2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1.立体声功率8Ω：≥1100W×2；</w:t>
            </w:r>
          </w:p>
          <w:p w14:paraId="4B0DEFD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2.立体声功率4Ω：≥2100W×2；</w:t>
            </w:r>
          </w:p>
          <w:p w14:paraId="59E4EE8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3.失真度THD+N：＜1%；</w:t>
            </w:r>
          </w:p>
          <w:p w14:paraId="69CF7AB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4.频率响应(±1dB）：≥20Hz~20KHz；</w:t>
            </w:r>
          </w:p>
          <w:p w14:paraId="319CD26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5.信噪比（1KHz）：≥98dB；</w:t>
            </w:r>
          </w:p>
          <w:p w14:paraId="64DE2BF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6.输入阻抗：≥平衡20KΩ/非平衡10KΩ；</w:t>
            </w:r>
          </w:p>
          <w:p w14:paraId="32DBD04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7.输入方式：XLR母座；</w:t>
            </w:r>
          </w:p>
          <w:p w14:paraId="598DB5A0">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8.输出连接：NL4MP插座。</w:t>
            </w:r>
          </w:p>
        </w:tc>
        <w:tc>
          <w:tcPr>
            <w:tcW w:w="571" w:type="dxa"/>
            <w:shd w:val="clear" w:color="auto" w:fill="auto"/>
            <w:noWrap/>
            <w:vAlign w:val="center"/>
          </w:tcPr>
          <w:p w14:paraId="2C94736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7BEB7BA5">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481D5716">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0A17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2C0B36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w:t>
            </w:r>
          </w:p>
        </w:tc>
        <w:tc>
          <w:tcPr>
            <w:tcW w:w="778" w:type="dxa"/>
            <w:shd w:val="clear" w:color="auto" w:fill="auto"/>
            <w:vAlign w:val="center"/>
          </w:tcPr>
          <w:p w14:paraId="5F373C9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返听音箱</w:t>
            </w:r>
          </w:p>
        </w:tc>
        <w:tc>
          <w:tcPr>
            <w:tcW w:w="5442" w:type="dxa"/>
            <w:shd w:val="clear" w:color="auto" w:fill="auto"/>
            <w:vAlign w:val="center"/>
          </w:tcPr>
          <w:p w14:paraId="51595BE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1.频率响应：≥55Hz~18KHz(±3dB)、40Hz~20KHz(-10dB)；</w:t>
            </w:r>
          </w:p>
          <w:p w14:paraId="1C4FA52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2.灵敏度(1W/1m)：≥96dBSPL；</w:t>
            </w:r>
          </w:p>
          <w:p w14:paraId="69190D0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3.阻抗：≥8Ω；</w:t>
            </w:r>
          </w:p>
          <w:p w14:paraId="009F34B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4.额定功率(AES)：≥450W；</w:t>
            </w:r>
          </w:p>
          <w:p w14:paraId="091A154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5.低音单元：≥12寸75芯；</w:t>
            </w:r>
          </w:p>
          <w:p w14:paraId="14E556E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6.高音单元：≥1.75寸(1寸喉口)压缩驱动器；</w:t>
            </w:r>
          </w:p>
          <w:p w14:paraId="236C588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7.覆盖角(H×V)：≥80゜×50゜；</w:t>
            </w:r>
          </w:p>
          <w:p w14:paraId="580B893F">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8.最大声压级(/1m)：≥122dB(连续)，≥128dB(峰值)。</w:t>
            </w:r>
          </w:p>
        </w:tc>
        <w:tc>
          <w:tcPr>
            <w:tcW w:w="571" w:type="dxa"/>
            <w:shd w:val="clear" w:color="auto" w:fill="auto"/>
            <w:noWrap/>
            <w:vAlign w:val="center"/>
          </w:tcPr>
          <w:p w14:paraId="459CCB0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143EB1C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493AAA2E">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633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AA2789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w:t>
            </w:r>
          </w:p>
        </w:tc>
        <w:tc>
          <w:tcPr>
            <w:tcW w:w="778" w:type="dxa"/>
            <w:shd w:val="clear" w:color="auto" w:fill="auto"/>
            <w:vAlign w:val="center"/>
          </w:tcPr>
          <w:p w14:paraId="30601FE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返听音箱功放机</w:t>
            </w:r>
          </w:p>
        </w:tc>
        <w:tc>
          <w:tcPr>
            <w:tcW w:w="5442" w:type="dxa"/>
            <w:shd w:val="clear" w:color="auto" w:fill="auto"/>
            <w:vAlign w:val="center"/>
          </w:tcPr>
          <w:p w14:paraId="1035D28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1.立体声功率8Ω：≥800W×2；</w:t>
            </w:r>
          </w:p>
          <w:p w14:paraId="15A9B4F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2.立体声功率4Ω：≥1500W×2；</w:t>
            </w:r>
          </w:p>
          <w:p w14:paraId="6186B8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3.失真度THD+N：＜1%；</w:t>
            </w:r>
          </w:p>
          <w:p w14:paraId="086BC5B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4.频率响应(±1dB）：≥20Hz~20KHz；</w:t>
            </w:r>
          </w:p>
          <w:p w14:paraId="37DD0E7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5.信噪比（1KHz）：≥98dB；</w:t>
            </w:r>
          </w:p>
          <w:p w14:paraId="2AB0BCD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6.输入阻抗：≥平衡20KΩ/非平衡10KΩ；</w:t>
            </w:r>
          </w:p>
          <w:p w14:paraId="195D600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7.输入方式：XLR母座；</w:t>
            </w:r>
          </w:p>
          <w:p w14:paraId="2312A9D7">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8.输出连接：NL4MP插座。</w:t>
            </w:r>
          </w:p>
        </w:tc>
        <w:tc>
          <w:tcPr>
            <w:tcW w:w="571" w:type="dxa"/>
            <w:shd w:val="clear" w:color="auto" w:fill="auto"/>
            <w:noWrap/>
            <w:vAlign w:val="center"/>
          </w:tcPr>
          <w:p w14:paraId="0E98B76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15978F7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304D5A73">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6D1D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0AA8AD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w:t>
            </w:r>
          </w:p>
        </w:tc>
        <w:tc>
          <w:tcPr>
            <w:tcW w:w="778" w:type="dxa"/>
            <w:shd w:val="clear" w:color="auto" w:fill="auto"/>
            <w:vAlign w:val="center"/>
          </w:tcPr>
          <w:p w14:paraId="4086F22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补声音箱</w:t>
            </w:r>
          </w:p>
        </w:tc>
        <w:tc>
          <w:tcPr>
            <w:tcW w:w="5442" w:type="dxa"/>
            <w:shd w:val="clear" w:color="auto" w:fill="auto"/>
            <w:vAlign w:val="center"/>
          </w:tcPr>
          <w:p w14:paraId="7834DC8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1.频率响应：≥55Hz~18KHz(±3dB)、40Hz~20KHz(-10dB)；</w:t>
            </w:r>
          </w:p>
          <w:p w14:paraId="2476528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2.灵敏度(1W/1m)：≥96dBSPL；</w:t>
            </w:r>
          </w:p>
          <w:p w14:paraId="0825C6D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3.阻抗：≥8Ω；</w:t>
            </w:r>
          </w:p>
          <w:p w14:paraId="54B927B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4.额定功率(AES)：≥450W；</w:t>
            </w:r>
          </w:p>
          <w:p w14:paraId="4125FD5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5.低音单元：≥12寸75芯；</w:t>
            </w:r>
          </w:p>
          <w:p w14:paraId="65AD627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6.高音单元：≥1.75寸(1寸喉口)压缩驱动器；</w:t>
            </w:r>
          </w:p>
          <w:p w14:paraId="45CE14B5">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7.覆盖角(H×V)：≥80゜×50゜。</w:t>
            </w:r>
          </w:p>
        </w:tc>
        <w:tc>
          <w:tcPr>
            <w:tcW w:w="571" w:type="dxa"/>
            <w:shd w:val="clear" w:color="auto" w:fill="auto"/>
            <w:noWrap/>
            <w:vAlign w:val="center"/>
          </w:tcPr>
          <w:p w14:paraId="74C4A0A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5385188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6468C194">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760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26B323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w:t>
            </w:r>
          </w:p>
        </w:tc>
        <w:tc>
          <w:tcPr>
            <w:tcW w:w="778" w:type="dxa"/>
            <w:shd w:val="clear" w:color="auto" w:fill="auto"/>
            <w:vAlign w:val="center"/>
          </w:tcPr>
          <w:p w14:paraId="7B5614C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补声音箱功放机</w:t>
            </w:r>
          </w:p>
        </w:tc>
        <w:tc>
          <w:tcPr>
            <w:tcW w:w="5442" w:type="dxa"/>
            <w:shd w:val="clear" w:color="auto" w:fill="auto"/>
            <w:vAlign w:val="center"/>
          </w:tcPr>
          <w:p w14:paraId="4D4C484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1.立体声功率8Ω：≥800W×2；</w:t>
            </w:r>
          </w:p>
          <w:p w14:paraId="0625C2F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2.立体声功率4Ω：≥1500W×2；</w:t>
            </w:r>
          </w:p>
          <w:p w14:paraId="7D5233E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3.失真度THD+N：＜1%；</w:t>
            </w:r>
          </w:p>
          <w:p w14:paraId="0B075BC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4.频率响应(±1dB）：≥20Hz~20KHz</w:t>
            </w:r>
          </w:p>
          <w:p w14:paraId="7B16382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5.信噪比（1KHz）：≥98dB；</w:t>
            </w:r>
          </w:p>
          <w:p w14:paraId="7443C92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6.输入阻抗：≥平衡20KΩ/非平衡10KΩ</w:t>
            </w:r>
          </w:p>
          <w:p w14:paraId="29FD24E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7.输入方式：XLR母座；</w:t>
            </w:r>
          </w:p>
          <w:p w14:paraId="43611E30">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8.输出连接：NL4MP插座。</w:t>
            </w:r>
          </w:p>
        </w:tc>
        <w:tc>
          <w:tcPr>
            <w:tcW w:w="571" w:type="dxa"/>
            <w:shd w:val="clear" w:color="auto" w:fill="auto"/>
            <w:noWrap/>
            <w:vAlign w:val="center"/>
          </w:tcPr>
          <w:p w14:paraId="295C36A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75885BE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4A52205D">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390B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7C0FE6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w:t>
            </w:r>
          </w:p>
        </w:tc>
        <w:tc>
          <w:tcPr>
            <w:tcW w:w="778" w:type="dxa"/>
            <w:shd w:val="clear" w:color="auto" w:fill="auto"/>
            <w:vAlign w:val="center"/>
          </w:tcPr>
          <w:p w14:paraId="10DFEF2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音频处理器</w:t>
            </w:r>
          </w:p>
        </w:tc>
        <w:tc>
          <w:tcPr>
            <w:tcW w:w="5442" w:type="dxa"/>
            <w:shd w:val="clear" w:color="auto" w:fill="auto"/>
            <w:vAlign w:val="center"/>
          </w:tcPr>
          <w:p w14:paraId="495DE7D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1.平衡式话筒\线路输入：≥8路，采用凤凰插接口；</w:t>
            </w:r>
          </w:p>
          <w:p w14:paraId="0ED0AEE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2.平衡式输出</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采用凤凰插接口：≥8路；</w:t>
            </w:r>
          </w:p>
          <w:p w14:paraId="3060B8F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3.具有参量均衡器，13参量均衡器，压限器，限幅器，扩展器，分频器，混音器，滤波器，噪声门，哑音器，自动增益，信号指示表和信号发生器等；</w:t>
            </w:r>
          </w:p>
          <w:p w14:paraId="0AEA3E58">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4.接口：RJ45软件控制网口、RS485控制口。</w:t>
            </w:r>
          </w:p>
        </w:tc>
        <w:tc>
          <w:tcPr>
            <w:tcW w:w="571" w:type="dxa"/>
            <w:shd w:val="clear" w:color="auto" w:fill="auto"/>
            <w:noWrap/>
            <w:vAlign w:val="center"/>
          </w:tcPr>
          <w:p w14:paraId="6380E82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7610618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0391DF70">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E62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8DC554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w:t>
            </w:r>
          </w:p>
        </w:tc>
        <w:tc>
          <w:tcPr>
            <w:tcW w:w="778" w:type="dxa"/>
            <w:shd w:val="clear" w:color="auto" w:fill="auto"/>
            <w:vAlign w:val="center"/>
          </w:tcPr>
          <w:p w14:paraId="396AE9D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数字调音台</w:t>
            </w:r>
          </w:p>
        </w:tc>
        <w:tc>
          <w:tcPr>
            <w:tcW w:w="5442" w:type="dxa"/>
            <w:shd w:val="clear" w:color="auto" w:fill="auto"/>
            <w:vAlign w:val="center"/>
          </w:tcPr>
          <w:p w14:paraId="016E4B2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1.输入处理能力：≥40路；</w:t>
            </w:r>
          </w:p>
          <w:p w14:paraId="28B30CB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2.支持AES50网络；</w:t>
            </w:r>
          </w:p>
          <w:p w14:paraId="52FA94D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3.数模/模数转换：≥192kHz；</w:t>
            </w:r>
          </w:p>
          <w:p w14:paraId="06BE973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4.DCA编组：≥8个，哑音编组：≥6个；</w:t>
            </w:r>
          </w:p>
          <w:p w14:paraId="4BA15FC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5.立体声效果器：≥8个；</w:t>
            </w:r>
          </w:p>
          <w:p w14:paraId="4042B8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6.100mmMIDASPRO电动推子：≥25个；</w:t>
            </w:r>
          </w:p>
          <w:p w14:paraId="6D4B829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7.TFT显示屏：≥7寸；</w:t>
            </w:r>
          </w:p>
          <w:p w14:paraId="313586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8.通过USB2.0支持32x32通道的数字音频传输；</w:t>
            </w:r>
          </w:p>
          <w:p w14:paraId="759B97FD">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9.通过无线网络，可远程进行程序控制。</w:t>
            </w:r>
          </w:p>
        </w:tc>
        <w:tc>
          <w:tcPr>
            <w:tcW w:w="571" w:type="dxa"/>
            <w:shd w:val="clear" w:color="auto" w:fill="auto"/>
            <w:noWrap/>
            <w:vAlign w:val="center"/>
          </w:tcPr>
          <w:p w14:paraId="561821F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1058E60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1031C238">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2D98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D7BA3F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11</w:t>
            </w:r>
          </w:p>
        </w:tc>
        <w:tc>
          <w:tcPr>
            <w:tcW w:w="778" w:type="dxa"/>
            <w:shd w:val="clear" w:color="auto" w:fill="auto"/>
            <w:vAlign w:val="center"/>
          </w:tcPr>
          <w:p w14:paraId="17A4C9A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接口箱</w:t>
            </w:r>
          </w:p>
        </w:tc>
        <w:tc>
          <w:tcPr>
            <w:tcW w:w="5442" w:type="dxa"/>
            <w:shd w:val="clear" w:color="auto" w:fill="auto"/>
            <w:vAlign w:val="center"/>
          </w:tcPr>
          <w:p w14:paraId="6D99FDD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1.输入通道：≥32个；</w:t>
            </w:r>
          </w:p>
          <w:p w14:paraId="6B8934B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2.模拟XLR输出通道：≥16个；</w:t>
            </w:r>
          </w:p>
          <w:p w14:paraId="599DA6F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3.AES50采用超低延迟技术；</w:t>
            </w:r>
          </w:p>
          <w:p w14:paraId="0FAD2E7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4.双AES50端口，可级联；</w:t>
            </w:r>
          </w:p>
          <w:p w14:paraId="5A29AE5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5.所有的输入输出信号都能够通过耳机接口进行监听；</w:t>
            </w:r>
          </w:p>
          <w:p w14:paraId="5F81A95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6.MIDI输入输出接口提供控制台与舞台MIDI设备之间的连接；</w:t>
            </w:r>
          </w:p>
          <w:p w14:paraId="524F0B83">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7.与数字调音台同品牌。</w:t>
            </w:r>
          </w:p>
        </w:tc>
        <w:tc>
          <w:tcPr>
            <w:tcW w:w="571" w:type="dxa"/>
            <w:shd w:val="clear" w:color="auto" w:fill="auto"/>
            <w:noWrap/>
            <w:vAlign w:val="center"/>
          </w:tcPr>
          <w:p w14:paraId="6CD463A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4CC9779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448220D9">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44B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9191C2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12</w:t>
            </w:r>
          </w:p>
        </w:tc>
        <w:tc>
          <w:tcPr>
            <w:tcW w:w="778" w:type="dxa"/>
            <w:shd w:val="clear" w:color="auto" w:fill="auto"/>
            <w:vAlign w:val="center"/>
          </w:tcPr>
          <w:p w14:paraId="1F6CFC3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智能遥控音乐播放机</w:t>
            </w:r>
          </w:p>
        </w:tc>
        <w:tc>
          <w:tcPr>
            <w:tcW w:w="5442" w:type="dxa"/>
            <w:shd w:val="clear" w:color="auto" w:fill="auto"/>
            <w:vAlign w:val="center"/>
          </w:tcPr>
          <w:p w14:paraId="75D6B6DB">
            <w:pPr>
              <w:shd w:val="clear"/>
              <w:kinsoku w:val="0"/>
              <w:jc w:val="left"/>
              <w:textAlignment w:val="center"/>
              <w:rPr>
                <w:rFonts w:hint="eastAsia"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14:textFill>
                  <w14:solidFill>
                    <w14:schemeClr w14:val="tx1"/>
                  </w14:solidFill>
                </w14:textFill>
              </w:rPr>
              <w:t>音乐播放功能</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强大</w:t>
            </w:r>
            <w:r>
              <w:rPr>
                <w:rFonts w:hint="eastAsia" w:ascii="Times New Roman" w:hAnsi="Times New Roman" w:cs="Times New Roman"/>
                <w:color w:val="000000" w:themeColor="text1"/>
                <w:sz w:val="18"/>
                <w:szCs w:val="18"/>
                <w:highlight w:val="none"/>
                <w14:textFill>
                  <w14:solidFill>
                    <w14:schemeClr w14:val="tx1"/>
                  </w14:solidFill>
                </w14:textFill>
              </w:rPr>
              <w:t>，</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全面</w:t>
            </w:r>
            <w:r>
              <w:rPr>
                <w:rFonts w:hint="eastAsia" w:ascii="Times New Roman" w:hAnsi="Times New Roman" w:cs="Times New Roman"/>
                <w:color w:val="000000" w:themeColor="text1"/>
                <w:sz w:val="18"/>
                <w:szCs w:val="18"/>
                <w:highlight w:val="none"/>
                <w14:textFill>
                  <w14:solidFill>
                    <w14:schemeClr w14:val="tx1"/>
                  </w14:solidFill>
                </w14:textFill>
              </w:rPr>
              <w:t>支持MPEG 1/2 Layer 3 、WMA、WAV、OGG、APE、FLAC等</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多种</w:t>
            </w:r>
            <w:r>
              <w:rPr>
                <w:rFonts w:hint="eastAsia" w:ascii="Times New Roman" w:hAnsi="Times New Roman" w:cs="Times New Roman"/>
                <w:color w:val="000000" w:themeColor="text1"/>
                <w:sz w:val="18"/>
                <w:szCs w:val="18"/>
                <w:highlight w:val="none"/>
                <w14:textFill>
                  <w14:solidFill>
                    <w14:schemeClr w14:val="tx1"/>
                  </w14:solidFill>
                </w14:textFill>
              </w:rPr>
              <w:t>音频格式</w:t>
            </w:r>
          </w:p>
          <w:p w14:paraId="42AB84E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r>
              <w:rPr>
                <w:rFonts w:hint="eastAsia" w:ascii="Times New Roman" w:hAnsi="Times New Roman" w:cs="Times New Roman"/>
                <w:color w:val="000000" w:themeColor="text1"/>
                <w:sz w:val="18"/>
                <w:szCs w:val="18"/>
                <w:highlight w:val="none"/>
                <w14:textFill>
                  <w14:solidFill>
                    <w14:schemeClr w14:val="tx1"/>
                  </w14:solidFill>
                </w14:textFill>
              </w:rPr>
              <w:t>内置高清晰FM收音机，并支持FM节目录制，可随意录制选定的FM收音机节目</w:t>
            </w:r>
          </w:p>
          <w:p w14:paraId="286C7246">
            <w:pPr>
              <w:shd w:val="clear"/>
              <w:kinsoku w:val="0"/>
              <w:jc w:val="left"/>
              <w:textAlignment w:val="center"/>
              <w:rPr>
                <w:rFonts w:hint="eastAsia" w:ascii="Times New Roman" w:hAnsi="Times New Roman" w:cs="Times New Roman"/>
                <w:color w:val="000000" w:themeColor="text1"/>
                <w:sz w:val="18"/>
                <w:szCs w:val="18"/>
                <w:highlight w:val="none"/>
                <w:lang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r>
              <w:rPr>
                <w:rFonts w:hint="eastAsia" w:ascii="Times New Roman" w:hAnsi="Times New Roman" w:cs="Times New Roman"/>
                <w:color w:val="000000" w:themeColor="text1"/>
                <w:sz w:val="18"/>
                <w:szCs w:val="18"/>
                <w:highlight w:val="none"/>
                <w14:textFill>
                  <w14:solidFill>
                    <w14:schemeClr w14:val="tx1"/>
                  </w14:solidFill>
                </w14:textFill>
              </w:rPr>
              <w:t>支持周历定时程序和特殊日期定时程序，满足各种时间、各种场合的使用需要</w:t>
            </w:r>
            <w:r>
              <w:rPr>
                <w:rFonts w:hint="eastAsia" w:ascii="Times New Roman" w:hAnsi="Times New Roman" w:cs="Times New Roman"/>
                <w:color w:val="000000" w:themeColor="text1"/>
                <w:sz w:val="18"/>
                <w:szCs w:val="18"/>
                <w:highlight w:val="none"/>
                <w:lang w:eastAsia="zh-CN"/>
                <w14:textFill>
                  <w14:solidFill>
                    <w14:schemeClr w14:val="tx1"/>
                  </w14:solidFill>
                </w14:textFill>
              </w:rPr>
              <w:t>；</w:t>
            </w:r>
          </w:p>
          <w:p w14:paraId="22A4416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4</w:t>
            </w:r>
            <w:r>
              <w:rPr>
                <w:rFonts w:hint="default" w:ascii="Times New Roman" w:hAnsi="Times New Roman" w:cs="Times New Roman"/>
                <w:color w:val="000000" w:themeColor="text1"/>
                <w:sz w:val="18"/>
                <w:szCs w:val="18"/>
                <w:highlight w:val="none"/>
                <w14:textFill>
                  <w14:solidFill>
                    <w14:schemeClr w14:val="tx1"/>
                  </w14:solidFill>
                </w14:textFill>
              </w:rPr>
              <w:t>．与遥控无线麦克风配合使用，实现遥控启动系统电源开关功能，无线麦克风打开时，自动打开系统电源，无线麦克风关闭后，系统电源约5秒后又自动关闭。</w:t>
            </w:r>
          </w:p>
          <w:p w14:paraId="533A00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5</w:t>
            </w:r>
            <w:r>
              <w:rPr>
                <w:rFonts w:hint="default" w:ascii="Times New Roman" w:hAnsi="Times New Roman" w:cs="Times New Roman"/>
                <w:color w:val="000000" w:themeColor="text1"/>
                <w:sz w:val="18"/>
                <w:szCs w:val="18"/>
                <w:highlight w:val="none"/>
                <w14:textFill>
                  <w14:solidFill>
                    <w14:schemeClr w14:val="tx1"/>
                  </w14:solidFill>
                </w14:textFill>
              </w:rPr>
              <w:t>.支持消防联动报警功能，警报触发信号启动系统电源并播放指定报警音乐文件，该功能为最优先级。</w:t>
            </w:r>
          </w:p>
          <w:p w14:paraId="4D47C3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6</w:t>
            </w:r>
            <w:r>
              <w:rPr>
                <w:rFonts w:hint="default" w:ascii="Times New Roman" w:hAnsi="Times New Roman" w:cs="Times New Roman"/>
                <w:color w:val="000000" w:themeColor="text1"/>
                <w:sz w:val="18"/>
                <w:szCs w:val="18"/>
                <w:highlight w:val="none"/>
                <w14:textFill>
                  <w14:solidFill>
                    <w14:schemeClr w14:val="tx1"/>
                  </w14:solidFill>
                </w14:textFill>
              </w:rPr>
              <w:t>.面板具有40首单曲直选播放功能，对应播放01-40号音乐文件。</w:t>
            </w:r>
          </w:p>
          <w:p w14:paraId="7515292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7</w:t>
            </w:r>
            <w:r>
              <w:rPr>
                <w:rFonts w:hint="default" w:ascii="Times New Roman" w:hAnsi="Times New Roman" w:cs="Times New Roman"/>
                <w:color w:val="000000" w:themeColor="text1"/>
                <w:sz w:val="18"/>
                <w:szCs w:val="18"/>
                <w:highlight w:val="none"/>
                <w14:textFill>
                  <w14:solidFill>
                    <w14:schemeClr w14:val="tx1"/>
                  </w14:solidFill>
                </w14:textFill>
              </w:rPr>
              <w:t>.无线遥控器在开阔地可达到≥1000米的可视遥控距离；</w:t>
            </w:r>
          </w:p>
          <w:p w14:paraId="513BC0F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8</w:t>
            </w:r>
            <w:r>
              <w:rPr>
                <w:rFonts w:hint="default" w:ascii="Times New Roman" w:hAnsi="Times New Roman" w:cs="Times New Roman"/>
                <w:color w:val="000000" w:themeColor="text1"/>
                <w:sz w:val="18"/>
                <w:szCs w:val="18"/>
                <w:highlight w:val="none"/>
                <w14:textFill>
                  <w14:solidFill>
                    <w14:schemeClr w14:val="tx1"/>
                  </w14:solidFill>
                </w14:textFill>
              </w:rPr>
              <w:t>.遥控器可遥控≥99首歌曲；</w:t>
            </w:r>
          </w:p>
          <w:p w14:paraId="565137B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lang w:val="en-US" w:eastAsia="zh-CN"/>
                <w14:textFill>
                  <w14:solidFill>
                    <w14:schemeClr w14:val="tx1"/>
                  </w14:solidFill>
                </w14:textFill>
              </w:rPr>
              <w:t>9.投标人需承诺本产品</w:t>
            </w:r>
            <w:r>
              <w:rPr>
                <w:rFonts w:hint="default" w:ascii="Times New Roman" w:hAnsi="Times New Roman" w:cs="Times New Roman"/>
                <w:b/>
                <w:bCs/>
                <w:color w:val="000000" w:themeColor="text1"/>
                <w:sz w:val="18"/>
                <w:szCs w:val="18"/>
                <w:highlight w:val="none"/>
                <w14:textFill>
                  <w14:solidFill>
                    <w14:schemeClr w14:val="tx1"/>
                  </w14:solidFill>
                </w14:textFill>
              </w:rPr>
              <w:t>符合GB4943.1-2022《音视频、信息技术和通信技术设备第1部分：安全要求》</w:t>
            </w:r>
            <w:r>
              <w:rPr>
                <w:rFonts w:hint="eastAsia" w:ascii="Times New Roman" w:hAnsi="Times New Roman" w:cs="Times New Roman"/>
                <w:b/>
                <w:bCs/>
                <w:color w:val="000000" w:themeColor="text1"/>
                <w:sz w:val="18"/>
                <w:szCs w:val="18"/>
                <w:highlight w:val="none"/>
                <w:lang w:eastAsia="zh-CN"/>
                <w14:textFill>
                  <w14:solidFill>
                    <w14:schemeClr w14:val="tx1"/>
                  </w14:solidFill>
                </w14:textFill>
              </w:rPr>
              <w:t>；</w:t>
            </w:r>
            <w:r>
              <w:rPr>
                <w:rFonts w:hint="default" w:ascii="Times New Roman" w:hAnsi="Times New Roman" w:cs="Times New Roman"/>
                <w:b/>
                <w:bCs/>
                <w:color w:val="000000" w:themeColor="text1"/>
                <w:sz w:val="18"/>
                <w:szCs w:val="18"/>
                <w:highlight w:val="none"/>
                <w14:textFill>
                  <w14:solidFill>
                    <w14:schemeClr w14:val="tx1"/>
                  </w14:solidFill>
                </w14:textFill>
              </w:rPr>
              <w:t>标签检测样品产品外观需带有品牌相关信息</w:t>
            </w:r>
            <w:r>
              <w:rPr>
                <w:rFonts w:hint="eastAsia" w:ascii="Times New Roman" w:hAnsi="Times New Roman" w:cs="Times New Roman"/>
                <w:b/>
                <w:bCs/>
                <w:color w:val="000000" w:themeColor="text1"/>
                <w:sz w:val="18"/>
                <w:szCs w:val="18"/>
                <w:highlight w:val="none"/>
                <w:lang w:eastAsia="zh-CN"/>
                <w14:textFill>
                  <w14:solidFill>
                    <w14:schemeClr w14:val="tx1"/>
                  </w14:solidFill>
                </w14:textFill>
              </w:rPr>
              <w:t>；</w:t>
            </w:r>
            <w:r>
              <w:rPr>
                <w:rFonts w:hint="default" w:ascii="Times New Roman" w:hAnsi="Times New Roman" w:cs="Times New Roman"/>
                <w:b/>
                <w:bCs/>
                <w:color w:val="000000" w:themeColor="text1"/>
                <w:sz w:val="18"/>
                <w:szCs w:val="18"/>
                <w:highlight w:val="none"/>
                <w14:textFill>
                  <w14:solidFill>
                    <w14:schemeClr w14:val="tx1"/>
                  </w14:solidFill>
                </w14:textFill>
              </w:rPr>
              <w:t>符合GB/T25000.51-2016《系统与软件工程系统与软件质量要求和评价（SQuaRE）</w:t>
            </w:r>
          </w:p>
        </w:tc>
        <w:tc>
          <w:tcPr>
            <w:tcW w:w="571" w:type="dxa"/>
            <w:shd w:val="clear" w:color="auto" w:fill="auto"/>
            <w:noWrap/>
            <w:vAlign w:val="center"/>
          </w:tcPr>
          <w:p w14:paraId="4025DE7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23D8DF7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73B07EA1">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7566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03995B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w:t>
            </w:r>
          </w:p>
        </w:tc>
        <w:tc>
          <w:tcPr>
            <w:tcW w:w="778" w:type="dxa"/>
            <w:shd w:val="clear" w:color="auto" w:fill="auto"/>
            <w:vAlign w:val="center"/>
          </w:tcPr>
          <w:p w14:paraId="72FB91C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无线手持话筒</w:t>
            </w:r>
          </w:p>
        </w:tc>
        <w:tc>
          <w:tcPr>
            <w:tcW w:w="5442" w:type="dxa"/>
            <w:shd w:val="clear" w:color="auto" w:fill="auto"/>
            <w:vAlign w:val="center"/>
          </w:tcPr>
          <w:p w14:paraId="3A8F7AB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1.可机架式安装接收机；</w:t>
            </w:r>
          </w:p>
          <w:p w14:paraId="1FD808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2.发射机、增益调整范围：≥10dB；</w:t>
            </w:r>
          </w:p>
          <w:p w14:paraId="6A7470E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3.接收机输出阻抗：XLR连接器：≥200Ω、</w:t>
            </w:r>
          </w:p>
          <w:p w14:paraId="5728386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ImageRejection：&gt;50dB；</w:t>
            </w:r>
          </w:p>
          <w:p w14:paraId="48A7EB3D">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4.包含手持式话筒头。</w:t>
            </w:r>
          </w:p>
        </w:tc>
        <w:tc>
          <w:tcPr>
            <w:tcW w:w="571" w:type="dxa"/>
            <w:shd w:val="clear" w:color="auto" w:fill="auto"/>
            <w:noWrap/>
            <w:vAlign w:val="center"/>
          </w:tcPr>
          <w:p w14:paraId="7EDD7CA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w:t>
            </w:r>
          </w:p>
        </w:tc>
        <w:tc>
          <w:tcPr>
            <w:tcW w:w="459" w:type="dxa"/>
            <w:shd w:val="clear" w:color="auto" w:fill="auto"/>
            <w:noWrap/>
            <w:vAlign w:val="center"/>
          </w:tcPr>
          <w:p w14:paraId="5E1D479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393E51F0">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18AF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861027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14</w:t>
            </w:r>
          </w:p>
        </w:tc>
        <w:tc>
          <w:tcPr>
            <w:tcW w:w="778" w:type="dxa"/>
            <w:shd w:val="clear" w:color="auto" w:fill="auto"/>
            <w:vAlign w:val="center"/>
          </w:tcPr>
          <w:p w14:paraId="468D3FE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无线头戴话筒</w:t>
            </w:r>
          </w:p>
        </w:tc>
        <w:tc>
          <w:tcPr>
            <w:tcW w:w="5442" w:type="dxa"/>
            <w:shd w:val="clear" w:color="auto" w:fill="auto"/>
            <w:vAlign w:val="center"/>
          </w:tcPr>
          <w:p w14:paraId="3E9F9D9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1.可机架式安装接收机；</w:t>
            </w:r>
          </w:p>
          <w:p w14:paraId="2CD1F73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2.接收机输出阻抗：XLR连接器：≥200Ω、</w:t>
            </w:r>
          </w:p>
          <w:p w14:paraId="7D2022D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ImageRejection：&gt;50dB；</w:t>
            </w:r>
          </w:p>
          <w:p w14:paraId="73FB478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3.腰包发射机，快速频率匹配，触式开关，≥26dB可调增益范围；</w:t>
            </w:r>
          </w:p>
          <w:p w14:paraId="2CDC90D3">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4.包含头戴式话筒。</w:t>
            </w:r>
          </w:p>
        </w:tc>
        <w:tc>
          <w:tcPr>
            <w:tcW w:w="571" w:type="dxa"/>
            <w:shd w:val="clear" w:color="auto" w:fill="auto"/>
            <w:noWrap/>
            <w:vAlign w:val="center"/>
          </w:tcPr>
          <w:p w14:paraId="3C10AC8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1832281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6C3E7223">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45D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42F9A4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15</w:t>
            </w:r>
          </w:p>
        </w:tc>
        <w:tc>
          <w:tcPr>
            <w:tcW w:w="778" w:type="dxa"/>
            <w:shd w:val="clear" w:color="auto" w:fill="auto"/>
            <w:vAlign w:val="center"/>
          </w:tcPr>
          <w:p w14:paraId="3618138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无线领夹话筒</w:t>
            </w:r>
          </w:p>
        </w:tc>
        <w:tc>
          <w:tcPr>
            <w:tcW w:w="5442" w:type="dxa"/>
            <w:shd w:val="clear" w:color="auto" w:fill="auto"/>
            <w:vAlign w:val="center"/>
          </w:tcPr>
          <w:p w14:paraId="793B991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1.可机架式安装接收机；</w:t>
            </w:r>
          </w:p>
          <w:p w14:paraId="36AC4E5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2.接收机输出阻抗：XLR连接器：≥200Ω、</w:t>
            </w:r>
          </w:p>
          <w:p w14:paraId="6327F9B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ImageRejection：&gt;50dB；</w:t>
            </w:r>
          </w:p>
          <w:p w14:paraId="1DDFBFB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3.腰包发射机，快速频率匹配，触式开关，可调增益范围：≥26dB</w:t>
            </w:r>
          </w:p>
          <w:p w14:paraId="3D6CDB9B">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4.包含领夹式话筒。</w:t>
            </w:r>
          </w:p>
        </w:tc>
        <w:tc>
          <w:tcPr>
            <w:tcW w:w="571" w:type="dxa"/>
            <w:shd w:val="clear" w:color="auto" w:fill="auto"/>
            <w:noWrap/>
            <w:vAlign w:val="center"/>
          </w:tcPr>
          <w:p w14:paraId="6860031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6219E63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58F1EE0F">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2EB4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B610DB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16</w:t>
            </w:r>
          </w:p>
        </w:tc>
        <w:tc>
          <w:tcPr>
            <w:tcW w:w="778" w:type="dxa"/>
            <w:shd w:val="clear" w:color="auto" w:fill="auto"/>
            <w:vAlign w:val="center"/>
          </w:tcPr>
          <w:p w14:paraId="6C5CC89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天线分配器</w:t>
            </w:r>
          </w:p>
        </w:tc>
        <w:tc>
          <w:tcPr>
            <w:tcW w:w="5442" w:type="dxa"/>
            <w:shd w:val="clear" w:color="auto" w:fill="auto"/>
            <w:vAlign w:val="center"/>
          </w:tcPr>
          <w:p w14:paraId="7EF2DC4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1.连接器类型：BNC；</w:t>
            </w:r>
          </w:p>
          <w:p w14:paraId="044AC29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2.阻抗：≥50Ω；</w:t>
            </w:r>
          </w:p>
          <w:p w14:paraId="33B4C086">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3.输出连接器：≥30dB。</w:t>
            </w:r>
          </w:p>
        </w:tc>
        <w:tc>
          <w:tcPr>
            <w:tcW w:w="571" w:type="dxa"/>
            <w:shd w:val="clear" w:color="auto" w:fill="auto"/>
            <w:noWrap/>
            <w:vAlign w:val="center"/>
          </w:tcPr>
          <w:p w14:paraId="3D8C778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p>
        </w:tc>
        <w:tc>
          <w:tcPr>
            <w:tcW w:w="459" w:type="dxa"/>
            <w:shd w:val="clear" w:color="auto" w:fill="auto"/>
            <w:noWrap/>
            <w:vAlign w:val="center"/>
          </w:tcPr>
          <w:p w14:paraId="3FB7ED5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套</w:t>
            </w:r>
          </w:p>
        </w:tc>
        <w:tc>
          <w:tcPr>
            <w:tcW w:w="601" w:type="dxa"/>
            <w:shd w:val="clear" w:color="auto" w:fill="auto"/>
            <w:noWrap/>
            <w:vAlign w:val="center"/>
          </w:tcPr>
          <w:p w14:paraId="0392EFF5">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23DF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F78BEC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17</w:t>
            </w:r>
          </w:p>
        </w:tc>
        <w:tc>
          <w:tcPr>
            <w:tcW w:w="778" w:type="dxa"/>
            <w:shd w:val="clear" w:color="auto" w:fill="auto"/>
            <w:vAlign w:val="center"/>
          </w:tcPr>
          <w:p w14:paraId="1F253DC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天线放大器</w:t>
            </w:r>
          </w:p>
        </w:tc>
        <w:tc>
          <w:tcPr>
            <w:tcW w:w="5442" w:type="dxa"/>
            <w:shd w:val="clear" w:color="auto" w:fill="auto"/>
            <w:vAlign w:val="center"/>
          </w:tcPr>
          <w:p w14:paraId="5EEDD2D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1.有源指向性天线；阻抗：≥50Ω；</w:t>
            </w:r>
          </w:p>
          <w:p w14:paraId="2A4DC54C">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2.电源要求：来自同轴连接。</w:t>
            </w:r>
          </w:p>
        </w:tc>
        <w:tc>
          <w:tcPr>
            <w:tcW w:w="571" w:type="dxa"/>
            <w:shd w:val="clear" w:color="auto" w:fill="auto"/>
            <w:noWrap/>
            <w:vAlign w:val="center"/>
          </w:tcPr>
          <w:p w14:paraId="10713E0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w:t>
            </w:r>
          </w:p>
        </w:tc>
        <w:tc>
          <w:tcPr>
            <w:tcW w:w="459" w:type="dxa"/>
            <w:shd w:val="clear" w:color="auto" w:fill="auto"/>
            <w:noWrap/>
            <w:vAlign w:val="center"/>
          </w:tcPr>
          <w:p w14:paraId="422E6F0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套</w:t>
            </w:r>
          </w:p>
        </w:tc>
        <w:tc>
          <w:tcPr>
            <w:tcW w:w="601" w:type="dxa"/>
            <w:shd w:val="clear" w:color="auto" w:fill="auto"/>
            <w:noWrap/>
            <w:vAlign w:val="center"/>
          </w:tcPr>
          <w:p w14:paraId="02F01971">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97E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F23D7E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18</w:t>
            </w:r>
          </w:p>
        </w:tc>
        <w:tc>
          <w:tcPr>
            <w:tcW w:w="778" w:type="dxa"/>
            <w:shd w:val="clear" w:color="auto" w:fill="auto"/>
            <w:vAlign w:val="center"/>
          </w:tcPr>
          <w:p w14:paraId="73F66D1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会议话筒</w:t>
            </w:r>
          </w:p>
        </w:tc>
        <w:tc>
          <w:tcPr>
            <w:tcW w:w="5442" w:type="dxa"/>
            <w:shd w:val="clear" w:color="auto" w:fill="auto"/>
            <w:vAlign w:val="center"/>
          </w:tcPr>
          <w:p w14:paraId="0E19F50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1.频率响应：≥70~20kHz；</w:t>
            </w:r>
          </w:p>
          <w:p w14:paraId="257DC6E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2.阻抗：≥100Ω；</w:t>
            </w:r>
          </w:p>
          <w:p w14:paraId="6177A09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3.输入声压级上限：≥129dB；</w:t>
            </w:r>
          </w:p>
          <w:p w14:paraId="758E848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4.信噪比：≥68dB；</w:t>
            </w:r>
          </w:p>
          <w:p w14:paraId="1D41BEA2">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5.幻像电源11-52V直流，2mA。</w:t>
            </w:r>
          </w:p>
        </w:tc>
        <w:tc>
          <w:tcPr>
            <w:tcW w:w="571" w:type="dxa"/>
            <w:shd w:val="clear" w:color="auto" w:fill="auto"/>
            <w:noWrap/>
            <w:vAlign w:val="center"/>
          </w:tcPr>
          <w:p w14:paraId="78E72B4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52282DA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套</w:t>
            </w:r>
          </w:p>
        </w:tc>
        <w:tc>
          <w:tcPr>
            <w:tcW w:w="601" w:type="dxa"/>
            <w:shd w:val="clear" w:color="auto" w:fill="auto"/>
            <w:noWrap/>
            <w:vAlign w:val="center"/>
          </w:tcPr>
          <w:p w14:paraId="1B7BC0E4">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3F5A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167C36D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19</w:t>
            </w:r>
          </w:p>
        </w:tc>
        <w:tc>
          <w:tcPr>
            <w:tcW w:w="778" w:type="dxa"/>
            <w:shd w:val="clear" w:color="auto" w:fill="auto"/>
            <w:vAlign w:val="center"/>
          </w:tcPr>
          <w:p w14:paraId="0382290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乐器话筒</w:t>
            </w:r>
          </w:p>
        </w:tc>
        <w:tc>
          <w:tcPr>
            <w:tcW w:w="5442" w:type="dxa"/>
            <w:shd w:val="clear" w:color="auto" w:fill="auto"/>
            <w:vAlign w:val="center"/>
          </w:tcPr>
          <w:p w14:paraId="0F5A176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1.指向性形状：心形指向性；</w:t>
            </w:r>
          </w:p>
          <w:p w14:paraId="18C4C61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2.频率响应：≥20~20KHz；</w:t>
            </w:r>
          </w:p>
          <w:p w14:paraId="3A71385C">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3.输出阻抗：≥150Ω。</w:t>
            </w:r>
          </w:p>
        </w:tc>
        <w:tc>
          <w:tcPr>
            <w:tcW w:w="571" w:type="dxa"/>
            <w:shd w:val="clear" w:color="auto" w:fill="auto"/>
            <w:noWrap/>
            <w:vAlign w:val="center"/>
          </w:tcPr>
          <w:p w14:paraId="0D4A4CF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5649052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套</w:t>
            </w:r>
          </w:p>
        </w:tc>
        <w:tc>
          <w:tcPr>
            <w:tcW w:w="601" w:type="dxa"/>
            <w:shd w:val="clear" w:color="auto" w:fill="auto"/>
            <w:noWrap/>
            <w:vAlign w:val="center"/>
          </w:tcPr>
          <w:p w14:paraId="14084EFA">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17EC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F8F9B7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20</w:t>
            </w:r>
          </w:p>
        </w:tc>
        <w:tc>
          <w:tcPr>
            <w:tcW w:w="778" w:type="dxa"/>
            <w:shd w:val="clear" w:color="auto" w:fill="auto"/>
            <w:vAlign w:val="center"/>
          </w:tcPr>
          <w:p w14:paraId="0D44548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合唱话筒</w:t>
            </w:r>
          </w:p>
        </w:tc>
        <w:tc>
          <w:tcPr>
            <w:tcW w:w="5442" w:type="dxa"/>
            <w:shd w:val="clear" w:color="auto" w:fill="auto"/>
            <w:vAlign w:val="center"/>
          </w:tcPr>
          <w:p w14:paraId="225EB78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1.超心形指向：乐器拾音，细节丰富；</w:t>
            </w:r>
          </w:p>
          <w:p w14:paraId="05A9192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心形指向：适合演出合唱，细节丰富；</w:t>
            </w:r>
          </w:p>
          <w:p w14:paraId="34803E5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全指向：测试话筒，录音使用</w:t>
            </w:r>
          </w:p>
          <w:p w14:paraId="6FB4659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可替换话筒头。</w:t>
            </w:r>
          </w:p>
          <w:p w14:paraId="7544AF2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2.灵敏度：≥-53dBv±1.5dB；</w:t>
            </w:r>
          </w:p>
          <w:p w14:paraId="70F89B42">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3.信噪比：≥70.7dB(A)。</w:t>
            </w:r>
          </w:p>
        </w:tc>
        <w:tc>
          <w:tcPr>
            <w:tcW w:w="571" w:type="dxa"/>
            <w:shd w:val="clear" w:color="auto" w:fill="auto"/>
            <w:noWrap/>
            <w:vAlign w:val="center"/>
          </w:tcPr>
          <w:p w14:paraId="45A9964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w:t>
            </w:r>
          </w:p>
        </w:tc>
        <w:tc>
          <w:tcPr>
            <w:tcW w:w="459" w:type="dxa"/>
            <w:shd w:val="clear" w:color="auto" w:fill="auto"/>
            <w:noWrap/>
            <w:vAlign w:val="center"/>
          </w:tcPr>
          <w:p w14:paraId="1AE4EB0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只</w:t>
            </w:r>
          </w:p>
        </w:tc>
        <w:tc>
          <w:tcPr>
            <w:tcW w:w="601" w:type="dxa"/>
            <w:shd w:val="clear" w:color="auto" w:fill="auto"/>
            <w:noWrap/>
            <w:vAlign w:val="center"/>
          </w:tcPr>
          <w:p w14:paraId="44D51933">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5D89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735098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21</w:t>
            </w:r>
          </w:p>
        </w:tc>
        <w:tc>
          <w:tcPr>
            <w:tcW w:w="778" w:type="dxa"/>
            <w:shd w:val="clear" w:color="auto" w:fill="auto"/>
            <w:vAlign w:val="center"/>
          </w:tcPr>
          <w:p w14:paraId="5354370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电源时序器</w:t>
            </w:r>
          </w:p>
        </w:tc>
        <w:tc>
          <w:tcPr>
            <w:tcW w:w="5442" w:type="dxa"/>
            <w:shd w:val="clear" w:color="auto" w:fill="auto"/>
            <w:vAlign w:val="center"/>
          </w:tcPr>
          <w:p w14:paraId="349058D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1.控制电源：≥8路；</w:t>
            </w:r>
          </w:p>
          <w:p w14:paraId="51413F5E">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2.实时电压显示。</w:t>
            </w:r>
          </w:p>
        </w:tc>
        <w:tc>
          <w:tcPr>
            <w:tcW w:w="571" w:type="dxa"/>
            <w:shd w:val="clear" w:color="auto" w:fill="auto"/>
            <w:noWrap/>
            <w:vAlign w:val="center"/>
          </w:tcPr>
          <w:p w14:paraId="707E1F5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p>
        </w:tc>
        <w:tc>
          <w:tcPr>
            <w:tcW w:w="459" w:type="dxa"/>
            <w:shd w:val="clear" w:color="auto" w:fill="auto"/>
            <w:noWrap/>
            <w:vAlign w:val="center"/>
          </w:tcPr>
          <w:p w14:paraId="47842E1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2106AB96">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3911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tcBorders>
              <w:bottom w:val="single" w:color="auto" w:sz="4" w:space="0"/>
            </w:tcBorders>
            <w:shd w:val="clear" w:color="auto" w:fill="auto"/>
            <w:noWrap/>
            <w:vAlign w:val="center"/>
          </w:tcPr>
          <w:p w14:paraId="2474946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22</w:t>
            </w:r>
          </w:p>
        </w:tc>
        <w:tc>
          <w:tcPr>
            <w:tcW w:w="778" w:type="dxa"/>
            <w:tcBorders>
              <w:bottom w:val="single" w:color="auto" w:sz="4" w:space="0"/>
            </w:tcBorders>
            <w:shd w:val="clear" w:color="auto" w:fill="auto"/>
            <w:vAlign w:val="center"/>
          </w:tcPr>
          <w:p w14:paraId="7DBF2C2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机柜</w:t>
            </w:r>
          </w:p>
        </w:tc>
        <w:tc>
          <w:tcPr>
            <w:tcW w:w="5442" w:type="dxa"/>
            <w:tcBorders>
              <w:bottom w:val="single" w:color="auto" w:sz="4" w:space="0"/>
            </w:tcBorders>
            <w:shd w:val="clear" w:color="auto" w:fill="auto"/>
            <w:vAlign w:val="center"/>
          </w:tcPr>
          <w:p w14:paraId="5B9941B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1.高度：≥42U；</w:t>
            </w:r>
          </w:p>
          <w:p w14:paraId="7F3FF93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2.宽度：≥600mm；</w:t>
            </w:r>
          </w:p>
          <w:p w14:paraId="769C801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3.深度：≥800mm；</w:t>
            </w:r>
          </w:p>
          <w:p w14:paraId="104A083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4.材质：冷轧钢。</w:t>
            </w:r>
          </w:p>
        </w:tc>
        <w:tc>
          <w:tcPr>
            <w:tcW w:w="571" w:type="dxa"/>
            <w:tcBorders>
              <w:bottom w:val="single" w:color="auto" w:sz="4" w:space="0"/>
            </w:tcBorders>
            <w:shd w:val="clear" w:color="auto" w:fill="auto"/>
            <w:noWrap/>
            <w:vAlign w:val="center"/>
          </w:tcPr>
          <w:p w14:paraId="25A2EE6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tcBorders>
              <w:bottom w:val="single" w:color="auto" w:sz="4" w:space="0"/>
            </w:tcBorders>
            <w:shd w:val="clear" w:color="auto" w:fill="auto"/>
            <w:noWrap/>
            <w:vAlign w:val="center"/>
          </w:tcPr>
          <w:p w14:paraId="182762A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tcBorders>
              <w:bottom w:val="single" w:color="auto" w:sz="4" w:space="0"/>
            </w:tcBorders>
            <w:shd w:val="clear" w:color="auto" w:fill="auto"/>
            <w:noWrap/>
            <w:vAlign w:val="center"/>
          </w:tcPr>
          <w:p w14:paraId="4781EEDD">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103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9" w:type="dxa"/>
            <w:gridSpan w:val="6"/>
            <w:tcBorders>
              <w:bottom w:val="single" w:color="auto" w:sz="4" w:space="0"/>
            </w:tcBorders>
            <w:shd w:val="clear" w:color="auto" w:fill="auto"/>
            <w:noWrap/>
            <w:vAlign w:val="center"/>
          </w:tcPr>
          <w:p w14:paraId="7091DB0B">
            <w:pPr>
              <w:shd w:val="clear"/>
              <w:kinsoku w:val="0"/>
              <w:jc w:val="left"/>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8"/>
                <w:szCs w:val="18"/>
                <w:highlight w:val="none"/>
                <w14:textFill>
                  <w14:solidFill>
                    <w14:schemeClr w14:val="tx1"/>
                  </w14:solidFill>
                </w14:textFill>
              </w:rPr>
              <w:t>2舞美系统</w:t>
            </w:r>
          </w:p>
        </w:tc>
      </w:tr>
      <w:tr w14:paraId="1572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tcBorders>
              <w:top w:val="single" w:color="auto" w:sz="4" w:space="0"/>
            </w:tcBorders>
            <w:shd w:val="clear" w:color="auto" w:fill="auto"/>
            <w:noWrap/>
            <w:vAlign w:val="center"/>
          </w:tcPr>
          <w:p w14:paraId="470D9A8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23</w:t>
            </w:r>
          </w:p>
        </w:tc>
        <w:tc>
          <w:tcPr>
            <w:tcW w:w="778" w:type="dxa"/>
            <w:tcBorders>
              <w:top w:val="single" w:color="auto" w:sz="4" w:space="0"/>
            </w:tcBorders>
            <w:shd w:val="clear" w:color="auto" w:fill="auto"/>
            <w:vAlign w:val="center"/>
          </w:tcPr>
          <w:p w14:paraId="108B7CD5">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LED数字变焦聚光灯</w:t>
            </w:r>
          </w:p>
        </w:tc>
        <w:tc>
          <w:tcPr>
            <w:tcW w:w="5442" w:type="dxa"/>
            <w:tcBorders>
              <w:top w:val="single" w:color="auto" w:sz="4" w:space="0"/>
            </w:tcBorders>
            <w:shd w:val="clear" w:color="auto" w:fill="auto"/>
            <w:vAlign w:val="center"/>
          </w:tcPr>
          <w:p w14:paraId="79FBC19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1.输入电压：AC100~240V，50/60Hz；</w:t>
            </w:r>
          </w:p>
          <w:p w14:paraId="3EB6E91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2.LED光源：COB；</w:t>
            </w:r>
          </w:p>
          <w:p w14:paraId="6CB85F0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3.额定功率：≥350W；</w:t>
            </w:r>
          </w:p>
          <w:p w14:paraId="4863B16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4.显指：Ra≥9</w:t>
            </w:r>
            <w:r>
              <w:rPr>
                <w:rFonts w:hint="eastAsia" w:cs="Times New Roman"/>
                <w:color w:val="000000" w:themeColor="text1"/>
                <w:sz w:val="18"/>
                <w:szCs w:val="18"/>
                <w:highlight w:val="none"/>
                <w:lang w:val="en-US" w:eastAsia="zh-CN"/>
                <w14:textFill>
                  <w14:solidFill>
                    <w14:schemeClr w14:val="tx1"/>
                  </w14:solidFill>
                </w14:textFill>
              </w:rPr>
              <w:t>0</w:t>
            </w:r>
            <w:r>
              <w:rPr>
                <w:rFonts w:hint="default" w:ascii="Times New Roman" w:hAnsi="Times New Roman" w:cs="Times New Roman"/>
                <w:color w:val="000000" w:themeColor="text1"/>
                <w:sz w:val="18"/>
                <w:szCs w:val="18"/>
                <w:highlight w:val="none"/>
                <w14:textFill>
                  <w14:solidFill>
                    <w14:schemeClr w14:val="tx1"/>
                  </w14:solidFill>
                </w14:textFill>
              </w:rPr>
              <w:t>；</w:t>
            </w:r>
          </w:p>
          <w:p w14:paraId="29BF637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5.调焦角度：≥10°~40°；</w:t>
            </w:r>
          </w:p>
          <w:p w14:paraId="54CBF26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6.灯珠寿命：≥50000小时；</w:t>
            </w:r>
          </w:p>
          <w:p w14:paraId="12029AB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7.控制模式：国际标准DMX512信号、RDM、主从；</w:t>
            </w:r>
          </w:p>
          <w:p w14:paraId="7824BC79">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8.防护等级：≥IP20。</w:t>
            </w:r>
          </w:p>
        </w:tc>
        <w:tc>
          <w:tcPr>
            <w:tcW w:w="571" w:type="dxa"/>
            <w:tcBorders>
              <w:top w:val="single" w:color="auto" w:sz="4" w:space="0"/>
            </w:tcBorders>
            <w:shd w:val="clear" w:color="auto" w:fill="auto"/>
            <w:noWrap/>
            <w:vAlign w:val="center"/>
          </w:tcPr>
          <w:p w14:paraId="475259F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18</w:t>
            </w:r>
          </w:p>
        </w:tc>
        <w:tc>
          <w:tcPr>
            <w:tcW w:w="459" w:type="dxa"/>
            <w:tcBorders>
              <w:top w:val="single" w:color="auto" w:sz="4" w:space="0"/>
            </w:tcBorders>
            <w:shd w:val="clear" w:color="auto" w:fill="auto"/>
            <w:noWrap/>
            <w:vAlign w:val="center"/>
          </w:tcPr>
          <w:p w14:paraId="584DB98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tcBorders>
              <w:top w:val="single" w:color="auto" w:sz="4" w:space="0"/>
            </w:tcBorders>
            <w:shd w:val="clear" w:color="auto" w:fill="auto"/>
            <w:noWrap/>
            <w:vAlign w:val="center"/>
          </w:tcPr>
          <w:p w14:paraId="2B6D527A">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7458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02A4C9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24</w:t>
            </w:r>
          </w:p>
        </w:tc>
        <w:tc>
          <w:tcPr>
            <w:tcW w:w="778" w:type="dxa"/>
            <w:shd w:val="clear" w:color="auto" w:fill="auto"/>
            <w:vAlign w:val="center"/>
          </w:tcPr>
          <w:p w14:paraId="584D3F4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平板柔光灯</w:t>
            </w:r>
          </w:p>
        </w:tc>
        <w:tc>
          <w:tcPr>
            <w:tcW w:w="5442" w:type="dxa"/>
            <w:shd w:val="clear" w:color="auto" w:fill="auto"/>
            <w:vAlign w:val="center"/>
          </w:tcPr>
          <w:p w14:paraId="43869A5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1.额定电压：AC100~240V，50/60Hz；</w:t>
            </w:r>
          </w:p>
          <w:p w14:paraId="44D6A8F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2.额定功率：≥200W；</w:t>
            </w:r>
          </w:p>
          <w:p w14:paraId="64A67C1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3.光源：≥600颗0.5W；</w:t>
            </w:r>
          </w:p>
          <w:p w14:paraId="2B9A1FB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4.灯泡寿命：≥50000小时；</w:t>
            </w:r>
          </w:p>
          <w:p w14:paraId="5D6869F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5.显指：Ra≥95；</w:t>
            </w:r>
          </w:p>
          <w:p w14:paraId="0A2D6DC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6.控制模式：国际标准DMX512信号、声控、自走、主从；</w:t>
            </w:r>
          </w:p>
          <w:p w14:paraId="4E3E8D4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7.光束角：≥120°；</w:t>
            </w:r>
          </w:p>
          <w:p w14:paraId="5FD01A2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8.光板：高效乳白色导光板；</w:t>
            </w:r>
          </w:p>
          <w:p w14:paraId="414B630C">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9.显示系统：采用高灵敏度轻触按键。</w:t>
            </w:r>
          </w:p>
        </w:tc>
        <w:tc>
          <w:tcPr>
            <w:tcW w:w="571" w:type="dxa"/>
            <w:shd w:val="clear" w:color="auto" w:fill="auto"/>
            <w:noWrap/>
            <w:vAlign w:val="center"/>
          </w:tcPr>
          <w:p w14:paraId="5EE8A2D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25</w:t>
            </w:r>
          </w:p>
        </w:tc>
        <w:tc>
          <w:tcPr>
            <w:tcW w:w="459" w:type="dxa"/>
            <w:shd w:val="clear" w:color="auto" w:fill="auto"/>
            <w:noWrap/>
            <w:vAlign w:val="center"/>
          </w:tcPr>
          <w:p w14:paraId="45BED36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18CD6D3A">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2FA4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720C30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25</w:t>
            </w:r>
          </w:p>
        </w:tc>
        <w:tc>
          <w:tcPr>
            <w:tcW w:w="778" w:type="dxa"/>
            <w:shd w:val="clear" w:color="auto" w:fill="auto"/>
            <w:vAlign w:val="center"/>
          </w:tcPr>
          <w:p w14:paraId="3B878F4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LED染色灯</w:t>
            </w:r>
          </w:p>
        </w:tc>
        <w:tc>
          <w:tcPr>
            <w:tcW w:w="5442" w:type="dxa"/>
            <w:shd w:val="clear" w:color="auto" w:fill="auto"/>
            <w:vAlign w:val="center"/>
          </w:tcPr>
          <w:p w14:paraId="06E1998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1.额定电压：AC100~240V，50/60Hz；</w:t>
            </w:r>
          </w:p>
          <w:p w14:paraId="3BC30F2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2.额定功率：≥200W；</w:t>
            </w:r>
          </w:p>
          <w:p w14:paraId="75D6CD5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3.功率因数：PF≥0.98；</w:t>
            </w:r>
          </w:p>
          <w:p w14:paraId="43D7340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4.电源线：三芯防水对接接头；信号线：三芯防水对接接头；</w:t>
            </w:r>
          </w:p>
          <w:p w14:paraId="27B6EF8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★5.光源：≥84颗10W三合一LED；</w:t>
            </w:r>
          </w:p>
          <w:p w14:paraId="7C53AAC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6.寿命：≥50000小时；</w:t>
            </w:r>
          </w:p>
          <w:p w14:paraId="65D0F2F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7.控制模式：国际标准DMX512信号、RDM、声控、自走、主从；</w:t>
            </w:r>
          </w:p>
          <w:p w14:paraId="327F5E3E">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8.防护等级：≥IP20。</w:t>
            </w:r>
          </w:p>
        </w:tc>
        <w:tc>
          <w:tcPr>
            <w:tcW w:w="571" w:type="dxa"/>
            <w:shd w:val="clear" w:color="auto" w:fill="auto"/>
            <w:noWrap/>
            <w:vAlign w:val="center"/>
          </w:tcPr>
          <w:p w14:paraId="358AE70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55</w:t>
            </w:r>
          </w:p>
        </w:tc>
        <w:tc>
          <w:tcPr>
            <w:tcW w:w="459" w:type="dxa"/>
            <w:shd w:val="clear" w:color="auto" w:fill="auto"/>
            <w:noWrap/>
            <w:vAlign w:val="center"/>
          </w:tcPr>
          <w:p w14:paraId="2F309B7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1DE8813D">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068C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BC0886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26</w:t>
            </w:r>
          </w:p>
        </w:tc>
        <w:tc>
          <w:tcPr>
            <w:tcW w:w="778" w:type="dxa"/>
            <w:shd w:val="clear" w:color="auto" w:fill="auto"/>
            <w:vAlign w:val="center"/>
          </w:tcPr>
          <w:p w14:paraId="3636D7A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LED摇头三合一</w:t>
            </w:r>
          </w:p>
        </w:tc>
        <w:tc>
          <w:tcPr>
            <w:tcW w:w="5442" w:type="dxa"/>
            <w:shd w:val="clear" w:color="auto" w:fill="auto"/>
            <w:vAlign w:val="center"/>
          </w:tcPr>
          <w:p w14:paraId="54D0033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1.额定电压：AC100~240V，50/60Hz；</w:t>
            </w:r>
          </w:p>
          <w:p w14:paraId="7125F81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2.额定功率：≥300W；</w:t>
            </w:r>
          </w:p>
          <w:p w14:paraId="324E482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3.光源：≥250W LED；</w:t>
            </w:r>
          </w:p>
          <w:p w14:paraId="095C178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4.寿命：≥20000小时；</w:t>
            </w:r>
          </w:p>
          <w:p w14:paraId="3B953A1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5.色温：</w:t>
            </w:r>
            <w:r>
              <w:rPr>
                <w:rFonts w:hint="default" w:ascii="Times New Roman" w:hAnsi="Times New Roman" w:cs="Times New Roman"/>
                <w:color w:val="000000" w:themeColor="text1"/>
                <w:sz w:val="15"/>
                <w:szCs w:val="15"/>
                <w:highlight w:val="none"/>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7000K；</w:t>
            </w:r>
          </w:p>
          <w:p w14:paraId="2C1862B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6.控制方式：DMX512、RDM、主从、音控、随机自走；</w:t>
            </w:r>
          </w:p>
          <w:p w14:paraId="5F95976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7.通道数量：24CH/17CH；</w:t>
            </w:r>
          </w:p>
          <w:p w14:paraId="15B3FDF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8.旋转角度：≥水平540°/垂直270°；</w:t>
            </w:r>
          </w:p>
          <w:p w14:paraId="5CB15CD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9.颜色系统：≥10种颜色＋白光，半色效果，带双向旋转彩虹效果，内置宏功能效果；</w:t>
            </w:r>
          </w:p>
          <w:p w14:paraId="67CE04F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10.固图系统：图案片+白圆：≥9个，带图案抖动、流水等多种效果；</w:t>
            </w:r>
          </w:p>
          <w:p w14:paraId="59C3F56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11.动图系统：图案片：≥7个；</w:t>
            </w:r>
          </w:p>
          <w:p w14:paraId="3CB2B10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12.棱镜系统：4棱镜可正反转；</w:t>
            </w:r>
          </w:p>
          <w:p w14:paraId="01BBE07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13.防护等级：≥IP20。</w:t>
            </w:r>
          </w:p>
        </w:tc>
        <w:tc>
          <w:tcPr>
            <w:tcW w:w="571" w:type="dxa"/>
            <w:shd w:val="clear" w:color="auto" w:fill="auto"/>
            <w:noWrap/>
            <w:vAlign w:val="center"/>
          </w:tcPr>
          <w:p w14:paraId="416756C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20</w:t>
            </w:r>
          </w:p>
        </w:tc>
        <w:tc>
          <w:tcPr>
            <w:tcW w:w="459" w:type="dxa"/>
            <w:shd w:val="clear" w:color="auto" w:fill="auto"/>
            <w:noWrap/>
            <w:vAlign w:val="center"/>
          </w:tcPr>
          <w:p w14:paraId="70D25365">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031D01C4">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6A83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F360AA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27</w:t>
            </w:r>
          </w:p>
        </w:tc>
        <w:tc>
          <w:tcPr>
            <w:tcW w:w="778" w:type="dxa"/>
            <w:shd w:val="clear" w:color="auto" w:fill="auto"/>
            <w:vAlign w:val="center"/>
          </w:tcPr>
          <w:p w14:paraId="70B473B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灯光控台</w:t>
            </w:r>
          </w:p>
        </w:tc>
        <w:tc>
          <w:tcPr>
            <w:tcW w:w="5442" w:type="dxa"/>
            <w:shd w:val="clear" w:color="auto" w:fill="auto"/>
            <w:vAlign w:val="center"/>
          </w:tcPr>
          <w:p w14:paraId="26DD344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1.输入电压：AC100~240V，50-60Hz；</w:t>
            </w:r>
          </w:p>
          <w:p w14:paraId="22853C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2.额定功率：≥50W；</w:t>
            </w:r>
          </w:p>
          <w:p w14:paraId="68EC192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3.处理器</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≥2核，运行内存：≥4G，固态硬盘：≥64G；</w:t>
            </w:r>
          </w:p>
          <w:p w14:paraId="16D2C6B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4.支持中文菜单显示，且内置多国语言；</w:t>
            </w:r>
          </w:p>
          <w:p w14:paraId="06DF2F3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5.内置触摸屏：≥15.4寸，并可扩展一个触摸屏；</w:t>
            </w:r>
          </w:p>
          <w:p w14:paraId="0650160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6.DMX输出端口：≥8个，DMX通道：≥2048个；</w:t>
            </w:r>
          </w:p>
          <w:p w14:paraId="5AF9992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7.支持Artnet，并可扩展DMX输出口；</w:t>
            </w:r>
          </w:p>
          <w:p w14:paraId="7587FCB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8.宏按键：≥10个；</w:t>
            </w:r>
          </w:p>
          <w:p w14:paraId="33A6AEC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9.重放推杆：≥20个；</w:t>
            </w:r>
          </w:p>
          <w:p w14:paraId="65DC9B77">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10.支持涂鸦式手写命名功能。</w:t>
            </w:r>
          </w:p>
        </w:tc>
        <w:tc>
          <w:tcPr>
            <w:tcW w:w="571" w:type="dxa"/>
            <w:shd w:val="clear" w:color="auto" w:fill="auto"/>
            <w:noWrap/>
            <w:vAlign w:val="center"/>
          </w:tcPr>
          <w:p w14:paraId="69071C0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3FF0F01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379DF20E">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038E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71F8AD15">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28</w:t>
            </w:r>
          </w:p>
        </w:tc>
        <w:tc>
          <w:tcPr>
            <w:tcW w:w="778" w:type="dxa"/>
            <w:shd w:val="clear" w:color="auto" w:fill="auto"/>
            <w:vAlign w:val="center"/>
          </w:tcPr>
          <w:p w14:paraId="215DF0E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信号放大器</w:t>
            </w:r>
          </w:p>
        </w:tc>
        <w:tc>
          <w:tcPr>
            <w:tcW w:w="5442" w:type="dxa"/>
            <w:shd w:val="clear" w:color="auto" w:fill="auto"/>
            <w:vAlign w:val="center"/>
          </w:tcPr>
          <w:p w14:paraId="4BD3EF8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1.输入信号：DMX512信号；</w:t>
            </w:r>
          </w:p>
          <w:p w14:paraId="26F93C8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2.输入接口：三芯卡侬母座和公座；</w:t>
            </w:r>
          </w:p>
          <w:p w14:paraId="647140D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2.输出信号：DMX512信号；</w:t>
            </w:r>
          </w:p>
          <w:p w14:paraId="66C999D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3.输出接口：三芯卡侬母座；</w:t>
            </w:r>
          </w:p>
          <w:p w14:paraId="4180BDCA">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4.输出路数：≥8路，互相独立，互不干扰。</w:t>
            </w:r>
          </w:p>
        </w:tc>
        <w:tc>
          <w:tcPr>
            <w:tcW w:w="571" w:type="dxa"/>
            <w:shd w:val="clear" w:color="auto" w:fill="auto"/>
            <w:noWrap/>
            <w:vAlign w:val="center"/>
          </w:tcPr>
          <w:p w14:paraId="64808C3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w:t>
            </w:r>
          </w:p>
        </w:tc>
        <w:tc>
          <w:tcPr>
            <w:tcW w:w="459" w:type="dxa"/>
            <w:shd w:val="clear" w:color="auto" w:fill="auto"/>
            <w:noWrap/>
            <w:vAlign w:val="center"/>
          </w:tcPr>
          <w:p w14:paraId="2005DDB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21362EBD">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0D6B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141ACEF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29</w:t>
            </w:r>
          </w:p>
        </w:tc>
        <w:tc>
          <w:tcPr>
            <w:tcW w:w="778" w:type="dxa"/>
            <w:shd w:val="clear" w:color="auto" w:fill="auto"/>
            <w:vAlign w:val="center"/>
          </w:tcPr>
          <w:p w14:paraId="1163591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48路直通柜</w:t>
            </w:r>
          </w:p>
        </w:tc>
        <w:tc>
          <w:tcPr>
            <w:tcW w:w="5442" w:type="dxa"/>
            <w:shd w:val="clear" w:color="auto" w:fill="auto"/>
            <w:vAlign w:val="center"/>
          </w:tcPr>
          <w:p w14:paraId="25BF3C0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1.输入：AC380V三相四线+接地线；</w:t>
            </w:r>
          </w:p>
          <w:p w14:paraId="23A0528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2.输出：每路独立断路器，16A过载断路保护空气开关：≥48个；</w:t>
            </w:r>
          </w:p>
          <w:p w14:paraId="467ED435">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3.16A三芯输出座：≥48路，可接入用AC220V供电的任何负载。</w:t>
            </w:r>
          </w:p>
        </w:tc>
        <w:tc>
          <w:tcPr>
            <w:tcW w:w="571" w:type="dxa"/>
            <w:shd w:val="clear" w:color="auto" w:fill="auto"/>
            <w:noWrap/>
            <w:vAlign w:val="center"/>
          </w:tcPr>
          <w:p w14:paraId="589257F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6A35B36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400E4DEA">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55F9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7BCB03C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30</w:t>
            </w:r>
          </w:p>
        </w:tc>
        <w:tc>
          <w:tcPr>
            <w:tcW w:w="778" w:type="dxa"/>
            <w:shd w:val="clear" w:color="auto" w:fill="auto"/>
            <w:vAlign w:val="center"/>
          </w:tcPr>
          <w:p w14:paraId="3B5E517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智控系统主机</w:t>
            </w:r>
          </w:p>
        </w:tc>
        <w:tc>
          <w:tcPr>
            <w:tcW w:w="5442" w:type="dxa"/>
            <w:shd w:val="clear" w:color="auto" w:fill="auto"/>
            <w:vAlign w:val="center"/>
          </w:tcPr>
          <w:p w14:paraId="752353B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1.开放式编程控制台，中英文操作界面可替换，交互式的控制结构；</w:t>
            </w:r>
          </w:p>
          <w:p w14:paraId="7A30E79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2.主机采用主流</w:t>
            </w:r>
            <w:r>
              <w:rPr>
                <w:rFonts w:hint="eastAsia" w:cs="Times New Roman"/>
                <w:color w:val="000000" w:themeColor="text1"/>
                <w:sz w:val="18"/>
                <w:szCs w:val="18"/>
                <w:highlight w:val="none"/>
                <w:lang w:val="en-US" w:eastAsia="zh-CN"/>
                <w14:textFill>
                  <w14:solidFill>
                    <w14:schemeClr w14:val="tx1"/>
                  </w14:solidFill>
                </w14:textFill>
              </w:rPr>
              <w:t>国产</w:t>
            </w:r>
            <w:r>
              <w:rPr>
                <w:rFonts w:hint="default" w:ascii="Times New Roman" w:hAnsi="Times New Roman" w:cs="Times New Roman"/>
                <w:color w:val="000000" w:themeColor="text1"/>
                <w:sz w:val="18"/>
                <w:szCs w:val="18"/>
                <w:highlight w:val="none"/>
                <w14:textFill>
                  <w14:solidFill>
                    <w14:schemeClr w14:val="tx1"/>
                  </w14:solidFill>
                </w14:textFill>
              </w:rPr>
              <w:t>操作系统；</w:t>
            </w:r>
          </w:p>
          <w:p w14:paraId="30EDDF8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主流CPU</w:t>
            </w:r>
            <w:r>
              <w:rPr>
                <w:rFonts w:hint="eastAsia" w:cs="Times New Roman"/>
                <w:strike w:val="0"/>
                <w:dstrike w:val="0"/>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运行内存</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≥4GB，固态硬盘</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≥120G；</w:t>
            </w:r>
          </w:p>
          <w:p w14:paraId="48CDC1B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4.具备内置节目列表，支持自定义命名，自由排序；</w:t>
            </w:r>
          </w:p>
          <w:p w14:paraId="2713D18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5.定时任务功能；</w:t>
            </w:r>
          </w:p>
          <w:p w14:paraId="5D3AA54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6.内置USB2.0接口：≥2路，可连接鼠标、键盘、U盘等；</w:t>
            </w:r>
          </w:p>
          <w:p w14:paraId="1B046A6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 RS232协议端口：≥2路、ART-NET协议端口：≥2路，可连接网络，实现第三方工具的有线或无线连接；</w:t>
            </w:r>
          </w:p>
          <w:p w14:paraId="64FC9446">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8.支持墙控面板、手机、平板等第三方工具的多种控制的方式。</w:t>
            </w:r>
          </w:p>
        </w:tc>
        <w:tc>
          <w:tcPr>
            <w:tcW w:w="571" w:type="dxa"/>
            <w:shd w:val="clear" w:color="auto" w:fill="auto"/>
            <w:noWrap/>
            <w:vAlign w:val="center"/>
          </w:tcPr>
          <w:p w14:paraId="263AD19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5615AFEC">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个</w:t>
            </w:r>
          </w:p>
        </w:tc>
        <w:tc>
          <w:tcPr>
            <w:tcW w:w="601" w:type="dxa"/>
            <w:shd w:val="clear" w:color="auto" w:fill="auto"/>
            <w:noWrap/>
            <w:vAlign w:val="center"/>
          </w:tcPr>
          <w:p w14:paraId="0D7BAFB9">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15D2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BA40C8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31</w:t>
            </w:r>
          </w:p>
        </w:tc>
        <w:tc>
          <w:tcPr>
            <w:tcW w:w="778" w:type="dxa"/>
            <w:shd w:val="clear" w:color="auto" w:fill="auto"/>
            <w:vAlign w:val="center"/>
          </w:tcPr>
          <w:p w14:paraId="749044B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灯具挂钩</w:t>
            </w:r>
          </w:p>
        </w:tc>
        <w:tc>
          <w:tcPr>
            <w:tcW w:w="5442" w:type="dxa"/>
            <w:shd w:val="clear" w:color="auto" w:fill="auto"/>
            <w:vAlign w:val="center"/>
          </w:tcPr>
          <w:p w14:paraId="393FD94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1.灯具挂钩，承重</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≥50KG；</w:t>
            </w:r>
          </w:p>
          <w:p w14:paraId="7993A70D">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2.生产标准：荷载至500N时未断裂合格</w:t>
            </w:r>
          </w:p>
        </w:tc>
        <w:tc>
          <w:tcPr>
            <w:tcW w:w="571" w:type="dxa"/>
            <w:shd w:val="clear" w:color="auto" w:fill="auto"/>
            <w:noWrap/>
            <w:vAlign w:val="center"/>
          </w:tcPr>
          <w:p w14:paraId="73E9B8B2">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100</w:t>
            </w:r>
          </w:p>
        </w:tc>
        <w:tc>
          <w:tcPr>
            <w:tcW w:w="459" w:type="dxa"/>
            <w:shd w:val="clear" w:color="auto" w:fill="auto"/>
            <w:noWrap/>
            <w:vAlign w:val="center"/>
          </w:tcPr>
          <w:p w14:paraId="5D7AF2B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个</w:t>
            </w:r>
          </w:p>
        </w:tc>
        <w:tc>
          <w:tcPr>
            <w:tcW w:w="601" w:type="dxa"/>
            <w:shd w:val="clear" w:color="auto" w:fill="auto"/>
            <w:noWrap/>
            <w:vAlign w:val="center"/>
          </w:tcPr>
          <w:p w14:paraId="1EDBF912">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192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1145FA36">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32</w:t>
            </w:r>
          </w:p>
        </w:tc>
        <w:tc>
          <w:tcPr>
            <w:tcW w:w="778" w:type="dxa"/>
            <w:shd w:val="clear" w:color="auto" w:fill="auto"/>
            <w:vAlign w:val="center"/>
          </w:tcPr>
          <w:p w14:paraId="1674B92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保险绳</w:t>
            </w:r>
          </w:p>
        </w:tc>
        <w:tc>
          <w:tcPr>
            <w:tcW w:w="5442" w:type="dxa"/>
            <w:shd w:val="clear" w:color="auto" w:fill="auto"/>
            <w:vAlign w:val="center"/>
          </w:tcPr>
          <w:p w14:paraId="694DB78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1.保险绳，承重</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≥100KG；</w:t>
            </w:r>
          </w:p>
          <w:p w14:paraId="5CBEB92B">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2.生产标准：荷载至1000N时未断裂合格</w:t>
            </w:r>
          </w:p>
        </w:tc>
        <w:tc>
          <w:tcPr>
            <w:tcW w:w="571" w:type="dxa"/>
            <w:shd w:val="clear" w:color="auto" w:fill="auto"/>
            <w:noWrap/>
            <w:vAlign w:val="center"/>
          </w:tcPr>
          <w:p w14:paraId="07C5DAA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100</w:t>
            </w:r>
          </w:p>
        </w:tc>
        <w:tc>
          <w:tcPr>
            <w:tcW w:w="459" w:type="dxa"/>
            <w:shd w:val="clear" w:color="auto" w:fill="auto"/>
            <w:noWrap/>
            <w:vAlign w:val="center"/>
          </w:tcPr>
          <w:p w14:paraId="70B326A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条</w:t>
            </w:r>
          </w:p>
        </w:tc>
        <w:tc>
          <w:tcPr>
            <w:tcW w:w="601" w:type="dxa"/>
            <w:shd w:val="clear" w:color="auto" w:fill="auto"/>
            <w:noWrap/>
            <w:vAlign w:val="center"/>
          </w:tcPr>
          <w:p w14:paraId="646185EF">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C84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158E128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33</w:t>
            </w:r>
          </w:p>
        </w:tc>
        <w:tc>
          <w:tcPr>
            <w:tcW w:w="778" w:type="dxa"/>
            <w:shd w:val="clear" w:color="auto" w:fill="auto"/>
            <w:vAlign w:val="center"/>
          </w:tcPr>
          <w:p w14:paraId="0627EFE3">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视频拼接处理器</w:t>
            </w:r>
          </w:p>
        </w:tc>
        <w:tc>
          <w:tcPr>
            <w:tcW w:w="5442" w:type="dxa"/>
            <w:shd w:val="clear" w:color="auto" w:fill="auto"/>
            <w:vAlign w:val="center"/>
          </w:tcPr>
          <w:p w14:paraId="33A1C4B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1.设备前面板内嵌多点触控电容液晶屏：≥7英寸，可实时查看设备运行参数与状态并实时预监回显当前屏幕内容，面板支持设备网络IP和中控串口的参数设置，支持U盘文件备份的导入导出；</w:t>
            </w:r>
          </w:p>
          <w:p w14:paraId="0D6420E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2.设备支持板卡热插拔功能无需关机重启和设置，更换板卡后快速恢复之前图层数据，保证画面正常播放，可实现板卡灵活更换，维护便捷；</w:t>
            </w:r>
          </w:p>
          <w:p w14:paraId="135798F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3.设备支持网口输出，</w:t>
            </w:r>
            <w:r>
              <w:rPr>
                <w:rFonts w:hint="eastAsia" w:cs="Times New Roman"/>
                <w:color w:val="000000" w:themeColor="text1"/>
                <w:sz w:val="18"/>
                <w:szCs w:val="18"/>
                <w:highlight w:val="none"/>
                <w:lang w:val="en-US" w:eastAsia="zh-CN"/>
                <w14:textFill>
                  <w14:solidFill>
                    <w14:schemeClr w14:val="tx1"/>
                  </w14:solidFill>
                </w14:textFill>
              </w:rPr>
              <w:t>当输出位深为≥8bit时，单网口最大带载≥65万像素点，</w:t>
            </w:r>
            <w:r>
              <w:rPr>
                <w:rFonts w:hint="default" w:ascii="Times New Roman" w:hAnsi="Times New Roman" w:cs="Times New Roman"/>
                <w:color w:val="000000" w:themeColor="text1"/>
                <w:sz w:val="18"/>
                <w:szCs w:val="18"/>
                <w:highlight w:val="none"/>
                <w14:textFill>
                  <w14:solidFill>
                    <w14:schemeClr w14:val="tx1"/>
                  </w14:solidFill>
                </w14:textFill>
              </w:rPr>
              <w:t>单台设备最多支持≥80路网口输出卡；</w:t>
            </w:r>
          </w:p>
          <w:p w14:paraId="2DA5DD3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4.设备支持内嵌拼接器配置软件，支持在线固件升级；</w:t>
            </w:r>
          </w:p>
          <w:p w14:paraId="6A3605A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5.设备支持屏幕非规则拼接，且可实现单卡单接口建屏；</w:t>
            </w:r>
          </w:p>
          <w:p w14:paraId="00EB2A4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6.设备支持2k4K视频输出接口，输出宽度和输出高度最大支持≥2560，单张2K视频输出板卡支持的最大分辨率：≥1024x972@60Hz或884x1024@60Hz；</w:t>
            </w:r>
          </w:p>
          <w:p w14:paraId="5D14B4C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7.设备支持对输出图像的亮度、对比度、饱和度、色度、Gamma调节和添加测试画面图像；</w:t>
            </w:r>
          </w:p>
          <w:p w14:paraId="30A2652A">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8.设备支持web端控制，操作实时相应，采用1000M/100M自适应网络控制；支持多用户同时访问。</w:t>
            </w:r>
          </w:p>
        </w:tc>
        <w:tc>
          <w:tcPr>
            <w:tcW w:w="571" w:type="dxa"/>
            <w:shd w:val="clear" w:color="auto" w:fill="auto"/>
            <w:noWrap/>
            <w:vAlign w:val="center"/>
          </w:tcPr>
          <w:p w14:paraId="04107409">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6BBDE17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2D705E88">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32AA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59" w:type="dxa"/>
            <w:gridSpan w:val="6"/>
            <w:shd w:val="clear" w:color="auto" w:fill="auto"/>
            <w:noWrap/>
            <w:vAlign w:val="center"/>
          </w:tcPr>
          <w:p w14:paraId="72FC176F">
            <w:pPr>
              <w:shd w:val="clear"/>
              <w:kinsoku w:val="0"/>
              <w:jc w:val="left"/>
              <w:textAlignment w:val="center"/>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8"/>
                <w:szCs w:val="18"/>
                <w:highlight w:val="none"/>
                <w14:textFill>
                  <w14:solidFill>
                    <w14:schemeClr w14:val="tx1"/>
                  </w14:solidFill>
                </w14:textFill>
              </w:rPr>
              <w:t>3录播系统</w:t>
            </w:r>
          </w:p>
        </w:tc>
      </w:tr>
      <w:tr w14:paraId="589E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7183B4F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34</w:t>
            </w:r>
          </w:p>
        </w:tc>
        <w:tc>
          <w:tcPr>
            <w:tcW w:w="778" w:type="dxa"/>
            <w:shd w:val="clear" w:color="auto" w:fill="auto"/>
            <w:vAlign w:val="center"/>
          </w:tcPr>
          <w:p w14:paraId="3262AEC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高清摄像机</w:t>
            </w:r>
          </w:p>
        </w:tc>
        <w:tc>
          <w:tcPr>
            <w:tcW w:w="5442" w:type="dxa"/>
            <w:shd w:val="clear" w:color="auto" w:fill="auto"/>
            <w:vAlign w:val="center"/>
          </w:tcPr>
          <w:p w14:paraId="1D978F9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1.传感器：≥1/1.8英寸842万像素，输出图像：≥4K60FPS，并且向下兼容1080P、720P等多种分辨率；</w:t>
            </w:r>
          </w:p>
          <w:p w14:paraId="55EF3B5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2.光学变焦：≥30x；</w:t>
            </w:r>
          </w:p>
          <w:p w14:paraId="4FE33A9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3.远程控制，多种控制方式，可使用RS232、RS485、网络以及USB对摄像机进行控制；</w:t>
            </w:r>
          </w:p>
          <w:p w14:paraId="41295D4B">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4.满足现场所需的接插件、辅材、安装调试。</w:t>
            </w:r>
          </w:p>
        </w:tc>
        <w:tc>
          <w:tcPr>
            <w:tcW w:w="571" w:type="dxa"/>
            <w:shd w:val="clear" w:color="auto" w:fill="auto"/>
            <w:noWrap/>
            <w:vAlign w:val="center"/>
          </w:tcPr>
          <w:p w14:paraId="7E06256B">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w:t>
            </w:r>
          </w:p>
        </w:tc>
        <w:tc>
          <w:tcPr>
            <w:tcW w:w="459" w:type="dxa"/>
            <w:shd w:val="clear" w:color="auto" w:fill="auto"/>
            <w:noWrap/>
            <w:vAlign w:val="center"/>
          </w:tcPr>
          <w:p w14:paraId="1D760D07">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个</w:t>
            </w:r>
          </w:p>
        </w:tc>
        <w:tc>
          <w:tcPr>
            <w:tcW w:w="601" w:type="dxa"/>
            <w:shd w:val="clear" w:color="auto" w:fill="auto"/>
            <w:noWrap/>
            <w:vAlign w:val="center"/>
          </w:tcPr>
          <w:p w14:paraId="3935F432">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4A6C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6DA2425">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35</w:t>
            </w:r>
          </w:p>
        </w:tc>
        <w:tc>
          <w:tcPr>
            <w:tcW w:w="778" w:type="dxa"/>
            <w:shd w:val="clear" w:color="auto" w:fill="auto"/>
            <w:vAlign w:val="center"/>
          </w:tcPr>
          <w:p w14:paraId="7D489AF1">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摄像机控制键盘</w:t>
            </w:r>
          </w:p>
        </w:tc>
        <w:tc>
          <w:tcPr>
            <w:tcW w:w="5442" w:type="dxa"/>
            <w:shd w:val="clear" w:color="auto" w:fill="auto"/>
            <w:vAlign w:val="center"/>
          </w:tcPr>
          <w:p w14:paraId="556560D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1.四维精准摇杆+三维刻度旋钮+人体工学Zoom键，可调节摄像机白平衡、曝光、聚焦以及变倍等摄像机关键参数；</w:t>
            </w:r>
          </w:p>
          <w:p w14:paraId="3B79160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2.内置彩屏：≥3英寸，通过拉流协议支持当前摄像机画面实时预览；</w:t>
            </w:r>
          </w:p>
          <w:p w14:paraId="68B3CE2A">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3.摄像机选择快捷键：≥7个。</w:t>
            </w:r>
          </w:p>
        </w:tc>
        <w:tc>
          <w:tcPr>
            <w:tcW w:w="571" w:type="dxa"/>
            <w:shd w:val="clear" w:color="auto" w:fill="auto"/>
            <w:noWrap/>
            <w:vAlign w:val="center"/>
          </w:tcPr>
          <w:p w14:paraId="57BB885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0CEA4F98">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个</w:t>
            </w:r>
          </w:p>
        </w:tc>
        <w:tc>
          <w:tcPr>
            <w:tcW w:w="601" w:type="dxa"/>
            <w:shd w:val="clear" w:color="auto" w:fill="auto"/>
            <w:noWrap/>
            <w:vAlign w:val="center"/>
          </w:tcPr>
          <w:p w14:paraId="338E4AA9">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1BB0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B624740">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36</w:t>
            </w:r>
          </w:p>
        </w:tc>
        <w:tc>
          <w:tcPr>
            <w:tcW w:w="778" w:type="dxa"/>
            <w:shd w:val="clear" w:color="auto" w:fill="auto"/>
            <w:vAlign w:val="center"/>
          </w:tcPr>
          <w:p w14:paraId="664F195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采集卡</w:t>
            </w:r>
          </w:p>
        </w:tc>
        <w:tc>
          <w:tcPr>
            <w:tcW w:w="5442" w:type="dxa"/>
            <w:shd w:val="clear" w:color="auto" w:fill="auto"/>
            <w:vAlign w:val="center"/>
          </w:tcPr>
          <w:p w14:paraId="672B206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1.HDMI输入接口：≥4路；</w:t>
            </w:r>
          </w:p>
          <w:p w14:paraId="7DD60B5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2.安装接口：PCIE接口，电脑内置。</w:t>
            </w:r>
          </w:p>
        </w:tc>
        <w:tc>
          <w:tcPr>
            <w:tcW w:w="571" w:type="dxa"/>
            <w:shd w:val="clear" w:color="auto" w:fill="auto"/>
            <w:noWrap/>
            <w:vAlign w:val="center"/>
          </w:tcPr>
          <w:p w14:paraId="029B097E">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459" w:type="dxa"/>
            <w:shd w:val="clear" w:color="auto" w:fill="auto"/>
            <w:noWrap/>
            <w:vAlign w:val="center"/>
          </w:tcPr>
          <w:p w14:paraId="2FCAD1E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台</w:t>
            </w:r>
          </w:p>
        </w:tc>
        <w:tc>
          <w:tcPr>
            <w:tcW w:w="601" w:type="dxa"/>
            <w:shd w:val="clear" w:color="auto" w:fill="auto"/>
            <w:noWrap/>
            <w:vAlign w:val="center"/>
          </w:tcPr>
          <w:p w14:paraId="25579BB6">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7EAB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59" w:type="dxa"/>
            <w:gridSpan w:val="6"/>
            <w:shd w:val="clear" w:color="auto" w:fill="auto"/>
            <w:noWrap/>
            <w:vAlign w:val="center"/>
          </w:tcPr>
          <w:p w14:paraId="0C9F762C">
            <w:pPr>
              <w:shd w:val="clear"/>
              <w:kinsoku w:val="0"/>
              <w:jc w:val="left"/>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8"/>
                <w:szCs w:val="18"/>
                <w:highlight w:val="none"/>
                <w14:textFill>
                  <w14:solidFill>
                    <w14:schemeClr w14:val="tx1"/>
                  </w14:solidFill>
                </w14:textFill>
              </w:rPr>
              <w:t>4舞台改造</w:t>
            </w:r>
          </w:p>
        </w:tc>
      </w:tr>
      <w:tr w14:paraId="0808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A5306DD">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37</w:t>
            </w:r>
          </w:p>
        </w:tc>
        <w:tc>
          <w:tcPr>
            <w:tcW w:w="778" w:type="dxa"/>
            <w:shd w:val="clear" w:color="auto" w:fill="auto"/>
            <w:vAlign w:val="center"/>
          </w:tcPr>
          <w:p w14:paraId="4A7F26FF">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地胶</w:t>
            </w:r>
          </w:p>
        </w:tc>
        <w:tc>
          <w:tcPr>
            <w:tcW w:w="5442" w:type="dxa"/>
            <w:shd w:val="clear" w:color="auto" w:fill="auto"/>
            <w:vAlign w:val="center"/>
          </w:tcPr>
          <w:p w14:paraId="1E0E6E3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1.舞蹈级PVC塑胶地板；</w:t>
            </w:r>
          </w:p>
          <w:p w14:paraId="461553C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2.外观质量：色泽均匀，无色差，无裂痕，无分层缺陷；</w:t>
            </w:r>
          </w:p>
          <w:p w14:paraId="53757FA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3.宽幅：≥2米；</w:t>
            </w:r>
          </w:p>
          <w:p w14:paraId="5A268EB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4.厚度≥5mm，实心底；</w:t>
            </w:r>
          </w:p>
          <w:p w14:paraId="1ADC74D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5.厚度差：±0.20mm；</w:t>
            </w:r>
          </w:p>
          <w:p w14:paraId="4EAA90F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6.耐磨性：≤10mm；</w:t>
            </w:r>
          </w:p>
          <w:p w14:paraId="53F739F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7.回弹值：≥10%；</w:t>
            </w:r>
          </w:p>
          <w:p w14:paraId="500A54B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8.拉伸强度(MPa）：≥2.0；</w:t>
            </w:r>
          </w:p>
          <w:p w14:paraId="0EDACB1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9.扯断伸长率：≥120%；</w:t>
            </w:r>
          </w:p>
          <w:p w14:paraId="0F3A3DB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10.阻燃性：1级；</w:t>
            </w:r>
          </w:p>
          <w:p w14:paraId="2938455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11.摩擦系数：0.5~0.7；</w:t>
            </w:r>
          </w:p>
          <w:p w14:paraId="74CBA98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12.氯乙烯单体含量：≤5mg/kg；</w:t>
            </w:r>
          </w:p>
          <w:p w14:paraId="209E9A2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13.可溶性铅含量：≤20mg/㎡；</w:t>
            </w:r>
          </w:p>
          <w:p w14:paraId="644EF82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14.可溶性镉含量：≤20mg/㎡；</w:t>
            </w:r>
          </w:p>
          <w:p w14:paraId="7A22594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15.挥发物含量：≤75mg/㎡；</w:t>
            </w:r>
          </w:p>
          <w:p w14:paraId="567A3C6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16.产品所需特点：原材料需符合国家建筑材料测试检验标准，防水防滑，无味，不反光，缓冲性，耐冲击性，隔热性，耐温性，耐化学性等优点，有良好的隔音效果；</w:t>
            </w:r>
          </w:p>
          <w:p w14:paraId="0724EB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17.每平方米重量：≥6.8KG。</w:t>
            </w:r>
          </w:p>
          <w:p w14:paraId="23FEA8C9">
            <w:pPr>
              <w:shd w:val="clear"/>
              <w:kinsoku w:val="0"/>
              <w:jc w:val="left"/>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18.其他：颜色定制。</w:t>
            </w:r>
          </w:p>
        </w:tc>
        <w:tc>
          <w:tcPr>
            <w:tcW w:w="571" w:type="dxa"/>
            <w:shd w:val="clear" w:color="auto" w:fill="auto"/>
            <w:noWrap/>
            <w:vAlign w:val="center"/>
          </w:tcPr>
          <w:p w14:paraId="234A141A">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20"/>
                <w:szCs w:val="20"/>
                <w:highlight w:val="none"/>
                <w14:textFill>
                  <w14:solidFill>
                    <w14:schemeClr w14:val="tx1"/>
                  </w14:solidFill>
                </w14:textFill>
              </w:rPr>
              <w:t>2</w:t>
            </w:r>
            <w:r>
              <w:rPr>
                <w:rFonts w:hint="eastAsia"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cs="Times New Roman"/>
                <w:color w:val="000000" w:themeColor="text1"/>
                <w:sz w:val="20"/>
                <w:szCs w:val="20"/>
                <w:highlight w:val="none"/>
                <w14:textFill>
                  <w14:solidFill>
                    <w14:schemeClr w14:val="tx1"/>
                  </w14:solidFill>
                </w14:textFill>
              </w:rPr>
              <w:t>0</w:t>
            </w:r>
          </w:p>
        </w:tc>
        <w:tc>
          <w:tcPr>
            <w:tcW w:w="459" w:type="dxa"/>
            <w:shd w:val="clear" w:color="auto" w:fill="auto"/>
            <w:noWrap/>
            <w:vAlign w:val="center"/>
          </w:tcPr>
          <w:p w14:paraId="1BBABA04">
            <w:pPr>
              <w:shd w:val="clear"/>
              <w:kinsoku w:val="0"/>
              <w:jc w:val="center"/>
              <w:textAlignment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平方</w:t>
            </w:r>
          </w:p>
        </w:tc>
        <w:tc>
          <w:tcPr>
            <w:tcW w:w="601" w:type="dxa"/>
            <w:shd w:val="clear" w:color="auto" w:fill="auto"/>
            <w:noWrap/>
            <w:vAlign w:val="center"/>
          </w:tcPr>
          <w:p w14:paraId="6E72D6E6">
            <w:pPr>
              <w:shd w:val="clear"/>
              <w:kinsoku w:val="0"/>
              <w:jc w:val="center"/>
              <w:rPr>
                <w:rFonts w:hint="default" w:ascii="Times New Roman" w:hAnsi="Times New Roman" w:cs="Times New Roman"/>
                <w:color w:val="000000" w:themeColor="text1"/>
                <w:sz w:val="15"/>
                <w:szCs w:val="15"/>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14:paraId="68B2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59" w:type="dxa"/>
            <w:gridSpan w:val="6"/>
            <w:shd w:val="clear" w:color="auto" w:fill="auto"/>
            <w:noWrap/>
            <w:vAlign w:val="center"/>
          </w:tcPr>
          <w:p w14:paraId="6E5CC665">
            <w:pPr>
              <w:shd w:val="clear"/>
              <w:kinsoku w:val="0"/>
              <w:jc w:val="lef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b/>
                <w:bCs/>
                <w:color w:val="000000" w:themeColor="text1"/>
                <w:sz w:val="20"/>
                <w:szCs w:val="20"/>
                <w:highlight w:val="none"/>
                <w14:textFill>
                  <w14:solidFill>
                    <w14:schemeClr w14:val="tx1"/>
                  </w14:solidFill>
                </w14:textFill>
              </w:rPr>
              <w:t>5小剧场钢琴</w:t>
            </w:r>
          </w:p>
        </w:tc>
      </w:tr>
      <w:tr w14:paraId="59C3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A4F9123">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38</w:t>
            </w:r>
          </w:p>
        </w:tc>
        <w:tc>
          <w:tcPr>
            <w:tcW w:w="778" w:type="dxa"/>
            <w:shd w:val="clear" w:color="auto" w:fill="auto"/>
            <w:vAlign w:val="center"/>
          </w:tcPr>
          <w:p w14:paraId="39F0A0D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三角钢琴</w:t>
            </w:r>
          </w:p>
        </w:tc>
        <w:tc>
          <w:tcPr>
            <w:tcW w:w="5442" w:type="dxa"/>
            <w:shd w:val="clear" w:color="auto" w:fill="auto"/>
            <w:vAlign w:val="center"/>
          </w:tcPr>
          <w:p w14:paraId="15F073B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1.外观：经典黑色，亮光镜面涂装；</w:t>
            </w:r>
          </w:p>
          <w:p w14:paraId="10243F6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2.尺寸（cm）：≥深275×宽157×高102；</w:t>
            </w:r>
          </w:p>
          <w:p w14:paraId="512972E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★3.击弦机材料：厂家独立自主研发设计立式钢琴击弦机，</w:t>
            </w:r>
            <w:r>
              <w:rPr>
                <w:rFonts w:hint="default" w:ascii="Times New Roman" w:hAnsi="Times New Roman" w:cs="Times New Roman"/>
                <w:color w:val="000000" w:themeColor="text1"/>
                <w:sz w:val="18"/>
                <w:szCs w:val="18"/>
                <w:highlight w:val="none"/>
                <w:lang w:val="zh-TW"/>
                <w14:textFill>
                  <w14:solidFill>
                    <w14:schemeClr w14:val="tx1"/>
                  </w14:solidFill>
                </w14:textFill>
              </w:rPr>
              <w:t>击弦机机械运动部件转击器、止音器、联动器</w:t>
            </w:r>
            <w:r>
              <w:rPr>
                <w:rFonts w:hint="default" w:ascii="Times New Roman" w:hAnsi="Times New Roman" w:cs="Times New Roman"/>
                <w:color w:val="000000" w:themeColor="text1"/>
                <w:sz w:val="18"/>
                <w:szCs w:val="18"/>
                <w:highlight w:val="none"/>
                <w14:textFill>
                  <w14:solidFill>
                    <w14:schemeClr w14:val="tx1"/>
                  </w14:solidFill>
                </w14:textFill>
              </w:rPr>
              <w:t>采用一次成型的第三代碳素ABS材质或同等质量材质，具有耐高温抗干燥，</w:t>
            </w:r>
            <w:r>
              <w:rPr>
                <w:rFonts w:hint="default" w:ascii="Times New Roman" w:hAnsi="Times New Roman" w:cs="Times New Roman"/>
                <w:color w:val="000000" w:themeColor="text1"/>
                <w:sz w:val="18"/>
                <w:szCs w:val="18"/>
                <w:highlight w:val="none"/>
                <w:lang w:val="zh-TW"/>
                <w14:textFill>
                  <w14:solidFill>
                    <w14:schemeClr w14:val="tx1"/>
                  </w14:solidFill>
                </w14:textFill>
              </w:rPr>
              <w:t>确保在零下20度至零上40度的温度下机械运动部件稳定不变型，</w:t>
            </w:r>
            <w:r>
              <w:rPr>
                <w:rFonts w:hint="default" w:ascii="Times New Roman" w:hAnsi="Times New Roman" w:cs="Times New Roman"/>
                <w:color w:val="000000" w:themeColor="text1"/>
                <w:sz w:val="18"/>
                <w:szCs w:val="18"/>
                <w:highlight w:val="none"/>
                <w14:textFill>
                  <w14:solidFill>
                    <w14:schemeClr w14:val="tx1"/>
                  </w14:solidFill>
                </w14:textFill>
              </w:rPr>
              <w:t>采用铜档一体式击弦机；</w:t>
            </w:r>
          </w:p>
          <w:p w14:paraId="5D608F4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声学品质：标准音a1为440~470Hz范围内；</w:t>
            </w:r>
          </w:p>
          <w:p w14:paraId="3A1840B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5.演奏性能：白键下沉深度10.1-10.4mm范围内，相邻两键偏差≤0.3mm；琴键下降负荷0.57-0.75N范围内；琴键回升负荷0.17-0.31N范围内；琴键负荷超标数为0；</w:t>
            </w:r>
          </w:p>
          <w:p w14:paraId="0BA54AC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键盘精度：八度音程白键宽度164.5-165.7mm范围内；白键前端长度50.3-50.5mm范围内；黑键上端面宽度9.4-9.5mm范围内，底宽度11.2-11.4mm范围内；黑键长度95.2mm-95.6mm范围内；黑键高度12.0-12.6mm范围内；琴键间隙0.9-1.3mm范围内；</w:t>
            </w:r>
          </w:p>
          <w:p w14:paraId="6AB1156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7.中盘底面高度：中盘底面距地面高度≥623mm；</w:t>
            </w:r>
          </w:p>
          <w:p w14:paraId="4437303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8.键盘：白键采用云杉实木键盘，单独配重，天然乌木实木制作的黑键、弹奏触感均匀灵敏；</w:t>
            </w:r>
          </w:p>
          <w:p w14:paraId="0111A8E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9.音板：采用云杉实木，共振效果良好，音色饱满明亮；</w:t>
            </w:r>
          </w:p>
          <w:p w14:paraId="31EBAD7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10.肋木：肋木材料采用云杉实木；</w:t>
            </w:r>
          </w:p>
          <w:p w14:paraId="3CCA140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11.弦槌：枫木木芯，先进的压制加工工艺使琴槌外柔内刚富有弹性、精细的选材打造更为丰富、更具细腻层次的声音；</w:t>
            </w:r>
          </w:p>
          <w:p w14:paraId="47F217B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12.弦轴板：采用弦轴板，密度均匀，提供稳定的握钉力，音准稳定性强；</w:t>
            </w:r>
          </w:p>
          <w:p w14:paraId="399399C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13.弦码：单板竖拼集成式弦码，中高音弦码精选枫木单板压制一次成型、与实木硬枫木上帽粘接而成，低音弦码面板精选硬枫制作，底板和中板采用软枫；</w:t>
            </w:r>
          </w:p>
          <w:p w14:paraId="50E8879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14.铁板：翻砂铸造铁板，有双泛音设计；</w:t>
            </w:r>
          </w:p>
          <w:p w14:paraId="03765FA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15.外壳内侧木皮：白杨树瘤；</w:t>
            </w:r>
          </w:p>
          <w:p w14:paraId="604FC87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16.钢琴油漆：采用环保专用钢琴油漆，运用八轴联动静电自动喷涂，红外线干燥工艺，使漆膜更加均匀，表面更加平整；</w:t>
            </w:r>
          </w:p>
          <w:p w14:paraId="022279D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17.串线：采用定弦钮固定琴弦，角度整齐，音色十分稳定；</w:t>
            </w:r>
          </w:p>
          <w:p w14:paraId="29A09B3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18.上顶盖调节：设计为三挡可调的上顶盖；</w:t>
            </w:r>
          </w:p>
          <w:p w14:paraId="07623D1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19.谱架：谱架长度为90±1cm（不镂空），有防滑毡，六档可调;</w:t>
            </w:r>
          </w:p>
          <w:p w14:paraId="0E047D9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20.踏瓣系统：铸造铜制踏瓣，木制传动系统，踩踏舒适，弱音、延音、止音效果佳；</w:t>
            </w:r>
          </w:p>
          <w:p w14:paraId="42A30A3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21.脚轮：双轮式带刹车大铜轮，大气又安全；</w:t>
            </w:r>
          </w:p>
          <w:p w14:paraId="082F08F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22.配件：专业三角钢琴凳、琴罩。</w:t>
            </w:r>
          </w:p>
        </w:tc>
        <w:tc>
          <w:tcPr>
            <w:tcW w:w="571" w:type="dxa"/>
            <w:shd w:val="clear" w:color="auto" w:fill="auto"/>
            <w:noWrap/>
            <w:vAlign w:val="center"/>
          </w:tcPr>
          <w:p w14:paraId="0F3DBB6E">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1</w:t>
            </w:r>
          </w:p>
        </w:tc>
        <w:tc>
          <w:tcPr>
            <w:tcW w:w="459" w:type="dxa"/>
            <w:shd w:val="clear" w:color="auto" w:fill="auto"/>
            <w:noWrap/>
            <w:vAlign w:val="center"/>
          </w:tcPr>
          <w:p w14:paraId="67905620">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套</w:t>
            </w:r>
          </w:p>
        </w:tc>
        <w:tc>
          <w:tcPr>
            <w:tcW w:w="601" w:type="dxa"/>
            <w:shd w:val="clear" w:color="auto" w:fill="auto"/>
            <w:noWrap/>
            <w:vAlign w:val="center"/>
          </w:tcPr>
          <w:p w14:paraId="6755E31E">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14:paraId="01EF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B4D0B68">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39</w:t>
            </w:r>
          </w:p>
        </w:tc>
        <w:tc>
          <w:tcPr>
            <w:tcW w:w="778" w:type="dxa"/>
            <w:shd w:val="clear" w:color="auto" w:fill="auto"/>
            <w:vAlign w:val="center"/>
          </w:tcPr>
          <w:p w14:paraId="65702C7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钢琴转运车</w:t>
            </w:r>
          </w:p>
        </w:tc>
        <w:tc>
          <w:tcPr>
            <w:tcW w:w="5442" w:type="dxa"/>
            <w:shd w:val="clear" w:color="auto" w:fill="auto"/>
            <w:vAlign w:val="center"/>
          </w:tcPr>
          <w:p w14:paraId="04665C6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专业钢琴厂家设计，钢结构材质机械式升降，承重能力≥500公斤，配有升降台架，辅助调节架，机械升降阀，支撑架≥3个，可调节固定钮。低架层配有万向轮，适合地板、瓷砖、地板胶等各种地面使用。可以调节高度，升降台架为框架结构，顶部为三角钢琴的中盘的支撑面，每个支撑处有防护垫和缓冲保护装置。升降平台和辅助调整架可以水平放置在三角钢琴底部，采用圆盘状手轮经行机械升降。</w:t>
            </w:r>
          </w:p>
          <w:p w14:paraId="60BD78A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特点：</w:t>
            </w:r>
          </w:p>
          <w:p w14:paraId="443409D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1.架构简单、操作方便，通用性强，满足九尺三角钢琴型使用；</w:t>
            </w:r>
          </w:p>
          <w:p w14:paraId="4D52365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2.机械式升降机构升降平稳，适合三角钢琴底部狭小空间的操作，一个人可以独立操作升降；</w:t>
            </w:r>
          </w:p>
          <w:p w14:paraId="41A0C3C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3.移动轮到指定位置时可以固定放置滑动，确保使用过程中的平稳及安全性；</w:t>
            </w:r>
          </w:p>
          <w:p w14:paraId="29A3BF0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4.移动圆盘位于钢琴外侧，不需要蹲到三角钢琴底部便可以调节升降高度，操作的便利性强。</w:t>
            </w:r>
          </w:p>
        </w:tc>
        <w:tc>
          <w:tcPr>
            <w:tcW w:w="571" w:type="dxa"/>
            <w:shd w:val="clear" w:color="auto" w:fill="auto"/>
            <w:noWrap/>
            <w:vAlign w:val="center"/>
          </w:tcPr>
          <w:p w14:paraId="0DC43F8B">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1</w:t>
            </w:r>
          </w:p>
        </w:tc>
        <w:tc>
          <w:tcPr>
            <w:tcW w:w="459" w:type="dxa"/>
            <w:shd w:val="clear" w:color="auto" w:fill="auto"/>
            <w:noWrap/>
            <w:vAlign w:val="center"/>
          </w:tcPr>
          <w:p w14:paraId="61C8C88B">
            <w:pPr>
              <w:shd w:val="clear"/>
              <w:kinsoku w:val="0"/>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lang w:bidi="ar"/>
                <w14:textFill>
                  <w14:solidFill>
                    <w14:schemeClr w14:val="tx1"/>
                  </w14:solidFill>
                </w14:textFill>
              </w:rPr>
              <w:t>架</w:t>
            </w:r>
          </w:p>
        </w:tc>
        <w:tc>
          <w:tcPr>
            <w:tcW w:w="601" w:type="dxa"/>
            <w:shd w:val="clear" w:color="auto" w:fill="auto"/>
            <w:noWrap/>
            <w:vAlign w:val="center"/>
          </w:tcPr>
          <w:p w14:paraId="22701D8A">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14:paraId="1A9F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9" w:type="dxa"/>
            <w:gridSpan w:val="6"/>
            <w:shd w:val="clear" w:color="auto" w:fill="auto"/>
            <w:noWrap/>
            <w:vAlign w:val="center"/>
          </w:tcPr>
          <w:p w14:paraId="310B2048">
            <w:pPr>
              <w:shd w:val="clear"/>
              <w:kinsoku w:val="0"/>
              <w:jc w:val="lef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6显示系统</w:t>
            </w:r>
          </w:p>
        </w:tc>
      </w:tr>
      <w:tr w14:paraId="0A1C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ACF5A6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40</w:t>
            </w:r>
          </w:p>
        </w:tc>
        <w:tc>
          <w:tcPr>
            <w:tcW w:w="778" w:type="dxa"/>
            <w:shd w:val="clear" w:color="auto" w:fill="auto"/>
            <w:vAlign w:val="center"/>
          </w:tcPr>
          <w:p w14:paraId="74153B5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85寸显示屏</w:t>
            </w:r>
          </w:p>
        </w:tc>
        <w:tc>
          <w:tcPr>
            <w:tcW w:w="5442" w:type="dxa"/>
            <w:shd w:val="clear" w:color="auto" w:fill="auto"/>
            <w:vAlign w:val="center"/>
          </w:tcPr>
          <w:p w14:paraId="6C97CE2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1.屏幕尺寸：≥85英寸；</w:t>
            </w:r>
          </w:p>
          <w:p w14:paraId="11394AF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2.屏幕比例：16：9，屏幕分辨率：≥4K；</w:t>
            </w:r>
          </w:p>
          <w:p w14:paraId="48B816E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3.HDMI接口：≥3个，USB2.0接口：≥1个；</w:t>
            </w:r>
          </w:p>
          <w:p w14:paraId="0976E0B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4.含安装架（满足现场安装需求）。</w:t>
            </w:r>
          </w:p>
        </w:tc>
        <w:tc>
          <w:tcPr>
            <w:tcW w:w="571" w:type="dxa"/>
            <w:shd w:val="clear" w:color="auto" w:fill="auto"/>
            <w:noWrap/>
            <w:vAlign w:val="center"/>
          </w:tcPr>
          <w:p w14:paraId="4443033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57F70DB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2149D3E1">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14:paraId="194E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265E570">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41</w:t>
            </w:r>
          </w:p>
        </w:tc>
        <w:tc>
          <w:tcPr>
            <w:tcW w:w="778" w:type="dxa"/>
            <w:shd w:val="clear" w:color="auto" w:fill="auto"/>
            <w:vAlign w:val="center"/>
          </w:tcPr>
          <w:p w14:paraId="475C818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多媒体教学触控一体机</w:t>
            </w:r>
          </w:p>
        </w:tc>
        <w:tc>
          <w:tcPr>
            <w:tcW w:w="5442" w:type="dxa"/>
            <w:shd w:val="clear" w:color="auto" w:fill="auto"/>
            <w:vAlign w:val="center"/>
          </w:tcPr>
          <w:p w14:paraId="48F8299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1.屏幕尺寸：≥86英寸；</w:t>
            </w:r>
          </w:p>
          <w:p w14:paraId="7C472ED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2.屏幕比例：16：9，可视角度：≥178°；</w:t>
            </w:r>
          </w:p>
          <w:p w14:paraId="7247CC7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3.屏幕分辨率：≥3840×2160；</w:t>
            </w:r>
          </w:p>
          <w:p w14:paraId="29BF5A6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4.OPS模块：CPU≥i7，运行内存≥8G，硬盘≥256G；</w:t>
            </w:r>
          </w:p>
          <w:p w14:paraId="05CC111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5.含安装架（满足现场安装需求）。</w:t>
            </w:r>
          </w:p>
        </w:tc>
        <w:tc>
          <w:tcPr>
            <w:tcW w:w="571" w:type="dxa"/>
            <w:shd w:val="clear" w:color="auto" w:fill="auto"/>
            <w:noWrap/>
            <w:vAlign w:val="center"/>
          </w:tcPr>
          <w:p w14:paraId="6DFA2CF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7EE38D9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05D2E542">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14:paraId="265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59" w:type="dxa"/>
            <w:gridSpan w:val="6"/>
            <w:shd w:val="clear" w:color="auto" w:fill="auto"/>
            <w:noWrap/>
            <w:vAlign w:val="center"/>
          </w:tcPr>
          <w:p w14:paraId="7DBBB3A7">
            <w:pPr>
              <w:shd w:val="clear"/>
              <w:kinsoku w:val="0"/>
              <w:jc w:val="lef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w:t>
            </w:r>
            <w:r>
              <w:rPr>
                <w:rFonts w:hint="default" w:ascii="Times New Roman" w:hAnsi="Times New Roman" w:cs="Times New Roman"/>
                <w:b/>
                <w:bCs/>
                <w:color w:val="000000" w:themeColor="text1"/>
                <w:sz w:val="18"/>
                <w:szCs w:val="18"/>
                <w:highlight w:val="none"/>
                <w14:textFill>
                  <w14:solidFill>
                    <w14:schemeClr w14:val="tx1"/>
                  </w14:solidFill>
                </w14:textFill>
              </w:rPr>
              <w:t>录播系统</w:t>
            </w:r>
          </w:p>
        </w:tc>
      </w:tr>
      <w:tr w14:paraId="0E37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20DF69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42</w:t>
            </w:r>
          </w:p>
        </w:tc>
        <w:tc>
          <w:tcPr>
            <w:tcW w:w="778" w:type="dxa"/>
            <w:shd w:val="clear" w:color="auto" w:fill="auto"/>
            <w:vAlign w:val="center"/>
          </w:tcPr>
          <w:p w14:paraId="412051C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4K智能摄像机</w:t>
            </w:r>
          </w:p>
        </w:tc>
        <w:tc>
          <w:tcPr>
            <w:tcW w:w="5442" w:type="dxa"/>
            <w:shd w:val="clear" w:color="auto" w:fill="auto"/>
            <w:vAlign w:val="center"/>
          </w:tcPr>
          <w:p w14:paraId="0BB0BF1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1.传感器：≥1/2.8英寸850万像素，输出图像：≥3840×2160；</w:t>
            </w:r>
          </w:p>
          <w:p w14:paraId="7E4BFE2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2.光学变焦：≥20x；</w:t>
            </w:r>
          </w:p>
          <w:p w14:paraId="6BFA1C4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3.超高信噪比CMOS图像传感器，可有效降低弱光条件下的图像噪点。同时应用2D&amp;3D数字降噪，大幅降低图像噪点；</w:t>
            </w:r>
          </w:p>
          <w:p w14:paraId="16B26FF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4.支持AI自动跟踪和自动取景功能。</w:t>
            </w:r>
          </w:p>
        </w:tc>
        <w:tc>
          <w:tcPr>
            <w:tcW w:w="571" w:type="dxa"/>
            <w:shd w:val="clear" w:color="auto" w:fill="auto"/>
            <w:noWrap/>
            <w:vAlign w:val="center"/>
          </w:tcPr>
          <w:p w14:paraId="08A7BD1E">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366E7C0E">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个</w:t>
            </w:r>
          </w:p>
        </w:tc>
        <w:tc>
          <w:tcPr>
            <w:tcW w:w="601" w:type="dxa"/>
            <w:shd w:val="clear" w:color="auto" w:fill="auto"/>
            <w:noWrap/>
            <w:vAlign w:val="center"/>
          </w:tcPr>
          <w:p w14:paraId="6D664FEA">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075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760569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43</w:t>
            </w:r>
          </w:p>
        </w:tc>
        <w:tc>
          <w:tcPr>
            <w:tcW w:w="778" w:type="dxa"/>
            <w:shd w:val="clear" w:color="auto" w:fill="auto"/>
            <w:vAlign w:val="center"/>
          </w:tcPr>
          <w:p w14:paraId="49D3935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精品智慧录播终端系统</w:t>
            </w:r>
          </w:p>
        </w:tc>
        <w:tc>
          <w:tcPr>
            <w:tcW w:w="5442" w:type="dxa"/>
            <w:shd w:val="clear" w:color="auto" w:fill="auto"/>
            <w:vAlign w:val="center"/>
          </w:tcPr>
          <w:p w14:paraId="4AF631A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1.内置LCD屏，显示设备运行状态、参数信息、硬盘容量、音频状态、资源通道录制状态、文件拷贝进度。物理按键：≥4个，具备一键录制、停止、直播以及一键拷贝录制文件的能力；</w:t>
            </w:r>
          </w:p>
          <w:p w14:paraId="7592E28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具备HDMI信号输入接口：≥6路，全HDMI接口视频采集分辨率：≥4K，具备Type-C接口采集画面，采集分辨率：≥1080P。具备HDMI信号输出接口：≥4路，其中4K分辨率以及音频同时输出接口：≥2路；其他具备自定义通道画面输出HDMI口：≥2路。具备3.5mm音频采集接口：≥1路，凤凰端子音频采集接口：≥2路；3.5mm音频输出接口：≥1路，凤凰端子音频输出接口：≥2路。</w:t>
            </w:r>
          </w:p>
          <w:p w14:paraId="26511C5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具备RS-232凤凰端子接口：≥3路和RS-485凤凰端子接口：≥1路，其中带12V电压供电RS232接口：≥1路，带12V电压供电RS485接口：≥1路，可对接各种串口协议设备并对该设备进行供电；具备USB接口：≥5路，用于接U盘拷贝文件或者键盘鼠标操作内嵌导播台；自带触摸面板：≥4英寸，可快捷操作录制、直播和导播切换。具备802.3ab1000Base-T千兆RJ45网络接口、光纤网口，支持IPv4地址和IPv6地址。</w:t>
            </w:r>
          </w:p>
          <w:p w14:paraId="1F3EB1D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加密录制：可实现对录制文件加密录制，加密方式：≥2种；可实现对录制视频进行加密操作或通过可配置多个加密狗对录制文件进行加密；加密视频需使用解密播放器进行播放，需使用U盾或密码对加密视频进行授权播放。</w:t>
            </w:r>
          </w:p>
        </w:tc>
        <w:tc>
          <w:tcPr>
            <w:tcW w:w="571" w:type="dxa"/>
            <w:shd w:val="clear" w:color="auto" w:fill="auto"/>
            <w:noWrap/>
            <w:vAlign w:val="center"/>
          </w:tcPr>
          <w:p w14:paraId="50CCE6F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7064235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1678E540">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5335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76521677">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44</w:t>
            </w:r>
          </w:p>
        </w:tc>
        <w:tc>
          <w:tcPr>
            <w:tcW w:w="778" w:type="dxa"/>
            <w:shd w:val="clear" w:color="auto" w:fill="auto"/>
            <w:vAlign w:val="center"/>
          </w:tcPr>
          <w:p w14:paraId="252FDFD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高清视频矩阵(含高清矩阵输入/输出板卡内嵌软件）</w:t>
            </w:r>
          </w:p>
        </w:tc>
        <w:tc>
          <w:tcPr>
            <w:tcW w:w="5442" w:type="dxa"/>
            <w:shd w:val="clear" w:color="auto" w:fill="auto"/>
            <w:vAlign w:val="center"/>
          </w:tcPr>
          <w:p w14:paraId="0F3BD27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1.矩阵采用纯硬件标准化机箱设计，支持配置信号切换：≥8×8路，支持HDMI、DVI、VGA、SDI、HDBaseT、光纤的任意输入/输出信号卡，其中DVI输入卡兼容CVBS，YUV，VGA信号，VGA输入/输出卡均兼容CVBS，YUV，VGA信号；</w:t>
            </w:r>
          </w:p>
          <w:p w14:paraId="207A150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2.采用板卡模块化设计，支持接入输入卡：≥2块、输出卡：≥2块、控制卡：≥1块；通过定制配置各类相同或不同的输入输出卡可以组成单一接口类型或多接口类型的矩阵，如HDMI矩阵，DVI矩阵，VGA矩阵，YUV矩阵；</w:t>
            </w:r>
          </w:p>
          <w:p w14:paraId="06BEDF9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3.支持无缝切换功能，切换过程无黑屏信号；</w:t>
            </w:r>
          </w:p>
          <w:p w14:paraId="2C6D2D5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4.输入输出分辨率：≥4K@60Hz，支持断电记忆功能，系统内可存储多组预切换指令，调用时可以一键切换；</w:t>
            </w:r>
          </w:p>
          <w:p w14:paraId="2DEFCE6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5.支持模拟音频与HDMI内嵌音频选择输入、支持模拟音频与HDMI内嵌音频同时输出；</w:t>
            </w:r>
          </w:p>
          <w:p w14:paraId="0130ED4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6.采用多线程通信技术，支持接入控制板卡，具有RS-232接口，RS-485接口，TCP/IP端口，支持扩展延长触控屏控制；</w:t>
            </w:r>
          </w:p>
          <w:p w14:paraId="481E4B1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7.HDBaseT输入输出信号支持双向RS-232和双向IR信号传输，可对RS-232和IR信号选择随视频信号切换，或分离切换模式；</w:t>
            </w:r>
          </w:p>
          <w:p w14:paraId="203B588E">
            <w:pPr>
              <w:shd w:val="clear"/>
              <w:kinsoku w:val="0"/>
              <w:jc w:val="left"/>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★8.由于内嵌软件决定着本产品功能的完整性，要求设备内嵌软件具备《计算机软件著作权登记证书》</w:t>
            </w:r>
            <w:r>
              <w:rPr>
                <w:rFonts w:hint="eastAsia" w:cs="Times New Roman"/>
                <w:color w:val="000000" w:themeColor="text1"/>
                <w:sz w:val="18"/>
                <w:szCs w:val="18"/>
                <w:highlight w:val="none"/>
                <w:lang w:eastAsia="zh-CN"/>
                <w14:textFill>
                  <w14:solidFill>
                    <w14:schemeClr w14:val="tx1"/>
                  </w14:solidFill>
                </w14:textFill>
              </w:rPr>
              <w:t>，</w:t>
            </w:r>
            <w:r>
              <w:rPr>
                <w:rFonts w:hint="eastAsia" w:cs="Times New Roman"/>
                <w:b/>
                <w:bCs/>
                <w:color w:val="000000" w:themeColor="text1"/>
                <w:sz w:val="18"/>
                <w:szCs w:val="18"/>
                <w:highlight w:val="none"/>
                <w:lang w:val="en-US" w:eastAsia="zh-CN"/>
                <w14:textFill>
                  <w14:solidFill>
                    <w14:schemeClr w14:val="tx1"/>
                  </w14:solidFill>
                </w14:textFill>
              </w:rPr>
              <w:t>提供承诺函，承诺中标后7天内向采购方提供相关证书。</w:t>
            </w:r>
          </w:p>
        </w:tc>
        <w:tc>
          <w:tcPr>
            <w:tcW w:w="571" w:type="dxa"/>
            <w:shd w:val="clear" w:color="auto" w:fill="auto"/>
            <w:noWrap/>
            <w:vAlign w:val="center"/>
          </w:tcPr>
          <w:p w14:paraId="24A0680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05B8260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5D96B37D">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186D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4496FB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45</w:t>
            </w:r>
          </w:p>
        </w:tc>
        <w:tc>
          <w:tcPr>
            <w:tcW w:w="778" w:type="dxa"/>
            <w:shd w:val="clear" w:color="auto" w:fill="auto"/>
            <w:vAlign w:val="center"/>
          </w:tcPr>
          <w:p w14:paraId="648DABD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采集卡</w:t>
            </w:r>
          </w:p>
        </w:tc>
        <w:tc>
          <w:tcPr>
            <w:tcW w:w="5442" w:type="dxa"/>
            <w:shd w:val="clear" w:color="auto" w:fill="auto"/>
            <w:vAlign w:val="center"/>
          </w:tcPr>
          <w:p w14:paraId="4615253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1.HDMI输入接口：≥4路；</w:t>
            </w:r>
          </w:p>
          <w:p w14:paraId="17CFE99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2.安装接口：PCIE接口，电脑内置。</w:t>
            </w:r>
          </w:p>
        </w:tc>
        <w:tc>
          <w:tcPr>
            <w:tcW w:w="571" w:type="dxa"/>
            <w:shd w:val="clear" w:color="auto" w:fill="auto"/>
            <w:noWrap/>
            <w:vAlign w:val="center"/>
          </w:tcPr>
          <w:p w14:paraId="14CE1726">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0C12550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173D786E">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3AA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191DCBF0">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46</w:t>
            </w:r>
          </w:p>
        </w:tc>
        <w:tc>
          <w:tcPr>
            <w:tcW w:w="778" w:type="dxa"/>
            <w:shd w:val="clear" w:color="auto" w:fill="auto"/>
            <w:vAlign w:val="center"/>
          </w:tcPr>
          <w:p w14:paraId="517C035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中央控制器</w:t>
            </w:r>
          </w:p>
        </w:tc>
        <w:tc>
          <w:tcPr>
            <w:tcW w:w="5442" w:type="dxa"/>
            <w:shd w:val="clear" w:color="auto" w:fill="auto"/>
            <w:vAlign w:val="center"/>
          </w:tcPr>
          <w:p w14:paraId="4C99A08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1.NET端口终端模块：≥1个，4PIN排针，支持NET控制总线；</w:t>
            </w:r>
          </w:p>
          <w:p w14:paraId="18417F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2.串口端口终端模块：≥8个，弱电继电器端口终端模块：≥8个，红外IR端口终端模块：≥8个，I/O端口终端模块：≥8个；</w:t>
            </w:r>
          </w:p>
          <w:p w14:paraId="3DA4A99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3.处理器：32位Cortex-A8 ARM架构微处理器，主频：≥720MHZ；</w:t>
            </w:r>
          </w:p>
          <w:p w14:paraId="1395A9B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4.包含平板UI界面设计、编程服务。</w:t>
            </w:r>
          </w:p>
        </w:tc>
        <w:tc>
          <w:tcPr>
            <w:tcW w:w="571" w:type="dxa"/>
            <w:shd w:val="clear" w:color="auto" w:fill="auto"/>
            <w:noWrap/>
            <w:vAlign w:val="center"/>
          </w:tcPr>
          <w:p w14:paraId="0F630434">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60EBE1AE">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537CF397">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354D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1E008D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47</w:t>
            </w:r>
          </w:p>
        </w:tc>
        <w:tc>
          <w:tcPr>
            <w:tcW w:w="778" w:type="dxa"/>
            <w:shd w:val="clear" w:color="auto" w:fill="auto"/>
            <w:vAlign w:val="center"/>
          </w:tcPr>
          <w:p w14:paraId="0B784FF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平板电脑</w:t>
            </w:r>
          </w:p>
        </w:tc>
        <w:tc>
          <w:tcPr>
            <w:tcW w:w="5442" w:type="dxa"/>
            <w:shd w:val="clear" w:color="auto" w:fill="auto"/>
            <w:vAlign w:val="center"/>
          </w:tcPr>
          <w:p w14:paraId="618D467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1.屏幕尺寸：≥11.5英寸；</w:t>
            </w:r>
          </w:p>
          <w:p w14:paraId="0A9CB98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br w:type="page"/>
            </w:r>
            <w:r>
              <w:rPr>
                <w:rFonts w:hint="default" w:ascii="Times New Roman" w:hAnsi="Times New Roman" w:cs="Times New Roman"/>
                <w:color w:val="000000" w:themeColor="text1"/>
                <w:sz w:val="18"/>
                <w:szCs w:val="18"/>
                <w:highlight w:val="none"/>
                <w14:textFill>
                  <w14:solidFill>
                    <w14:schemeClr w14:val="tx1"/>
                  </w14:solidFill>
                </w14:textFill>
              </w:rPr>
              <w:t>2.网络类型：WiFi版；</w:t>
            </w:r>
          </w:p>
          <w:p w14:paraId="5ADF7EB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br w:type="page"/>
            </w:r>
            <w:r>
              <w:rPr>
                <w:rFonts w:hint="default" w:ascii="Times New Roman" w:hAnsi="Times New Roman" w:cs="Times New Roman"/>
                <w:color w:val="000000" w:themeColor="text1"/>
                <w:sz w:val="18"/>
                <w:szCs w:val="18"/>
                <w:highlight w:val="none"/>
                <w14:textFill>
                  <w14:solidFill>
                    <w14:schemeClr w14:val="tx1"/>
                  </w14:solidFill>
                </w14:textFill>
              </w:rPr>
              <w:t>3.存储容量：≥256GB，运行内存：≥8GB。</w:t>
            </w:r>
          </w:p>
        </w:tc>
        <w:tc>
          <w:tcPr>
            <w:tcW w:w="571" w:type="dxa"/>
            <w:shd w:val="clear" w:color="auto" w:fill="auto"/>
            <w:noWrap/>
            <w:vAlign w:val="center"/>
          </w:tcPr>
          <w:p w14:paraId="2323587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7014F97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16FBBE4C">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685E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C286FD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48</w:t>
            </w:r>
          </w:p>
        </w:tc>
        <w:tc>
          <w:tcPr>
            <w:tcW w:w="778" w:type="dxa"/>
            <w:shd w:val="clear" w:color="auto" w:fill="auto"/>
            <w:vAlign w:val="center"/>
          </w:tcPr>
          <w:p w14:paraId="1E5A477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路由器</w:t>
            </w:r>
          </w:p>
        </w:tc>
        <w:tc>
          <w:tcPr>
            <w:tcW w:w="5442" w:type="dxa"/>
            <w:shd w:val="clear" w:color="auto" w:fill="auto"/>
            <w:vAlign w:val="center"/>
          </w:tcPr>
          <w:p w14:paraId="5121511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1.LAN输出口：千兆网口；</w:t>
            </w:r>
          </w:p>
          <w:p w14:paraId="3D32422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2.无线协议：Wi-Fi6。</w:t>
            </w:r>
          </w:p>
        </w:tc>
        <w:tc>
          <w:tcPr>
            <w:tcW w:w="571" w:type="dxa"/>
            <w:shd w:val="clear" w:color="auto" w:fill="auto"/>
            <w:noWrap/>
            <w:vAlign w:val="center"/>
          </w:tcPr>
          <w:p w14:paraId="6434E4F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020387B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75561526">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3518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1CF80C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49</w:t>
            </w:r>
          </w:p>
        </w:tc>
        <w:tc>
          <w:tcPr>
            <w:tcW w:w="778" w:type="dxa"/>
            <w:shd w:val="clear" w:color="auto" w:fill="auto"/>
            <w:vAlign w:val="center"/>
          </w:tcPr>
          <w:p w14:paraId="5F05C66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交换机</w:t>
            </w:r>
          </w:p>
        </w:tc>
        <w:tc>
          <w:tcPr>
            <w:tcW w:w="5442" w:type="dxa"/>
            <w:shd w:val="clear" w:color="auto" w:fill="auto"/>
            <w:vAlign w:val="center"/>
          </w:tcPr>
          <w:p w14:paraId="0591CB9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1.10/100/1000Base-T以太网电接口：≥24个；</w:t>
            </w:r>
          </w:p>
          <w:p w14:paraId="67D8056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2.1000Base-X以太网光接口：≥4个。</w:t>
            </w:r>
          </w:p>
        </w:tc>
        <w:tc>
          <w:tcPr>
            <w:tcW w:w="571" w:type="dxa"/>
            <w:shd w:val="clear" w:color="auto" w:fill="auto"/>
            <w:noWrap/>
            <w:vAlign w:val="center"/>
          </w:tcPr>
          <w:p w14:paraId="45025887">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2A7420E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2850D73F">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7F63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359" w:type="dxa"/>
            <w:gridSpan w:val="6"/>
            <w:shd w:val="clear" w:color="auto" w:fill="auto"/>
            <w:noWrap/>
            <w:vAlign w:val="center"/>
          </w:tcPr>
          <w:p w14:paraId="308D1A9F">
            <w:pPr>
              <w:shd w:val="clear"/>
              <w:kinsoku w:val="0"/>
              <w:jc w:val="lef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w:t>
            </w:r>
            <w:r>
              <w:rPr>
                <w:rFonts w:hint="default" w:ascii="Times New Roman" w:hAnsi="Times New Roman" w:cs="Times New Roman"/>
                <w:b/>
                <w:bCs/>
                <w:color w:val="000000" w:themeColor="text1"/>
                <w:sz w:val="15"/>
                <w:szCs w:val="15"/>
                <w:highlight w:val="none"/>
                <w14:textFill>
                  <w14:solidFill>
                    <w14:schemeClr w14:val="tx1"/>
                  </w14:solidFill>
                </w14:textFill>
              </w:rPr>
              <w:t>扩声系统</w:t>
            </w:r>
          </w:p>
        </w:tc>
      </w:tr>
      <w:tr w14:paraId="6DB4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6F4D98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50</w:t>
            </w:r>
          </w:p>
        </w:tc>
        <w:tc>
          <w:tcPr>
            <w:tcW w:w="778" w:type="dxa"/>
            <w:shd w:val="clear" w:color="auto" w:fill="auto"/>
            <w:vAlign w:val="center"/>
          </w:tcPr>
          <w:p w14:paraId="02A2193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全向拾音麦克风</w:t>
            </w:r>
          </w:p>
        </w:tc>
        <w:tc>
          <w:tcPr>
            <w:tcW w:w="5442" w:type="dxa"/>
            <w:shd w:val="clear" w:color="auto" w:fill="auto"/>
            <w:vAlign w:val="center"/>
          </w:tcPr>
          <w:p w14:paraId="29B666F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1.采用不锈钢圆柱形设计，内置单一指向性咪头，满足超远距离拾音；</w:t>
            </w:r>
          </w:p>
          <w:p w14:paraId="4969940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2.灵敏度：≥-38dB；</w:t>
            </w:r>
          </w:p>
          <w:p w14:paraId="25D26E5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3.频响：≥100Hz~15KHz。</w:t>
            </w:r>
          </w:p>
        </w:tc>
        <w:tc>
          <w:tcPr>
            <w:tcW w:w="571" w:type="dxa"/>
            <w:shd w:val="clear" w:color="auto" w:fill="auto"/>
            <w:noWrap/>
            <w:vAlign w:val="center"/>
          </w:tcPr>
          <w:p w14:paraId="6F2B6F8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18D04B9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1E1B33A2">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6D07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967DB89">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51</w:t>
            </w:r>
          </w:p>
        </w:tc>
        <w:tc>
          <w:tcPr>
            <w:tcW w:w="778" w:type="dxa"/>
            <w:shd w:val="clear" w:color="auto" w:fill="auto"/>
            <w:vAlign w:val="center"/>
          </w:tcPr>
          <w:p w14:paraId="5390546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麦克风处理器</w:t>
            </w:r>
          </w:p>
        </w:tc>
        <w:tc>
          <w:tcPr>
            <w:tcW w:w="5442" w:type="dxa"/>
            <w:shd w:val="clear" w:color="auto" w:fill="auto"/>
            <w:vAlign w:val="center"/>
          </w:tcPr>
          <w:p w14:paraId="3E7FCCA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1.设备具有LINEIN：≥4路，MICIN：≥2路，SPKIN：≥1路，LINEOUT：≥2路，SPKOUT：≥4路以及RS-485控制接口。</w:t>
            </w:r>
          </w:p>
          <w:p w14:paraId="78B621E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2.内置高效智能数字功放：≥4*30W，可外接8Ω定阻音箱≥4只；</w:t>
            </w:r>
          </w:p>
          <w:p w14:paraId="3E07693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3.具备调节麦克风输入灵敏度功能，MICIN、LINEIN、LINEOUT与SPK音量都可以独立调节；</w:t>
            </w:r>
          </w:p>
          <w:p w14:paraId="6E7D7F0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4.具备EQ均衡设置功能：≥7段；手动降噪等级设置：≥7档；预设场景切换设置：≥4个；啸叫抑制设置：≥7档；混响抑制设置：≥7档；具备高低通设置功能；具备噪声门设置功能；具备压限器设置功能。</w:t>
            </w:r>
          </w:p>
          <w:p w14:paraId="5EBBA03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5.具有多音源闪避优先级功能，可以自动根据音源的优先级实现智能闪避，可调节阈值、闪避等级、启动时间和释放时间，实现当线路输入有声音时，麦克风进行自动闪避；</w:t>
            </w:r>
          </w:p>
          <w:p w14:paraId="3774324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★6.具有AI降噪功能，自动检测和抑制环境噪声，消除非稳态噪声，包括拍手、翻书、风扇、敲击噪声声音，确保扩声系统的清晰度和稳定性。</w:t>
            </w:r>
          </w:p>
        </w:tc>
        <w:tc>
          <w:tcPr>
            <w:tcW w:w="571" w:type="dxa"/>
            <w:shd w:val="clear" w:color="auto" w:fill="auto"/>
            <w:noWrap/>
            <w:vAlign w:val="center"/>
          </w:tcPr>
          <w:p w14:paraId="197C74F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1763170E">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47F7A45A">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6E39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457526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52</w:t>
            </w:r>
          </w:p>
        </w:tc>
        <w:tc>
          <w:tcPr>
            <w:tcW w:w="778" w:type="dxa"/>
            <w:shd w:val="clear" w:color="auto" w:fill="auto"/>
            <w:vAlign w:val="center"/>
          </w:tcPr>
          <w:p w14:paraId="7925D7A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学生区吊麦</w:t>
            </w:r>
          </w:p>
        </w:tc>
        <w:tc>
          <w:tcPr>
            <w:tcW w:w="5442" w:type="dxa"/>
            <w:shd w:val="clear" w:color="auto" w:fill="auto"/>
            <w:vAlign w:val="center"/>
          </w:tcPr>
          <w:p w14:paraId="5112411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1.咪头灵敏度：≥-40dB±2dB；</w:t>
            </w:r>
          </w:p>
          <w:p w14:paraId="35AFC0F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2.频率响应：≥100Hz~15KHz；</w:t>
            </w:r>
          </w:p>
          <w:p w14:paraId="5F9D759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3.接口：迷你卡侬头接口(公头)。</w:t>
            </w:r>
          </w:p>
        </w:tc>
        <w:tc>
          <w:tcPr>
            <w:tcW w:w="571" w:type="dxa"/>
            <w:shd w:val="clear" w:color="auto" w:fill="auto"/>
            <w:noWrap/>
            <w:vAlign w:val="center"/>
          </w:tcPr>
          <w:p w14:paraId="44559D63">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152A2713">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6613A867">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579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9818170">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53</w:t>
            </w:r>
          </w:p>
        </w:tc>
        <w:tc>
          <w:tcPr>
            <w:tcW w:w="778" w:type="dxa"/>
            <w:shd w:val="clear" w:color="auto" w:fill="auto"/>
            <w:vAlign w:val="center"/>
          </w:tcPr>
          <w:p w14:paraId="7EDFFD9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无线话筒（手持）</w:t>
            </w:r>
          </w:p>
        </w:tc>
        <w:tc>
          <w:tcPr>
            <w:tcW w:w="5442" w:type="dxa"/>
            <w:shd w:val="clear" w:color="auto" w:fill="auto"/>
            <w:vAlign w:val="center"/>
          </w:tcPr>
          <w:p w14:paraId="79D3DBE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1.单通道半机架无线接收机，配备机架支架；</w:t>
            </w:r>
          </w:p>
          <w:p w14:paraId="0B20E3B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2.类型：动圈，超心形；</w:t>
            </w:r>
          </w:p>
          <w:p w14:paraId="1487082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3.频率响应：≥50~16KHz。</w:t>
            </w:r>
          </w:p>
        </w:tc>
        <w:tc>
          <w:tcPr>
            <w:tcW w:w="571" w:type="dxa"/>
            <w:shd w:val="clear" w:color="auto" w:fill="auto"/>
            <w:noWrap/>
            <w:vAlign w:val="center"/>
          </w:tcPr>
          <w:p w14:paraId="027FB5D9">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4E1F81F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69BE03AC">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2676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5381C7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54</w:t>
            </w:r>
          </w:p>
        </w:tc>
        <w:tc>
          <w:tcPr>
            <w:tcW w:w="778" w:type="dxa"/>
            <w:shd w:val="clear" w:color="auto" w:fill="auto"/>
            <w:vAlign w:val="center"/>
          </w:tcPr>
          <w:p w14:paraId="3E24D95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无线话筒（头戴）</w:t>
            </w:r>
          </w:p>
        </w:tc>
        <w:tc>
          <w:tcPr>
            <w:tcW w:w="5442" w:type="dxa"/>
            <w:shd w:val="clear" w:color="auto" w:fill="auto"/>
            <w:vAlign w:val="center"/>
          </w:tcPr>
          <w:p w14:paraId="4C6C38D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1.半机架式单频段接收机；</w:t>
            </w:r>
          </w:p>
          <w:p w14:paraId="55F590E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2.类型：驻极体电容器，单向（心形）</w:t>
            </w:r>
          </w:p>
          <w:p w14:paraId="1754123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3.频率响应：≥40Hz~20KHz。</w:t>
            </w:r>
          </w:p>
        </w:tc>
        <w:tc>
          <w:tcPr>
            <w:tcW w:w="571" w:type="dxa"/>
            <w:shd w:val="clear" w:color="auto" w:fill="auto"/>
            <w:noWrap/>
            <w:vAlign w:val="center"/>
          </w:tcPr>
          <w:p w14:paraId="620FFDC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292A958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个</w:t>
            </w:r>
          </w:p>
        </w:tc>
        <w:tc>
          <w:tcPr>
            <w:tcW w:w="601" w:type="dxa"/>
            <w:shd w:val="clear" w:color="auto" w:fill="auto"/>
            <w:noWrap/>
            <w:vAlign w:val="center"/>
          </w:tcPr>
          <w:p w14:paraId="4DC39032">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58F4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02DF624">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55</w:t>
            </w:r>
          </w:p>
        </w:tc>
        <w:tc>
          <w:tcPr>
            <w:tcW w:w="778" w:type="dxa"/>
            <w:shd w:val="clear" w:color="auto" w:fill="auto"/>
            <w:vAlign w:val="center"/>
          </w:tcPr>
          <w:p w14:paraId="4EA8596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声卡</w:t>
            </w:r>
          </w:p>
        </w:tc>
        <w:tc>
          <w:tcPr>
            <w:tcW w:w="5442" w:type="dxa"/>
            <w:shd w:val="clear" w:color="auto" w:fill="auto"/>
            <w:vAlign w:val="center"/>
          </w:tcPr>
          <w:p w14:paraId="1199F27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1.总输入通道：≥18通道；</w:t>
            </w:r>
          </w:p>
          <w:p w14:paraId="4AAC5ED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2.卡农/大三芯复合接口：≥16个；</w:t>
            </w:r>
          </w:p>
          <w:p w14:paraId="298F9F4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3.线路输入：≥2个；</w:t>
            </w:r>
          </w:p>
          <w:p w14:paraId="00E339A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4.幻象电源：≥+48V；</w:t>
            </w:r>
          </w:p>
          <w:p w14:paraId="304DF43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5.主输出：≥6路XLR卡侬；</w:t>
            </w:r>
          </w:p>
          <w:p w14:paraId="6604D6F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6.USB声卡接口：有；</w:t>
            </w:r>
          </w:p>
          <w:p w14:paraId="1BA7A2C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7.多轨录音：≥18进18出；</w:t>
            </w:r>
          </w:p>
          <w:p w14:paraId="5E07D61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8.MIDI接口：≥1入1出；</w:t>
            </w:r>
          </w:p>
          <w:p w14:paraId="5592D06C">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9.WIFI：内置。</w:t>
            </w:r>
          </w:p>
        </w:tc>
        <w:tc>
          <w:tcPr>
            <w:tcW w:w="571" w:type="dxa"/>
            <w:shd w:val="clear" w:color="auto" w:fill="auto"/>
            <w:noWrap/>
            <w:vAlign w:val="center"/>
          </w:tcPr>
          <w:p w14:paraId="19C8D553">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71AF1246">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3D52ED7C">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26AD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837B27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56</w:t>
            </w:r>
          </w:p>
        </w:tc>
        <w:tc>
          <w:tcPr>
            <w:tcW w:w="778" w:type="dxa"/>
            <w:shd w:val="clear" w:color="auto" w:fill="auto"/>
            <w:vAlign w:val="center"/>
          </w:tcPr>
          <w:p w14:paraId="3B727B8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音频处理器</w:t>
            </w:r>
          </w:p>
        </w:tc>
        <w:tc>
          <w:tcPr>
            <w:tcW w:w="5442" w:type="dxa"/>
            <w:shd w:val="clear" w:color="auto" w:fill="auto"/>
            <w:vAlign w:val="center"/>
          </w:tcPr>
          <w:p w14:paraId="6ECCD09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后面板具有线路音频凤凰端子平衡输入接口：≥12路（具有48V幻象供电）、线路音频凤凰端子平衡输出接口：≥12路、拨码开关、RJ45接口、RS232接口、RS485接口、可编程GPIO控制接口：≥8个、接地柱；前面板具有IPS真彩显示屏：≥2.0英寸、编码旋钮、USB存储设备接口；</w:t>
            </w:r>
          </w:p>
          <w:p w14:paraId="1EB3BA6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输入通道支持前级放大、信号发生器、扩展器、压缩器、均衡器参量均衡：≥12、可选10/15/31段图示均衡器可调，图示均衡器可用于单独调节带宽）、闪避器、AGC自动增益、AM自动混音功能（门限式、增益共享式）、AFC自适应反馈消除、AEC回声消除、ANC噪声消除、音频矩阵；输出通道支持均衡器参量均衡：≥12段、可选10/15/31段图示均衡器可调，图示均衡器可用于单独调节带宽）、延时器、分频器、高低通滤波器、限幅器；基于啸叫检测门限更新法，具有移频+陷波组合反馈抑制，可以使用可编程陷波点：≥24个，可自由分配动态/静态点，自动/手动切换；</w:t>
            </w:r>
          </w:p>
          <w:p w14:paraId="32FEF9B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★3.音频处理器具有跨平台软件，可运行的操作系统版本：≥8种，包括Windows7/10/11、银河麒麟桌面操作系统（兆芯版）、银河麒麟桌面操作系统（飞腾版）、macOS系统、统信UOS、Ubuntu桌面版操作系统</w:t>
            </w:r>
            <w:r>
              <w:rPr>
                <w:rFonts w:hint="eastAsia" w:cs="Times New Roman"/>
                <w:color w:val="000000" w:themeColor="text1"/>
                <w:sz w:val="18"/>
                <w:szCs w:val="18"/>
                <w:highlight w:val="none"/>
                <w:lang w:val="en-US" w:eastAsia="zh-CN"/>
                <w14:textFill>
                  <w14:solidFill>
                    <w14:schemeClr w14:val="tx1"/>
                  </w14:solidFill>
                </w14:textFill>
              </w:rPr>
              <w:t>等</w:t>
            </w:r>
            <w:r>
              <w:rPr>
                <w:rFonts w:hint="default" w:ascii="Times New Roman" w:hAnsi="Times New Roman" w:cs="Times New Roman"/>
                <w:color w:val="000000" w:themeColor="text1"/>
                <w:sz w:val="18"/>
                <w:szCs w:val="18"/>
                <w:highlight w:val="none"/>
                <w14:textFill>
                  <w14:solidFill>
                    <w14:schemeClr w14:val="tx1"/>
                  </w14:solidFill>
                </w14:textFill>
              </w:rPr>
              <w:t>。；</w:t>
            </w:r>
          </w:p>
          <w:p w14:paraId="3FB69BB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音频处理器软件可融入会议音频综合管理平台实现音频设备统一管理，平台可扫描音频处理器在线情况，同款产品多台在线设备也可扫描，并显示设备硬件名称、硬件IP地址、在线、离线状态信息；具备一键上传配置信息至云端或保存本地进行备份和一键还原配置信息功能。。</w:t>
            </w:r>
          </w:p>
        </w:tc>
        <w:tc>
          <w:tcPr>
            <w:tcW w:w="571" w:type="dxa"/>
            <w:shd w:val="clear" w:color="auto" w:fill="auto"/>
            <w:noWrap/>
            <w:vAlign w:val="center"/>
          </w:tcPr>
          <w:p w14:paraId="2E44A3D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39DBF004">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2ACE1416">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397C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2BA555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57</w:t>
            </w:r>
          </w:p>
        </w:tc>
        <w:tc>
          <w:tcPr>
            <w:tcW w:w="778" w:type="dxa"/>
            <w:shd w:val="clear" w:color="auto" w:fill="auto"/>
            <w:vAlign w:val="center"/>
          </w:tcPr>
          <w:p w14:paraId="4C9EB7F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全频扬声器</w:t>
            </w:r>
          </w:p>
        </w:tc>
        <w:tc>
          <w:tcPr>
            <w:tcW w:w="5442" w:type="dxa"/>
            <w:shd w:val="clear" w:color="auto" w:fill="auto"/>
            <w:vAlign w:val="center"/>
          </w:tcPr>
          <w:p w14:paraId="60EC110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1.频率响应：≥50Hz~20KHz；</w:t>
            </w:r>
          </w:p>
          <w:p w14:paraId="6E7D2C9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2.额定功率：≥350W；</w:t>
            </w:r>
          </w:p>
          <w:p w14:paraId="10CE27F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3.低音单元：≥12"；</w:t>
            </w:r>
          </w:p>
          <w:p w14:paraId="397483A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3.高音单元：≥1.7"压缩驱动器；</w:t>
            </w:r>
          </w:p>
          <w:p w14:paraId="376DF707">
            <w:pPr>
              <w:shd w:val="clear"/>
              <w:kinsoku w:val="0"/>
              <w:jc w:val="left"/>
              <w:textAlignment w:val="center"/>
              <w:rPr>
                <w:rFonts w:hint="eastAsia" w:ascii="Times New Roman" w:hAnsi="Times New Roman" w:cs="Times New Roman"/>
                <w:color w:val="000000" w:themeColor="text1"/>
                <w:sz w:val="18"/>
                <w:szCs w:val="18"/>
                <w:highlight w:val="none"/>
                <w:lang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★4.为确保扩声系统设计方案仿真计算结果的高可信度，</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承诺所投</w:t>
            </w:r>
            <w:r>
              <w:rPr>
                <w:rFonts w:hint="default" w:ascii="Times New Roman" w:hAnsi="Times New Roman" w:cs="Times New Roman"/>
                <w:color w:val="000000" w:themeColor="text1"/>
                <w:sz w:val="18"/>
                <w:szCs w:val="18"/>
                <w:highlight w:val="none"/>
                <w14:textFill>
                  <w14:solidFill>
                    <w14:schemeClr w14:val="tx1"/>
                  </w14:solidFill>
                </w14:textFill>
              </w:rPr>
              <w:t>音箱产品经过声学设计权威机构检测</w:t>
            </w:r>
            <w:r>
              <w:rPr>
                <w:rFonts w:hint="eastAsia" w:ascii="Times New Roman" w:hAnsi="Times New Roman" w:cs="Times New Roman"/>
                <w:color w:val="000000" w:themeColor="text1"/>
                <w:sz w:val="18"/>
                <w:szCs w:val="18"/>
                <w:highlight w:val="none"/>
                <w:lang w:eastAsia="zh-CN"/>
                <w14:textFill>
                  <w14:solidFill>
                    <w14:schemeClr w14:val="tx1"/>
                  </w14:solidFill>
                </w14:textFill>
              </w:rPr>
              <w:t>。</w:t>
            </w:r>
          </w:p>
        </w:tc>
        <w:tc>
          <w:tcPr>
            <w:tcW w:w="571" w:type="dxa"/>
            <w:shd w:val="clear" w:color="auto" w:fill="auto"/>
            <w:noWrap/>
            <w:vAlign w:val="center"/>
          </w:tcPr>
          <w:p w14:paraId="30B9BDE8">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12</w:t>
            </w:r>
          </w:p>
        </w:tc>
        <w:tc>
          <w:tcPr>
            <w:tcW w:w="459" w:type="dxa"/>
            <w:shd w:val="clear" w:color="auto" w:fill="auto"/>
            <w:noWrap/>
            <w:vAlign w:val="center"/>
          </w:tcPr>
          <w:p w14:paraId="7D692D0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只</w:t>
            </w:r>
          </w:p>
        </w:tc>
        <w:tc>
          <w:tcPr>
            <w:tcW w:w="601" w:type="dxa"/>
            <w:shd w:val="clear" w:color="auto" w:fill="auto"/>
            <w:noWrap/>
            <w:vAlign w:val="center"/>
          </w:tcPr>
          <w:p w14:paraId="7199FF56">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0B31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0016FD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58</w:t>
            </w:r>
          </w:p>
        </w:tc>
        <w:tc>
          <w:tcPr>
            <w:tcW w:w="778" w:type="dxa"/>
            <w:shd w:val="clear" w:color="auto" w:fill="auto"/>
            <w:vAlign w:val="center"/>
          </w:tcPr>
          <w:p w14:paraId="51790C8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低音扬声器</w:t>
            </w:r>
          </w:p>
        </w:tc>
        <w:tc>
          <w:tcPr>
            <w:tcW w:w="5442" w:type="dxa"/>
            <w:shd w:val="clear" w:color="auto" w:fill="auto"/>
            <w:vAlign w:val="center"/>
          </w:tcPr>
          <w:p w14:paraId="7DCC8FC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1.频率响应：≥40Hz~400Hz；</w:t>
            </w:r>
          </w:p>
          <w:p w14:paraId="3614925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2.额定功率：≥600W；</w:t>
            </w:r>
          </w:p>
          <w:p w14:paraId="3F4F9FE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3.灵敏度：≥99dB/W/M；</w:t>
            </w:r>
          </w:p>
          <w:p w14:paraId="67E7E1B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4.低音单元：≥18"。</w:t>
            </w:r>
          </w:p>
        </w:tc>
        <w:tc>
          <w:tcPr>
            <w:tcW w:w="571" w:type="dxa"/>
            <w:shd w:val="clear" w:color="auto" w:fill="auto"/>
            <w:noWrap/>
            <w:vAlign w:val="center"/>
          </w:tcPr>
          <w:p w14:paraId="31702090">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0938870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只</w:t>
            </w:r>
          </w:p>
        </w:tc>
        <w:tc>
          <w:tcPr>
            <w:tcW w:w="601" w:type="dxa"/>
            <w:shd w:val="clear" w:color="auto" w:fill="auto"/>
            <w:noWrap/>
            <w:vAlign w:val="center"/>
          </w:tcPr>
          <w:p w14:paraId="72ED17A6">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6CD7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3DCB54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59</w:t>
            </w:r>
          </w:p>
        </w:tc>
        <w:tc>
          <w:tcPr>
            <w:tcW w:w="778" w:type="dxa"/>
            <w:shd w:val="clear" w:color="auto" w:fill="auto"/>
            <w:vAlign w:val="center"/>
          </w:tcPr>
          <w:p w14:paraId="52E78B4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全频功放</w:t>
            </w:r>
          </w:p>
        </w:tc>
        <w:tc>
          <w:tcPr>
            <w:tcW w:w="5442" w:type="dxa"/>
            <w:shd w:val="clear" w:color="auto" w:fill="auto"/>
            <w:vAlign w:val="center"/>
          </w:tcPr>
          <w:p w14:paraId="3AC6D83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1.标准机柜式安装设计；采用PFC+开关电源+D类数字功放设计方案；</w:t>
            </w:r>
          </w:p>
          <w:p w14:paraId="0AE9BB3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2.输出功率：立体声8Ω：≥500W×2，立体声4Ω：≥850W×2，桥接8Ω：≥1700W；</w:t>
            </w:r>
          </w:p>
          <w:p w14:paraId="69180E7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3.具有过压保护，欠压保护，过流保护，直流保护，输出短路保护，温控风扇等功能。</w:t>
            </w:r>
          </w:p>
        </w:tc>
        <w:tc>
          <w:tcPr>
            <w:tcW w:w="571" w:type="dxa"/>
            <w:shd w:val="clear" w:color="auto" w:fill="auto"/>
            <w:noWrap/>
            <w:vAlign w:val="center"/>
          </w:tcPr>
          <w:p w14:paraId="400E9CC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w:t>
            </w:r>
          </w:p>
        </w:tc>
        <w:tc>
          <w:tcPr>
            <w:tcW w:w="459" w:type="dxa"/>
            <w:shd w:val="clear" w:color="auto" w:fill="auto"/>
            <w:noWrap/>
            <w:vAlign w:val="center"/>
          </w:tcPr>
          <w:p w14:paraId="0A844059">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5872BD99">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0354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70586C8">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60</w:t>
            </w:r>
          </w:p>
        </w:tc>
        <w:tc>
          <w:tcPr>
            <w:tcW w:w="778" w:type="dxa"/>
            <w:shd w:val="clear" w:color="auto" w:fill="auto"/>
            <w:vAlign w:val="center"/>
          </w:tcPr>
          <w:p w14:paraId="2782165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低音功放</w:t>
            </w:r>
          </w:p>
        </w:tc>
        <w:tc>
          <w:tcPr>
            <w:tcW w:w="5442" w:type="dxa"/>
            <w:shd w:val="clear" w:color="auto" w:fill="auto"/>
            <w:vAlign w:val="center"/>
          </w:tcPr>
          <w:p w14:paraId="7149E6E5">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1.标准机柜式</w:t>
            </w:r>
            <w:bookmarkStart w:id="373" w:name="OLE_LINK1"/>
            <w:r>
              <w:rPr>
                <w:rFonts w:hint="default" w:ascii="Times New Roman" w:hAnsi="Times New Roman" w:cs="Times New Roman"/>
                <w:color w:val="000000" w:themeColor="text1"/>
                <w:sz w:val="18"/>
                <w:szCs w:val="18"/>
                <w:highlight w:val="none"/>
                <w14:textFill>
                  <w14:solidFill>
                    <w14:schemeClr w14:val="tx1"/>
                  </w14:solidFill>
                </w14:textFill>
              </w:rPr>
              <w:t>安装</w:t>
            </w:r>
            <w:bookmarkEnd w:id="373"/>
            <w:r>
              <w:rPr>
                <w:rFonts w:hint="default" w:ascii="Times New Roman" w:hAnsi="Times New Roman" w:cs="Times New Roman"/>
                <w:color w:val="000000" w:themeColor="text1"/>
                <w:sz w:val="18"/>
                <w:szCs w:val="18"/>
                <w:highlight w:val="none"/>
                <w14:textFill>
                  <w14:solidFill>
                    <w14:schemeClr w14:val="tx1"/>
                  </w14:solidFill>
                </w14:textFill>
              </w:rPr>
              <w:t>设计，采用PFC+开关电源+D类数字功放设计方案；</w:t>
            </w:r>
          </w:p>
          <w:p w14:paraId="350F0CD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2.采用数字功放双环路压限保护电路，避免开机瞬间的大电流冲击扬声器，减少对扬声器的损害风险，为功放全方位系统保护。</w:t>
            </w:r>
          </w:p>
          <w:p w14:paraId="65B86A7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3.采用开关电源输出电压自启停动态节能的功能，自适应动态功率高效转换功能。</w:t>
            </w:r>
          </w:p>
          <w:p w14:paraId="7C2F279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4.支持过压保护、欠压保护、过流保护、输出短路保护、温度压限、信号压限、温度自动控风扇等功能，很大程度提高功放稳定性和可靠性。</w:t>
            </w:r>
          </w:p>
          <w:p w14:paraId="7D49304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5.输出功率（1KHz/THD≤1％）：连续功率：立体声8Ω×2：≥2*1000W，立体声4Ω×2：≥2*1700W，立体声2Ω×2：≥2*2900W，桥接16Ω：≥2000W，桥接8Ω：≥3400W，桥接4Ω：≥5800W。</w:t>
            </w:r>
          </w:p>
        </w:tc>
        <w:tc>
          <w:tcPr>
            <w:tcW w:w="571" w:type="dxa"/>
            <w:shd w:val="clear" w:color="auto" w:fill="auto"/>
            <w:noWrap/>
            <w:vAlign w:val="center"/>
          </w:tcPr>
          <w:p w14:paraId="1A9C244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16570940">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5B1270B0">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41AC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7BD870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61</w:t>
            </w:r>
          </w:p>
        </w:tc>
        <w:tc>
          <w:tcPr>
            <w:tcW w:w="778" w:type="dxa"/>
            <w:shd w:val="clear" w:color="auto" w:fill="auto"/>
            <w:vAlign w:val="center"/>
          </w:tcPr>
          <w:p w14:paraId="16D1D5A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电源时序器</w:t>
            </w:r>
          </w:p>
        </w:tc>
        <w:tc>
          <w:tcPr>
            <w:tcW w:w="5442" w:type="dxa"/>
            <w:shd w:val="clear" w:color="auto" w:fill="auto"/>
            <w:vAlign w:val="center"/>
          </w:tcPr>
          <w:p w14:paraId="193AEBC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1.配备LCD显示屏，支持显示温度信息，实时输入电压信息、时间信息、IP信息，定时任务信息。</w:t>
            </w:r>
          </w:p>
          <w:p w14:paraId="2E3A07A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2.电源输出插座：≥8路，单通道：≥10A，总输出电流：≥30A，支持实时监控插座功率；</w:t>
            </w:r>
          </w:p>
          <w:p w14:paraId="1546971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3.具有10M/100M网口：≥2个，RS-485接口：≥2路， USB接口提供照明灯供电：≥1路；配备监听扬声器：≥1个，支持人声报警提示。</w:t>
            </w:r>
          </w:p>
        </w:tc>
        <w:tc>
          <w:tcPr>
            <w:tcW w:w="571" w:type="dxa"/>
            <w:shd w:val="clear" w:color="auto" w:fill="auto"/>
            <w:noWrap/>
            <w:vAlign w:val="center"/>
          </w:tcPr>
          <w:p w14:paraId="7AEC735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6104C40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台</w:t>
            </w:r>
          </w:p>
        </w:tc>
        <w:tc>
          <w:tcPr>
            <w:tcW w:w="601" w:type="dxa"/>
            <w:shd w:val="clear" w:color="auto" w:fill="auto"/>
            <w:noWrap/>
            <w:vAlign w:val="center"/>
          </w:tcPr>
          <w:p w14:paraId="00FFCD07">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72B3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50D0DA8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62</w:t>
            </w:r>
          </w:p>
        </w:tc>
        <w:tc>
          <w:tcPr>
            <w:tcW w:w="778" w:type="dxa"/>
            <w:shd w:val="clear" w:color="auto" w:fill="auto"/>
            <w:vAlign w:val="center"/>
          </w:tcPr>
          <w:p w14:paraId="2A6D160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机柜</w:t>
            </w:r>
          </w:p>
        </w:tc>
        <w:tc>
          <w:tcPr>
            <w:tcW w:w="5442" w:type="dxa"/>
            <w:shd w:val="clear" w:color="auto" w:fill="auto"/>
            <w:vAlign w:val="center"/>
          </w:tcPr>
          <w:p w14:paraId="4078CE94">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1.高度：≥42U；</w:t>
            </w:r>
          </w:p>
          <w:p w14:paraId="11EC60F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2.宽度：≥600mm；</w:t>
            </w:r>
          </w:p>
          <w:p w14:paraId="57F6BB1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3.深度：≥800mm；</w:t>
            </w:r>
          </w:p>
          <w:p w14:paraId="2FBE554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4.材质：冷轧钢。</w:t>
            </w:r>
          </w:p>
        </w:tc>
        <w:tc>
          <w:tcPr>
            <w:tcW w:w="571" w:type="dxa"/>
            <w:shd w:val="clear" w:color="auto" w:fill="auto"/>
            <w:noWrap/>
            <w:vAlign w:val="center"/>
          </w:tcPr>
          <w:p w14:paraId="28D6E614">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349DD9D1">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个</w:t>
            </w:r>
          </w:p>
        </w:tc>
        <w:tc>
          <w:tcPr>
            <w:tcW w:w="601" w:type="dxa"/>
            <w:shd w:val="clear" w:color="auto" w:fill="auto"/>
            <w:noWrap/>
            <w:vAlign w:val="center"/>
          </w:tcPr>
          <w:p w14:paraId="2575AF3B">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12C0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59" w:type="dxa"/>
            <w:gridSpan w:val="6"/>
            <w:shd w:val="clear" w:color="auto" w:fill="auto"/>
            <w:noWrap/>
            <w:vAlign w:val="center"/>
          </w:tcPr>
          <w:p w14:paraId="768F01BD">
            <w:pPr>
              <w:shd w:val="clear"/>
              <w:kinsoku w:val="0"/>
              <w:jc w:val="lef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w:t>
            </w:r>
            <w:r>
              <w:rPr>
                <w:rFonts w:hint="default" w:ascii="Times New Roman" w:hAnsi="Times New Roman" w:cs="Times New Roman"/>
                <w:b/>
                <w:bCs/>
                <w:color w:val="000000" w:themeColor="text1"/>
                <w:sz w:val="18"/>
                <w:szCs w:val="18"/>
                <w:highlight w:val="none"/>
                <w14:textFill>
                  <w14:solidFill>
                    <w14:schemeClr w14:val="tx1"/>
                  </w14:solidFill>
                </w14:textFill>
              </w:rPr>
              <w:t>其他</w:t>
            </w:r>
          </w:p>
        </w:tc>
      </w:tr>
      <w:tr w14:paraId="5BDF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DD2A5E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63</w:t>
            </w:r>
          </w:p>
        </w:tc>
        <w:tc>
          <w:tcPr>
            <w:tcW w:w="778" w:type="dxa"/>
            <w:shd w:val="clear" w:color="auto" w:fill="auto"/>
            <w:vAlign w:val="center"/>
          </w:tcPr>
          <w:p w14:paraId="0C613A6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灯光</w:t>
            </w:r>
          </w:p>
        </w:tc>
        <w:tc>
          <w:tcPr>
            <w:tcW w:w="5442" w:type="dxa"/>
            <w:shd w:val="clear" w:color="auto" w:fill="auto"/>
            <w:vAlign w:val="center"/>
          </w:tcPr>
          <w:p w14:paraId="72F07A6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1.功率：≥45W；</w:t>
            </w:r>
          </w:p>
          <w:p w14:paraId="387C5E3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2.色温：≥4000K；</w:t>
            </w:r>
          </w:p>
          <w:p w14:paraId="57C1AD8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3.角度：≥120°，可调光：0-10V调光；</w:t>
            </w:r>
          </w:p>
          <w:p w14:paraId="58C6071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4.防护等级：≥IP20。</w:t>
            </w:r>
          </w:p>
        </w:tc>
        <w:tc>
          <w:tcPr>
            <w:tcW w:w="571" w:type="dxa"/>
            <w:shd w:val="clear" w:color="auto" w:fill="auto"/>
            <w:noWrap/>
            <w:vAlign w:val="center"/>
          </w:tcPr>
          <w:p w14:paraId="1C1A16D1">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1</w:t>
            </w:r>
            <w:r>
              <w:rPr>
                <w:rFonts w:hint="eastAsia" w:cs="Times New Roman"/>
                <w:color w:val="000000" w:themeColor="text1"/>
                <w:sz w:val="15"/>
                <w:szCs w:val="15"/>
                <w:highlight w:val="none"/>
                <w:lang w:val="en-US" w:eastAsia="zh-CN"/>
                <w14:textFill>
                  <w14:solidFill>
                    <w14:schemeClr w14:val="tx1"/>
                  </w14:solidFill>
                </w14:textFill>
              </w:rPr>
              <w:t>6</w:t>
            </w:r>
            <w:r>
              <w:rPr>
                <w:rFonts w:hint="default" w:ascii="Times New Roman" w:hAnsi="Times New Roman" w:cs="Times New Roman"/>
                <w:color w:val="000000" w:themeColor="text1"/>
                <w:sz w:val="15"/>
                <w:szCs w:val="15"/>
                <w:highlight w:val="none"/>
                <w14:textFill>
                  <w14:solidFill>
                    <w14:schemeClr w14:val="tx1"/>
                  </w14:solidFill>
                </w14:textFill>
              </w:rPr>
              <w:t>0</w:t>
            </w:r>
          </w:p>
        </w:tc>
        <w:tc>
          <w:tcPr>
            <w:tcW w:w="459" w:type="dxa"/>
            <w:shd w:val="clear" w:color="auto" w:fill="auto"/>
            <w:noWrap/>
            <w:vAlign w:val="center"/>
          </w:tcPr>
          <w:p w14:paraId="7763C0C3">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盏</w:t>
            </w:r>
          </w:p>
        </w:tc>
        <w:tc>
          <w:tcPr>
            <w:tcW w:w="601" w:type="dxa"/>
            <w:shd w:val="clear" w:color="auto" w:fill="auto"/>
            <w:noWrap/>
            <w:vAlign w:val="center"/>
          </w:tcPr>
          <w:p w14:paraId="3B75A619">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75AB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2AF070B1">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64</w:t>
            </w:r>
          </w:p>
        </w:tc>
        <w:tc>
          <w:tcPr>
            <w:tcW w:w="778" w:type="dxa"/>
            <w:shd w:val="clear" w:color="auto" w:fill="auto"/>
            <w:vAlign w:val="center"/>
          </w:tcPr>
          <w:p w14:paraId="5978033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镜子灯带</w:t>
            </w:r>
          </w:p>
        </w:tc>
        <w:tc>
          <w:tcPr>
            <w:tcW w:w="5442" w:type="dxa"/>
            <w:shd w:val="clear" w:color="auto" w:fill="auto"/>
            <w:vAlign w:val="center"/>
          </w:tcPr>
          <w:p w14:paraId="589935F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1.色温：≥4000K；</w:t>
            </w:r>
          </w:p>
          <w:p w14:paraId="4966564D">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2.显色性：≥Ra90；</w:t>
            </w:r>
          </w:p>
          <w:p w14:paraId="41B6EED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3.可调光：0-10V调光。</w:t>
            </w:r>
          </w:p>
        </w:tc>
        <w:tc>
          <w:tcPr>
            <w:tcW w:w="571" w:type="dxa"/>
            <w:shd w:val="clear" w:color="auto" w:fill="auto"/>
            <w:noWrap/>
            <w:vAlign w:val="center"/>
          </w:tcPr>
          <w:p w14:paraId="4F66BA0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120</w:t>
            </w:r>
          </w:p>
        </w:tc>
        <w:tc>
          <w:tcPr>
            <w:tcW w:w="459" w:type="dxa"/>
            <w:shd w:val="clear" w:color="auto" w:fill="auto"/>
            <w:noWrap/>
            <w:vAlign w:val="center"/>
          </w:tcPr>
          <w:p w14:paraId="4304F849">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米</w:t>
            </w:r>
          </w:p>
        </w:tc>
        <w:tc>
          <w:tcPr>
            <w:tcW w:w="601" w:type="dxa"/>
            <w:shd w:val="clear" w:color="auto" w:fill="auto"/>
            <w:noWrap/>
            <w:vAlign w:val="center"/>
          </w:tcPr>
          <w:p w14:paraId="356B6764">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102E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39BEF5D">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65</w:t>
            </w:r>
          </w:p>
        </w:tc>
        <w:tc>
          <w:tcPr>
            <w:tcW w:w="778" w:type="dxa"/>
            <w:shd w:val="clear" w:color="auto" w:fill="auto"/>
            <w:vAlign w:val="center"/>
          </w:tcPr>
          <w:p w14:paraId="4097C66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智能调光系统</w:t>
            </w:r>
          </w:p>
        </w:tc>
        <w:tc>
          <w:tcPr>
            <w:tcW w:w="5442" w:type="dxa"/>
            <w:shd w:val="clear" w:color="auto" w:fill="auto"/>
            <w:vAlign w:val="center"/>
          </w:tcPr>
          <w:p w14:paraId="769ACBA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1.支持远程访问连接；；</w:t>
            </w:r>
          </w:p>
          <w:p w14:paraId="1D956B4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2.DALI调光调色控制器场景控制模块内置DALI电源</w:t>
            </w:r>
          </w:p>
          <w:p w14:paraId="2ED6188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3.0~10V调光调色控制器。</w:t>
            </w:r>
          </w:p>
        </w:tc>
        <w:tc>
          <w:tcPr>
            <w:tcW w:w="571" w:type="dxa"/>
            <w:shd w:val="clear" w:color="auto" w:fill="auto"/>
            <w:noWrap/>
            <w:vAlign w:val="center"/>
          </w:tcPr>
          <w:p w14:paraId="1FFE109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6B9773A5">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5EA448E4">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4F26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91BB65F">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66</w:t>
            </w:r>
          </w:p>
        </w:tc>
        <w:tc>
          <w:tcPr>
            <w:tcW w:w="778" w:type="dxa"/>
            <w:shd w:val="clear" w:color="auto" w:fill="auto"/>
            <w:vAlign w:val="center"/>
          </w:tcPr>
          <w:p w14:paraId="506107E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墙面面板</w:t>
            </w:r>
          </w:p>
        </w:tc>
        <w:tc>
          <w:tcPr>
            <w:tcW w:w="5442" w:type="dxa"/>
            <w:shd w:val="clear" w:color="auto" w:fill="auto"/>
            <w:vAlign w:val="center"/>
          </w:tcPr>
          <w:p w14:paraId="7F667A1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1.供电电源：DC24V；</w:t>
            </w:r>
          </w:p>
          <w:p w14:paraId="15BD8AA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2.按键类别：复位轻触式；</w:t>
            </w:r>
          </w:p>
          <w:p w14:paraId="31D7E50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3.安装方式：标准86底盒。</w:t>
            </w:r>
          </w:p>
        </w:tc>
        <w:tc>
          <w:tcPr>
            <w:tcW w:w="571" w:type="dxa"/>
            <w:shd w:val="clear" w:color="auto" w:fill="auto"/>
            <w:noWrap/>
            <w:vAlign w:val="center"/>
          </w:tcPr>
          <w:p w14:paraId="5131F329">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3</w:t>
            </w:r>
          </w:p>
        </w:tc>
        <w:tc>
          <w:tcPr>
            <w:tcW w:w="459" w:type="dxa"/>
            <w:shd w:val="clear" w:color="auto" w:fill="auto"/>
            <w:noWrap/>
            <w:vAlign w:val="center"/>
          </w:tcPr>
          <w:p w14:paraId="6EA4CCD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个</w:t>
            </w:r>
          </w:p>
        </w:tc>
        <w:tc>
          <w:tcPr>
            <w:tcW w:w="601" w:type="dxa"/>
            <w:shd w:val="clear" w:color="auto" w:fill="auto"/>
            <w:noWrap/>
            <w:vAlign w:val="center"/>
          </w:tcPr>
          <w:p w14:paraId="04303156">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6FE1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042FF78A">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67</w:t>
            </w:r>
          </w:p>
        </w:tc>
        <w:tc>
          <w:tcPr>
            <w:tcW w:w="778" w:type="dxa"/>
            <w:shd w:val="clear" w:color="auto" w:fill="auto"/>
            <w:vAlign w:val="center"/>
          </w:tcPr>
          <w:p w14:paraId="297556B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电机、轨道</w:t>
            </w:r>
          </w:p>
        </w:tc>
        <w:tc>
          <w:tcPr>
            <w:tcW w:w="5442" w:type="dxa"/>
            <w:shd w:val="clear" w:color="auto" w:fill="auto"/>
            <w:vAlign w:val="center"/>
          </w:tcPr>
          <w:p w14:paraId="1F6C689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1.低噪直流电机，马达动力强劲，保证窗帘的开合速度在运行过程中保持一致，平稳不抖动；</w:t>
            </w:r>
          </w:p>
          <w:p w14:paraId="1E3B53A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2.铝合金轨道；</w:t>
            </w:r>
          </w:p>
          <w:p w14:paraId="7170145E">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3.轻音滑车。</w:t>
            </w:r>
          </w:p>
        </w:tc>
        <w:tc>
          <w:tcPr>
            <w:tcW w:w="571" w:type="dxa"/>
            <w:shd w:val="clear" w:color="auto" w:fill="auto"/>
            <w:noWrap/>
            <w:vAlign w:val="center"/>
          </w:tcPr>
          <w:p w14:paraId="28D8A04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24</w:t>
            </w:r>
          </w:p>
        </w:tc>
        <w:tc>
          <w:tcPr>
            <w:tcW w:w="459" w:type="dxa"/>
            <w:shd w:val="clear" w:color="auto" w:fill="auto"/>
            <w:noWrap/>
            <w:vAlign w:val="center"/>
          </w:tcPr>
          <w:p w14:paraId="3782D8E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692A4EAD">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40A1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3C145D92">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68</w:t>
            </w:r>
          </w:p>
        </w:tc>
        <w:tc>
          <w:tcPr>
            <w:tcW w:w="778" w:type="dxa"/>
            <w:shd w:val="clear" w:color="auto" w:fill="auto"/>
            <w:vAlign w:val="center"/>
          </w:tcPr>
          <w:p w14:paraId="67EF9B52">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窗帘</w:t>
            </w:r>
          </w:p>
        </w:tc>
        <w:tc>
          <w:tcPr>
            <w:tcW w:w="5442" w:type="dxa"/>
            <w:shd w:val="clear" w:color="auto" w:fill="auto"/>
            <w:vAlign w:val="center"/>
          </w:tcPr>
          <w:p w14:paraId="5D63196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1.双面哑光窗帘，聚酯纤维；</w:t>
            </w:r>
          </w:p>
          <w:p w14:paraId="0D7532A0">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2.遮光率：≥80%。</w:t>
            </w:r>
          </w:p>
        </w:tc>
        <w:tc>
          <w:tcPr>
            <w:tcW w:w="571" w:type="dxa"/>
            <w:shd w:val="clear" w:color="auto" w:fill="auto"/>
            <w:noWrap/>
            <w:vAlign w:val="center"/>
          </w:tcPr>
          <w:p w14:paraId="3F1E10AE">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120</w:t>
            </w:r>
          </w:p>
        </w:tc>
        <w:tc>
          <w:tcPr>
            <w:tcW w:w="459" w:type="dxa"/>
            <w:shd w:val="clear" w:color="auto" w:fill="auto"/>
            <w:noWrap/>
            <w:vAlign w:val="center"/>
          </w:tcPr>
          <w:p w14:paraId="1C292D0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米</w:t>
            </w:r>
          </w:p>
        </w:tc>
        <w:tc>
          <w:tcPr>
            <w:tcW w:w="601" w:type="dxa"/>
            <w:shd w:val="clear" w:color="auto" w:fill="auto"/>
            <w:noWrap/>
            <w:vAlign w:val="center"/>
          </w:tcPr>
          <w:p w14:paraId="1765114D">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3610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4362DC7C">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69</w:t>
            </w:r>
          </w:p>
        </w:tc>
        <w:tc>
          <w:tcPr>
            <w:tcW w:w="778" w:type="dxa"/>
            <w:shd w:val="clear" w:color="auto" w:fill="auto"/>
            <w:vAlign w:val="center"/>
          </w:tcPr>
          <w:p w14:paraId="2627EBBB">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智能控制模块</w:t>
            </w:r>
          </w:p>
        </w:tc>
        <w:tc>
          <w:tcPr>
            <w:tcW w:w="5442" w:type="dxa"/>
            <w:shd w:val="clear" w:color="auto" w:fill="auto"/>
            <w:vAlign w:val="center"/>
          </w:tcPr>
          <w:p w14:paraId="62797588">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1.设备供电输入：DC24V；</w:t>
            </w:r>
          </w:p>
          <w:p w14:paraId="0F30F1E3">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2.串口接口：RS485/RS232;</w:t>
            </w:r>
          </w:p>
          <w:p w14:paraId="57C6D44F">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3.控制按键：轻触式按键：≥4。</w:t>
            </w:r>
          </w:p>
        </w:tc>
        <w:tc>
          <w:tcPr>
            <w:tcW w:w="571" w:type="dxa"/>
            <w:shd w:val="clear" w:color="auto" w:fill="auto"/>
            <w:noWrap/>
            <w:vAlign w:val="center"/>
          </w:tcPr>
          <w:p w14:paraId="00FF7B68">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24</w:t>
            </w:r>
          </w:p>
        </w:tc>
        <w:tc>
          <w:tcPr>
            <w:tcW w:w="459" w:type="dxa"/>
            <w:shd w:val="clear" w:color="auto" w:fill="auto"/>
            <w:noWrap/>
            <w:vAlign w:val="center"/>
          </w:tcPr>
          <w:p w14:paraId="60B7FC71">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套</w:t>
            </w:r>
          </w:p>
        </w:tc>
        <w:tc>
          <w:tcPr>
            <w:tcW w:w="601" w:type="dxa"/>
            <w:shd w:val="clear" w:color="auto" w:fill="auto"/>
            <w:noWrap/>
            <w:vAlign w:val="center"/>
          </w:tcPr>
          <w:p w14:paraId="37BCCA12">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r w14:paraId="28E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8" w:type="dxa"/>
            <w:shd w:val="clear" w:color="auto" w:fill="auto"/>
            <w:noWrap/>
            <w:vAlign w:val="center"/>
          </w:tcPr>
          <w:p w14:paraId="60F59A08">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70</w:t>
            </w:r>
          </w:p>
        </w:tc>
        <w:tc>
          <w:tcPr>
            <w:tcW w:w="778" w:type="dxa"/>
            <w:shd w:val="clear" w:color="auto" w:fill="auto"/>
            <w:vAlign w:val="center"/>
          </w:tcPr>
          <w:p w14:paraId="01FDFB66">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地胶</w:t>
            </w:r>
          </w:p>
        </w:tc>
        <w:tc>
          <w:tcPr>
            <w:tcW w:w="5442" w:type="dxa"/>
            <w:shd w:val="clear" w:color="auto" w:fill="auto"/>
            <w:vAlign w:val="center"/>
          </w:tcPr>
          <w:p w14:paraId="49EC01F9">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1.舞蹈级PVC塑胶地板；</w:t>
            </w:r>
          </w:p>
          <w:p w14:paraId="71FA0887">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2.宽幅：≥1米，厚度：≥3mm，实心底，厚度差：±0.20mm；</w:t>
            </w:r>
          </w:p>
          <w:p w14:paraId="400A431A">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3.产品所需特点：原材料需符合国家建筑材料测试检验标准，防水防滑，无味，不反光，缓冲性，耐冲击性，隔热性，耐温性，耐化学性等优点，有良好的隔音效果；</w:t>
            </w:r>
          </w:p>
          <w:p w14:paraId="31EDF7C1">
            <w:pPr>
              <w:shd w:val="clear"/>
              <w:kinsoku w:val="0"/>
              <w:jc w:val="left"/>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4.其他：颜色定制。</w:t>
            </w:r>
          </w:p>
        </w:tc>
        <w:tc>
          <w:tcPr>
            <w:tcW w:w="571" w:type="dxa"/>
            <w:shd w:val="clear" w:color="auto" w:fill="auto"/>
            <w:noWrap/>
            <w:vAlign w:val="center"/>
          </w:tcPr>
          <w:p w14:paraId="181C9CAB">
            <w:pPr>
              <w:shd w:val="clear"/>
              <w:kinsoku w:val="0"/>
              <w:jc w:val="center"/>
              <w:textAlignment w:val="center"/>
              <w:rPr>
                <w:rFonts w:hint="default" w:ascii="Times New Roman" w:hAnsi="Times New Roman" w:eastAsia="宋体" w:cs="Times New Roman"/>
                <w:color w:val="000000" w:themeColor="text1"/>
                <w:sz w:val="15"/>
                <w:szCs w:val="15"/>
                <w:highlight w:val="none"/>
                <w:lang w:val="en-US" w:eastAsia="zh-CN" w:bidi="ar"/>
                <w14:textFill>
                  <w14:solidFill>
                    <w14:schemeClr w14:val="tx1"/>
                  </w14:solidFill>
                </w14:textFill>
              </w:rPr>
            </w:pPr>
            <w:r>
              <w:rPr>
                <w:rFonts w:hint="eastAsia" w:cs="Times New Roman"/>
                <w:color w:val="000000" w:themeColor="text1"/>
                <w:sz w:val="15"/>
                <w:szCs w:val="15"/>
                <w:highlight w:val="none"/>
                <w:lang w:val="en-US" w:eastAsia="zh-CN"/>
                <w14:textFill>
                  <w14:solidFill>
                    <w14:schemeClr w14:val="tx1"/>
                  </w14:solidFill>
                </w14:textFill>
              </w:rPr>
              <w:t>844</w:t>
            </w:r>
          </w:p>
        </w:tc>
        <w:tc>
          <w:tcPr>
            <w:tcW w:w="459" w:type="dxa"/>
            <w:shd w:val="clear" w:color="auto" w:fill="auto"/>
            <w:noWrap/>
            <w:vAlign w:val="center"/>
          </w:tcPr>
          <w:p w14:paraId="216687CB">
            <w:pPr>
              <w:shd w:val="clear"/>
              <w:kinsoku w:val="0"/>
              <w:jc w:val="center"/>
              <w:textAlignment w:val="center"/>
              <w:rPr>
                <w:rFonts w:hint="default" w:ascii="Times New Roman" w:hAnsi="Times New Roman" w:cs="Times New Roman"/>
                <w:color w:val="000000" w:themeColor="text1"/>
                <w:sz w:val="15"/>
                <w:szCs w:val="15"/>
                <w:highlight w:val="none"/>
                <w:lang w:bidi="ar"/>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平方米</w:t>
            </w:r>
          </w:p>
        </w:tc>
        <w:tc>
          <w:tcPr>
            <w:tcW w:w="601" w:type="dxa"/>
            <w:shd w:val="clear" w:color="auto" w:fill="auto"/>
            <w:noWrap/>
            <w:vAlign w:val="center"/>
          </w:tcPr>
          <w:p w14:paraId="5D936459">
            <w:pPr>
              <w:shd w:val="clear"/>
              <w:kinsoku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5"/>
                <w:szCs w:val="15"/>
                <w:highlight w:val="none"/>
                <w14:textFill>
                  <w14:solidFill>
                    <w14:schemeClr w14:val="tx1"/>
                  </w14:solidFill>
                </w14:textFill>
              </w:rPr>
              <w:t>　</w:t>
            </w:r>
          </w:p>
        </w:tc>
      </w:tr>
    </w:tbl>
    <w:p w14:paraId="029082DE">
      <w:pPr>
        <w:numPr>
          <w:ilvl w:val="0"/>
          <w:numId w:val="0"/>
        </w:numPr>
        <w:rPr>
          <w:rFonts w:hint="eastAsia" w:ascii="仿宋" w:hAnsi="仿宋" w:eastAsia="仿宋" w:cs="仿宋"/>
          <w:b/>
          <w:bCs/>
          <w:color w:val="000000"/>
          <w:sz w:val="21"/>
          <w:szCs w:val="21"/>
          <w:highlight w:val="none"/>
          <w:lang w:val="en-US" w:eastAsia="zh-CN"/>
        </w:rPr>
      </w:pPr>
    </w:p>
    <w:p w14:paraId="7829801B">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注：1、“★”符号，分别表示重要参数或主要功能（</w:t>
      </w:r>
      <w:r>
        <w:rPr>
          <w:rFonts w:hint="eastAsia" w:ascii="仿宋" w:hAnsi="仿宋" w:eastAsia="仿宋" w:cs="仿宋"/>
          <w:b/>
          <w:bCs/>
          <w:color w:val="FF0000"/>
          <w:sz w:val="21"/>
          <w:szCs w:val="21"/>
          <w:highlight w:val="none"/>
          <w:lang w:val="en-US" w:eastAsia="zh-CN"/>
        </w:rPr>
        <w:t>共10项</w:t>
      </w:r>
      <w:r>
        <w:rPr>
          <w:rFonts w:hint="eastAsia" w:ascii="仿宋" w:hAnsi="仿宋" w:eastAsia="仿宋" w:cs="仿宋"/>
          <w:b/>
          <w:bCs/>
          <w:color w:val="000000"/>
          <w:sz w:val="21"/>
          <w:szCs w:val="21"/>
          <w:highlight w:val="none"/>
          <w:lang w:val="en-US" w:eastAsia="zh-CN"/>
        </w:rPr>
        <w:t>）。</w:t>
      </w:r>
    </w:p>
    <w:p w14:paraId="1440CD1F">
      <w:pPr>
        <w:numPr>
          <w:ilvl w:val="0"/>
          <w:numId w:val="9"/>
        </w:numPr>
        <w:ind w:firstLine="422" w:firstLineChars="20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号为关核心产品，所有参数需全部响应，偏离表中未响应或负偏离作废标处理。</w:t>
      </w:r>
    </w:p>
    <w:p w14:paraId="3809BBC5">
      <w:pPr>
        <w:numPr>
          <w:ilvl w:val="0"/>
          <w:numId w:val="0"/>
        </w:numPr>
        <w:ind w:firstLine="562"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二、项目要求</w:t>
      </w:r>
    </w:p>
    <w:p w14:paraId="78E14211">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一）本项目不分包，所采购设备均为国产产品。所投产品需详细填写厂家产地、品牌型号（软件版本号），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3930393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二）本项目为“交钥匙工程”，从采购、运输、安装、调试直至项目能够正常运作，采购人不承担任何费用，工程使用的主要材料的品种、规格、数量，需经采购人认可。在交钥匙工程模式下，采购人只需要提出具体的需求和标准，供应商将一个完全符合要求、可以立即投入使用的项目交给采购人且试运行不少于10天；项目设备安装和调试时，不能缺少的一切附属配件、零星工程等，由投标供应商考虑并承担供应和安装。请各参加投标供应商认真审核主、辅设备材料的用量和工程量，合同签定后对此不再做增补。对不履行供货、安装或服务义务等情况，采购人有权解除合同，并追究违约责任，同时将相关违约行为报送监管部门，记不良行为记录，实施信用惩戒。</w:t>
      </w:r>
    </w:p>
    <w:p w14:paraId="3DEA74A7">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(三)为确保本项目顺利完成，各投标单位需</w:t>
      </w:r>
      <w:r>
        <w:rPr>
          <w:rFonts w:hint="eastAsia" w:ascii="仿宋" w:hAnsi="仿宋" w:eastAsia="仿宋" w:cs="仿宋"/>
          <w:color w:val="auto"/>
          <w:kern w:val="0"/>
          <w:sz w:val="24"/>
          <w:lang w:val="en-US" w:eastAsia="zh-CN"/>
        </w:rPr>
        <w:t>作出以下承诺：</w:t>
      </w:r>
    </w:p>
    <w:p w14:paraId="06E4DD52">
      <w:pPr>
        <w:widowControl/>
        <w:spacing w:line="360" w:lineRule="auto"/>
        <w:ind w:firstLine="480" w:firstLineChars="200"/>
        <w:jc w:val="left"/>
        <w:rPr>
          <w:rFonts w:hint="eastAsia"/>
        </w:rPr>
      </w:pPr>
      <w:r>
        <w:rPr>
          <w:rFonts w:hint="eastAsia" w:ascii="仿宋" w:hAnsi="仿宋" w:eastAsia="仿宋" w:cs="仿宋"/>
          <w:color w:val="auto"/>
          <w:kern w:val="0"/>
          <w:sz w:val="24"/>
        </w:rPr>
        <w:t>提供服务人员名单（包括项目负责人和技术人员）。投标供应商必须承诺：</w:t>
      </w:r>
      <w:r>
        <w:rPr>
          <w:rFonts w:hint="eastAsia" w:ascii="仿宋" w:hAnsi="仿宋" w:eastAsia="仿宋" w:cs="仿宋"/>
          <w:b/>
          <w:bCs/>
          <w:color w:val="auto"/>
          <w:kern w:val="0"/>
          <w:sz w:val="24"/>
        </w:rPr>
        <w:t>“若本公司中标，在中标后所投入的人员为本公司在职人员，并与投标文件提供的人员一致。”</w:t>
      </w:r>
      <w:r>
        <w:rPr>
          <w:rFonts w:hint="eastAsia" w:ascii="仿宋" w:hAnsi="仿宋" w:eastAsia="仿宋" w:cs="仿宋"/>
          <w:color w:val="auto"/>
          <w:kern w:val="0"/>
          <w:sz w:val="24"/>
        </w:rPr>
        <w:t>如服务期内采购人发现投入人员与投标文件不一致，视为提供虚假材料应标，并将供应商虚假应标的相关问题报送监管部门，供应商针对此点提供书面承诺，无上述承诺函作废标处理。</w:t>
      </w:r>
    </w:p>
    <w:p w14:paraId="7EDB6B6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w:t>
      </w:r>
      <w:r>
        <w:rPr>
          <w:rFonts w:hint="eastAsia" w:ascii="仿宋" w:hAnsi="仿宋" w:eastAsia="仿宋" w:cs="仿宋"/>
          <w:color w:val="auto"/>
          <w:kern w:val="0"/>
          <w:sz w:val="24"/>
          <w:lang w:val="en-US" w:eastAsia="zh-CN"/>
        </w:rPr>
        <w:t>招标文件</w:t>
      </w:r>
      <w:r>
        <w:rPr>
          <w:rFonts w:hint="eastAsia" w:ascii="仿宋" w:hAnsi="仿宋" w:eastAsia="仿宋" w:cs="仿宋"/>
          <w:color w:val="auto"/>
          <w:kern w:val="0"/>
          <w:sz w:val="24"/>
        </w:rPr>
        <w:t>清单中要求的技术参数性能指标</w:t>
      </w:r>
      <w:r>
        <w:rPr>
          <w:rFonts w:hint="eastAsia" w:ascii="仿宋" w:hAnsi="仿宋" w:eastAsia="仿宋" w:cs="仿宋"/>
          <w:color w:val="auto"/>
          <w:kern w:val="0"/>
          <w:sz w:val="24"/>
          <w:lang w:val="en-US" w:eastAsia="zh-CN"/>
        </w:rPr>
        <w:t>参数</w:t>
      </w:r>
      <w:r>
        <w:rPr>
          <w:rFonts w:hint="eastAsia" w:ascii="仿宋" w:hAnsi="仿宋" w:eastAsia="仿宋" w:cs="仿宋"/>
          <w:color w:val="auto"/>
          <w:kern w:val="0"/>
          <w:sz w:val="24"/>
        </w:rPr>
        <w:t>为</w:t>
      </w:r>
      <w:r>
        <w:rPr>
          <w:rFonts w:hint="eastAsia" w:ascii="仿宋" w:hAnsi="仿宋" w:eastAsia="仿宋" w:cs="仿宋"/>
          <w:color w:val="auto"/>
          <w:kern w:val="0"/>
          <w:sz w:val="24"/>
          <w:lang w:val="en-US" w:eastAsia="zh-CN"/>
        </w:rPr>
        <w:t>公共</w:t>
      </w:r>
      <w:r>
        <w:rPr>
          <w:rFonts w:hint="eastAsia" w:ascii="仿宋" w:hAnsi="仿宋" w:eastAsia="仿宋" w:cs="仿宋"/>
          <w:color w:val="auto"/>
          <w:kern w:val="0"/>
          <w:sz w:val="24"/>
        </w:rPr>
        <w:t>参数，</w:t>
      </w:r>
      <w:r>
        <w:rPr>
          <w:rFonts w:hint="eastAsia" w:ascii="仿宋" w:hAnsi="仿宋" w:eastAsia="仿宋" w:cs="仿宋"/>
          <w:color w:val="auto"/>
          <w:kern w:val="0"/>
          <w:sz w:val="24"/>
          <w:lang w:val="en-US" w:eastAsia="zh-CN"/>
        </w:rPr>
        <w:t>投标人在投标时要认真对照在偏离表中响应</w:t>
      </w: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rPr>
        <w:t>（注：“★”表示</w:t>
      </w:r>
      <w:r>
        <w:rPr>
          <w:rFonts w:hint="eastAsia" w:ascii="仿宋" w:hAnsi="仿宋" w:eastAsia="仿宋" w:cs="仿宋"/>
          <w:b/>
          <w:bCs/>
          <w:color w:val="auto"/>
          <w:kern w:val="0"/>
          <w:sz w:val="24"/>
          <w:lang w:val="en-US" w:eastAsia="zh-CN"/>
        </w:rPr>
        <w:t>产品</w:t>
      </w:r>
      <w:r>
        <w:rPr>
          <w:rFonts w:hint="eastAsia" w:ascii="仿宋" w:hAnsi="仿宋" w:eastAsia="仿宋" w:cs="仿宋"/>
          <w:b/>
          <w:bCs/>
          <w:color w:val="auto"/>
          <w:kern w:val="0"/>
          <w:sz w:val="24"/>
        </w:rPr>
        <w:t>重要参数或主要功能</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如出现不满足或</w:t>
      </w:r>
      <w:r>
        <w:rPr>
          <w:rFonts w:hint="eastAsia" w:ascii="仿宋" w:hAnsi="仿宋" w:eastAsia="仿宋" w:cs="仿宋"/>
          <w:b/>
          <w:bCs/>
          <w:color w:val="auto"/>
          <w:kern w:val="0"/>
          <w:sz w:val="24"/>
          <w:lang w:val="en-US" w:eastAsia="zh-CN"/>
        </w:rPr>
        <w:t>负偏离</w:t>
      </w:r>
      <w:r>
        <w:rPr>
          <w:rFonts w:hint="eastAsia" w:ascii="仿宋" w:hAnsi="仿宋" w:eastAsia="仿宋" w:cs="仿宋"/>
          <w:b/>
          <w:bCs/>
          <w:color w:val="auto"/>
          <w:kern w:val="0"/>
          <w:sz w:val="24"/>
        </w:rPr>
        <w:t>的按照招标文件</w:t>
      </w:r>
      <w:r>
        <w:rPr>
          <w:rFonts w:hint="eastAsia" w:ascii="仿宋" w:hAnsi="仿宋" w:eastAsia="仿宋" w:cs="仿宋"/>
          <w:b/>
          <w:bCs/>
          <w:color w:val="auto"/>
          <w:kern w:val="0"/>
          <w:sz w:val="24"/>
          <w:lang w:val="en-US" w:eastAsia="zh-CN"/>
        </w:rPr>
        <w:t>评分标准</w:t>
      </w:r>
      <w:r>
        <w:rPr>
          <w:rFonts w:hint="eastAsia" w:ascii="仿宋" w:hAnsi="仿宋" w:eastAsia="仿宋" w:cs="仿宋"/>
          <w:b/>
          <w:bCs/>
          <w:color w:val="auto"/>
          <w:kern w:val="0"/>
          <w:sz w:val="24"/>
        </w:rPr>
        <w:t>要求扣分</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“▲”号</w:t>
      </w:r>
      <w:r>
        <w:rPr>
          <w:rFonts w:hint="eastAsia" w:ascii="仿宋" w:hAnsi="仿宋" w:eastAsia="仿宋" w:cs="仿宋"/>
          <w:b/>
          <w:bCs/>
          <w:color w:val="auto"/>
          <w:kern w:val="0"/>
          <w:sz w:val="24"/>
          <w:lang w:val="en-US" w:eastAsia="zh-CN"/>
        </w:rPr>
        <w:t>表示</w:t>
      </w:r>
      <w:r>
        <w:rPr>
          <w:rFonts w:hint="eastAsia" w:ascii="仿宋" w:hAnsi="仿宋" w:eastAsia="仿宋" w:cs="仿宋"/>
          <w:b/>
          <w:bCs/>
          <w:color w:val="auto"/>
          <w:kern w:val="0"/>
          <w:sz w:val="24"/>
        </w:rPr>
        <w:t>核心产品，所有参数需全部响应，偏离表中未响应或负偏离作废标处理）</w:t>
      </w:r>
      <w:r>
        <w:rPr>
          <w:rFonts w:hint="eastAsia" w:ascii="仿宋" w:hAnsi="仿宋" w:eastAsia="仿宋" w:cs="仿宋"/>
          <w:color w:val="auto"/>
          <w:kern w:val="0"/>
          <w:sz w:val="24"/>
        </w:rPr>
        <w:t>。</w:t>
      </w:r>
    </w:p>
    <w:p w14:paraId="457CA4E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五</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投标人所提供的货物产品均为厂家原厂原包装，投标人应保证所投产品符合国家和行业标准、规范及采购文件的要求，符合国家质量体系认证，并提供产品技术资料。所有货物技术参数指标必须符合国家相关标准、行业标准、地方标准或者其他标准、规范。</w:t>
      </w:r>
      <w:r>
        <w:rPr>
          <w:rFonts w:hint="eastAsia" w:ascii="仿宋" w:hAnsi="仿宋" w:eastAsia="仿宋" w:cs="仿宋"/>
          <w:color w:val="auto"/>
          <w:kern w:val="0"/>
          <w:sz w:val="24"/>
          <w:lang w:val="en-US" w:eastAsia="zh-CN"/>
        </w:rPr>
        <w:t>在合同签订前，采购方有权查验产品相关资料，若中标单位不提供，采购方有权拒绝签订合同。</w:t>
      </w:r>
    </w:p>
    <w:p w14:paraId="56DEEA9C">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六</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本次项目严禁“三无产品”。设备必须为原制造商制造的非淘汰类全新产品，无污染，无侵权行为、表面无划损、无任何缺陷隐患，在中国境内可依常规安全合法使用。设备为原厂商未启封全新包装，具出厂合格证，序列号、包装箱号与出厂批号一致，并可追索查阅。应附关键设备的用户手册、保修手册、有关单证资料及配备件、随机工具等，设备使用操作及安全须知等重要资料应附有中文说明；设备技术规格和标准要符合中华人民共和国有关部门最新颁布的标准及规范，并附产品合格证书；如在实际供货时已经停产（不列入该厂家当时的产品系统），如果未能按原价提供更优质的货物，则按违约处理，赔偿合同金额10%的违约金；中标供应商应按招标文件所要求的参数及投标文件中所响应的参数进行供货，在货物验收时，采购人组成验收小组按国家有关规定、规范及中标人的投标文件中承诺的内容进行验收，并由相关企业出具验收意见作为参考，必要时将相关的第三方专业人员、机构或参与本次项目的其他投标人参与验收。因货物质量问题发生争议时，由本地质量技术监督部门鉴定。鉴定费由中标人垫付，货物符合质量技术标准的，鉴定费由采购人承担；否则鉴定费由中标人承担，投标人针对本条在投标文件中做出单独书面承诺书，否则投标无效。</w:t>
      </w:r>
    </w:p>
    <w:p w14:paraId="0B71FCFE">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）投标人须提供详细可行的项目实施方案。</w:t>
      </w:r>
      <w:r>
        <w:rPr>
          <w:rFonts w:hint="eastAsia" w:ascii="仿宋" w:hAnsi="仿宋" w:eastAsia="仿宋" w:cs="仿宋"/>
          <w:kern w:val="0"/>
          <w:sz w:val="24"/>
          <w:lang w:val="en-US" w:eastAsia="zh-CN"/>
        </w:rPr>
        <w:t>供应商结合项目</w:t>
      </w:r>
      <w:r>
        <w:rPr>
          <w:rFonts w:hint="eastAsia" w:ascii="仿宋" w:hAnsi="仿宋" w:eastAsia="仿宋" w:cs="仿宋"/>
          <w:kern w:val="0"/>
          <w:sz w:val="24"/>
        </w:rPr>
        <w:t>实际情况制定项目实施方案，应包括：</w:t>
      </w:r>
    </w:p>
    <w:p w14:paraId="5BC95B7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①整体</w:t>
      </w:r>
      <w:r>
        <w:rPr>
          <w:rFonts w:hint="eastAsia" w:ascii="仿宋" w:hAnsi="仿宋" w:eastAsia="仿宋" w:cs="仿宋"/>
          <w:kern w:val="0"/>
          <w:sz w:val="24"/>
          <w:lang w:val="en-US" w:eastAsia="zh-CN"/>
        </w:rPr>
        <w:t>实施</w:t>
      </w:r>
      <w:r>
        <w:rPr>
          <w:rFonts w:hint="eastAsia" w:ascii="仿宋" w:hAnsi="仿宋" w:eastAsia="仿宋" w:cs="仿宋"/>
          <w:kern w:val="0"/>
          <w:sz w:val="24"/>
        </w:rPr>
        <w:t>方案；</w:t>
      </w:r>
    </w:p>
    <w:p w14:paraId="41C059A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②质量保证措施；</w:t>
      </w:r>
    </w:p>
    <w:p w14:paraId="6715E3F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③项目实施人员配置方案；</w:t>
      </w:r>
    </w:p>
    <w:p w14:paraId="0DAEC60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④产品包装运输方案；</w:t>
      </w:r>
    </w:p>
    <w:p w14:paraId="4E4A734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⑤供货、安装</w:t>
      </w:r>
      <w:r>
        <w:rPr>
          <w:rFonts w:hint="eastAsia" w:ascii="仿宋" w:hAnsi="仿宋" w:eastAsia="仿宋" w:cs="仿宋"/>
          <w:kern w:val="0"/>
          <w:sz w:val="24"/>
          <w:lang w:val="en-US" w:eastAsia="zh-CN"/>
        </w:rPr>
        <w:t>及</w:t>
      </w:r>
      <w:r>
        <w:rPr>
          <w:rFonts w:hint="eastAsia" w:ascii="仿宋" w:hAnsi="仿宋" w:eastAsia="仿宋" w:cs="仿宋"/>
          <w:kern w:val="0"/>
          <w:sz w:val="24"/>
        </w:rPr>
        <w:t>调试方案；</w:t>
      </w:r>
    </w:p>
    <w:p w14:paraId="064D4F1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⑥应急管理方案</w:t>
      </w:r>
    </w:p>
    <w:p w14:paraId="5EE432EB">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）项目质保及售后服务</w:t>
      </w:r>
    </w:p>
    <w:p w14:paraId="0BD1F57D">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（1）质保期：</w:t>
      </w:r>
      <w:r>
        <w:rPr>
          <w:rFonts w:hint="eastAsia" w:ascii="仿宋" w:hAnsi="仿宋" w:eastAsia="仿宋" w:cs="仿宋"/>
          <w:color w:val="auto"/>
          <w:kern w:val="0"/>
          <w:sz w:val="24"/>
          <w:lang w:val="en-US" w:eastAsia="zh-CN"/>
        </w:rPr>
        <w:t>三年。</w:t>
      </w:r>
    </w:p>
    <w:p w14:paraId="37B0CB6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（2）售后服务：</w:t>
      </w:r>
      <w:r>
        <w:rPr>
          <w:rFonts w:hint="eastAsia" w:ascii="仿宋" w:hAnsi="仿宋" w:eastAsia="仿宋" w:cs="仿宋"/>
          <w:color w:val="auto"/>
          <w:kern w:val="0"/>
          <w:sz w:val="24"/>
          <w:lang w:val="en-US" w:eastAsia="zh-CN"/>
        </w:rPr>
        <w:t>具有详细的售后服务实施方案，包括1.产品的故障处理及响应时间、2.验收程序、3.质保期外服务方式、4.优惠承诺及售后服务网点证明、5.应急预案情况等内容（在质保期内电子设备出现问题承诺免费维修、维护，定期巡检，维修所需的各种材料由中标企业自行解决，中标企业给采购单位提供各种维修备件，方便采购单位及时更换维修）。</w:t>
      </w:r>
    </w:p>
    <w:p w14:paraId="73E53E2C">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故障处理</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采购人报修后，除招标文件有特殊要求外，投标人须在6小时内派人员上门现场维护，并在48小时内解决问题，在规定时间内不能解决问题的设备，待产品运行正常后撤离现场。出现系统故障，中标方应在接到报修通知后，维修人员在3小时内响应，同时查明故障原因并提出解决方案予以解决；对于损坏的设备，中标人在接到校方通知后，在2天内完成损坏设备的更换，使系统或设备恢复正常工作。备件、人员、交通等费用完全由中标人承担；在软件方面：中标人免费为校方提供软件升级和技术支持，并免费提供技术资料1套。</w:t>
      </w:r>
    </w:p>
    <w:p w14:paraId="118218D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（4）质保期间，非易损件一个月内连续2次出现同一故障，投标人必须无条件更换同一档次零部件，</w:t>
      </w:r>
      <w:r>
        <w:rPr>
          <w:rFonts w:hint="eastAsia" w:ascii="仿宋" w:hAnsi="仿宋" w:eastAsia="仿宋" w:cs="仿宋"/>
          <w:b/>
          <w:bCs/>
          <w:color w:val="auto"/>
          <w:kern w:val="0"/>
          <w:sz w:val="24"/>
          <w:lang w:val="en-US" w:eastAsia="zh-CN"/>
        </w:rPr>
        <w:t>在投标文件中做出单独书面承诺书。</w:t>
      </w:r>
    </w:p>
    <w:p w14:paraId="5F000F02">
      <w:pPr>
        <w:widowControl/>
        <w:spacing w:line="360" w:lineRule="auto"/>
        <w:ind w:firstLine="480" w:firstLineChars="200"/>
        <w:jc w:val="left"/>
        <w:rPr>
          <w:rFonts w:ascii="仿宋" w:hAnsi="仿宋" w:eastAsia="仿宋" w:cs="仿宋"/>
          <w:b w:val="0"/>
          <w:bCs w:val="0"/>
          <w:color w:val="auto"/>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b w:val="0"/>
          <w:bCs w:val="0"/>
          <w:color w:val="auto"/>
          <w:kern w:val="0"/>
          <w:sz w:val="24"/>
        </w:rPr>
        <w:t>质保期满后，投标人提供终身有偿上门维护服务。保证保修期以后对用户的零配件供应。保修期后设备维修配件更换只收取成本费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735DC587">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）验收</w:t>
      </w:r>
    </w:p>
    <w:p w14:paraId="71EC290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1.设备到货后，组织人员进行验收，确保设备符合要求。（项目验收时需一并提交以下成果：完全满足招标文件要求的数据，设备原厂原件合格证及相关检验报告）</w:t>
      </w:r>
    </w:p>
    <w:p w14:paraId="580F24D6">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2.安排专业技术人员进行设备安装，严格按照安装说明进行操作。</w:t>
      </w:r>
    </w:p>
    <w:p w14:paraId="141FF0E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3.对安装好的设备进行调试，确保设备性能稳定、运行正常。</w:t>
      </w:r>
    </w:p>
    <w:p w14:paraId="72B28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4.组织项目验收领导小组和相关专家对采购内容进行初步验收。</w:t>
      </w:r>
    </w:p>
    <w:p w14:paraId="71606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5.对验收中发现的问题进行整改，确保符合采购需求。</w:t>
      </w:r>
    </w:p>
    <w:p w14:paraId="761B5198">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6.邀请上级部门和相关单位进行最终验收（按项目管理要求提供完整的项目竣工验收资料）。</w:t>
      </w:r>
    </w:p>
    <w:p w14:paraId="3AB8ED72">
      <w:pPr>
        <w:widowControl/>
        <w:spacing w:line="360" w:lineRule="auto"/>
        <w:ind w:firstLine="482" w:firstLineChars="200"/>
        <w:jc w:val="left"/>
        <w:rPr>
          <w:rFonts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十</w:t>
      </w:r>
      <w:r>
        <w:rPr>
          <w:rFonts w:hint="eastAsia" w:ascii="仿宋" w:hAnsi="仿宋" w:eastAsia="仿宋" w:cs="仿宋"/>
          <w:b/>
          <w:bCs/>
          <w:color w:val="auto"/>
          <w:kern w:val="0"/>
          <w:sz w:val="24"/>
        </w:rPr>
        <w:t>）人员培训</w:t>
      </w:r>
    </w:p>
    <w:p w14:paraId="64FB3F5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投标单位需承诺本项目培训人员应为本公司专业技术人员，熟悉本项目所有软硬件使用及操作流程，供货安装完成后按照采购单位要求对本单位使用人员及维护人员开展培训，培训次数不限，直至使用人员熟练操作，维护人员可以处理基本状况。</w:t>
      </w:r>
    </w:p>
    <w:p w14:paraId="50171A92">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质保期内每年组织培训不少于2次（交通/食宿自理），并提供完善的软硬件培训进度表，待采购方同意方可执行，最终确保师生正常使用。</w:t>
      </w:r>
    </w:p>
    <w:p w14:paraId="05F7ECA3">
      <w:pPr>
        <w:widowControl/>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kern w:val="0"/>
          <w:sz w:val="24"/>
          <w:lang w:val="en-US" w:eastAsia="zh-CN"/>
        </w:rPr>
        <w:t>投标人需提供培训承诺书，</w:t>
      </w:r>
      <w:r>
        <w:rPr>
          <w:rFonts w:hint="eastAsia" w:ascii="仿宋" w:hAnsi="仿宋" w:eastAsia="仿宋" w:cs="仿宋"/>
          <w:b/>
          <w:bCs/>
          <w:color w:val="auto"/>
          <w:kern w:val="0"/>
          <w:sz w:val="24"/>
          <w:lang w:val="en-US" w:eastAsia="zh-CN"/>
        </w:rPr>
        <w:t>培训方案包括：</w:t>
      </w:r>
      <w:r>
        <w:rPr>
          <w:rFonts w:hint="eastAsia" w:ascii="仿宋" w:hAnsi="仿宋" w:eastAsia="仿宋" w:cs="仿宋"/>
          <w:color w:val="auto"/>
          <w:kern w:val="0"/>
          <w:sz w:val="24"/>
          <w:lang w:val="en-US" w:eastAsia="zh-CN"/>
        </w:rPr>
        <w:t>培训目标、培训对象、培训方式、培训内容、培训队伍、培训实施与管理。</w:t>
      </w:r>
    </w:p>
    <w:p w14:paraId="0CFA6BFF">
      <w:pPr>
        <w:widowControl/>
        <w:spacing w:line="360" w:lineRule="auto"/>
        <w:ind w:firstLine="482" w:firstLineChars="200"/>
        <w:jc w:val="left"/>
        <w:rPr>
          <w:rFonts w:hint="eastAsia" w:ascii="仿宋" w:hAnsi="仿宋" w:eastAsia="仿宋" w:cs="仿宋"/>
          <w:color w:val="auto"/>
          <w:kern w:val="0"/>
          <w:sz w:val="24"/>
        </w:rPr>
      </w:pPr>
      <w:r>
        <w:rPr>
          <w:rFonts w:hint="eastAsia" w:ascii="仿宋" w:hAnsi="仿宋" w:eastAsia="仿宋" w:cs="仿宋"/>
          <w:b/>
          <w:bCs/>
          <w:color w:val="auto"/>
          <w:kern w:val="0"/>
          <w:sz w:val="24"/>
        </w:rPr>
        <w:t>（十</w:t>
      </w:r>
      <w:r>
        <w:rPr>
          <w:rFonts w:hint="eastAsia" w:ascii="仿宋" w:hAnsi="仿宋" w:eastAsia="仿宋" w:cs="仿宋"/>
          <w:b/>
          <w:bCs/>
          <w:color w:val="auto"/>
          <w:kern w:val="0"/>
          <w:sz w:val="24"/>
          <w:lang w:val="en-US" w:eastAsia="zh-CN"/>
        </w:rPr>
        <w:t>一</w:t>
      </w:r>
      <w:r>
        <w:rPr>
          <w:rFonts w:hint="eastAsia" w:ascii="仿宋" w:hAnsi="仿宋" w:eastAsia="仿宋" w:cs="仿宋"/>
          <w:b/>
          <w:bCs/>
          <w:color w:val="auto"/>
          <w:kern w:val="0"/>
          <w:sz w:val="24"/>
        </w:rPr>
        <w:t>）项目交付使用</w:t>
      </w:r>
    </w:p>
    <w:p w14:paraId="4A786939">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投标商完成项目并通过对项目实施的验收后，编制《项目竣工文件》。竣工文件应满足完整性、一致性和可读性要求。成交单位应负责在项目验收前将项目的全部有关产品说明书、安装手册、技术文件、资料、及安装、测试、验收报告等文档汇集成册交付采购人。</w:t>
      </w:r>
    </w:p>
    <w:p w14:paraId="3720538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文档交付要求：用户需求分析报告；程序安装维护手册；软硬件使用操作手册；软硬件功能技术手册；软件的测试分析报告。</w:t>
      </w:r>
    </w:p>
    <w:p w14:paraId="0EDC4103">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二</w:t>
      </w:r>
      <w:r>
        <w:rPr>
          <w:rFonts w:hint="eastAsia" w:ascii="仿宋" w:hAnsi="仿宋" w:eastAsia="仿宋" w:cs="仿宋"/>
          <w:b/>
          <w:bCs/>
          <w:kern w:val="0"/>
          <w:sz w:val="24"/>
        </w:rPr>
        <w:t>）供货期及供货地点</w:t>
      </w:r>
    </w:p>
    <w:p w14:paraId="6F47FCF9">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1、供货期：在签订合同后</w:t>
      </w:r>
      <w:r>
        <w:rPr>
          <w:rFonts w:hint="eastAsia" w:ascii="仿宋" w:hAnsi="仿宋" w:eastAsia="仿宋" w:cs="仿宋"/>
          <w:kern w:val="0"/>
          <w:sz w:val="24"/>
          <w:lang w:val="en-US" w:eastAsia="zh-CN"/>
        </w:rPr>
        <w:t>90</w:t>
      </w:r>
      <w:r>
        <w:rPr>
          <w:rFonts w:hint="eastAsia" w:ascii="仿宋" w:hAnsi="仿宋" w:eastAsia="仿宋" w:cs="仿宋"/>
          <w:kern w:val="0"/>
          <w:sz w:val="24"/>
        </w:rPr>
        <w:t>天内完成供货、安装、调试及验收。</w:t>
      </w:r>
    </w:p>
    <w:p w14:paraId="4E9C7D5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2、供货地点：喀什职业技术学院</w:t>
      </w:r>
    </w:p>
    <w:p w14:paraId="4E655570">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三</w:t>
      </w:r>
      <w:r>
        <w:rPr>
          <w:rFonts w:hint="eastAsia" w:ascii="仿宋" w:hAnsi="仿宋" w:eastAsia="仿宋" w:cs="仿宋"/>
          <w:b/>
          <w:bCs/>
          <w:kern w:val="0"/>
          <w:sz w:val="24"/>
        </w:rPr>
        <w:t>）付款方式</w:t>
      </w:r>
    </w:p>
    <w:p w14:paraId="520F304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签订合同前中标方缴纳</w:t>
      </w:r>
      <w:r>
        <w:rPr>
          <w:rFonts w:hint="eastAsia" w:ascii="仿宋" w:hAnsi="仿宋" w:eastAsia="仿宋" w:cs="仿宋"/>
          <w:kern w:val="0"/>
          <w:sz w:val="24"/>
          <w:lang w:val="en-US" w:eastAsia="zh-CN"/>
        </w:rPr>
        <w:t>5</w:t>
      </w:r>
      <w:r>
        <w:rPr>
          <w:rFonts w:hint="eastAsia" w:ascii="仿宋" w:hAnsi="仿宋" w:eastAsia="仿宋" w:cs="仿宋"/>
          <w:kern w:val="0"/>
          <w:sz w:val="24"/>
        </w:rPr>
        <w:t>%履约保证金，签订合同后预付合同总价</w:t>
      </w:r>
      <w:r>
        <w:rPr>
          <w:rFonts w:hint="eastAsia" w:ascii="仿宋" w:hAnsi="仿宋" w:eastAsia="仿宋" w:cs="仿宋"/>
          <w:kern w:val="0"/>
          <w:sz w:val="24"/>
          <w:lang w:val="en-US" w:eastAsia="zh-CN"/>
        </w:rPr>
        <w:t>3</w:t>
      </w:r>
      <w:r>
        <w:rPr>
          <w:rFonts w:hint="eastAsia" w:ascii="仿宋" w:hAnsi="仿宋" w:eastAsia="仿宋" w:cs="仿宋"/>
          <w:kern w:val="0"/>
          <w:sz w:val="24"/>
        </w:rPr>
        <w:t>0%，设备到货后支付合同总价</w:t>
      </w:r>
      <w:r>
        <w:rPr>
          <w:rFonts w:hint="eastAsia" w:ascii="仿宋" w:hAnsi="仿宋" w:eastAsia="仿宋" w:cs="仿宋"/>
          <w:kern w:val="0"/>
          <w:sz w:val="24"/>
          <w:lang w:val="en-US" w:eastAsia="zh-CN"/>
        </w:rPr>
        <w:t>5</w:t>
      </w:r>
      <w:r>
        <w:rPr>
          <w:rFonts w:hint="eastAsia" w:ascii="仿宋" w:hAnsi="仿宋" w:eastAsia="仿宋" w:cs="仿宋"/>
          <w:kern w:val="0"/>
          <w:sz w:val="24"/>
        </w:rPr>
        <w:t>0%，经最终验收合格后，支付合同总价20%。</w:t>
      </w:r>
    </w:p>
    <w:p w14:paraId="657761B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（十二）其他需求</w:t>
      </w:r>
    </w:p>
    <w:p w14:paraId="65E3BC46">
      <w:pPr>
        <w:widowControl/>
        <w:spacing w:line="360" w:lineRule="auto"/>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（1）电子设备需要安装的安装到指定地点，不需要安装的电子设备按照要求摆放到指定地点。</w:t>
      </w:r>
    </w:p>
    <w:p w14:paraId="416EA8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 w:val="0"/>
          <w:bCs w:val="0"/>
          <w:kern w:val="0"/>
          <w:sz w:val="24"/>
        </w:rPr>
        <w:t>（2）项目完成后，能够支撑剧场、实训室设施设备正常开展实训教学项目。</w:t>
      </w:r>
      <w:r>
        <w:rPr>
          <w:rFonts w:hint="eastAsia" w:ascii="仿宋" w:hAnsi="仿宋" w:eastAsia="仿宋" w:cs="仿宋"/>
          <w:kern w:val="0"/>
          <w:sz w:val="24"/>
        </w:rPr>
        <w:br w:type="page"/>
      </w:r>
    </w:p>
    <w:p w14:paraId="074D75B6">
      <w:pPr>
        <w:pStyle w:val="5"/>
        <w:numPr>
          <w:ilvl w:val="2"/>
          <w:numId w:val="0"/>
        </w:numPr>
        <w:ind w:leftChars="0"/>
      </w:pPr>
    </w:p>
    <w:p w14:paraId="0E9D17B8">
      <w:pPr>
        <w:spacing w:line="91" w:lineRule="auto"/>
        <w:rPr>
          <w:rFonts w:ascii="宋体" w:hAnsi="宋体"/>
          <w:sz w:val="18"/>
          <w:szCs w:val="18"/>
        </w:rPr>
      </w:pPr>
    </w:p>
    <w:p w14:paraId="3B5B1652">
      <w:pPr>
        <w:spacing w:line="360" w:lineRule="auto"/>
        <w:jc w:val="center"/>
        <w:outlineLvl w:val="0"/>
        <w:rPr>
          <w:rFonts w:eastAsia="仿宋"/>
          <w:b/>
          <w:color w:val="000000"/>
          <w:sz w:val="28"/>
          <w:szCs w:val="28"/>
        </w:rPr>
      </w:pPr>
      <w:bookmarkStart w:id="374" w:name="_Toc14323"/>
      <w:bookmarkEnd w:id="374"/>
      <w:bookmarkStart w:id="375" w:name="_Toc507399907"/>
      <w:bookmarkEnd w:id="375"/>
      <w:bookmarkStart w:id="376" w:name="_Toc518923127"/>
      <w:bookmarkEnd w:id="376"/>
      <w:bookmarkStart w:id="377" w:name="_Toc10220"/>
      <w:bookmarkEnd w:id="377"/>
      <w:r>
        <w:rPr>
          <w:rFonts w:eastAsia="仿宋"/>
          <w:b/>
          <w:color w:val="000000"/>
          <w:sz w:val="28"/>
          <w:szCs w:val="28"/>
        </w:rPr>
        <w:t>第</w:t>
      </w:r>
      <w:r>
        <w:rPr>
          <w:rFonts w:hint="eastAsia" w:eastAsia="仿宋"/>
          <w:b/>
          <w:color w:val="000000"/>
          <w:sz w:val="28"/>
          <w:szCs w:val="28"/>
        </w:rPr>
        <w:t>6</w:t>
      </w:r>
      <w:r>
        <w:rPr>
          <w:rFonts w:eastAsia="仿宋"/>
          <w:b/>
          <w:color w:val="000000"/>
          <w:sz w:val="28"/>
          <w:szCs w:val="28"/>
        </w:rPr>
        <w:t>章评标方法和标准</w:t>
      </w:r>
    </w:p>
    <w:p w14:paraId="7947A61A">
      <w:pPr>
        <w:pStyle w:val="40"/>
        <w:tabs>
          <w:tab w:val="clear" w:pos="567"/>
        </w:tabs>
        <w:spacing w:before="0" w:line="360" w:lineRule="auto"/>
        <w:ind w:firstLine="540" w:firstLineChars="225"/>
        <w:rPr>
          <w:rFonts w:ascii="Times New Roman" w:hAnsi="Times New Roman" w:eastAsia="仿宋"/>
          <w:bCs/>
          <w:color w:val="000000"/>
        </w:rPr>
      </w:pPr>
      <w:r>
        <w:rPr>
          <w:rFonts w:ascii="Times New Roman" w:hAnsi="Times New Roman" w:eastAsia="仿宋"/>
          <w:bCs/>
          <w:color w:val="000000"/>
        </w:rPr>
        <w:t>本项目将按照招标文件第一章投标人须知中“五开标及评标”、“六确定中标”及本章的规定评标。</w:t>
      </w:r>
    </w:p>
    <w:p w14:paraId="642A58BC">
      <w:pPr>
        <w:pStyle w:val="40"/>
        <w:tabs>
          <w:tab w:val="clear" w:pos="567"/>
        </w:tabs>
        <w:spacing w:before="100" w:beforeAutospacing="1" w:after="100" w:afterAutospacing="1" w:line="360" w:lineRule="auto"/>
        <w:ind w:left="1080" w:leftChars="257" w:hanging="540"/>
        <w:rPr>
          <w:rFonts w:ascii="Times New Roman" w:hAnsi="Times New Roman" w:eastAsia="仿宋"/>
          <w:bCs/>
          <w:i/>
          <w:color w:val="000000"/>
        </w:rPr>
      </w:pPr>
      <w:r>
        <w:rPr>
          <w:rFonts w:ascii="Times New Roman" w:hAnsi="Times New Roman" w:eastAsia="仿宋"/>
          <w:bCs/>
          <w:i/>
          <w:color w:val="000000"/>
        </w:rPr>
        <w:t>（内容要包括投标无效界定和详细评标标准）</w:t>
      </w:r>
    </w:p>
    <w:p w14:paraId="60E97107">
      <w:pPr>
        <w:widowControl/>
        <w:spacing w:line="360" w:lineRule="auto"/>
        <w:ind w:firstLine="480" w:firstLineChars="200"/>
        <w:rPr>
          <w:rFonts w:eastAsia="仿宋"/>
          <w:bCs/>
          <w:color w:val="000000"/>
          <w:sz w:val="24"/>
        </w:rPr>
      </w:pPr>
      <w:r>
        <w:rPr>
          <w:rFonts w:eastAsia="仿宋"/>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bCs/>
          <w:color w:val="000000"/>
          <w:sz w:val="24"/>
          <w:u w:val="single"/>
        </w:rPr>
        <w:t xml:space="preserve">  10 </w:t>
      </w:r>
      <w:r>
        <w:rPr>
          <w:rFonts w:eastAsia="仿宋"/>
          <w:bCs/>
          <w:color w:val="000000"/>
          <w:sz w:val="24"/>
        </w:rPr>
        <w:t xml:space="preserve"> %后参与评审。对于同时属于小微企业、监狱企业或残疾人福利性单位的，不重复进行投标报价扣除。如有其它政策支持因素（如鼓励创新等）需一并列出。</w:t>
      </w:r>
    </w:p>
    <w:p w14:paraId="149FBC92">
      <w:pPr>
        <w:widowControl/>
        <w:spacing w:line="360" w:lineRule="auto"/>
        <w:ind w:firstLine="480" w:firstLineChars="200"/>
        <w:jc w:val="left"/>
        <w:rPr>
          <w:rFonts w:eastAsia="仿宋"/>
          <w:bCs/>
          <w:color w:val="000000"/>
          <w:sz w:val="24"/>
        </w:rPr>
      </w:pPr>
      <w:r>
        <w:rPr>
          <w:rFonts w:eastAsia="仿宋"/>
          <w:bCs/>
          <w:color w:val="000000"/>
          <w:sz w:val="24"/>
        </w:rPr>
        <w:t>2.联合协议中约定，小型、微型企业和监狱企业的协议合同金额占到联合体协议合同总金额30%以上的，可给予联合体%的价格扣除。</w:t>
      </w:r>
    </w:p>
    <w:p w14:paraId="4F9FADFE">
      <w:pPr>
        <w:widowControl/>
        <w:spacing w:line="360" w:lineRule="auto"/>
        <w:ind w:firstLine="480" w:firstLineChars="200"/>
        <w:jc w:val="left"/>
        <w:rPr>
          <w:rFonts w:eastAsia="仿宋"/>
          <w:bCs/>
          <w:color w:val="000000"/>
          <w:sz w:val="24"/>
        </w:rPr>
      </w:pPr>
      <w:r>
        <w:rPr>
          <w:rFonts w:eastAsia="仿宋"/>
          <w:bCs/>
          <w:color w:val="000000"/>
          <w:sz w:val="24"/>
        </w:rPr>
        <w:t>联合体各方均为小型、微型企业和监狱企业的，联合体视同为小型、微型企业和监狱企业。</w:t>
      </w:r>
    </w:p>
    <w:p w14:paraId="5969FA80">
      <w:pPr>
        <w:pStyle w:val="40"/>
        <w:tabs>
          <w:tab w:val="clear" w:pos="567"/>
        </w:tabs>
        <w:spacing w:before="0" w:line="360" w:lineRule="auto"/>
        <w:ind w:left="-61" w:leftChars="-29" w:firstLine="540" w:firstLineChars="225"/>
        <w:rPr>
          <w:rFonts w:ascii="Times New Roman" w:hAnsi="Times New Roman" w:eastAsia="仿宋"/>
          <w:bCs/>
          <w:color w:val="000000"/>
        </w:rPr>
      </w:pPr>
      <w:r>
        <w:rPr>
          <w:rFonts w:ascii="Times New Roman" w:hAnsi="Times New Roman" w:eastAsia="仿宋"/>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bCs/>
          <w:color w:val="000000"/>
          <w:u w:val="single"/>
        </w:rPr>
        <w:t>：《财政部、发展改革委、生态环境部、市场监管总局关于优化节能产品、环境标志产品政府采购执行机制的通知》（财库〔2019〕9号）。</w:t>
      </w:r>
    </w:p>
    <w:p w14:paraId="7AC55CFA">
      <w:pPr>
        <w:pStyle w:val="40"/>
        <w:tabs>
          <w:tab w:val="clear" w:pos="567"/>
        </w:tabs>
        <w:spacing w:before="0" w:line="360" w:lineRule="auto"/>
        <w:ind w:left="-181" w:leftChars="-86" w:firstLine="660" w:firstLineChars="275"/>
        <w:rPr>
          <w:rFonts w:ascii="Times New Roman" w:hAnsi="Times New Roman" w:eastAsia="仿宋"/>
          <w:bCs/>
          <w:color w:val="000000"/>
        </w:rPr>
      </w:pPr>
      <w:r>
        <w:rPr>
          <w:rFonts w:ascii="Times New Roman" w:hAnsi="Times New Roman" w:eastAsia="仿宋"/>
          <w:bCs/>
          <w:color w:val="000000"/>
        </w:rPr>
        <w:t>4.中标候选人并列时的处理方式：</w:t>
      </w:r>
    </w:p>
    <w:p w14:paraId="5280FE77">
      <w:pPr>
        <w:pStyle w:val="40"/>
        <w:tabs>
          <w:tab w:val="clear" w:pos="567"/>
        </w:tabs>
        <w:spacing w:before="0" w:line="360" w:lineRule="auto"/>
        <w:ind w:left="-181" w:leftChars="-86" w:firstLine="660" w:firstLineChars="275"/>
        <w:rPr>
          <w:rFonts w:ascii="仿宋" w:hAnsi="仿宋" w:eastAsia="仿宋"/>
          <w:bCs/>
          <w:color w:val="000000"/>
        </w:rPr>
      </w:pPr>
      <w:r>
        <w:rPr>
          <w:rFonts w:ascii="Times New Roman" w:hAnsi="Times New Roman" w:eastAsia="仿宋"/>
          <w:bCs/>
          <w:color w:val="000000"/>
        </w:rPr>
        <w:t>采用综合评标法，则：</w:t>
      </w:r>
      <w:r>
        <w:rPr>
          <w:rFonts w:ascii="Times New Roman" w:hAnsi="Times New Roman" w:eastAsia="仿宋"/>
          <w:bCs/>
          <w:color w:val="000000"/>
          <w:u w:val="single"/>
        </w:rPr>
        <w:t>评审得分相同的且投标报价不同的，按投标报价低的中标；评审得分相同且投标报价相同的，随机抽取决定</w:t>
      </w:r>
      <w:r>
        <w:rPr>
          <w:rFonts w:ascii="Times New Roman" w:hAnsi="Times New Roman" w:eastAsia="仿宋"/>
          <w:bCs/>
          <w:color w:val="000000"/>
        </w:rPr>
        <w:t>。</w:t>
      </w:r>
    </w:p>
    <w:p w14:paraId="45FE1075">
      <w:pPr>
        <w:rPr>
          <w:rFonts w:ascii="仿宋" w:hAnsi="仿宋" w:eastAsia="仿宋"/>
          <w:bCs/>
          <w:color w:val="000000"/>
        </w:rPr>
      </w:pPr>
      <w:r>
        <w:rPr>
          <w:rFonts w:hint="eastAsia" w:ascii="仿宋" w:hAnsi="仿宋" w:eastAsia="仿宋"/>
          <w:bCs/>
          <w:color w:val="000000"/>
        </w:rPr>
        <w:br w:type="page"/>
      </w:r>
    </w:p>
    <w:p w14:paraId="54E00AE3">
      <w:pPr>
        <w:ind w:firstLine="474" w:firstLineChars="200"/>
        <w:outlineLvl w:val="0"/>
        <w:rPr>
          <w:rFonts w:ascii="仿宋" w:hAnsi="仿宋" w:eastAsia="仿宋"/>
          <w:b/>
          <w:color w:val="000000"/>
          <w:spacing w:val="-2"/>
          <w:sz w:val="24"/>
        </w:rPr>
      </w:pPr>
      <w:bookmarkStart w:id="378" w:name="_Toc21823"/>
      <w:bookmarkEnd w:id="378"/>
      <w:r>
        <w:rPr>
          <w:rFonts w:hint="eastAsia" w:ascii="仿宋" w:hAnsi="仿宋" w:eastAsia="仿宋"/>
          <w:b/>
          <w:color w:val="000000"/>
          <w:spacing w:val="-2"/>
          <w:sz w:val="24"/>
        </w:rPr>
        <w:t>5.评审附表</w:t>
      </w:r>
    </w:p>
    <w:p w14:paraId="27B3A158">
      <w:pPr>
        <w:pStyle w:val="40"/>
        <w:tabs>
          <w:tab w:val="clear" w:pos="567"/>
        </w:tabs>
        <w:spacing w:before="0" w:line="240" w:lineRule="auto"/>
        <w:ind w:firstLine="474" w:firstLineChars="200"/>
        <w:jc w:val="center"/>
        <w:rPr>
          <w:rFonts w:ascii="仿宋" w:hAnsi="仿宋" w:eastAsia="仿宋"/>
          <w:b/>
          <w:color w:val="000000"/>
          <w:spacing w:val="-2"/>
        </w:rPr>
      </w:pPr>
      <w:r>
        <w:rPr>
          <w:rFonts w:hint="eastAsia" w:ascii="仿宋" w:hAnsi="仿宋" w:eastAsia="仿宋"/>
          <w:b/>
          <w:color w:val="000000"/>
          <w:spacing w:val="-2"/>
        </w:rPr>
        <w:t>附表一   商务符合性审查表</w:t>
      </w:r>
    </w:p>
    <w:p w14:paraId="498BBAC9">
      <w:pPr>
        <w:rPr>
          <w:bCs/>
          <w:color w:val="000000"/>
        </w:rPr>
      </w:pPr>
    </w:p>
    <w:tbl>
      <w:tblPr>
        <w:tblStyle w:val="24"/>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815"/>
        <w:gridCol w:w="6428"/>
      </w:tblGrid>
      <w:tr w14:paraId="42C5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restart"/>
            <w:vAlign w:val="center"/>
          </w:tcPr>
          <w:p w14:paraId="3532DE46">
            <w:pPr>
              <w:rPr>
                <w:rFonts w:ascii="仿宋" w:hAnsi="仿宋" w:eastAsia="仿宋"/>
                <w:bCs/>
                <w:color w:val="000000"/>
              </w:rPr>
            </w:pPr>
            <w:r>
              <w:rPr>
                <w:rFonts w:hint="eastAsia" w:ascii="仿宋" w:hAnsi="仿宋" w:eastAsia="仿宋"/>
                <w:bCs/>
                <w:color w:val="000000"/>
              </w:rPr>
              <w:t>符合性审查</w:t>
            </w:r>
          </w:p>
        </w:tc>
        <w:tc>
          <w:tcPr>
            <w:tcW w:w="815" w:type="dxa"/>
            <w:vAlign w:val="bottom"/>
          </w:tcPr>
          <w:p w14:paraId="465385F6">
            <w:pPr>
              <w:jc w:val="center"/>
              <w:rPr>
                <w:rFonts w:ascii="仿宋" w:hAnsi="仿宋" w:eastAsia="仿宋"/>
                <w:bCs/>
                <w:color w:val="000000"/>
              </w:rPr>
            </w:pPr>
            <w:r>
              <w:rPr>
                <w:rFonts w:hint="eastAsia" w:ascii="仿宋" w:hAnsi="仿宋" w:eastAsia="仿宋"/>
                <w:bCs/>
                <w:color w:val="000000"/>
              </w:rPr>
              <w:t>序号</w:t>
            </w:r>
          </w:p>
        </w:tc>
        <w:tc>
          <w:tcPr>
            <w:tcW w:w="6428" w:type="dxa"/>
            <w:vAlign w:val="bottom"/>
          </w:tcPr>
          <w:p w14:paraId="2BBAC7FE">
            <w:pPr>
              <w:ind w:firstLine="480"/>
              <w:jc w:val="center"/>
              <w:rPr>
                <w:rFonts w:ascii="仿宋" w:hAnsi="仿宋" w:eastAsia="仿宋"/>
                <w:bCs/>
                <w:color w:val="000000"/>
              </w:rPr>
            </w:pPr>
            <w:r>
              <w:rPr>
                <w:rFonts w:hint="eastAsia" w:ascii="仿宋" w:hAnsi="仿宋" w:eastAsia="仿宋"/>
                <w:bCs/>
                <w:color w:val="000000"/>
              </w:rPr>
              <w:t>审查标准</w:t>
            </w:r>
          </w:p>
        </w:tc>
      </w:tr>
      <w:tr w14:paraId="2496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7A38E851">
            <w:pPr>
              <w:ind w:firstLine="360"/>
              <w:rPr>
                <w:rFonts w:ascii="仿宋" w:hAnsi="仿宋" w:eastAsia="仿宋"/>
                <w:bCs/>
                <w:color w:val="000000"/>
                <w:sz w:val="18"/>
              </w:rPr>
            </w:pPr>
          </w:p>
        </w:tc>
        <w:tc>
          <w:tcPr>
            <w:tcW w:w="815" w:type="dxa"/>
            <w:vAlign w:val="bottom"/>
          </w:tcPr>
          <w:p w14:paraId="10B6F545">
            <w:pPr>
              <w:jc w:val="center"/>
              <w:rPr>
                <w:rFonts w:ascii="仿宋" w:hAnsi="仿宋" w:eastAsia="仿宋"/>
                <w:bCs/>
                <w:color w:val="000000"/>
              </w:rPr>
            </w:pPr>
            <w:r>
              <w:rPr>
                <w:rFonts w:hint="eastAsia" w:ascii="仿宋" w:hAnsi="仿宋" w:eastAsia="仿宋"/>
                <w:bCs/>
                <w:color w:val="000000"/>
              </w:rPr>
              <w:t>1</w:t>
            </w:r>
          </w:p>
        </w:tc>
        <w:tc>
          <w:tcPr>
            <w:tcW w:w="6428" w:type="dxa"/>
            <w:vAlign w:val="center"/>
          </w:tcPr>
          <w:p w14:paraId="793B3A20">
            <w:pPr>
              <w:ind w:left="105" w:right="62" w:hanging="105" w:hangingChars="50"/>
              <w:jc w:val="left"/>
              <w:rPr>
                <w:rFonts w:ascii="仿宋" w:hAnsi="仿宋" w:eastAsia="仿宋"/>
                <w:bCs/>
                <w:color w:val="000000"/>
              </w:rPr>
            </w:pPr>
            <w:r>
              <w:rPr>
                <w:rFonts w:hint="eastAsia" w:ascii="仿宋" w:hAnsi="仿宋" w:eastAsia="仿宋"/>
                <w:bCs/>
                <w:color w:val="000000"/>
              </w:rPr>
              <w:t>投标文件</w:t>
            </w:r>
            <w:r>
              <w:rPr>
                <w:rFonts w:hint="eastAsia" w:ascii="仿宋" w:hAnsi="仿宋" w:eastAsia="仿宋"/>
                <w:bCs/>
                <w:color w:val="000000"/>
                <w:kern w:val="0"/>
              </w:rPr>
              <w:t>是否按招标文件要求编制、</w:t>
            </w:r>
            <w:r>
              <w:rPr>
                <w:rFonts w:hint="eastAsia" w:ascii="仿宋" w:hAnsi="仿宋" w:eastAsia="仿宋"/>
                <w:bCs/>
                <w:color w:val="000000"/>
                <w:spacing w:val="-2"/>
              </w:rPr>
              <w:t>签署、盖章；</w:t>
            </w:r>
            <w:r>
              <w:rPr>
                <w:rFonts w:hint="eastAsia" w:ascii="仿宋" w:hAnsi="仿宋" w:eastAsia="仿宋"/>
                <w:bCs/>
                <w:color w:val="000000"/>
                <w:kern w:val="0"/>
              </w:rPr>
              <w:t>内容是否全面或字迹是否模糊、辨认不清的；</w:t>
            </w:r>
          </w:p>
        </w:tc>
      </w:tr>
      <w:tr w14:paraId="3C84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E4E4FEC">
            <w:pPr>
              <w:ind w:firstLine="360"/>
              <w:rPr>
                <w:rFonts w:ascii="仿宋" w:hAnsi="仿宋" w:eastAsia="仿宋"/>
                <w:bCs/>
                <w:color w:val="000000"/>
                <w:sz w:val="18"/>
              </w:rPr>
            </w:pPr>
          </w:p>
        </w:tc>
        <w:tc>
          <w:tcPr>
            <w:tcW w:w="815" w:type="dxa"/>
            <w:vAlign w:val="bottom"/>
          </w:tcPr>
          <w:p w14:paraId="19EABC6C">
            <w:pPr>
              <w:jc w:val="center"/>
              <w:rPr>
                <w:rFonts w:ascii="仿宋" w:hAnsi="仿宋" w:eastAsia="仿宋"/>
                <w:bCs/>
                <w:color w:val="000000"/>
              </w:rPr>
            </w:pPr>
            <w:r>
              <w:rPr>
                <w:rFonts w:hint="eastAsia" w:ascii="仿宋" w:hAnsi="仿宋" w:eastAsia="仿宋"/>
                <w:bCs/>
                <w:color w:val="000000"/>
              </w:rPr>
              <w:t>2</w:t>
            </w:r>
          </w:p>
        </w:tc>
        <w:tc>
          <w:tcPr>
            <w:tcW w:w="6428" w:type="dxa"/>
            <w:vAlign w:val="center"/>
          </w:tcPr>
          <w:p w14:paraId="1967B666">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w:t>
            </w:r>
            <w:r>
              <w:rPr>
                <w:rFonts w:hint="eastAsia" w:ascii="仿宋" w:hAnsi="仿宋" w:eastAsia="仿宋"/>
                <w:bCs/>
                <w:color w:val="000000"/>
                <w:szCs w:val="21"/>
              </w:rPr>
              <w:t>记载的招标项目完成期限是否未超过招标文件规定的完成期限</w:t>
            </w:r>
            <w:r>
              <w:rPr>
                <w:rFonts w:hint="eastAsia" w:ascii="仿宋" w:hAnsi="仿宋" w:eastAsia="仿宋"/>
                <w:bCs/>
                <w:color w:val="000000"/>
                <w:kern w:val="0"/>
              </w:rPr>
              <w:t>；</w:t>
            </w:r>
          </w:p>
        </w:tc>
      </w:tr>
      <w:tr w14:paraId="5F5C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6DEB568">
            <w:pPr>
              <w:ind w:firstLine="360"/>
              <w:rPr>
                <w:rFonts w:ascii="仿宋" w:hAnsi="仿宋" w:eastAsia="仿宋"/>
                <w:bCs/>
                <w:color w:val="000000"/>
                <w:sz w:val="18"/>
              </w:rPr>
            </w:pPr>
          </w:p>
        </w:tc>
        <w:tc>
          <w:tcPr>
            <w:tcW w:w="815" w:type="dxa"/>
            <w:vAlign w:val="bottom"/>
          </w:tcPr>
          <w:p w14:paraId="0F314424">
            <w:pPr>
              <w:jc w:val="center"/>
              <w:rPr>
                <w:rFonts w:ascii="仿宋" w:hAnsi="仿宋" w:eastAsia="仿宋"/>
                <w:bCs/>
                <w:color w:val="000000"/>
              </w:rPr>
            </w:pPr>
            <w:r>
              <w:rPr>
                <w:rFonts w:hint="eastAsia" w:ascii="仿宋" w:hAnsi="仿宋" w:eastAsia="仿宋"/>
                <w:bCs/>
                <w:color w:val="000000"/>
              </w:rPr>
              <w:t>3</w:t>
            </w:r>
          </w:p>
        </w:tc>
        <w:tc>
          <w:tcPr>
            <w:tcW w:w="6428" w:type="dxa"/>
            <w:vAlign w:val="center"/>
          </w:tcPr>
          <w:p w14:paraId="1924759F">
            <w:pPr>
              <w:ind w:left="105" w:right="62" w:hanging="105" w:hangingChars="50"/>
              <w:jc w:val="left"/>
              <w:rPr>
                <w:rFonts w:ascii="仿宋" w:hAnsi="仿宋" w:eastAsia="仿宋"/>
                <w:bCs/>
                <w:color w:val="000000"/>
              </w:rPr>
            </w:pPr>
            <w:r>
              <w:rPr>
                <w:rFonts w:hint="eastAsia" w:ascii="仿宋" w:hAnsi="仿宋" w:eastAsia="仿宋"/>
                <w:bCs/>
                <w:color w:val="000000"/>
              </w:rPr>
              <w:t>评审小组共同确定没有实质上不响应</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1140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DFE6D74">
            <w:pPr>
              <w:ind w:firstLine="360"/>
              <w:rPr>
                <w:rFonts w:ascii="仿宋" w:hAnsi="仿宋" w:eastAsia="仿宋"/>
                <w:bCs/>
                <w:color w:val="000000"/>
                <w:sz w:val="18"/>
              </w:rPr>
            </w:pPr>
          </w:p>
        </w:tc>
        <w:tc>
          <w:tcPr>
            <w:tcW w:w="815" w:type="dxa"/>
            <w:vAlign w:val="bottom"/>
          </w:tcPr>
          <w:p w14:paraId="771E30D5">
            <w:pPr>
              <w:jc w:val="center"/>
              <w:rPr>
                <w:rFonts w:ascii="仿宋" w:hAnsi="仿宋" w:eastAsia="仿宋"/>
                <w:bCs/>
                <w:color w:val="000000"/>
              </w:rPr>
            </w:pPr>
            <w:r>
              <w:rPr>
                <w:rFonts w:hint="eastAsia" w:ascii="仿宋" w:hAnsi="仿宋" w:eastAsia="仿宋"/>
                <w:bCs/>
                <w:color w:val="000000"/>
              </w:rPr>
              <w:t>4</w:t>
            </w:r>
          </w:p>
        </w:tc>
        <w:tc>
          <w:tcPr>
            <w:tcW w:w="6428" w:type="dxa"/>
            <w:vAlign w:val="center"/>
          </w:tcPr>
          <w:p w14:paraId="1FBBA377">
            <w:pPr>
              <w:ind w:left="105" w:right="62" w:hanging="105" w:hangingChars="50"/>
              <w:jc w:val="left"/>
              <w:rPr>
                <w:rFonts w:ascii="仿宋" w:hAnsi="仿宋" w:eastAsia="仿宋"/>
                <w:bCs/>
                <w:color w:val="000000"/>
              </w:rPr>
            </w:pPr>
            <w:r>
              <w:rPr>
                <w:rFonts w:hint="eastAsia" w:ascii="仿宋" w:hAnsi="仿宋" w:eastAsia="仿宋"/>
                <w:bCs/>
                <w:color w:val="000000"/>
              </w:rPr>
              <w:t>投标有效期是否满足</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4AE4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F83986C">
            <w:pPr>
              <w:ind w:firstLine="360"/>
              <w:rPr>
                <w:rFonts w:ascii="仿宋" w:hAnsi="仿宋" w:eastAsia="仿宋"/>
                <w:bCs/>
                <w:color w:val="000000"/>
                <w:sz w:val="18"/>
              </w:rPr>
            </w:pPr>
          </w:p>
        </w:tc>
        <w:tc>
          <w:tcPr>
            <w:tcW w:w="815" w:type="dxa"/>
            <w:vAlign w:val="bottom"/>
          </w:tcPr>
          <w:p w14:paraId="7E9FC90A">
            <w:pPr>
              <w:jc w:val="center"/>
              <w:rPr>
                <w:rFonts w:ascii="仿宋" w:hAnsi="仿宋" w:eastAsia="仿宋"/>
                <w:bCs/>
                <w:color w:val="000000"/>
              </w:rPr>
            </w:pPr>
            <w:r>
              <w:rPr>
                <w:rFonts w:hint="eastAsia" w:ascii="仿宋" w:hAnsi="仿宋" w:eastAsia="仿宋"/>
                <w:bCs/>
                <w:color w:val="000000"/>
              </w:rPr>
              <w:t>5</w:t>
            </w:r>
          </w:p>
        </w:tc>
        <w:tc>
          <w:tcPr>
            <w:tcW w:w="6428" w:type="dxa"/>
            <w:vAlign w:val="center"/>
          </w:tcPr>
          <w:p w14:paraId="2E6B1D1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投标报价是否高于采购预算价；</w:t>
            </w:r>
          </w:p>
        </w:tc>
      </w:tr>
      <w:tr w14:paraId="247E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C852C6">
            <w:pPr>
              <w:ind w:firstLine="360"/>
              <w:rPr>
                <w:rFonts w:ascii="仿宋" w:hAnsi="仿宋" w:eastAsia="仿宋"/>
                <w:bCs/>
                <w:color w:val="000000"/>
                <w:sz w:val="18"/>
              </w:rPr>
            </w:pPr>
          </w:p>
        </w:tc>
        <w:tc>
          <w:tcPr>
            <w:tcW w:w="815" w:type="dxa"/>
            <w:vAlign w:val="bottom"/>
          </w:tcPr>
          <w:p w14:paraId="18796725">
            <w:pPr>
              <w:jc w:val="center"/>
              <w:rPr>
                <w:rFonts w:ascii="仿宋" w:hAnsi="仿宋" w:eastAsia="仿宋"/>
                <w:bCs/>
                <w:color w:val="000000"/>
              </w:rPr>
            </w:pPr>
            <w:r>
              <w:rPr>
                <w:rFonts w:hint="eastAsia" w:ascii="仿宋" w:hAnsi="仿宋" w:eastAsia="仿宋"/>
                <w:bCs/>
                <w:color w:val="000000"/>
              </w:rPr>
              <w:t>6</w:t>
            </w:r>
          </w:p>
        </w:tc>
        <w:tc>
          <w:tcPr>
            <w:tcW w:w="6428" w:type="dxa"/>
            <w:vAlign w:val="center"/>
          </w:tcPr>
          <w:p w14:paraId="40DE489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是否缴纳投标保证金并与</w:t>
            </w:r>
            <w:r>
              <w:rPr>
                <w:rFonts w:hint="eastAsia" w:ascii="仿宋" w:hAnsi="仿宋" w:eastAsia="仿宋"/>
                <w:bCs/>
                <w:color w:val="000000"/>
                <w:szCs w:val="21"/>
              </w:rPr>
              <w:t>招标</w:t>
            </w:r>
            <w:r>
              <w:rPr>
                <w:rFonts w:hint="eastAsia" w:ascii="仿宋" w:hAnsi="仿宋" w:eastAsia="仿宋"/>
                <w:bCs/>
                <w:color w:val="000000"/>
                <w:kern w:val="0"/>
              </w:rPr>
              <w:t>文件金额一致</w:t>
            </w:r>
          </w:p>
        </w:tc>
      </w:tr>
      <w:tr w14:paraId="0715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AD373B">
            <w:pPr>
              <w:ind w:firstLine="360"/>
              <w:rPr>
                <w:rFonts w:ascii="仿宋" w:hAnsi="仿宋" w:eastAsia="仿宋"/>
                <w:bCs/>
                <w:color w:val="000000"/>
                <w:sz w:val="18"/>
              </w:rPr>
            </w:pPr>
          </w:p>
        </w:tc>
        <w:tc>
          <w:tcPr>
            <w:tcW w:w="815" w:type="dxa"/>
            <w:vAlign w:val="bottom"/>
          </w:tcPr>
          <w:p w14:paraId="7135D877">
            <w:pPr>
              <w:jc w:val="center"/>
              <w:rPr>
                <w:rFonts w:ascii="仿宋" w:hAnsi="仿宋" w:eastAsia="仿宋"/>
                <w:bCs/>
                <w:color w:val="000000"/>
              </w:rPr>
            </w:pPr>
            <w:r>
              <w:rPr>
                <w:rFonts w:hint="eastAsia" w:ascii="仿宋" w:hAnsi="仿宋" w:eastAsia="仿宋"/>
                <w:bCs/>
                <w:color w:val="000000"/>
              </w:rPr>
              <w:t>7</w:t>
            </w:r>
          </w:p>
        </w:tc>
        <w:tc>
          <w:tcPr>
            <w:tcW w:w="6428" w:type="dxa"/>
            <w:vAlign w:val="center"/>
          </w:tcPr>
          <w:p w14:paraId="5C82CF53">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明显不符合技术规格和技术标准（技术规格、合同条款有偏离情况的）</w:t>
            </w:r>
          </w:p>
        </w:tc>
      </w:tr>
      <w:tr w14:paraId="0C34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22E7107">
            <w:pPr>
              <w:ind w:firstLine="360"/>
              <w:rPr>
                <w:rFonts w:ascii="仿宋" w:hAnsi="仿宋" w:eastAsia="仿宋"/>
                <w:bCs/>
                <w:color w:val="000000"/>
                <w:sz w:val="18"/>
              </w:rPr>
            </w:pPr>
          </w:p>
        </w:tc>
        <w:tc>
          <w:tcPr>
            <w:tcW w:w="815" w:type="dxa"/>
            <w:vAlign w:val="bottom"/>
          </w:tcPr>
          <w:p w14:paraId="6BEE1E26">
            <w:pPr>
              <w:jc w:val="center"/>
              <w:rPr>
                <w:rFonts w:ascii="仿宋" w:hAnsi="仿宋" w:eastAsia="仿宋"/>
                <w:bCs/>
                <w:color w:val="000000"/>
              </w:rPr>
            </w:pPr>
            <w:r>
              <w:rPr>
                <w:rFonts w:hint="eastAsia" w:ascii="仿宋" w:hAnsi="仿宋" w:eastAsia="仿宋"/>
                <w:bCs/>
                <w:color w:val="000000"/>
              </w:rPr>
              <w:t>8</w:t>
            </w:r>
          </w:p>
        </w:tc>
        <w:tc>
          <w:tcPr>
            <w:tcW w:w="6428" w:type="dxa"/>
            <w:vAlign w:val="center"/>
          </w:tcPr>
          <w:p w14:paraId="7FE4136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商务条款是否有偏离情况的，供应商是否对</w:t>
            </w:r>
            <w:r>
              <w:rPr>
                <w:rFonts w:hint="eastAsia" w:ascii="仿宋" w:hAnsi="仿宋" w:eastAsia="仿宋"/>
                <w:bCs/>
                <w:color w:val="000000"/>
                <w:szCs w:val="21"/>
              </w:rPr>
              <w:t>招标</w:t>
            </w:r>
            <w:r>
              <w:rPr>
                <w:rFonts w:hint="eastAsia" w:ascii="仿宋" w:hAnsi="仿宋" w:eastAsia="仿宋"/>
                <w:bCs/>
                <w:color w:val="000000"/>
                <w:kern w:val="0"/>
              </w:rPr>
              <w:t>文件所列的所有内容进行投标；</w:t>
            </w:r>
          </w:p>
        </w:tc>
      </w:tr>
      <w:tr w14:paraId="291E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A9F7643">
            <w:pPr>
              <w:ind w:firstLine="360"/>
              <w:rPr>
                <w:rFonts w:ascii="仿宋" w:hAnsi="仿宋" w:eastAsia="仿宋"/>
                <w:bCs/>
                <w:color w:val="000000"/>
                <w:sz w:val="18"/>
              </w:rPr>
            </w:pPr>
          </w:p>
        </w:tc>
        <w:tc>
          <w:tcPr>
            <w:tcW w:w="815" w:type="dxa"/>
            <w:vAlign w:val="bottom"/>
          </w:tcPr>
          <w:p w14:paraId="0A923CD0">
            <w:pPr>
              <w:jc w:val="center"/>
              <w:rPr>
                <w:rFonts w:ascii="仿宋" w:hAnsi="仿宋" w:eastAsia="仿宋"/>
                <w:bCs/>
                <w:color w:val="000000"/>
              </w:rPr>
            </w:pPr>
            <w:r>
              <w:rPr>
                <w:rFonts w:hint="eastAsia" w:ascii="仿宋" w:hAnsi="仿宋" w:eastAsia="仿宋"/>
                <w:bCs/>
                <w:color w:val="000000"/>
              </w:rPr>
              <w:t>9</w:t>
            </w:r>
          </w:p>
        </w:tc>
        <w:tc>
          <w:tcPr>
            <w:tcW w:w="6428" w:type="dxa"/>
            <w:vAlign w:val="center"/>
          </w:tcPr>
          <w:p w14:paraId="4406036D">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投标文件是否附有招标人不能接受条件的；</w:t>
            </w:r>
          </w:p>
        </w:tc>
      </w:tr>
      <w:tr w14:paraId="106F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3FE3008">
            <w:pPr>
              <w:ind w:firstLine="360"/>
              <w:rPr>
                <w:rFonts w:ascii="仿宋" w:hAnsi="仿宋" w:eastAsia="仿宋"/>
                <w:bCs/>
                <w:color w:val="000000"/>
                <w:sz w:val="18"/>
              </w:rPr>
            </w:pPr>
          </w:p>
        </w:tc>
        <w:tc>
          <w:tcPr>
            <w:tcW w:w="815" w:type="dxa"/>
            <w:vAlign w:val="bottom"/>
          </w:tcPr>
          <w:p w14:paraId="66F087B9">
            <w:pPr>
              <w:jc w:val="center"/>
              <w:rPr>
                <w:rFonts w:ascii="仿宋" w:hAnsi="仿宋" w:eastAsia="仿宋"/>
                <w:bCs/>
                <w:color w:val="000000"/>
              </w:rPr>
            </w:pPr>
            <w:r>
              <w:rPr>
                <w:rFonts w:hint="eastAsia" w:ascii="仿宋" w:hAnsi="仿宋" w:eastAsia="仿宋"/>
                <w:bCs/>
                <w:color w:val="000000"/>
              </w:rPr>
              <w:t>10</w:t>
            </w:r>
          </w:p>
        </w:tc>
        <w:tc>
          <w:tcPr>
            <w:tcW w:w="6428" w:type="dxa"/>
            <w:vAlign w:val="center"/>
          </w:tcPr>
          <w:p w14:paraId="149F33C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是否存在法律、法规和招标文件规定的其他无效情形；</w:t>
            </w:r>
          </w:p>
        </w:tc>
      </w:tr>
    </w:tbl>
    <w:p w14:paraId="2AAB04BA">
      <w:pPr>
        <w:pStyle w:val="40"/>
        <w:tabs>
          <w:tab w:val="clear" w:pos="567"/>
        </w:tabs>
        <w:spacing w:before="0" w:line="240" w:lineRule="auto"/>
        <w:rPr>
          <w:rFonts w:ascii="仿宋" w:hAnsi="仿宋" w:eastAsia="仿宋"/>
          <w:bCs/>
          <w:color w:val="000000"/>
          <w:spacing w:val="-2"/>
        </w:rPr>
      </w:pPr>
    </w:p>
    <w:p w14:paraId="0B9FDB90">
      <w:pPr>
        <w:rPr>
          <w:rFonts w:ascii="仿宋" w:hAnsi="仿宋" w:eastAsia="仿宋"/>
          <w:bCs/>
          <w:color w:val="000000"/>
          <w:szCs w:val="21"/>
        </w:rPr>
      </w:pPr>
      <w:r>
        <w:rPr>
          <w:rFonts w:hint="eastAsia" w:ascii="仿宋" w:hAnsi="仿宋" w:eastAsia="仿宋"/>
          <w:bCs/>
          <w:color w:val="000000"/>
          <w:szCs w:val="21"/>
        </w:rPr>
        <w:t>备注：1.如果投标文件中有一项未通过上述审查标准，评标委员会将认定整个投标文件未响应招标文件而予以废标处理。</w:t>
      </w:r>
    </w:p>
    <w:p w14:paraId="4A8634FC">
      <w:pPr>
        <w:ind w:firstLine="630" w:firstLineChars="300"/>
        <w:rPr>
          <w:rFonts w:ascii="仿宋" w:hAnsi="仿宋" w:eastAsia="仿宋"/>
          <w:bCs/>
          <w:color w:val="000000"/>
          <w:szCs w:val="21"/>
        </w:rPr>
      </w:pPr>
      <w:r>
        <w:rPr>
          <w:rFonts w:hint="eastAsia" w:ascii="仿宋" w:hAnsi="仿宋" w:eastAsia="仿宋"/>
          <w:bCs/>
          <w:color w:val="000000"/>
          <w:szCs w:val="21"/>
        </w:rPr>
        <w:t>2.表中所述分项评审结果分两种：（1）合格用“√”表示；（2）不合格用“×”表示。</w:t>
      </w:r>
    </w:p>
    <w:p w14:paraId="3CABCE2E">
      <w:pPr>
        <w:pStyle w:val="40"/>
        <w:tabs>
          <w:tab w:val="clear" w:pos="567"/>
        </w:tabs>
        <w:spacing w:before="0" w:line="360" w:lineRule="auto"/>
        <w:rPr>
          <w:rFonts w:ascii="Times New Roman" w:hAnsi="Times New Roman" w:eastAsia="仿宋"/>
          <w:bCs/>
          <w:color w:val="000000"/>
        </w:rPr>
      </w:pPr>
    </w:p>
    <w:p w14:paraId="1D706C0A">
      <w:pPr>
        <w:pStyle w:val="40"/>
        <w:tabs>
          <w:tab w:val="clear" w:pos="567"/>
        </w:tabs>
        <w:spacing w:before="0" w:line="360" w:lineRule="auto"/>
        <w:rPr>
          <w:rFonts w:ascii="Times New Roman" w:hAnsi="Times New Roman" w:eastAsia="仿宋"/>
          <w:bCs/>
          <w:color w:val="000000"/>
        </w:rPr>
      </w:pPr>
      <w:r>
        <w:rPr>
          <w:rFonts w:ascii="Times New Roman" w:hAnsi="Times New Roman" w:eastAsia="仿宋"/>
          <w:bCs/>
          <w:color w:val="000000"/>
        </w:rPr>
        <w:br w:type="page"/>
      </w:r>
    </w:p>
    <w:p w14:paraId="742DE467">
      <w:pPr>
        <w:pStyle w:val="40"/>
        <w:tabs>
          <w:tab w:val="clear" w:pos="567"/>
        </w:tabs>
        <w:spacing w:before="0" w:line="240" w:lineRule="auto"/>
        <w:ind w:firstLine="474" w:firstLineChars="200"/>
        <w:jc w:val="both"/>
        <w:rPr>
          <w:rFonts w:hint="eastAsia" w:ascii="仿宋" w:hAnsi="仿宋" w:eastAsia="仿宋"/>
          <w:b/>
          <w:color w:val="000000"/>
          <w:spacing w:val="-2"/>
          <w:lang w:eastAsia="zh-CN"/>
        </w:rPr>
      </w:pPr>
      <w:r>
        <w:rPr>
          <w:rFonts w:hint="eastAsia" w:ascii="仿宋" w:hAnsi="仿宋" w:eastAsia="仿宋"/>
          <w:b/>
          <w:color w:val="000000"/>
          <w:spacing w:val="-2"/>
        </w:rPr>
        <w:t>附表二   综合评分法评分标准</w:t>
      </w:r>
    </w:p>
    <w:tbl>
      <w:tblPr>
        <w:tblStyle w:val="24"/>
        <w:tblW w:w="8999" w:type="dxa"/>
        <w:tblInd w:w="-496" w:type="dxa"/>
        <w:tblLayout w:type="fixed"/>
        <w:tblCellMar>
          <w:top w:w="0" w:type="dxa"/>
          <w:left w:w="108" w:type="dxa"/>
          <w:bottom w:w="0" w:type="dxa"/>
          <w:right w:w="108" w:type="dxa"/>
        </w:tblCellMar>
      </w:tblPr>
      <w:tblGrid>
        <w:gridCol w:w="925"/>
        <w:gridCol w:w="913"/>
        <w:gridCol w:w="6165"/>
        <w:gridCol w:w="996"/>
      </w:tblGrid>
      <w:tr w14:paraId="3C80B6AF">
        <w:tblPrEx>
          <w:tblCellMar>
            <w:top w:w="0" w:type="dxa"/>
            <w:left w:w="108" w:type="dxa"/>
            <w:bottom w:w="0" w:type="dxa"/>
            <w:right w:w="108" w:type="dxa"/>
          </w:tblCellMar>
        </w:tblPrEx>
        <w:trPr>
          <w:trHeight w:val="509"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06FB773">
            <w:pPr>
              <w:keepNext w:val="0"/>
              <w:keepLines w:val="0"/>
              <w:widowControl/>
              <w:suppressLineNumbers w:val="0"/>
              <w:spacing w:before="0" w:beforeAutospacing="0" w:after="0" w:afterAutospacing="0"/>
              <w:ind w:left="0" w:right="0"/>
              <w:jc w:val="center"/>
              <w:rPr>
                <w:rFonts w:hint="default" w:ascii="宋体"/>
                <w:b/>
                <w:bCs/>
                <w:kern w:val="0"/>
                <w:sz w:val="18"/>
                <w:szCs w:val="18"/>
              </w:rPr>
            </w:pPr>
            <w:bookmarkStart w:id="379" w:name="EB5c8b89cc3ad8494791e32efc4e7c0949"/>
            <w:r>
              <w:rPr>
                <w:rFonts w:hint="eastAsia" w:ascii="宋体" w:hAnsi="宋体" w:cs="宋体"/>
                <w:b/>
                <w:bCs/>
                <w:kern w:val="0"/>
                <w:sz w:val="18"/>
                <w:szCs w:val="18"/>
              </w:rPr>
              <w:t>考核项目</w:t>
            </w:r>
          </w:p>
        </w:tc>
        <w:tc>
          <w:tcPr>
            <w:tcW w:w="6165" w:type="dxa"/>
            <w:tcBorders>
              <w:top w:val="single" w:color="auto" w:sz="4" w:space="0"/>
              <w:left w:val="nil"/>
              <w:bottom w:val="single" w:color="auto" w:sz="4" w:space="0"/>
              <w:right w:val="single" w:color="auto" w:sz="4" w:space="0"/>
            </w:tcBorders>
            <w:noWrap w:val="0"/>
            <w:vAlign w:val="center"/>
          </w:tcPr>
          <w:p w14:paraId="3F5827E5">
            <w:pPr>
              <w:keepNext w:val="0"/>
              <w:keepLines w:val="0"/>
              <w:widowControl/>
              <w:suppressLineNumbers w:val="0"/>
              <w:spacing w:before="0" w:beforeAutospacing="0" w:after="0" w:afterAutospacing="0"/>
              <w:ind w:left="0" w:right="0"/>
              <w:jc w:val="center"/>
              <w:rPr>
                <w:rFonts w:hint="default" w:ascii="宋体"/>
                <w:b/>
                <w:bCs/>
                <w:kern w:val="0"/>
                <w:sz w:val="18"/>
                <w:szCs w:val="18"/>
              </w:rPr>
            </w:pPr>
            <w:r>
              <w:rPr>
                <w:rFonts w:hint="eastAsia" w:ascii="宋体" w:hAnsi="宋体" w:cs="宋体"/>
                <w:b/>
                <w:bCs/>
                <w:kern w:val="0"/>
                <w:sz w:val="18"/>
                <w:szCs w:val="18"/>
              </w:rPr>
              <w:t>评分标准</w:t>
            </w:r>
          </w:p>
        </w:tc>
        <w:tc>
          <w:tcPr>
            <w:tcW w:w="996" w:type="dxa"/>
            <w:tcBorders>
              <w:top w:val="single" w:color="auto" w:sz="4" w:space="0"/>
              <w:left w:val="nil"/>
              <w:bottom w:val="single" w:color="auto" w:sz="4" w:space="0"/>
              <w:right w:val="single" w:color="auto" w:sz="4" w:space="0"/>
            </w:tcBorders>
            <w:noWrap w:val="0"/>
            <w:vAlign w:val="center"/>
          </w:tcPr>
          <w:p w14:paraId="0FA5203A">
            <w:pPr>
              <w:keepNext w:val="0"/>
              <w:keepLines w:val="0"/>
              <w:widowControl/>
              <w:suppressLineNumbers w:val="0"/>
              <w:spacing w:before="0" w:beforeAutospacing="0" w:after="0" w:afterAutospacing="0"/>
              <w:ind w:left="0" w:right="0"/>
              <w:jc w:val="center"/>
              <w:rPr>
                <w:rFonts w:hint="default" w:ascii="宋体"/>
                <w:b/>
                <w:bCs/>
                <w:color w:val="FF0000"/>
                <w:kern w:val="0"/>
                <w:sz w:val="18"/>
                <w:szCs w:val="18"/>
              </w:rPr>
            </w:pPr>
            <w:r>
              <w:rPr>
                <w:rFonts w:hint="eastAsia" w:ascii="宋体" w:hAnsi="宋体" w:cs="宋体"/>
                <w:b/>
                <w:bCs/>
                <w:kern w:val="0"/>
                <w:sz w:val="18"/>
                <w:szCs w:val="18"/>
              </w:rPr>
              <w:t>投标人　</w:t>
            </w:r>
          </w:p>
        </w:tc>
      </w:tr>
      <w:tr w14:paraId="47665B38">
        <w:tblPrEx>
          <w:tblCellMar>
            <w:top w:w="0" w:type="dxa"/>
            <w:left w:w="108" w:type="dxa"/>
            <w:bottom w:w="0" w:type="dxa"/>
            <w:right w:w="108" w:type="dxa"/>
          </w:tblCellMar>
        </w:tblPrEx>
        <w:trPr>
          <w:trHeight w:val="2137" w:hRule="atLeast"/>
        </w:trPr>
        <w:tc>
          <w:tcPr>
            <w:tcW w:w="925" w:type="dxa"/>
            <w:tcBorders>
              <w:top w:val="nil"/>
              <w:left w:val="single" w:color="auto" w:sz="4" w:space="0"/>
              <w:bottom w:val="single" w:color="auto" w:sz="4" w:space="0"/>
              <w:right w:val="single" w:color="auto" w:sz="4" w:space="0"/>
            </w:tcBorders>
            <w:noWrap w:val="0"/>
            <w:vAlign w:val="center"/>
          </w:tcPr>
          <w:p w14:paraId="3DB4B97B">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价格部分（</w:t>
            </w:r>
            <w:r>
              <w:rPr>
                <w:rFonts w:hint="eastAsia" w:ascii="宋体" w:hAnsi="宋体" w:cs="宋体"/>
                <w:kern w:val="0"/>
                <w:sz w:val="18"/>
                <w:szCs w:val="18"/>
                <w:lang w:val="en-US" w:eastAsia="zh-CN"/>
              </w:rPr>
              <w:t>3</w:t>
            </w:r>
            <w:r>
              <w:rPr>
                <w:rFonts w:hint="eastAsia" w:ascii="宋体" w:hAnsi="宋体" w:cs="宋体"/>
                <w:kern w:val="0"/>
                <w:sz w:val="18"/>
                <w:szCs w:val="18"/>
              </w:rPr>
              <w:t>0分）</w:t>
            </w:r>
          </w:p>
        </w:tc>
        <w:tc>
          <w:tcPr>
            <w:tcW w:w="7078" w:type="dxa"/>
            <w:gridSpan w:val="2"/>
            <w:tcBorders>
              <w:top w:val="single" w:color="auto" w:sz="4" w:space="0"/>
              <w:left w:val="nil"/>
              <w:bottom w:val="single" w:color="auto" w:sz="4" w:space="0"/>
              <w:right w:val="single" w:color="auto" w:sz="4" w:space="0"/>
            </w:tcBorders>
            <w:noWrap w:val="0"/>
            <w:vAlign w:val="center"/>
          </w:tcPr>
          <w:p w14:paraId="5D12065B">
            <w:pPr>
              <w:keepNext w:val="0"/>
              <w:keepLines w:val="0"/>
              <w:widowControl/>
              <w:suppressLineNumbers w:val="0"/>
              <w:spacing w:before="0" w:beforeAutospacing="0" w:after="0" w:afterAutospacing="0"/>
              <w:ind w:left="0" w:right="0"/>
              <w:jc w:val="left"/>
              <w:rPr>
                <w:rFonts w:hint="default" w:ascii="宋体"/>
                <w:kern w:val="0"/>
                <w:sz w:val="18"/>
                <w:szCs w:val="18"/>
              </w:rPr>
            </w:pPr>
            <w:r>
              <w:rPr>
                <w:rFonts w:hint="eastAsia" w:ascii="宋体" w:hAnsi="宋体" w:cs="宋体"/>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w:t>
            </w:r>
            <w:r>
              <w:rPr>
                <w:rFonts w:hint="default" w:ascii="宋体" w:hAnsi="宋体" w:cs="宋体"/>
                <w:kern w:val="0"/>
                <w:sz w:val="18"/>
                <w:szCs w:val="18"/>
              </w:rPr>
              <w:t>=(</w:t>
            </w:r>
            <w:r>
              <w:rPr>
                <w:rFonts w:hint="eastAsia" w:ascii="宋体" w:hAnsi="宋体" w:cs="宋体"/>
                <w:kern w:val="0"/>
                <w:sz w:val="18"/>
                <w:szCs w:val="18"/>
              </w:rPr>
              <w:t>评标基准价／投标报价</w:t>
            </w:r>
            <w:r>
              <w:rPr>
                <w:rFonts w:hint="default" w:ascii="宋体" w:hAnsi="宋体" w:cs="宋体"/>
                <w:kern w:val="0"/>
                <w:sz w:val="18"/>
                <w:szCs w:val="18"/>
              </w:rPr>
              <w:t>)</w:t>
            </w:r>
            <w:r>
              <w:rPr>
                <w:rFonts w:hint="eastAsia" w:ascii="宋体" w:hAnsi="宋体" w:cs="宋体"/>
                <w:kern w:val="0"/>
                <w:sz w:val="18"/>
                <w:szCs w:val="18"/>
              </w:rPr>
              <w:t>×价格权值×</w:t>
            </w:r>
            <w:r>
              <w:rPr>
                <w:rFonts w:hint="default" w:ascii="宋体" w:hAnsi="宋体" w:cs="宋体"/>
                <w:kern w:val="0"/>
                <w:sz w:val="18"/>
                <w:szCs w:val="18"/>
              </w:rPr>
              <w:t>100</w:t>
            </w:r>
            <w:r>
              <w:rPr>
                <w:rFonts w:hint="eastAsia" w:ascii="宋体" w:hAnsi="宋体" w:cs="宋体"/>
                <w:kern w:val="0"/>
                <w:sz w:val="18"/>
                <w:szCs w:val="18"/>
              </w:rPr>
              <w:t>；计算分数时四舍五入取小数点后两位</w:t>
            </w:r>
            <w:r>
              <w:rPr>
                <w:rFonts w:hint="default" w:ascii="宋体" w:cs="宋体"/>
                <w:kern w:val="0"/>
                <w:sz w:val="18"/>
                <w:szCs w:val="18"/>
              </w:rPr>
              <w:t>,</w:t>
            </w:r>
            <w:r>
              <w:rPr>
                <w:rFonts w:hint="eastAsia" w:ascii="宋体" w:hAnsi="宋体" w:cs="宋体"/>
                <w:kern w:val="0"/>
                <w:sz w:val="18"/>
                <w:szCs w:val="18"/>
              </w:rPr>
              <w:t>分数最高不超过</w:t>
            </w:r>
            <w:r>
              <w:rPr>
                <w:rFonts w:hint="eastAsia" w:ascii="宋体" w:hAnsi="宋体" w:cs="宋体"/>
                <w:kern w:val="0"/>
                <w:sz w:val="18"/>
                <w:szCs w:val="18"/>
                <w:lang w:val="en-US" w:eastAsia="zh-CN"/>
              </w:rPr>
              <w:t>3</w:t>
            </w:r>
            <w:r>
              <w:rPr>
                <w:rFonts w:hint="eastAsia" w:ascii="宋体" w:hAnsi="宋体" w:cs="宋体"/>
                <w:kern w:val="0"/>
                <w:sz w:val="18"/>
                <w:szCs w:val="18"/>
              </w:rPr>
              <w:t>0分。由监标人员负责核准每个合格供应商的价格得分。</w:t>
            </w:r>
            <w:r>
              <w:rPr>
                <w:rFonts w:hint="eastAsia" w:ascii="宋体" w:hAnsi="宋体" w:cs="宋体"/>
                <w:color w:val="000000"/>
                <w:kern w:val="0"/>
                <w:sz w:val="15"/>
                <w:szCs w:val="15"/>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10 </w:t>
            </w:r>
            <w:r>
              <w:rPr>
                <w:rFonts w:hint="eastAsia" w:ascii="宋体" w:hAnsi="宋体"/>
                <w:sz w:val="15"/>
                <w:szCs w:val="15"/>
              </w:rPr>
              <w:t xml:space="preserve"> %后参与评审。对于同时</w:t>
            </w:r>
            <w:r>
              <w:rPr>
                <w:rFonts w:hint="default" w:ascii="宋体" w:hAnsi="宋体"/>
                <w:sz w:val="15"/>
                <w:szCs w:val="15"/>
              </w:rPr>
              <w:t>属于小微企业</w:t>
            </w:r>
            <w:r>
              <w:rPr>
                <w:rFonts w:hint="eastAsia" w:ascii="宋体" w:hAnsi="宋体"/>
                <w:sz w:val="15"/>
                <w:szCs w:val="15"/>
              </w:rPr>
              <w:t>、</w:t>
            </w:r>
            <w:r>
              <w:rPr>
                <w:rFonts w:hint="default" w:ascii="宋体" w:hAnsi="宋体"/>
                <w:sz w:val="15"/>
                <w:szCs w:val="15"/>
              </w:rPr>
              <w:t>监狱企业</w:t>
            </w:r>
            <w:r>
              <w:rPr>
                <w:rFonts w:hint="eastAsia" w:ascii="宋体" w:hAnsi="宋体"/>
                <w:sz w:val="15"/>
                <w:szCs w:val="15"/>
              </w:rPr>
              <w:t>或</w:t>
            </w:r>
            <w:r>
              <w:rPr>
                <w:rFonts w:hint="default" w:ascii="宋体" w:hAnsi="宋体"/>
                <w:sz w:val="15"/>
                <w:szCs w:val="15"/>
              </w:rPr>
              <w:t>残疾人福利性单位的，不重复进行投标报价扣除。</w:t>
            </w:r>
            <w:r>
              <w:rPr>
                <w:rFonts w:hint="eastAsia" w:ascii="宋体" w:hAnsi="宋体"/>
                <w:sz w:val="15"/>
                <w:szCs w:val="15"/>
              </w:rPr>
              <w:t>）</w:t>
            </w:r>
          </w:p>
        </w:tc>
        <w:tc>
          <w:tcPr>
            <w:tcW w:w="996" w:type="dxa"/>
            <w:tcBorders>
              <w:top w:val="nil"/>
              <w:left w:val="nil"/>
              <w:bottom w:val="single" w:color="auto" w:sz="4" w:space="0"/>
              <w:right w:val="single" w:color="auto" w:sz="4" w:space="0"/>
            </w:tcBorders>
            <w:noWrap w:val="0"/>
            <w:vAlign w:val="center"/>
          </w:tcPr>
          <w:p w14:paraId="3A7CF46F">
            <w:pPr>
              <w:keepNext w:val="0"/>
              <w:keepLines w:val="0"/>
              <w:widowControl/>
              <w:suppressLineNumbers w:val="0"/>
              <w:spacing w:before="0" w:beforeAutospacing="0" w:after="0" w:afterAutospacing="0"/>
              <w:ind w:left="0" w:right="0"/>
              <w:jc w:val="center"/>
              <w:rPr>
                <w:rFonts w:hint="default" w:ascii="宋体"/>
                <w:color w:val="FF0000"/>
                <w:kern w:val="0"/>
                <w:sz w:val="28"/>
                <w:szCs w:val="28"/>
              </w:rPr>
            </w:pPr>
            <w:r>
              <w:rPr>
                <w:rFonts w:hint="eastAsia" w:ascii="宋体" w:hAnsi="宋体" w:cs="宋体"/>
                <w:color w:val="FF0000"/>
                <w:kern w:val="0"/>
                <w:sz w:val="28"/>
                <w:szCs w:val="28"/>
              </w:rPr>
              <w:t>　</w:t>
            </w:r>
          </w:p>
        </w:tc>
      </w:tr>
      <w:tr w14:paraId="4F5CF8F5">
        <w:tblPrEx>
          <w:tblCellMar>
            <w:top w:w="0" w:type="dxa"/>
            <w:left w:w="108" w:type="dxa"/>
            <w:bottom w:w="0" w:type="dxa"/>
            <w:right w:w="108" w:type="dxa"/>
          </w:tblCellMar>
        </w:tblPrEx>
        <w:trPr>
          <w:trHeight w:val="1192" w:hRule="atLeast"/>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7D23E5D">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技术部分（</w:t>
            </w:r>
            <w:r>
              <w:rPr>
                <w:rFonts w:hint="eastAsia" w:ascii="宋体" w:hAnsi="宋体" w:cs="宋体"/>
                <w:kern w:val="0"/>
                <w:sz w:val="18"/>
                <w:szCs w:val="18"/>
                <w:lang w:val="en-US" w:eastAsia="zh-CN"/>
              </w:rPr>
              <w:t>60</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noWrap w:val="0"/>
            <w:vAlign w:val="center"/>
          </w:tcPr>
          <w:p w14:paraId="0A0C6A6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配置性能指标（</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lang w:val="en-US" w:eastAsia="zh-CN"/>
              </w:rPr>
              <w:t>0</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18F2AB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配置性能指标（40分）根据所投项目产品清单的技术参数配置与性能指标的响应程度打分，</w:t>
            </w:r>
            <w:r>
              <w:rPr>
                <w:rFonts w:hint="eastAsia" w:ascii="宋体" w:hAnsi="宋体" w:eastAsia="宋体" w:cs="宋体"/>
                <w:color w:val="auto"/>
                <w:kern w:val="0"/>
                <w:sz w:val="16"/>
                <w:szCs w:val="16"/>
                <w:highlight w:val="none"/>
              </w:rPr>
              <w:t>招标文件中所有技术参数须逐条</w:t>
            </w:r>
            <w:r>
              <w:rPr>
                <w:rFonts w:hint="eastAsia" w:ascii="宋体" w:hAnsi="宋体" w:cs="宋体"/>
                <w:color w:val="auto"/>
                <w:kern w:val="0"/>
                <w:sz w:val="16"/>
                <w:szCs w:val="16"/>
                <w:highlight w:val="none"/>
                <w:lang w:val="en-US" w:eastAsia="zh-CN"/>
              </w:rPr>
              <w:t>在技术偏离表中</w:t>
            </w:r>
            <w:r>
              <w:rPr>
                <w:rFonts w:hint="eastAsia" w:ascii="宋体" w:hAnsi="宋体" w:eastAsia="宋体" w:cs="宋体"/>
                <w:color w:val="auto"/>
                <w:kern w:val="0"/>
                <w:sz w:val="16"/>
                <w:szCs w:val="16"/>
                <w:highlight w:val="none"/>
              </w:rPr>
              <w:t>响应，全部响应</w:t>
            </w:r>
            <w:r>
              <w:rPr>
                <w:rFonts w:hint="eastAsia" w:ascii="宋体" w:hAnsi="宋体" w:cs="宋体"/>
                <w:color w:val="auto"/>
                <w:kern w:val="0"/>
                <w:sz w:val="16"/>
                <w:szCs w:val="16"/>
                <w:highlight w:val="none"/>
                <w:lang w:val="en-US" w:eastAsia="zh-CN"/>
              </w:rPr>
              <w:t>为无偏离或正偏离</w:t>
            </w:r>
            <w:r>
              <w:rPr>
                <w:rFonts w:hint="eastAsia" w:ascii="宋体" w:hAnsi="宋体" w:eastAsia="宋体" w:cs="宋体"/>
                <w:color w:val="auto"/>
                <w:kern w:val="0"/>
                <w:sz w:val="16"/>
                <w:szCs w:val="16"/>
                <w:highlight w:val="none"/>
              </w:rPr>
              <w:t>的得</w:t>
            </w:r>
            <w:r>
              <w:rPr>
                <w:rFonts w:hint="eastAsia" w:ascii="宋体" w:hAnsi="宋体" w:cs="宋体"/>
                <w:color w:val="auto"/>
                <w:kern w:val="0"/>
                <w:sz w:val="16"/>
                <w:szCs w:val="16"/>
                <w:highlight w:val="none"/>
                <w:lang w:val="en-US" w:eastAsia="zh-CN"/>
              </w:rPr>
              <w:t>满分40</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w:t>
            </w:r>
          </w:p>
          <w:p w14:paraId="0DEE77F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lang w:val="en-US" w:eastAsia="zh-CN"/>
              </w:rPr>
              <w:t>注：</w:t>
            </w:r>
            <w:r>
              <w:rPr>
                <w:rFonts w:hint="eastAsia" w:ascii="宋体" w:hAnsi="宋体" w:eastAsia="宋体" w:cs="宋体"/>
                <w:color w:val="auto"/>
                <w:kern w:val="0"/>
                <w:sz w:val="16"/>
                <w:szCs w:val="16"/>
              </w:rPr>
              <w:t>“▲”号</w:t>
            </w:r>
            <w:r>
              <w:rPr>
                <w:rFonts w:hint="eastAsia" w:ascii="宋体" w:hAnsi="宋体" w:eastAsia="宋体" w:cs="宋体"/>
                <w:color w:val="auto"/>
                <w:kern w:val="0"/>
                <w:sz w:val="16"/>
                <w:szCs w:val="16"/>
                <w:lang w:val="en-US" w:eastAsia="zh-CN"/>
              </w:rPr>
              <w:t>表示</w:t>
            </w:r>
            <w:r>
              <w:rPr>
                <w:rFonts w:hint="eastAsia" w:ascii="宋体" w:hAnsi="宋体" w:eastAsia="宋体" w:cs="宋体"/>
                <w:color w:val="auto"/>
                <w:kern w:val="0"/>
                <w:sz w:val="16"/>
                <w:szCs w:val="16"/>
              </w:rPr>
              <w:t>核心产品，所有参数需</w:t>
            </w:r>
            <w:r>
              <w:rPr>
                <w:rFonts w:hint="eastAsia" w:ascii="宋体" w:hAnsi="宋体" w:cs="宋体"/>
                <w:color w:val="auto"/>
                <w:kern w:val="0"/>
                <w:sz w:val="16"/>
                <w:szCs w:val="16"/>
                <w:highlight w:val="none"/>
                <w:lang w:val="en-US" w:eastAsia="zh-CN"/>
              </w:rPr>
              <w:t>在技术偏离表中</w:t>
            </w:r>
            <w:r>
              <w:rPr>
                <w:rFonts w:hint="eastAsia" w:ascii="宋体" w:hAnsi="宋体" w:eastAsia="宋体" w:cs="宋体"/>
                <w:color w:val="auto"/>
                <w:kern w:val="0"/>
                <w:sz w:val="16"/>
                <w:szCs w:val="16"/>
              </w:rPr>
              <w:t>全部响应，未响应或负偏离作废标处理</w:t>
            </w:r>
            <w:r>
              <w:rPr>
                <w:rFonts w:hint="eastAsia" w:ascii="宋体" w:hAnsi="宋体" w:eastAsia="宋体" w:cs="宋体"/>
                <w:color w:val="auto"/>
                <w:kern w:val="0"/>
                <w:sz w:val="16"/>
                <w:szCs w:val="16"/>
                <w:lang w:val="en-US" w:eastAsia="zh-CN"/>
              </w:rPr>
              <w:t>。</w:t>
            </w:r>
            <w:r>
              <w:rPr>
                <w:rFonts w:hint="eastAsia" w:ascii="宋体" w:hAnsi="宋体" w:eastAsia="宋体" w:cs="宋体"/>
                <w:color w:val="auto"/>
                <w:kern w:val="0"/>
                <w:sz w:val="16"/>
                <w:szCs w:val="16"/>
              </w:rPr>
              <w:t>“★”表示</w:t>
            </w:r>
            <w:r>
              <w:rPr>
                <w:rFonts w:hint="eastAsia" w:ascii="宋体" w:hAnsi="宋体" w:eastAsia="宋体" w:cs="宋体"/>
                <w:color w:val="auto"/>
                <w:kern w:val="0"/>
                <w:sz w:val="16"/>
                <w:szCs w:val="16"/>
                <w:lang w:val="en-US" w:eastAsia="zh-CN"/>
              </w:rPr>
              <w:t>产品</w:t>
            </w:r>
            <w:r>
              <w:rPr>
                <w:rFonts w:hint="eastAsia" w:ascii="宋体" w:hAnsi="宋体" w:eastAsia="宋体" w:cs="宋体"/>
                <w:color w:val="auto"/>
                <w:kern w:val="0"/>
                <w:sz w:val="16"/>
                <w:szCs w:val="16"/>
              </w:rPr>
              <w:t>重要参数或主要功能</w:t>
            </w:r>
            <w:r>
              <w:rPr>
                <w:rFonts w:hint="eastAsia" w:ascii="宋体" w:hAnsi="宋体" w:eastAsia="宋体" w:cs="宋体"/>
                <w:color w:val="auto"/>
                <w:kern w:val="0"/>
                <w:sz w:val="16"/>
                <w:szCs w:val="16"/>
                <w:lang w:eastAsia="zh-CN"/>
              </w:rPr>
              <w:t>，</w:t>
            </w:r>
            <w:r>
              <w:rPr>
                <w:rFonts w:hint="eastAsia" w:ascii="宋体" w:hAnsi="宋体" w:cs="宋体"/>
                <w:color w:val="auto"/>
                <w:kern w:val="0"/>
                <w:sz w:val="16"/>
                <w:szCs w:val="16"/>
                <w:highlight w:val="none"/>
                <w:lang w:val="en-US" w:eastAsia="zh-CN"/>
              </w:rPr>
              <w:t>在技术偏离表中</w:t>
            </w:r>
            <w:r>
              <w:rPr>
                <w:rFonts w:hint="eastAsia" w:ascii="宋体" w:hAnsi="宋体" w:eastAsia="宋体" w:cs="宋体"/>
                <w:color w:val="auto"/>
                <w:kern w:val="0"/>
                <w:sz w:val="16"/>
                <w:szCs w:val="16"/>
                <w:lang w:val="en-US" w:eastAsia="zh-CN"/>
              </w:rPr>
              <w:t>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lang w:val="en-US" w:eastAsia="zh-CN"/>
              </w:rPr>
              <w:t>其他一般参数每有1项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eastAsia="宋体" w:cs="宋体"/>
                <w:color w:val="auto"/>
                <w:kern w:val="0"/>
                <w:sz w:val="16"/>
                <w:szCs w:val="16"/>
                <w:lang w:val="en-US" w:eastAsia="zh-CN"/>
              </w:rPr>
              <w:t>1</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p>
          <w:p w14:paraId="4155A19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default" w:cs="宋体"/>
                <w:color w:val="auto"/>
                <w:kern w:val="0"/>
                <w:sz w:val="16"/>
                <w:szCs w:val="16"/>
                <w:lang w:eastAsia="zh-CN"/>
              </w:rPr>
              <w:t>（</w:t>
            </w:r>
            <w:r>
              <w:rPr>
                <w:rFonts w:hint="eastAsia" w:cs="宋体"/>
                <w:b/>
                <w:bCs/>
                <w:color w:val="auto"/>
                <w:kern w:val="0"/>
                <w:sz w:val="16"/>
                <w:szCs w:val="16"/>
                <w:lang w:val="en-US" w:eastAsia="zh-CN"/>
              </w:rPr>
              <w:t>注：投标单位若带</w:t>
            </w:r>
            <w:r>
              <w:rPr>
                <w:rFonts w:hint="eastAsia" w:ascii="宋体" w:hAnsi="宋体" w:eastAsia="宋体" w:cs="宋体"/>
                <w:color w:val="auto"/>
                <w:kern w:val="0"/>
                <w:sz w:val="16"/>
                <w:szCs w:val="16"/>
              </w:rPr>
              <w:t>“★”</w:t>
            </w:r>
            <w:r>
              <w:rPr>
                <w:rFonts w:hint="eastAsia" w:cs="宋体"/>
                <w:b/>
                <w:bCs/>
                <w:color w:val="auto"/>
                <w:kern w:val="0"/>
                <w:sz w:val="16"/>
                <w:szCs w:val="16"/>
                <w:lang w:val="en-US" w:eastAsia="zh-CN"/>
              </w:rPr>
              <w:t>参数</w:t>
            </w:r>
            <w:r>
              <w:rPr>
                <w:rFonts w:hint="eastAsia" w:ascii="宋体" w:hAnsi="宋体" w:eastAsia="宋体" w:cs="宋体"/>
                <w:b/>
                <w:bCs/>
                <w:color w:val="auto"/>
                <w:kern w:val="0"/>
                <w:sz w:val="16"/>
                <w:szCs w:val="16"/>
              </w:rPr>
              <w:t>超过</w:t>
            </w:r>
            <w:r>
              <w:rPr>
                <w:rFonts w:hint="eastAsia" w:ascii="宋体" w:hAnsi="宋体" w:cs="宋体"/>
                <w:b/>
                <w:bCs/>
                <w:color w:val="auto"/>
                <w:kern w:val="0"/>
                <w:sz w:val="16"/>
                <w:szCs w:val="16"/>
                <w:lang w:val="en-US" w:eastAsia="zh-CN"/>
              </w:rPr>
              <w:t>7</w:t>
            </w:r>
            <w:r>
              <w:rPr>
                <w:rFonts w:hint="eastAsia" w:ascii="宋体" w:hAnsi="宋体" w:eastAsia="宋体" w:cs="宋体"/>
                <w:b/>
                <w:bCs/>
                <w:color w:val="auto"/>
                <w:kern w:val="0"/>
                <w:sz w:val="16"/>
                <w:szCs w:val="16"/>
              </w:rPr>
              <w:t>项</w:t>
            </w:r>
            <w:r>
              <w:rPr>
                <w:rFonts w:hint="eastAsia" w:ascii="宋体" w:hAnsi="宋体" w:cs="宋体"/>
                <w:b/>
                <w:bCs/>
                <w:color w:val="auto"/>
                <w:kern w:val="0"/>
                <w:sz w:val="16"/>
                <w:szCs w:val="16"/>
                <w:lang w:eastAsia="zh-CN"/>
              </w:rPr>
              <w:t>（</w:t>
            </w:r>
            <w:r>
              <w:rPr>
                <w:rFonts w:hint="eastAsia" w:ascii="宋体" w:hAnsi="宋体" w:cs="宋体"/>
                <w:b/>
                <w:bCs/>
                <w:color w:val="auto"/>
                <w:kern w:val="0"/>
                <w:sz w:val="16"/>
                <w:szCs w:val="16"/>
                <w:lang w:val="en-US" w:eastAsia="zh-CN"/>
              </w:rPr>
              <w:t>共10项</w:t>
            </w:r>
            <w:r>
              <w:rPr>
                <w:rFonts w:hint="eastAsia" w:ascii="宋体" w:hAnsi="宋体" w:cs="宋体"/>
                <w:b/>
                <w:bCs/>
                <w:color w:val="auto"/>
                <w:kern w:val="0"/>
                <w:sz w:val="16"/>
                <w:szCs w:val="16"/>
                <w:lang w:eastAsia="zh-CN"/>
              </w:rPr>
              <w:t>）</w:t>
            </w:r>
            <w:r>
              <w:rPr>
                <w:rFonts w:hint="eastAsia" w:ascii="宋体" w:hAnsi="宋体" w:eastAsia="宋体" w:cs="宋体"/>
                <w:b/>
                <w:bCs/>
                <w:color w:val="auto"/>
                <w:kern w:val="0"/>
                <w:sz w:val="16"/>
                <w:szCs w:val="16"/>
              </w:rPr>
              <w:t>负偏离或不响应做废标处理</w:t>
            </w:r>
            <w:r>
              <w:rPr>
                <w:rFonts w:hint="eastAsia" w:ascii="宋体" w:hAnsi="宋体" w:eastAsia="宋体" w:cs="宋体"/>
                <w:b/>
                <w:bCs/>
                <w:color w:val="auto"/>
                <w:kern w:val="0"/>
                <w:sz w:val="16"/>
                <w:szCs w:val="16"/>
                <w:lang w:eastAsia="zh-CN"/>
              </w:rPr>
              <w:t>，</w:t>
            </w:r>
            <w:r>
              <w:rPr>
                <w:rFonts w:hint="eastAsia" w:ascii="宋体" w:hAnsi="宋体" w:eastAsia="宋体" w:cs="宋体"/>
                <w:b/>
                <w:bCs/>
                <w:color w:val="auto"/>
                <w:kern w:val="0"/>
                <w:sz w:val="16"/>
                <w:szCs w:val="16"/>
                <w:lang w:val="en-US" w:eastAsia="zh-CN"/>
              </w:rPr>
              <w:t>其他一般参数</w:t>
            </w:r>
            <w:r>
              <w:rPr>
                <w:rFonts w:hint="eastAsia" w:ascii="宋体" w:hAnsi="宋体" w:eastAsia="宋体" w:cs="宋体"/>
                <w:b/>
                <w:bCs/>
                <w:color w:val="auto"/>
                <w:kern w:val="0"/>
                <w:sz w:val="16"/>
                <w:szCs w:val="16"/>
              </w:rPr>
              <w:t>超过</w:t>
            </w:r>
            <w:r>
              <w:rPr>
                <w:rFonts w:hint="eastAsia" w:ascii="宋体" w:hAnsi="宋体" w:eastAsia="宋体" w:cs="宋体"/>
                <w:b/>
                <w:bCs/>
                <w:color w:val="auto"/>
                <w:kern w:val="0"/>
                <w:sz w:val="16"/>
                <w:szCs w:val="16"/>
                <w:lang w:val="en-US" w:eastAsia="zh-CN"/>
              </w:rPr>
              <w:t>2</w:t>
            </w:r>
            <w:r>
              <w:rPr>
                <w:rFonts w:hint="eastAsia" w:ascii="宋体" w:hAnsi="宋体" w:cs="宋体"/>
                <w:b/>
                <w:bCs/>
                <w:color w:val="auto"/>
                <w:kern w:val="0"/>
                <w:sz w:val="16"/>
                <w:szCs w:val="16"/>
                <w:lang w:val="en-US" w:eastAsia="zh-CN"/>
              </w:rPr>
              <w:t>6</w:t>
            </w:r>
            <w:r>
              <w:rPr>
                <w:rFonts w:hint="eastAsia" w:ascii="宋体" w:hAnsi="宋体" w:eastAsia="宋体" w:cs="宋体"/>
                <w:b/>
                <w:bCs/>
                <w:color w:val="auto"/>
                <w:kern w:val="0"/>
                <w:sz w:val="16"/>
                <w:szCs w:val="16"/>
              </w:rPr>
              <w:t>项负偏离或不响应做废标处理。</w:t>
            </w:r>
            <w:r>
              <w:rPr>
                <w:rFonts w:hint="default" w:ascii="宋体" w:hAnsi="宋体" w:eastAsia="宋体" w:cs="宋体"/>
                <w:color w:val="auto"/>
                <w:kern w:val="0"/>
                <w:sz w:val="16"/>
                <w:szCs w:val="16"/>
              </w:rPr>
              <w:t>）</w:t>
            </w:r>
          </w:p>
        </w:tc>
        <w:tc>
          <w:tcPr>
            <w:tcW w:w="996" w:type="dxa"/>
            <w:tcBorders>
              <w:top w:val="nil"/>
              <w:left w:val="nil"/>
              <w:bottom w:val="single" w:color="auto" w:sz="4" w:space="0"/>
              <w:right w:val="single" w:color="auto" w:sz="4" w:space="0"/>
            </w:tcBorders>
            <w:noWrap w:val="0"/>
            <w:vAlign w:val="top"/>
          </w:tcPr>
          <w:p w14:paraId="461A3A2E">
            <w:pPr>
              <w:keepNext w:val="0"/>
              <w:keepLines w:val="0"/>
              <w:widowControl/>
              <w:suppressLineNumbers w:val="0"/>
              <w:spacing w:before="0" w:beforeAutospacing="0" w:after="0" w:afterAutospacing="0"/>
              <w:ind w:left="0" w:right="0"/>
              <w:jc w:val="left"/>
              <w:rPr>
                <w:rFonts w:hint="eastAsia" w:ascii="宋体" w:hAnsi="宋体" w:cs="宋体"/>
                <w:color w:val="FF0000"/>
                <w:kern w:val="0"/>
                <w:sz w:val="18"/>
                <w:szCs w:val="18"/>
              </w:rPr>
            </w:pPr>
          </w:p>
        </w:tc>
      </w:tr>
      <w:tr w14:paraId="4C661D67">
        <w:tblPrEx>
          <w:tblCellMar>
            <w:top w:w="0" w:type="dxa"/>
            <w:left w:w="108" w:type="dxa"/>
            <w:bottom w:w="0" w:type="dxa"/>
            <w:right w:w="108" w:type="dxa"/>
          </w:tblCellMar>
        </w:tblPrEx>
        <w:trPr>
          <w:trHeight w:val="1192"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FC08CA">
            <w:pPr>
              <w:keepNext w:val="0"/>
              <w:keepLines w:val="0"/>
              <w:widowControl/>
              <w:suppressLineNumbers w:val="0"/>
              <w:spacing w:before="0" w:beforeAutospacing="0" w:after="0" w:afterAutospacing="0"/>
              <w:ind w:left="0" w:right="0"/>
              <w:jc w:val="center"/>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2DC1564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12</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7FC12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项目服务实施方案（1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分）：根据投标人对本项目实际情况，阐述内容须包括但不限于以下内容：</w:t>
            </w:r>
          </w:p>
          <w:p w14:paraId="0FD19F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①整体</w:t>
            </w:r>
            <w:r>
              <w:rPr>
                <w:rFonts w:hint="eastAsia" w:ascii="宋体" w:hAnsi="宋体" w:eastAsia="宋体" w:cs="宋体"/>
                <w:color w:val="auto"/>
                <w:kern w:val="0"/>
                <w:sz w:val="16"/>
                <w:szCs w:val="16"/>
                <w:lang w:val="en-US" w:eastAsia="zh-CN"/>
              </w:rPr>
              <w:t>实施</w:t>
            </w:r>
            <w:r>
              <w:rPr>
                <w:rFonts w:hint="eastAsia" w:ascii="宋体" w:hAnsi="宋体" w:eastAsia="宋体" w:cs="宋体"/>
                <w:color w:val="auto"/>
                <w:kern w:val="0"/>
                <w:sz w:val="16"/>
                <w:szCs w:val="16"/>
              </w:rPr>
              <w:t>方案；</w:t>
            </w:r>
          </w:p>
          <w:p w14:paraId="3B969B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②质量保证措施；</w:t>
            </w:r>
          </w:p>
          <w:p w14:paraId="13459F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③项目实施人员配置方案；</w:t>
            </w:r>
          </w:p>
          <w:p w14:paraId="4743F6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④产品包装运输方案；</w:t>
            </w:r>
          </w:p>
          <w:p w14:paraId="4F1F91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⑤供货、安装</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调试方案；</w:t>
            </w:r>
          </w:p>
          <w:p w14:paraId="480211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⑥应急管理方案</w:t>
            </w:r>
          </w:p>
          <w:p w14:paraId="5EEB91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评标委员会根据各投标人方案内容</w:t>
            </w:r>
            <w:r>
              <w:rPr>
                <w:rFonts w:hint="eastAsia" w:ascii="宋体" w:hAnsi="宋体" w:eastAsia="宋体" w:cs="宋体"/>
                <w:color w:val="auto"/>
                <w:kern w:val="0"/>
                <w:sz w:val="16"/>
                <w:szCs w:val="16"/>
                <w:lang w:val="en-US" w:eastAsia="zh-CN"/>
              </w:rPr>
              <w:t>完整度及可行性进行评审，评审内容包含</w:t>
            </w:r>
            <w:r>
              <w:rPr>
                <w:rFonts w:hint="eastAsia" w:ascii="宋体" w:hAnsi="宋体" w:cs="宋体"/>
                <w:color w:val="auto"/>
                <w:kern w:val="0"/>
                <w:sz w:val="16"/>
                <w:szCs w:val="16"/>
                <w:lang w:val="en-US" w:eastAsia="zh-CN"/>
              </w:rPr>
              <w:t>6</w:t>
            </w:r>
            <w:r>
              <w:rPr>
                <w:rFonts w:hint="eastAsia" w:ascii="宋体" w:hAnsi="宋体" w:eastAsia="宋体" w:cs="宋体"/>
                <w:color w:val="auto"/>
                <w:kern w:val="0"/>
                <w:sz w:val="16"/>
                <w:szCs w:val="16"/>
                <w:lang w:val="en-US" w:eastAsia="zh-CN"/>
              </w:rPr>
              <w:t>项，</w:t>
            </w: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中6小项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描述不清晰或有缺失内容的扣2分，扣完为止。</w:t>
            </w:r>
          </w:p>
        </w:tc>
        <w:tc>
          <w:tcPr>
            <w:tcW w:w="996" w:type="dxa"/>
            <w:tcBorders>
              <w:top w:val="nil"/>
              <w:left w:val="nil"/>
              <w:bottom w:val="single" w:color="auto" w:sz="4" w:space="0"/>
              <w:right w:val="single" w:color="auto" w:sz="4" w:space="0"/>
            </w:tcBorders>
            <w:noWrap w:val="0"/>
            <w:vAlign w:val="top"/>
          </w:tcPr>
          <w:p w14:paraId="06D74652">
            <w:pPr>
              <w:keepNext w:val="0"/>
              <w:keepLines w:val="0"/>
              <w:widowControl/>
              <w:suppressLineNumbers w:val="0"/>
              <w:spacing w:before="0" w:beforeAutospacing="0" w:after="0" w:afterAutospacing="0"/>
              <w:ind w:left="0" w:right="0"/>
              <w:jc w:val="left"/>
              <w:rPr>
                <w:rFonts w:hint="default" w:ascii="宋体" w:hAnsi="宋体" w:cs="宋体"/>
                <w:color w:val="FF0000"/>
                <w:kern w:val="0"/>
                <w:sz w:val="18"/>
                <w:szCs w:val="18"/>
              </w:rPr>
            </w:pPr>
            <w:r>
              <w:rPr>
                <w:rFonts w:hint="eastAsia" w:ascii="宋体" w:hAnsi="宋体" w:cs="宋体"/>
                <w:color w:val="FF0000"/>
                <w:kern w:val="0"/>
                <w:sz w:val="18"/>
                <w:szCs w:val="18"/>
              </w:rPr>
              <w:t>　</w:t>
            </w:r>
          </w:p>
        </w:tc>
      </w:tr>
      <w:tr w14:paraId="48982E1D">
        <w:tblPrEx>
          <w:tblCellMar>
            <w:top w:w="0" w:type="dxa"/>
            <w:left w:w="108" w:type="dxa"/>
            <w:bottom w:w="0" w:type="dxa"/>
            <w:right w:w="108" w:type="dxa"/>
          </w:tblCellMar>
        </w:tblPrEx>
        <w:trPr>
          <w:trHeight w:val="1748"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9052B7D">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5813E6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p>
        </w:tc>
        <w:tc>
          <w:tcPr>
            <w:tcW w:w="6165" w:type="dxa"/>
            <w:tcBorders>
              <w:top w:val="nil"/>
              <w:left w:val="nil"/>
              <w:bottom w:val="single" w:color="auto" w:sz="4" w:space="0"/>
              <w:right w:val="single" w:color="auto" w:sz="4" w:space="0"/>
            </w:tcBorders>
            <w:noWrap w:val="0"/>
            <w:vAlign w:val="center"/>
          </w:tcPr>
          <w:p w14:paraId="01BB5A75">
            <w:pPr>
              <w:keepNext w:val="0"/>
              <w:keepLines w:val="0"/>
              <w:widowControl/>
              <w:suppressLineNumbers w:val="0"/>
              <w:spacing w:before="0" w:beforeAutospacing="0" w:after="0" w:afterAutospacing="0"/>
              <w:ind w:left="0" w:right="0"/>
              <w:jc w:val="left"/>
              <w:rPr>
                <w:rFonts w:hint="eastAsia" w:ascii="宋体" w:hAnsi="宋体" w:cs="宋体"/>
                <w:color w:val="auto"/>
                <w:kern w:val="0"/>
                <w:sz w:val="16"/>
                <w:szCs w:val="16"/>
                <w:lang w:eastAsia="zh-CN"/>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r>
              <w:rPr>
                <w:rFonts w:hint="eastAsia" w:ascii="宋体" w:hAnsi="宋体" w:cs="宋体"/>
                <w:color w:val="auto"/>
                <w:kern w:val="0"/>
                <w:sz w:val="16"/>
                <w:szCs w:val="16"/>
                <w:lang w:val="en-US" w:eastAsia="zh-CN"/>
              </w:rPr>
              <w:t>：</w:t>
            </w:r>
            <w:r>
              <w:rPr>
                <w:rFonts w:hint="eastAsia" w:ascii="宋体" w:hAnsi="宋体" w:eastAsia="宋体" w:cs="宋体"/>
                <w:color w:val="auto"/>
                <w:kern w:val="0"/>
                <w:sz w:val="16"/>
                <w:szCs w:val="16"/>
              </w:rPr>
              <w:t>针对本项目制定的合理完善的售后服务方案（包括</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产品的故障处理及响应时间、</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验收</w:t>
            </w:r>
            <w:r>
              <w:rPr>
                <w:rFonts w:hint="eastAsia" w:ascii="宋体" w:hAnsi="宋体" w:cs="宋体"/>
                <w:color w:val="auto"/>
                <w:kern w:val="0"/>
                <w:sz w:val="16"/>
                <w:szCs w:val="16"/>
                <w:lang w:val="en-US" w:eastAsia="zh-CN"/>
              </w:rPr>
              <w:t>程序</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质保期外服务方式、</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rPr>
              <w:t>优惠承诺</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售后服务网点证明</w:t>
            </w:r>
            <w:r>
              <w:rPr>
                <w:rFonts w:hint="eastAsia" w:ascii="宋体" w:hAnsi="宋体" w:cs="宋体"/>
                <w:color w:val="auto"/>
                <w:kern w:val="0"/>
                <w:sz w:val="16"/>
                <w:szCs w:val="16"/>
                <w:lang w:eastAsia="zh-CN"/>
              </w:rPr>
              <w:t>、</w:t>
            </w:r>
            <w:r>
              <w:rPr>
                <w:rFonts w:hint="eastAsia" w:ascii="宋体" w:hAnsi="宋体" w:cs="宋体"/>
                <w:color w:val="auto"/>
                <w:kern w:val="0"/>
                <w:sz w:val="16"/>
                <w:szCs w:val="16"/>
                <w:lang w:val="en-US" w:eastAsia="zh-CN"/>
              </w:rPr>
              <w:t>5.应急预案</w:t>
            </w:r>
            <w:r>
              <w:rPr>
                <w:rFonts w:hint="eastAsia" w:ascii="宋体" w:hAnsi="宋体" w:eastAsia="宋体" w:cs="宋体"/>
                <w:color w:val="auto"/>
                <w:kern w:val="0"/>
                <w:sz w:val="16"/>
                <w:szCs w:val="16"/>
              </w:rPr>
              <w:t>等</w:t>
            </w:r>
            <w:r>
              <w:rPr>
                <w:rFonts w:hint="eastAsia" w:ascii="宋体" w:hAnsi="宋体" w:cs="宋体"/>
                <w:color w:val="auto"/>
                <w:kern w:val="0"/>
                <w:sz w:val="16"/>
                <w:szCs w:val="16"/>
                <w:lang w:eastAsia="zh-CN"/>
              </w:rPr>
              <w:t>）</w:t>
            </w:r>
          </w:p>
          <w:p w14:paraId="4A96AC7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评标委员会根据各投标人售后服务方案内容</w:t>
            </w:r>
            <w:r>
              <w:rPr>
                <w:rFonts w:hint="eastAsia" w:ascii="宋体" w:hAnsi="宋体" w:eastAsia="宋体" w:cs="宋体"/>
                <w:color w:val="auto"/>
                <w:kern w:val="0"/>
                <w:sz w:val="16"/>
                <w:szCs w:val="16"/>
                <w:lang w:val="en-US" w:eastAsia="zh-CN"/>
              </w:rPr>
              <w:t>完整度及可行性进行评审，评审内容</w:t>
            </w:r>
            <w:r>
              <w:rPr>
                <w:rFonts w:hint="eastAsia" w:ascii="宋体" w:hAnsi="宋体" w:cs="宋体"/>
                <w:color w:val="auto"/>
                <w:kern w:val="0"/>
                <w:sz w:val="16"/>
                <w:szCs w:val="16"/>
                <w:lang w:val="en-US" w:eastAsia="zh-CN"/>
              </w:rPr>
              <w:t>必须</w:t>
            </w:r>
            <w:r>
              <w:rPr>
                <w:rFonts w:hint="eastAsia" w:ascii="宋体" w:hAnsi="宋体" w:eastAsia="宋体" w:cs="宋体"/>
                <w:color w:val="auto"/>
                <w:kern w:val="0"/>
                <w:sz w:val="16"/>
                <w:szCs w:val="16"/>
                <w:lang w:val="en-US" w:eastAsia="zh-CN"/>
              </w:rPr>
              <w:t>包含</w:t>
            </w:r>
            <w:r>
              <w:rPr>
                <w:rFonts w:hint="eastAsia" w:ascii="宋体" w:hAnsi="宋体" w:cs="宋体"/>
                <w:color w:val="auto"/>
                <w:kern w:val="0"/>
                <w:sz w:val="16"/>
                <w:szCs w:val="16"/>
                <w:lang w:val="en-US" w:eastAsia="zh-CN"/>
              </w:rPr>
              <w:t>以上</w:t>
            </w:r>
            <w:r>
              <w:rPr>
                <w:rFonts w:hint="eastAsia" w:ascii="宋体" w:hAnsi="宋体" w:eastAsia="宋体" w:cs="宋体"/>
                <w:color w:val="auto"/>
                <w:kern w:val="0"/>
                <w:sz w:val="16"/>
                <w:szCs w:val="16"/>
                <w:lang w:val="en-US" w:eastAsia="zh-CN"/>
              </w:rPr>
              <w:t>5项，</w:t>
            </w:r>
            <w:r>
              <w:rPr>
                <w:rFonts w:hint="eastAsia" w:ascii="宋体" w:hAnsi="宋体" w:eastAsia="宋体" w:cs="宋体"/>
                <w:color w:val="auto"/>
                <w:kern w:val="0"/>
                <w:sz w:val="16"/>
                <w:szCs w:val="16"/>
              </w:rPr>
              <w:t>项</w:t>
            </w:r>
            <w:r>
              <w:rPr>
                <w:rFonts w:hint="eastAsia" w:ascii="宋体" w:hAnsi="宋体" w:cs="宋体"/>
                <w:color w:val="auto"/>
                <w:kern w:val="0"/>
                <w:sz w:val="16"/>
                <w:szCs w:val="16"/>
                <w:lang w:val="en-US" w:eastAsia="zh-CN"/>
              </w:rPr>
              <w:t>每1小项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分，扣完为止。</w:t>
            </w:r>
          </w:p>
        </w:tc>
        <w:tc>
          <w:tcPr>
            <w:tcW w:w="996" w:type="dxa"/>
            <w:tcBorders>
              <w:top w:val="nil"/>
              <w:left w:val="nil"/>
              <w:bottom w:val="single" w:color="auto" w:sz="4" w:space="0"/>
              <w:right w:val="single" w:color="auto" w:sz="4" w:space="0"/>
            </w:tcBorders>
            <w:noWrap w:val="0"/>
            <w:vAlign w:val="top"/>
          </w:tcPr>
          <w:p w14:paraId="01A00E54">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309C8C77">
        <w:tblPrEx>
          <w:tblCellMar>
            <w:top w:w="0" w:type="dxa"/>
            <w:left w:w="108" w:type="dxa"/>
            <w:bottom w:w="0" w:type="dxa"/>
            <w:right w:w="108" w:type="dxa"/>
          </w:tblCellMar>
        </w:tblPrEx>
        <w:trPr>
          <w:trHeight w:val="1260"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F4C35A4">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545DCF5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52BA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分）根据各供应商培训方案进行综合评分。方案内容包括但不限于培训目标、培训对象、培训方式、培训内容、培训队伍、培训实施与管理，清晰展示出各培训课程内容、课时等内容等。</w:t>
            </w:r>
          </w:p>
          <w:p w14:paraId="5699984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评标委员会根据各供应商方案内容纵向横向对比，方案满足项目需要，培训方案设计清晰、明确、可行得</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 xml:space="preserve"> 分，一般得</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分，较差得 1分；没有不得分。</w:t>
            </w:r>
          </w:p>
        </w:tc>
        <w:tc>
          <w:tcPr>
            <w:tcW w:w="996" w:type="dxa"/>
            <w:tcBorders>
              <w:top w:val="nil"/>
              <w:left w:val="nil"/>
              <w:bottom w:val="single" w:color="auto" w:sz="4" w:space="0"/>
              <w:right w:val="single" w:color="auto" w:sz="4" w:space="0"/>
            </w:tcBorders>
            <w:noWrap w:val="0"/>
            <w:vAlign w:val="top"/>
          </w:tcPr>
          <w:p w14:paraId="42F4C04B">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0996A9F9">
        <w:tblPrEx>
          <w:tblCellMar>
            <w:top w:w="0" w:type="dxa"/>
            <w:left w:w="108" w:type="dxa"/>
            <w:bottom w:w="0" w:type="dxa"/>
            <w:right w:w="108" w:type="dxa"/>
          </w:tblCellMar>
        </w:tblPrEx>
        <w:trPr>
          <w:trHeight w:val="640" w:hRule="atLeast"/>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AF99ECE">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商务部分（</w:t>
            </w:r>
            <w:r>
              <w:rPr>
                <w:rFonts w:hint="eastAsia" w:ascii="宋体" w:hAnsi="宋体" w:cs="宋体"/>
                <w:kern w:val="0"/>
                <w:sz w:val="18"/>
                <w:szCs w:val="18"/>
                <w:lang w:val="en-US" w:eastAsia="zh-CN"/>
              </w:rPr>
              <w:t>10</w:t>
            </w:r>
            <w:r>
              <w:rPr>
                <w:rFonts w:hint="eastAsia" w:ascii="宋体" w:hAnsi="宋体" w:cs="宋体"/>
                <w:kern w:val="0"/>
                <w:sz w:val="18"/>
                <w:szCs w:val="18"/>
              </w:rPr>
              <w:t>分）</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DD5AD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业绩</w:t>
            </w:r>
          </w:p>
          <w:p w14:paraId="4F2DB5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7583235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同类案例证明（</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分）：投标人提供近三年与本项目相似的项目业绩（</w:t>
            </w:r>
            <w:r>
              <w:rPr>
                <w:rFonts w:hint="eastAsia" w:ascii="宋体" w:hAnsi="宋体" w:eastAsia="宋体" w:cs="宋体"/>
                <w:color w:val="auto"/>
                <w:kern w:val="0"/>
                <w:sz w:val="16"/>
                <w:szCs w:val="16"/>
                <w:lang w:val="en-US" w:eastAsia="zh-CN"/>
              </w:rPr>
              <w:t>业绩需提供：</w:t>
            </w:r>
            <w:r>
              <w:rPr>
                <w:rFonts w:hint="eastAsia" w:ascii="宋体" w:hAnsi="宋体" w:eastAsia="宋体" w:cs="宋体"/>
                <w:color w:val="auto"/>
                <w:kern w:val="0"/>
                <w:sz w:val="16"/>
                <w:szCs w:val="16"/>
              </w:rPr>
              <w:t>中标通知书、验收报告</w:t>
            </w:r>
            <w:r>
              <w:rPr>
                <w:rFonts w:hint="eastAsia" w:ascii="宋体" w:hAnsi="宋体" w:eastAsia="宋体" w:cs="宋体"/>
                <w:color w:val="auto"/>
                <w:kern w:val="0"/>
                <w:sz w:val="16"/>
                <w:szCs w:val="16"/>
                <w:lang w:val="en-US" w:eastAsia="zh-CN"/>
              </w:rPr>
              <w:t>或</w:t>
            </w:r>
            <w:r>
              <w:rPr>
                <w:rFonts w:hint="eastAsia" w:ascii="宋体" w:hAnsi="宋体" w:eastAsia="宋体" w:cs="宋体"/>
                <w:color w:val="auto"/>
                <w:kern w:val="0"/>
                <w:sz w:val="16"/>
                <w:szCs w:val="16"/>
              </w:rPr>
              <w:t>合同等相关资料，</w:t>
            </w:r>
            <w:r>
              <w:rPr>
                <w:rFonts w:hint="eastAsia" w:ascii="宋体" w:hAnsi="宋体" w:eastAsia="宋体" w:cs="宋体"/>
                <w:color w:val="auto"/>
                <w:kern w:val="0"/>
                <w:sz w:val="16"/>
                <w:szCs w:val="16"/>
                <w:lang w:val="en-US" w:eastAsia="zh-CN"/>
              </w:rPr>
              <w:t>提供以上任意一个均可</w:t>
            </w:r>
            <w:r>
              <w:rPr>
                <w:rFonts w:hint="eastAsia" w:ascii="宋体" w:hAnsi="宋体" w:eastAsia="宋体" w:cs="宋体"/>
                <w:color w:val="auto"/>
                <w:kern w:val="0"/>
                <w:sz w:val="16"/>
                <w:szCs w:val="16"/>
              </w:rPr>
              <w:t>）</w:t>
            </w:r>
            <w:r>
              <w:rPr>
                <w:rFonts w:hint="eastAsia" w:ascii="宋体" w:hAnsi="宋体" w:eastAsia="宋体" w:cs="宋体"/>
                <w:color w:val="auto"/>
                <w:kern w:val="0"/>
                <w:sz w:val="16"/>
                <w:szCs w:val="16"/>
                <w:highlight w:val="none"/>
              </w:rPr>
              <w:t>。提供一份证明得</w:t>
            </w:r>
            <w:r>
              <w:rPr>
                <w:rFonts w:hint="eastAsia" w:ascii="宋体" w:hAnsi="宋体" w:cs="宋体"/>
                <w:color w:val="auto"/>
                <w:kern w:val="0"/>
                <w:sz w:val="16"/>
                <w:szCs w:val="16"/>
                <w:highlight w:val="none"/>
                <w:lang w:val="en-US" w:eastAsia="zh-CN"/>
              </w:rPr>
              <w:t>3</w:t>
            </w:r>
            <w:r>
              <w:rPr>
                <w:rFonts w:hint="eastAsia" w:ascii="宋体" w:hAnsi="宋体" w:eastAsia="宋体" w:cs="宋体"/>
                <w:color w:val="auto"/>
                <w:kern w:val="0"/>
                <w:sz w:val="16"/>
                <w:szCs w:val="16"/>
                <w:highlight w:val="none"/>
              </w:rPr>
              <w:t>分，最多</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分，未提供不得分。</w:t>
            </w:r>
          </w:p>
        </w:tc>
        <w:tc>
          <w:tcPr>
            <w:tcW w:w="996" w:type="dxa"/>
            <w:tcBorders>
              <w:top w:val="nil"/>
              <w:left w:val="nil"/>
              <w:bottom w:val="single" w:color="auto" w:sz="4" w:space="0"/>
              <w:right w:val="single" w:color="auto" w:sz="4" w:space="0"/>
            </w:tcBorders>
            <w:noWrap w:val="0"/>
            <w:vAlign w:val="top"/>
          </w:tcPr>
          <w:p w14:paraId="6740C7B2">
            <w:pPr>
              <w:keepNext w:val="0"/>
              <w:keepLines w:val="0"/>
              <w:widowControl/>
              <w:suppressLineNumbers w:val="0"/>
              <w:spacing w:before="0" w:beforeAutospacing="0" w:after="0" w:afterAutospacing="0"/>
              <w:ind w:left="0" w:right="0"/>
              <w:jc w:val="center"/>
              <w:rPr>
                <w:rFonts w:hint="default" w:ascii="宋体"/>
                <w:color w:val="FF0000"/>
                <w:kern w:val="0"/>
                <w:sz w:val="18"/>
                <w:szCs w:val="18"/>
              </w:rPr>
            </w:pPr>
            <w:r>
              <w:rPr>
                <w:rFonts w:hint="eastAsia" w:ascii="宋体" w:hAnsi="宋体" w:cs="宋体"/>
                <w:color w:val="FF0000"/>
                <w:kern w:val="0"/>
                <w:sz w:val="18"/>
                <w:szCs w:val="18"/>
              </w:rPr>
              <w:t>　</w:t>
            </w:r>
          </w:p>
        </w:tc>
      </w:tr>
      <w:tr w14:paraId="12BDFC68">
        <w:tblPrEx>
          <w:tblCellMar>
            <w:top w:w="0" w:type="dxa"/>
            <w:left w:w="108" w:type="dxa"/>
            <w:bottom w:w="0" w:type="dxa"/>
            <w:right w:w="108" w:type="dxa"/>
          </w:tblCellMar>
        </w:tblPrEx>
        <w:trPr>
          <w:trHeight w:val="711"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BB4C97E">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2D5AF15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3CA57F0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提供交货承诺书，承诺书中</w:t>
            </w:r>
            <w:r>
              <w:rPr>
                <w:rFonts w:hint="eastAsia" w:ascii="宋体" w:hAnsi="宋体" w:eastAsia="宋体" w:cs="宋体"/>
                <w:color w:val="auto"/>
                <w:kern w:val="0"/>
                <w:sz w:val="16"/>
                <w:szCs w:val="16"/>
                <w:highlight w:val="none"/>
              </w:rPr>
              <w:t>投标人承诺的交货期，每优于招标文件要求</w:t>
            </w:r>
            <w:r>
              <w:rPr>
                <w:rFonts w:hint="eastAsia" w:ascii="宋体" w:hAnsi="宋体" w:cs="宋体"/>
                <w:color w:val="auto"/>
                <w:kern w:val="0"/>
                <w:sz w:val="16"/>
                <w:szCs w:val="16"/>
                <w:highlight w:val="none"/>
                <w:lang w:val="en-US" w:eastAsia="zh-CN"/>
              </w:rPr>
              <w:t>15</w:t>
            </w:r>
            <w:r>
              <w:rPr>
                <w:rFonts w:hint="eastAsia" w:ascii="宋体" w:hAnsi="宋体" w:eastAsia="宋体" w:cs="宋体"/>
                <w:color w:val="auto"/>
                <w:kern w:val="0"/>
                <w:sz w:val="16"/>
                <w:szCs w:val="16"/>
                <w:highlight w:val="none"/>
              </w:rPr>
              <w:t>天得</w:t>
            </w:r>
            <w:r>
              <w:rPr>
                <w:rFonts w:hint="eastAsia" w:ascii="宋体" w:hAnsi="宋体" w:eastAsia="宋体" w:cs="宋体"/>
                <w:color w:val="auto"/>
                <w:kern w:val="0"/>
                <w:sz w:val="16"/>
                <w:szCs w:val="16"/>
                <w:highlight w:val="none"/>
                <w:lang w:val="en-US" w:eastAsia="zh-CN"/>
              </w:rPr>
              <w:t>0.5</w:t>
            </w:r>
            <w:r>
              <w:rPr>
                <w:rFonts w:hint="eastAsia" w:ascii="宋体" w:hAnsi="宋体" w:eastAsia="宋体" w:cs="宋体"/>
                <w:color w:val="auto"/>
                <w:kern w:val="0"/>
                <w:sz w:val="16"/>
                <w:szCs w:val="16"/>
                <w:highlight w:val="none"/>
              </w:rPr>
              <w:t>分，最高</w:t>
            </w:r>
            <w:r>
              <w:rPr>
                <w:rFonts w:hint="eastAsia" w:ascii="宋体" w:hAnsi="宋体" w:eastAsia="宋体" w:cs="宋体"/>
                <w:color w:val="auto"/>
                <w:kern w:val="0"/>
                <w:sz w:val="16"/>
                <w:szCs w:val="16"/>
                <w:highlight w:val="none"/>
                <w:lang w:eastAsia="zh-CN"/>
              </w:rPr>
              <w:t>加</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p>
        </w:tc>
        <w:tc>
          <w:tcPr>
            <w:tcW w:w="996" w:type="dxa"/>
            <w:vMerge w:val="restart"/>
            <w:tcBorders>
              <w:top w:val="nil"/>
              <w:left w:val="nil"/>
              <w:right w:val="single" w:color="auto" w:sz="4" w:space="0"/>
            </w:tcBorders>
            <w:noWrap w:val="0"/>
            <w:vAlign w:val="top"/>
          </w:tcPr>
          <w:p w14:paraId="1EC76751">
            <w:pPr>
              <w:keepNext w:val="0"/>
              <w:keepLines w:val="0"/>
              <w:widowControl/>
              <w:suppressLineNumbers w:val="0"/>
              <w:spacing w:before="0" w:beforeAutospacing="0" w:after="0" w:afterAutospacing="0"/>
              <w:ind w:left="0" w:right="0"/>
              <w:jc w:val="center"/>
              <w:rPr>
                <w:rFonts w:hint="eastAsia" w:ascii="宋体" w:hAnsi="宋体" w:cs="宋体"/>
                <w:color w:val="FF0000"/>
                <w:kern w:val="0"/>
                <w:sz w:val="18"/>
                <w:szCs w:val="18"/>
              </w:rPr>
            </w:pPr>
          </w:p>
        </w:tc>
      </w:tr>
      <w:tr w14:paraId="1C7EBD84">
        <w:tblPrEx>
          <w:tblCellMar>
            <w:top w:w="0" w:type="dxa"/>
            <w:left w:w="108" w:type="dxa"/>
            <w:bottom w:w="0" w:type="dxa"/>
            <w:right w:w="108" w:type="dxa"/>
          </w:tblCellMar>
        </w:tblPrEx>
        <w:trPr>
          <w:trHeight w:val="711"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5A34BDF">
            <w:pPr>
              <w:keepNext w:val="0"/>
              <w:keepLines w:val="0"/>
              <w:widowControl/>
              <w:suppressLineNumbers w:val="0"/>
              <w:spacing w:before="0" w:beforeAutospacing="0" w:after="0" w:afterAutospacing="0"/>
              <w:ind w:left="0" w:right="0"/>
              <w:jc w:val="left"/>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41FD27E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25F82E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分）：质保期满足招标文件要求得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lang w:eastAsia="zh-CN"/>
              </w:rPr>
              <w:t>承诺书，承诺书中</w:t>
            </w:r>
            <w:r>
              <w:rPr>
                <w:rFonts w:hint="eastAsia" w:ascii="宋体" w:hAnsi="宋体" w:eastAsia="宋体" w:cs="宋体"/>
                <w:color w:val="auto"/>
                <w:kern w:val="0"/>
                <w:sz w:val="16"/>
                <w:szCs w:val="16"/>
                <w:highlight w:val="none"/>
              </w:rPr>
              <w:t>投标人承诺的</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rPr>
              <w:t>期，每增加一年加0.5分，最多加1分</w:t>
            </w:r>
            <w:r>
              <w:rPr>
                <w:rFonts w:hint="eastAsia" w:ascii="宋体" w:hAnsi="宋体" w:eastAsia="宋体" w:cs="宋体"/>
                <w:color w:val="auto"/>
                <w:kern w:val="0"/>
                <w:sz w:val="16"/>
                <w:szCs w:val="16"/>
                <w:highlight w:val="none"/>
                <w:lang w:val="en-US" w:eastAsia="zh-CN"/>
              </w:rPr>
              <w:t>。</w:t>
            </w:r>
          </w:p>
        </w:tc>
        <w:tc>
          <w:tcPr>
            <w:tcW w:w="996" w:type="dxa"/>
            <w:vMerge w:val="continue"/>
            <w:tcBorders>
              <w:left w:val="nil"/>
              <w:bottom w:val="single" w:color="auto" w:sz="4" w:space="0"/>
              <w:right w:val="single" w:color="auto" w:sz="4" w:space="0"/>
            </w:tcBorders>
            <w:noWrap w:val="0"/>
            <w:vAlign w:val="top"/>
          </w:tcPr>
          <w:p w14:paraId="497B3E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p>
        </w:tc>
      </w:tr>
      <w:tr w14:paraId="0219474A">
        <w:tblPrEx>
          <w:tblCellMar>
            <w:top w:w="0" w:type="dxa"/>
            <w:left w:w="108" w:type="dxa"/>
            <w:bottom w:w="0" w:type="dxa"/>
            <w:right w:w="108" w:type="dxa"/>
          </w:tblCellMar>
        </w:tblPrEx>
        <w:trPr>
          <w:trHeight w:val="490" w:hRule="atLeast"/>
        </w:trPr>
        <w:tc>
          <w:tcPr>
            <w:tcW w:w="8003" w:type="dxa"/>
            <w:gridSpan w:val="3"/>
            <w:tcBorders>
              <w:top w:val="single" w:color="auto" w:sz="4" w:space="0"/>
              <w:left w:val="single" w:color="auto" w:sz="4" w:space="0"/>
              <w:bottom w:val="single" w:color="auto" w:sz="4" w:space="0"/>
              <w:right w:val="single" w:color="auto" w:sz="4" w:space="0"/>
            </w:tcBorders>
            <w:noWrap/>
            <w:vAlign w:val="center"/>
          </w:tcPr>
          <w:p w14:paraId="2991458B">
            <w:pPr>
              <w:keepNext w:val="0"/>
              <w:keepLines w:val="0"/>
              <w:widowControl/>
              <w:suppressLineNumbers w:val="0"/>
              <w:spacing w:before="0" w:beforeAutospacing="0" w:after="0" w:afterAutospacing="0"/>
              <w:ind w:left="0" w:right="0"/>
              <w:jc w:val="center"/>
              <w:rPr>
                <w:rFonts w:hint="default" w:ascii="宋体"/>
                <w:kern w:val="0"/>
                <w:sz w:val="24"/>
              </w:rPr>
            </w:pPr>
            <w:r>
              <w:rPr>
                <w:rFonts w:hint="eastAsia" w:ascii="宋体" w:hAnsi="宋体" w:cs="宋体"/>
                <w:kern w:val="0"/>
                <w:sz w:val="24"/>
              </w:rPr>
              <w:t>最后得分</w:t>
            </w:r>
          </w:p>
        </w:tc>
        <w:tc>
          <w:tcPr>
            <w:tcW w:w="996" w:type="dxa"/>
            <w:tcBorders>
              <w:top w:val="nil"/>
              <w:left w:val="nil"/>
              <w:bottom w:val="single" w:color="auto" w:sz="4" w:space="0"/>
              <w:right w:val="single" w:color="auto" w:sz="4" w:space="0"/>
            </w:tcBorders>
            <w:noWrap/>
            <w:vAlign w:val="center"/>
          </w:tcPr>
          <w:p w14:paraId="681DF8F6">
            <w:pPr>
              <w:keepNext w:val="0"/>
              <w:keepLines w:val="0"/>
              <w:widowControl/>
              <w:suppressLineNumbers w:val="0"/>
              <w:spacing w:before="0" w:beforeAutospacing="0" w:after="0" w:afterAutospacing="0"/>
              <w:ind w:left="0" w:right="0"/>
              <w:jc w:val="left"/>
              <w:rPr>
                <w:rFonts w:hint="default" w:ascii="宋体"/>
                <w:color w:val="FF0000"/>
                <w:kern w:val="0"/>
                <w:sz w:val="24"/>
              </w:rPr>
            </w:pPr>
            <w:r>
              <w:rPr>
                <w:rFonts w:hint="eastAsia" w:ascii="宋体" w:hAnsi="宋体" w:cs="宋体"/>
                <w:color w:val="FF0000"/>
                <w:kern w:val="0"/>
                <w:sz w:val="24"/>
              </w:rPr>
              <w:t>　</w:t>
            </w:r>
          </w:p>
        </w:tc>
      </w:tr>
      <w:bookmarkEnd w:id="379"/>
    </w:tbl>
    <w:p w14:paraId="3A994790">
      <w:pPr>
        <w:pStyle w:val="40"/>
        <w:tabs>
          <w:tab w:val="clear" w:pos="567"/>
        </w:tabs>
        <w:spacing w:before="0" w:line="240" w:lineRule="auto"/>
        <w:ind w:firstLine="480" w:firstLineChars="200"/>
        <w:jc w:val="center"/>
        <w:rPr>
          <w:bCs/>
          <w:color w:val="000000"/>
        </w:rPr>
      </w:pPr>
    </w:p>
    <w:p w14:paraId="555A79DE">
      <w:pPr>
        <w:rPr>
          <w:rFonts w:hint="eastAsia" w:ascii="方正小标宋简体" w:hAnsi="方正小标宋简体" w:eastAsia="方正小标宋简体"/>
          <w:b/>
          <w:sz w:val="52"/>
          <w:szCs w:val="52"/>
          <w:lang w:val="en-US" w:eastAsia="zh-CN"/>
        </w:rPr>
      </w:pPr>
      <w:r>
        <w:rPr>
          <w:rFonts w:hint="eastAsia" w:ascii="方正小标宋简体" w:hAnsi="方正小标宋简体" w:eastAsia="方正小标宋简体"/>
          <w:b/>
          <w:sz w:val="52"/>
          <w:szCs w:val="52"/>
          <w:lang w:val="en-US" w:eastAsia="zh-CN"/>
        </w:rPr>
        <w:br w:type="page"/>
      </w:r>
    </w:p>
    <w:p w14:paraId="092E79A1">
      <w:pPr>
        <w:spacing w:line="400" w:lineRule="atLeast"/>
        <w:jc w:val="center"/>
        <w:rPr>
          <w:rFonts w:hint="eastAsia" w:ascii="方正小标宋简体" w:hAnsi="方正小标宋简体" w:eastAsia="方正小标宋简体"/>
          <w:b/>
          <w:sz w:val="52"/>
          <w:szCs w:val="52"/>
          <w:lang w:val="en-US" w:eastAsia="zh-CN"/>
        </w:rPr>
      </w:pPr>
    </w:p>
    <w:p w14:paraId="2C5CB8E9">
      <w:pPr>
        <w:spacing w:line="400" w:lineRule="atLeast"/>
        <w:jc w:val="center"/>
        <w:rPr>
          <w:rFonts w:hint="eastAsia" w:ascii="方正小标宋简体" w:hAnsi="方正小标宋简体" w:eastAsia="方正小标宋简体"/>
          <w:b/>
          <w:sz w:val="52"/>
          <w:szCs w:val="52"/>
          <w:lang w:val="en-US" w:eastAsia="zh-CN"/>
        </w:rPr>
      </w:pPr>
    </w:p>
    <w:p w14:paraId="4675CAE2">
      <w:pPr>
        <w:spacing w:line="400" w:lineRule="atLeast"/>
        <w:jc w:val="center"/>
        <w:rPr>
          <w:rFonts w:hint="eastAsia" w:ascii="方正小标宋简体" w:hAnsi="方正小标宋简体" w:eastAsia="方正小标宋简体"/>
          <w:b/>
          <w:sz w:val="52"/>
          <w:szCs w:val="52"/>
          <w:lang w:val="en-US" w:eastAsia="zh-CN"/>
        </w:rPr>
      </w:pPr>
    </w:p>
    <w:p w14:paraId="24EB123C">
      <w:pPr>
        <w:spacing w:line="400" w:lineRule="atLeast"/>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val="en-US" w:eastAsia="zh-CN"/>
        </w:rPr>
        <w:t>喀什职业技术学院文艺实训基地设备采购项目</w:t>
      </w:r>
    </w:p>
    <w:p w14:paraId="55B1E0FC">
      <w:pPr>
        <w:spacing w:line="400" w:lineRule="atLeast"/>
        <w:jc w:val="center"/>
        <w:rPr>
          <w:rFonts w:ascii="方正小标宋简体" w:hAnsi="方正小标宋简体" w:eastAsia="方正小标宋简体"/>
          <w:b/>
          <w:sz w:val="52"/>
          <w:szCs w:val="52"/>
        </w:rPr>
      </w:pPr>
    </w:p>
    <w:p w14:paraId="68D4D5DC">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56D8EA6D">
      <w:pPr>
        <w:spacing w:line="360" w:lineRule="auto"/>
        <w:ind w:left="1080" w:leftChars="257" w:hanging="540"/>
        <w:jc w:val="center"/>
        <w:rPr>
          <w:rFonts w:eastAsia="仿宋"/>
          <w:bCs/>
          <w:sz w:val="52"/>
          <w:szCs w:val="52"/>
        </w:rPr>
      </w:pPr>
    </w:p>
    <w:p w14:paraId="1370B105">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2025-30</w:t>
      </w:r>
      <w:r>
        <w:rPr>
          <w:rFonts w:eastAsia="仿宋"/>
          <w:bCs/>
          <w:sz w:val="32"/>
          <w:szCs w:val="32"/>
        </w:rPr>
        <w:t>）</w:t>
      </w:r>
    </w:p>
    <w:p w14:paraId="71EFFFB7">
      <w:pPr>
        <w:spacing w:line="360" w:lineRule="auto"/>
        <w:ind w:left="1080" w:leftChars="257" w:hanging="540"/>
        <w:jc w:val="center"/>
        <w:rPr>
          <w:rFonts w:eastAsia="仿宋"/>
          <w:b/>
          <w:sz w:val="32"/>
          <w:szCs w:val="32"/>
        </w:rPr>
      </w:pPr>
    </w:p>
    <w:p w14:paraId="1EC3738D">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4BF27D56">
      <w:pPr>
        <w:spacing w:line="360" w:lineRule="auto"/>
        <w:ind w:left="1080" w:leftChars="257" w:hanging="540"/>
        <w:jc w:val="center"/>
        <w:rPr>
          <w:rFonts w:eastAsia="仿宋"/>
          <w:b/>
          <w:sz w:val="52"/>
        </w:rPr>
      </w:pPr>
    </w:p>
    <w:p w14:paraId="3A338107">
      <w:pPr>
        <w:pStyle w:val="40"/>
        <w:tabs>
          <w:tab w:val="clear" w:pos="567"/>
        </w:tabs>
        <w:rPr>
          <w:rFonts w:ascii="Times New Roman" w:hAnsi="Times New Roman" w:eastAsia="仿宋"/>
          <w:b/>
          <w:sz w:val="52"/>
        </w:rPr>
      </w:pPr>
    </w:p>
    <w:p w14:paraId="342E55F8">
      <w:pPr>
        <w:pStyle w:val="40"/>
        <w:tabs>
          <w:tab w:val="clear" w:pos="567"/>
        </w:tabs>
        <w:rPr>
          <w:rFonts w:ascii="Times New Roman" w:hAnsi="Times New Roman" w:eastAsia="仿宋"/>
          <w:b/>
          <w:sz w:val="52"/>
        </w:rPr>
      </w:pPr>
    </w:p>
    <w:p w14:paraId="32D3A977">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1F104F01">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350A7D3F">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7F1C90D0">
      <w:pPr>
        <w:pStyle w:val="33"/>
        <w:tabs>
          <w:tab w:val="left" w:pos="0"/>
        </w:tabs>
        <w:spacing w:before="0" w:after="0" w:line="360" w:lineRule="auto"/>
        <w:jc w:val="both"/>
        <w:rPr>
          <w:rFonts w:ascii="Times New Roman" w:eastAsia="仿宋"/>
        </w:rPr>
      </w:pPr>
      <w:r>
        <w:rPr>
          <w:rFonts w:ascii="Times New Roman" w:eastAsia="仿宋"/>
        </w:rPr>
        <w:br w:type="page"/>
      </w:r>
    </w:p>
    <w:p w14:paraId="5BCF8ED2">
      <w:pPr>
        <w:pStyle w:val="88"/>
      </w:pPr>
      <w:bookmarkStart w:id="380" w:name="_Toc26032"/>
      <w:bookmarkEnd w:id="380"/>
      <w:bookmarkStart w:id="381" w:name="_Hlt487972895"/>
      <w:bookmarkEnd w:id="381"/>
    </w:p>
    <w:p w14:paraId="59915A96">
      <w:pPr>
        <w:pStyle w:val="3"/>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rPr>
        <w:t>7</w:t>
      </w:r>
      <w:r>
        <w:rPr>
          <w:rFonts w:ascii="Times New Roman" w:eastAsia="仿宋"/>
        </w:rPr>
        <w:t>章  政府采购合同</w:t>
      </w:r>
      <w:bookmarkStart w:id="382" w:name="_Toc216513788"/>
      <w:bookmarkStart w:id="383" w:name="_Toc487900382"/>
    </w:p>
    <w:bookmarkEnd w:id="382"/>
    <w:bookmarkEnd w:id="383"/>
    <w:p w14:paraId="70564D8F">
      <w:pPr>
        <w:pStyle w:val="6"/>
        <w:spacing w:line="360" w:lineRule="auto"/>
        <w:ind w:left="1080" w:leftChars="257" w:hanging="540"/>
        <w:rPr>
          <w:rFonts w:ascii="Times New Roman" w:eastAsia="仿宋"/>
          <w:sz w:val="28"/>
        </w:rPr>
      </w:pPr>
    </w:p>
    <w:p w14:paraId="7B931A44">
      <w:pPr>
        <w:pStyle w:val="17"/>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14:paraId="3F0B1FF1">
      <w:pPr>
        <w:rPr>
          <w:rFonts w:hint="eastAsia" w:ascii="仿宋" w:hAnsi="仿宋" w:eastAsia="仿宋" w:cs="仿宋"/>
          <w:b/>
          <w:bCs/>
          <w:sz w:val="24"/>
          <w:szCs w:val="24"/>
        </w:rPr>
      </w:pPr>
    </w:p>
    <w:p w14:paraId="4B7B7795">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货物</w:t>
      </w:r>
      <w:r>
        <w:rPr>
          <w:rFonts w:eastAsia="仿宋"/>
          <w:kern w:val="44"/>
          <w:sz w:val="28"/>
          <w:szCs w:val="28"/>
        </w:rPr>
        <w:t>类政府采购合同参考范本订立采购合同。</w:t>
      </w:r>
    </w:p>
    <w:p w14:paraId="33418377">
      <w:pPr>
        <w:spacing w:line="360" w:lineRule="auto"/>
        <w:rPr>
          <w:rFonts w:eastAsia="仿宋"/>
          <w:sz w:val="28"/>
          <w:szCs w:val="28"/>
        </w:rPr>
      </w:pPr>
    </w:p>
    <w:p w14:paraId="4DCBB49A">
      <w:pPr>
        <w:spacing w:line="360" w:lineRule="auto"/>
        <w:rPr>
          <w:rFonts w:eastAsia="仿宋"/>
          <w:sz w:val="28"/>
          <w:szCs w:val="28"/>
          <w:u w:val="single"/>
        </w:rPr>
      </w:pPr>
      <w:r>
        <w:rPr>
          <w:rFonts w:eastAsia="仿宋"/>
          <w:sz w:val="28"/>
          <w:szCs w:val="28"/>
        </w:rPr>
        <w:t>合同编号：</w:t>
      </w:r>
    </w:p>
    <w:p w14:paraId="42A3BE8C">
      <w:pPr>
        <w:spacing w:line="360" w:lineRule="auto"/>
        <w:rPr>
          <w:rFonts w:eastAsia="仿宋"/>
          <w:b/>
          <w:bCs/>
          <w:sz w:val="28"/>
          <w:szCs w:val="28"/>
        </w:rPr>
      </w:pPr>
    </w:p>
    <w:p w14:paraId="2869725D">
      <w:pPr>
        <w:spacing w:line="360" w:lineRule="auto"/>
        <w:jc w:val="center"/>
        <w:outlineLvl w:val="0"/>
        <w:rPr>
          <w:rFonts w:eastAsia="仿宋"/>
          <w:b/>
          <w:bCs/>
          <w:sz w:val="28"/>
          <w:szCs w:val="28"/>
        </w:rPr>
      </w:pPr>
      <w:bookmarkStart w:id="384" w:name="_Toc11640"/>
      <w:bookmarkStart w:id="385" w:name="_Toc2691"/>
      <w:bookmarkStart w:id="386" w:name="_Toc23874"/>
      <w:bookmarkStart w:id="387" w:name="_Toc12783"/>
      <w:bookmarkStart w:id="388" w:name="_Toc28076"/>
      <w:r>
        <w:rPr>
          <w:rFonts w:eastAsia="仿宋"/>
          <w:b/>
          <w:bCs/>
          <w:sz w:val="28"/>
          <w:szCs w:val="28"/>
        </w:rPr>
        <w:t>喀什地区政府采购合同</w:t>
      </w:r>
      <w:bookmarkEnd w:id="384"/>
      <w:bookmarkEnd w:id="385"/>
      <w:bookmarkEnd w:id="386"/>
      <w:bookmarkEnd w:id="387"/>
      <w:bookmarkEnd w:id="388"/>
    </w:p>
    <w:p w14:paraId="18909513">
      <w:pPr>
        <w:pStyle w:val="64"/>
        <w:spacing w:line="360" w:lineRule="auto"/>
        <w:ind w:firstLine="0"/>
        <w:rPr>
          <w:rFonts w:ascii="Times New Roman" w:eastAsia="仿宋"/>
          <w:sz w:val="28"/>
          <w:szCs w:val="28"/>
        </w:rPr>
      </w:pPr>
    </w:p>
    <w:p w14:paraId="36E87614">
      <w:pPr>
        <w:pStyle w:val="64"/>
        <w:spacing w:line="360" w:lineRule="auto"/>
        <w:ind w:firstLine="0"/>
        <w:rPr>
          <w:rFonts w:ascii="Times New Roman" w:eastAsia="仿宋"/>
          <w:sz w:val="28"/>
          <w:szCs w:val="28"/>
        </w:rPr>
      </w:pPr>
    </w:p>
    <w:p w14:paraId="6FF89522">
      <w:pPr>
        <w:pStyle w:val="64"/>
        <w:spacing w:line="360" w:lineRule="auto"/>
        <w:ind w:firstLine="0"/>
        <w:jc w:val="center"/>
        <w:outlineLvl w:val="0"/>
        <w:rPr>
          <w:rFonts w:ascii="Times New Roman" w:eastAsia="仿宋"/>
          <w:b/>
          <w:bCs/>
          <w:sz w:val="28"/>
          <w:szCs w:val="28"/>
        </w:rPr>
      </w:pPr>
      <w:bookmarkStart w:id="389" w:name="_Toc5404"/>
      <w:bookmarkStart w:id="390" w:name="_Toc7173"/>
      <w:bookmarkStart w:id="391" w:name="_Toc21311"/>
      <w:bookmarkStart w:id="392" w:name="_Toc1212"/>
      <w:bookmarkStart w:id="393" w:name="_Toc23162"/>
      <w:r>
        <w:rPr>
          <w:rFonts w:ascii="Times New Roman" w:eastAsia="仿宋"/>
          <w:b/>
          <w:bCs/>
          <w:sz w:val="28"/>
          <w:szCs w:val="28"/>
        </w:rPr>
        <w:t>第一部分合同书</w:t>
      </w:r>
      <w:bookmarkEnd w:id="389"/>
      <w:bookmarkEnd w:id="390"/>
      <w:bookmarkEnd w:id="391"/>
      <w:bookmarkEnd w:id="392"/>
      <w:bookmarkEnd w:id="393"/>
    </w:p>
    <w:p w14:paraId="0BCF5089">
      <w:pPr>
        <w:pStyle w:val="64"/>
        <w:spacing w:line="360" w:lineRule="auto"/>
        <w:ind w:firstLine="0"/>
        <w:rPr>
          <w:rFonts w:ascii="Times New Roman" w:eastAsia="仿宋"/>
          <w:sz w:val="28"/>
          <w:szCs w:val="28"/>
        </w:rPr>
      </w:pPr>
    </w:p>
    <w:p w14:paraId="01F15A93">
      <w:pPr>
        <w:pStyle w:val="64"/>
        <w:spacing w:line="360" w:lineRule="auto"/>
        <w:ind w:firstLine="0"/>
        <w:rPr>
          <w:rFonts w:ascii="Times New Roman" w:eastAsia="仿宋"/>
          <w:sz w:val="28"/>
          <w:szCs w:val="28"/>
        </w:rPr>
      </w:pPr>
    </w:p>
    <w:p w14:paraId="178A9690">
      <w:pPr>
        <w:spacing w:before="120" w:line="360" w:lineRule="auto"/>
        <w:rPr>
          <w:rFonts w:eastAsia="仿宋"/>
          <w:sz w:val="28"/>
          <w:szCs w:val="28"/>
        </w:rPr>
      </w:pPr>
    </w:p>
    <w:p w14:paraId="7768ED50">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7CF4915A">
      <w:pPr>
        <w:spacing w:line="360" w:lineRule="auto"/>
        <w:ind w:left="2520" w:hanging="2520" w:hangingChars="900"/>
        <w:jc w:val="left"/>
        <w:rPr>
          <w:rFonts w:eastAsia="仿宋"/>
          <w:sz w:val="28"/>
          <w:szCs w:val="28"/>
          <w:u w:val="single"/>
        </w:rPr>
      </w:pPr>
    </w:p>
    <w:p w14:paraId="68E156DB">
      <w:pPr>
        <w:spacing w:before="120" w:line="360" w:lineRule="auto"/>
        <w:ind w:left="960"/>
        <w:rPr>
          <w:rFonts w:eastAsia="仿宋"/>
          <w:sz w:val="28"/>
          <w:szCs w:val="28"/>
        </w:rPr>
      </w:pPr>
    </w:p>
    <w:p w14:paraId="5234CD19">
      <w:pPr>
        <w:pStyle w:val="65"/>
        <w:spacing w:before="120"/>
        <w:rPr>
          <w:rFonts w:ascii="Times New Roman" w:eastAsia="仿宋"/>
          <w:sz w:val="28"/>
          <w:szCs w:val="28"/>
        </w:rPr>
      </w:pPr>
    </w:p>
    <w:p w14:paraId="4DB72E8B">
      <w:pPr>
        <w:spacing w:line="360" w:lineRule="auto"/>
        <w:rPr>
          <w:rFonts w:eastAsia="仿宋"/>
          <w:sz w:val="28"/>
          <w:szCs w:val="28"/>
        </w:rPr>
      </w:pPr>
    </w:p>
    <w:p w14:paraId="57B14073">
      <w:pPr>
        <w:spacing w:before="120" w:line="360" w:lineRule="auto"/>
        <w:ind w:firstLine="560" w:firstLineChars="200"/>
        <w:rPr>
          <w:rFonts w:eastAsia="仿宋"/>
          <w:sz w:val="28"/>
          <w:szCs w:val="28"/>
        </w:rPr>
      </w:pPr>
      <w:r>
        <w:rPr>
          <w:rFonts w:eastAsia="仿宋"/>
          <w:sz w:val="28"/>
          <w:szCs w:val="28"/>
        </w:rPr>
        <w:t>甲方：</w:t>
      </w:r>
    </w:p>
    <w:p w14:paraId="0B3606E1">
      <w:pPr>
        <w:spacing w:before="120" w:line="360" w:lineRule="auto"/>
        <w:ind w:firstLine="560" w:firstLineChars="200"/>
        <w:rPr>
          <w:rFonts w:eastAsia="仿宋"/>
          <w:sz w:val="28"/>
          <w:szCs w:val="28"/>
        </w:rPr>
      </w:pPr>
      <w:r>
        <w:rPr>
          <w:rFonts w:eastAsia="仿宋"/>
          <w:sz w:val="28"/>
          <w:szCs w:val="28"/>
        </w:rPr>
        <w:t>乙方：</w:t>
      </w:r>
    </w:p>
    <w:p w14:paraId="2DD23ACC">
      <w:pPr>
        <w:spacing w:before="120" w:line="360" w:lineRule="auto"/>
        <w:ind w:firstLine="560" w:firstLineChars="200"/>
        <w:rPr>
          <w:rFonts w:eastAsia="仿宋"/>
          <w:sz w:val="28"/>
          <w:szCs w:val="28"/>
        </w:rPr>
      </w:pPr>
      <w:r>
        <w:rPr>
          <w:rFonts w:eastAsia="仿宋"/>
          <w:sz w:val="28"/>
          <w:szCs w:val="28"/>
        </w:rPr>
        <w:t>签订地：</w:t>
      </w:r>
    </w:p>
    <w:p w14:paraId="5C59831C">
      <w:pPr>
        <w:spacing w:before="120" w:line="360" w:lineRule="auto"/>
        <w:ind w:firstLine="560" w:firstLineChars="200"/>
        <w:rPr>
          <w:rFonts w:eastAsia="仿宋"/>
          <w:sz w:val="28"/>
          <w:szCs w:val="28"/>
          <w:u w:val="single"/>
        </w:rPr>
      </w:pPr>
      <w:r>
        <w:rPr>
          <w:rFonts w:eastAsia="仿宋"/>
          <w:sz w:val="28"/>
          <w:szCs w:val="28"/>
        </w:rPr>
        <w:t>签订日期：年月日</w:t>
      </w:r>
    </w:p>
    <w:p w14:paraId="5F3A4FF5">
      <w:pPr>
        <w:autoSpaceDE w:val="0"/>
        <w:autoSpaceDN w:val="0"/>
        <w:adjustRightInd w:val="0"/>
        <w:spacing w:line="360" w:lineRule="auto"/>
        <w:ind w:firstLine="640"/>
        <w:jc w:val="center"/>
        <w:rPr>
          <w:rFonts w:eastAsia="仿宋"/>
          <w:sz w:val="28"/>
          <w:szCs w:val="28"/>
        </w:rPr>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72585CD7">
      <w:pPr>
        <w:rPr>
          <w:rFonts w:hint="eastAsia" w:ascii="仿宋" w:hAnsi="仿宋" w:eastAsia="仿宋" w:cs="仿宋"/>
          <w:b/>
          <w:bCs/>
          <w:sz w:val="24"/>
          <w:szCs w:val="24"/>
        </w:rPr>
      </w:pPr>
    </w:p>
    <w:p w14:paraId="5D409392">
      <w:pPr>
        <w:pStyle w:val="2"/>
        <w:tabs>
          <w:tab w:val="left" w:pos="567"/>
        </w:tabs>
        <w:spacing w:after="0"/>
        <w:jc w:val="center"/>
        <w:rPr>
          <w:rFonts w:ascii="宋体" w:hAnsi="宋体" w:cs="宋体"/>
          <w:b/>
          <w:bCs/>
          <w:spacing w:val="-20"/>
          <w:kern w:val="44"/>
          <w:sz w:val="48"/>
          <w:szCs w:val="48"/>
        </w:rPr>
      </w:pPr>
      <w:bookmarkStart w:id="394" w:name="_Toc3995"/>
    </w:p>
    <w:p w14:paraId="2EAB5FAB">
      <w:pPr>
        <w:pStyle w:val="2"/>
        <w:tabs>
          <w:tab w:val="left" w:pos="567"/>
        </w:tabs>
        <w:spacing w:after="0"/>
        <w:jc w:val="center"/>
        <w:rPr>
          <w:rFonts w:hint="eastAsia" w:ascii="仿宋" w:hAnsi="仿宋" w:eastAsia="仿宋" w:cs="仿宋"/>
          <w:b/>
          <w:bCs/>
          <w:spacing w:val="-20"/>
          <w:kern w:val="44"/>
          <w:sz w:val="48"/>
          <w:szCs w:val="48"/>
        </w:rPr>
      </w:pPr>
    </w:p>
    <w:p w14:paraId="78E0C9C5">
      <w:pPr>
        <w:pStyle w:val="2"/>
        <w:tabs>
          <w:tab w:val="left" w:pos="567"/>
        </w:tabs>
        <w:spacing w:after="0"/>
        <w:jc w:val="center"/>
        <w:rPr>
          <w:rFonts w:hint="eastAsia" w:ascii="仿宋" w:hAnsi="仿宋" w:eastAsia="仿宋" w:cs="仿宋"/>
          <w:b/>
          <w:bCs/>
          <w:spacing w:val="-20"/>
          <w:kern w:val="44"/>
          <w:sz w:val="48"/>
          <w:szCs w:val="48"/>
        </w:rPr>
      </w:pPr>
    </w:p>
    <w:p w14:paraId="202AB336">
      <w:pPr>
        <w:pStyle w:val="2"/>
        <w:tabs>
          <w:tab w:val="left" w:pos="567"/>
        </w:tabs>
        <w:spacing w:after="0"/>
        <w:jc w:val="center"/>
        <w:rPr>
          <w:rFonts w:hint="eastAsia" w:ascii="仿宋" w:hAnsi="仿宋" w:eastAsia="仿宋" w:cs="仿宋"/>
          <w:b/>
          <w:bCs/>
          <w:spacing w:val="-20"/>
          <w:kern w:val="44"/>
          <w:sz w:val="48"/>
          <w:szCs w:val="48"/>
        </w:rPr>
      </w:pPr>
    </w:p>
    <w:p w14:paraId="47B9E1A8">
      <w:pPr>
        <w:pStyle w:val="2"/>
        <w:tabs>
          <w:tab w:val="left" w:pos="567"/>
        </w:tabs>
        <w:spacing w:after="0"/>
        <w:jc w:val="center"/>
        <w:rPr>
          <w:rFonts w:hint="eastAsia" w:ascii="仿宋" w:hAnsi="仿宋" w:eastAsia="仿宋" w:cs="仿宋"/>
          <w:b/>
          <w:bCs/>
          <w:spacing w:val="-20"/>
          <w:kern w:val="44"/>
          <w:sz w:val="48"/>
          <w:szCs w:val="48"/>
        </w:rPr>
      </w:pPr>
    </w:p>
    <w:p w14:paraId="35682A0B">
      <w:pPr>
        <w:pStyle w:val="2"/>
        <w:tabs>
          <w:tab w:val="left" w:pos="567"/>
        </w:tabs>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2EF794A9">
      <w:pPr>
        <w:pStyle w:val="2"/>
        <w:tabs>
          <w:tab w:val="left" w:pos="567"/>
        </w:tabs>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2202ADF0">
      <w:pPr>
        <w:rPr>
          <w:rFonts w:hint="eastAsia" w:ascii="仿宋" w:hAnsi="仿宋" w:eastAsia="仿宋" w:cs="仿宋"/>
          <w:b/>
          <w:bCs/>
          <w:spacing w:val="-20"/>
          <w:kern w:val="44"/>
          <w:sz w:val="40"/>
          <w:szCs w:val="40"/>
        </w:rPr>
      </w:pPr>
    </w:p>
    <w:p w14:paraId="341D23AB">
      <w:pPr>
        <w:rPr>
          <w:rFonts w:hint="eastAsia" w:ascii="仿宋" w:hAnsi="仿宋" w:eastAsia="仿宋" w:cs="仿宋"/>
          <w:b/>
          <w:bCs/>
          <w:spacing w:val="-20"/>
          <w:kern w:val="44"/>
          <w:sz w:val="40"/>
          <w:szCs w:val="40"/>
        </w:rPr>
      </w:pPr>
    </w:p>
    <w:p w14:paraId="4E2F78DD">
      <w:pPr>
        <w:rPr>
          <w:rFonts w:hint="eastAsia" w:ascii="仿宋" w:hAnsi="仿宋" w:eastAsia="仿宋" w:cs="仿宋"/>
          <w:b/>
          <w:bCs/>
          <w:spacing w:val="-20"/>
          <w:kern w:val="44"/>
          <w:sz w:val="40"/>
          <w:szCs w:val="40"/>
        </w:rPr>
      </w:pPr>
    </w:p>
    <w:p w14:paraId="73BA14DD">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EF1F61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DD1FB2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D98C42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062B017C">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6477441">
      <w:pPr>
        <w:rPr>
          <w:rFonts w:hint="eastAsia" w:ascii="仿宋" w:hAnsi="仿宋" w:eastAsia="仿宋" w:cs="仿宋"/>
        </w:rPr>
      </w:pPr>
    </w:p>
    <w:p w14:paraId="3F7B7FFF">
      <w:pPr>
        <w:rPr>
          <w:rFonts w:hint="eastAsia" w:ascii="仿宋" w:hAnsi="仿宋" w:eastAsia="仿宋" w:cs="仿宋"/>
          <w:sz w:val="44"/>
          <w:szCs w:val="44"/>
        </w:rPr>
      </w:pPr>
      <w:r>
        <w:rPr>
          <w:rFonts w:hint="eastAsia" w:ascii="仿宋" w:hAnsi="仿宋" w:eastAsia="仿宋" w:cs="仿宋"/>
          <w:sz w:val="44"/>
          <w:szCs w:val="44"/>
        </w:rPr>
        <w:br w:type="page"/>
      </w:r>
    </w:p>
    <w:p w14:paraId="4D4FDB09">
      <w:pPr>
        <w:rPr>
          <w:rFonts w:hint="eastAsia" w:ascii="仿宋" w:hAnsi="仿宋" w:eastAsia="仿宋" w:cs="仿宋"/>
          <w:sz w:val="44"/>
          <w:szCs w:val="44"/>
        </w:rPr>
      </w:pPr>
    </w:p>
    <w:p w14:paraId="07CA698C">
      <w:pPr>
        <w:rPr>
          <w:rFonts w:hint="eastAsia" w:ascii="仿宋" w:hAnsi="仿宋" w:eastAsia="仿宋" w:cs="仿宋"/>
          <w:sz w:val="44"/>
          <w:szCs w:val="44"/>
        </w:rPr>
      </w:pPr>
    </w:p>
    <w:p w14:paraId="4241C8C5">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0E6B917A">
      <w:pPr>
        <w:ind w:firstLine="640" w:firstLineChars="200"/>
        <w:rPr>
          <w:rFonts w:hint="eastAsia" w:ascii="仿宋" w:hAnsi="仿宋" w:eastAsia="仿宋" w:cs="仿宋"/>
          <w:sz w:val="32"/>
          <w:szCs w:val="32"/>
          <w:lang w:val="en-US" w:eastAsia="zh-CN"/>
        </w:rPr>
      </w:pPr>
    </w:p>
    <w:p w14:paraId="12A4F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4A0D32AF">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103B64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3D523561">
      <w:pPr>
        <w:ind w:firstLine="880" w:firstLineChars="200"/>
        <w:jc w:val="both"/>
        <w:rPr>
          <w:rFonts w:hint="eastAsia" w:ascii="仿宋" w:hAnsi="仿宋" w:eastAsia="仿宋" w:cs="仿宋"/>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4"/>
    <w:p w14:paraId="03B0AD14">
      <w:pPr>
        <w:bidi w:val="0"/>
        <w:rPr>
          <w:rFonts w:hint="eastAsia" w:ascii="仿宋" w:hAnsi="仿宋" w:eastAsia="仿宋" w:cs="仿宋"/>
        </w:rPr>
      </w:pPr>
      <w:bookmarkStart w:id="395" w:name="_Toc22209"/>
    </w:p>
    <w:p w14:paraId="5AB769EE">
      <w:pPr>
        <w:pStyle w:val="4"/>
        <w:numPr>
          <w:ilvl w:val="1"/>
          <w:numId w:val="0"/>
        </w:numPr>
        <w:adjustRightInd w:val="0"/>
        <w:snapToGrid w:val="0"/>
        <w:spacing w:beforeLines="0" w:line="40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第一节 政府采购合同协议书</w:t>
      </w:r>
      <w:bookmarkEnd w:id="395"/>
    </w:p>
    <w:p w14:paraId="64034773">
      <w:pPr>
        <w:bidi w:val="0"/>
        <w:rPr>
          <w:rFonts w:hint="eastAsia" w:ascii="仿宋" w:hAnsi="仿宋" w:eastAsia="仿宋" w:cs="仿宋"/>
        </w:rPr>
      </w:pPr>
    </w:p>
    <w:p w14:paraId="414DB625">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1994EA2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314621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7934FA9A">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41A529A">
      <w:pPr>
        <w:spacing w:beforeLines="0" w:line="400" w:lineRule="exact"/>
        <w:rPr>
          <w:rFonts w:hint="eastAsia" w:ascii="仿宋" w:hAnsi="仿宋" w:eastAsia="仿宋" w:cs="仿宋"/>
          <w:lang w:val="en-US" w:eastAsia="zh-CN"/>
        </w:rPr>
      </w:pPr>
    </w:p>
    <w:p w14:paraId="0F26D07C">
      <w:pPr>
        <w:pStyle w:val="9"/>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kern w:val="2"/>
          <w:sz w:val="21"/>
          <w:szCs w:val="21"/>
          <w:highlight w:val="none"/>
          <w:u w:val="none"/>
          <w:lang w:val="en-US" w:eastAsia="zh-CN" w:bidi="ar-S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7278014C">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6CA4D194">
      <w:pPr>
        <w:pStyle w:val="9"/>
        <w:numPr>
          <w:ilvl w:val="0"/>
          <w:numId w:val="11"/>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45D1AFC7">
      <w:pPr>
        <w:pStyle w:val="9"/>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7233E21F">
      <w:pPr>
        <w:pStyle w:val="9"/>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5BB21E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552C3BD">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3A1F3194">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96F0866">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1289977C">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1430F6FD">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0853F771">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46ED4E09">
      <w:pPr>
        <w:pStyle w:val="88"/>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338DEBD">
      <w:pPr>
        <w:pStyle w:val="88"/>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32FD8931">
      <w:pPr>
        <w:pStyle w:val="88"/>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82F0CBB">
      <w:pPr>
        <w:pStyle w:val="88"/>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3CB25011">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005D8338">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5908248C">
      <w:pPr>
        <w:pStyle w:val="88"/>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3EF65924">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726AA3BD">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14C3518F">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61CA3884">
      <w:pPr>
        <w:pStyle w:val="88"/>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0DFE58A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72D8D2FA">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C97BEA3">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1EB4903D">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A4E72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BF38EF3">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D0B7A5B">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9DC301B">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042D8DE3">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256A3134">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4A277BDB">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3CE3FA2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B2DFDF">
      <w:pPr>
        <w:pStyle w:val="88"/>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770C630D">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0022C526">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18D2702E">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1A8AF485">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025F34DF">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5EA9014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77FEF9F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E8B46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2D23B661">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35904F3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133597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08D183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3EF3B07E">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022283AF">
      <w:pPr>
        <w:pStyle w:val="88"/>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25A7D9D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49BFDB8F">
      <w:pPr>
        <w:pStyle w:val="88"/>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73C521DE">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15C367DF">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67A60FE0">
      <w:pPr>
        <w:numPr>
          <w:ilvl w:val="0"/>
          <w:numId w:val="10"/>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3090C86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D869709">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83B8026">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0F3D914">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6A905B76">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16419B06">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70B4469B">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5AB0C7CD">
      <w:pPr>
        <w:pStyle w:val="62"/>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53B7F9D2">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66B54295">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36DB5AAB">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43B3C6F5">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CA8B721">
      <w:pPr>
        <w:numPr>
          <w:ilvl w:val="0"/>
          <w:numId w:val="10"/>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38168E2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4082E">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6BEB94CC">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22A4C97F">
      <w:pPr>
        <w:pStyle w:val="88"/>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1489F72E">
      <w:pPr>
        <w:pStyle w:val="88"/>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63F3A0E0">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2341F30A">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71475570">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0D65FFF6">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33DE166D">
      <w:pPr>
        <w:numPr>
          <w:ilvl w:val="0"/>
          <w:numId w:val="12"/>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1E9C556D">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587BD4DD">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7477ED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396473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6E3BA193">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652F40A">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45D0C1A7">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0A23786B">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F8B2639">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18B96A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7E9E7B5E">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3E39577E">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7F1A3D7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2C78A69A">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11EAF74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3DCA543D">
      <w:pPr>
        <w:pStyle w:val="88"/>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168EDD95">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03A62AB5">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61035DB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4C55BC41">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5A6530B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6D9A263F">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3FE7C4B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312CCE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205563FA">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6C2F9F0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49036E65">
      <w:pPr>
        <w:pStyle w:val="88"/>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1E8C632">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461D1D2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DC3365C">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56A4630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72F0254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6C86127">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2AB3519E">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7C955BD6">
      <w:pPr>
        <w:bidi w:val="0"/>
        <w:rPr>
          <w:rFonts w:hint="eastAsia" w:ascii="仿宋" w:hAnsi="仿宋" w:eastAsia="仿宋" w:cs="仿宋"/>
          <w:lang w:val="en-US" w:eastAsia="zh-CN"/>
        </w:rPr>
      </w:pPr>
      <w:r>
        <w:rPr>
          <w:rFonts w:hint="eastAsia" w:ascii="仿宋" w:hAnsi="仿宋" w:eastAsia="仿宋" w:cs="仿宋"/>
          <w:lang w:val="en"/>
        </w:rPr>
        <w:t xml:space="preserve">   </w:t>
      </w:r>
    </w:p>
    <w:p w14:paraId="12097CCA">
      <w:pPr>
        <w:rPr>
          <w:rFonts w:hint="eastAsia" w:ascii="仿宋" w:hAnsi="仿宋" w:eastAsia="仿宋" w:cs="仿宋"/>
        </w:rPr>
      </w:pPr>
      <w:r>
        <w:rPr>
          <w:rFonts w:hint="eastAsia" w:ascii="仿宋" w:hAnsi="仿宋" w:eastAsia="仿宋" w:cs="仿宋"/>
        </w:rPr>
        <w:br w:type="page"/>
      </w:r>
    </w:p>
    <w:p w14:paraId="5FA18EB4">
      <w:pPr>
        <w:pStyle w:val="62"/>
        <w:rPr>
          <w:rFonts w:hint="eastAsia" w:ascii="仿宋" w:hAnsi="仿宋" w:eastAsia="仿宋" w:cs="仿宋"/>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CB7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19983CB6">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4095" w:type="dxa"/>
            <w:gridSpan w:val="2"/>
            <w:tcBorders>
              <w:left w:val="single" w:color="auto" w:sz="2" w:space="0"/>
              <w:bottom w:val="single" w:color="auto" w:sz="2" w:space="0"/>
            </w:tcBorders>
            <w:vAlign w:val="center"/>
          </w:tcPr>
          <w:p w14:paraId="34E6F5A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5FC68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20434C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77868D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81AFA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116" w:type="dxa"/>
            <w:tcBorders>
              <w:top w:val="single" w:color="auto" w:sz="2" w:space="0"/>
              <w:left w:val="single" w:color="auto" w:sz="2" w:space="0"/>
              <w:bottom w:val="single" w:color="auto" w:sz="2" w:space="0"/>
            </w:tcBorders>
            <w:vAlign w:val="center"/>
          </w:tcPr>
          <w:p w14:paraId="399E3774">
            <w:pPr>
              <w:adjustRightInd w:val="0"/>
              <w:snapToGrid w:val="0"/>
              <w:spacing w:line="300" w:lineRule="exact"/>
              <w:jc w:val="center"/>
              <w:rPr>
                <w:rFonts w:hint="eastAsia" w:ascii="仿宋" w:hAnsi="仿宋" w:eastAsia="仿宋" w:cs="仿宋"/>
                <w:spacing w:val="20"/>
                <w:szCs w:val="21"/>
              </w:rPr>
            </w:pPr>
          </w:p>
        </w:tc>
      </w:tr>
      <w:tr w14:paraId="3E423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2E55E2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0D84D46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06C2C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vAlign w:val="center"/>
          </w:tcPr>
          <w:p w14:paraId="62BBEDF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7A88AB4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vAlign w:val="center"/>
          </w:tcPr>
          <w:p w14:paraId="513AE368">
            <w:pPr>
              <w:adjustRightInd w:val="0"/>
              <w:snapToGrid w:val="0"/>
              <w:spacing w:line="300" w:lineRule="exact"/>
              <w:jc w:val="center"/>
              <w:rPr>
                <w:rFonts w:hint="eastAsia" w:ascii="仿宋" w:hAnsi="仿宋" w:eastAsia="仿宋" w:cs="仿宋"/>
                <w:szCs w:val="21"/>
              </w:rPr>
            </w:pPr>
          </w:p>
        </w:tc>
      </w:tr>
      <w:tr w14:paraId="401EFA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0D0D994">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vAlign w:val="center"/>
          </w:tcPr>
          <w:p w14:paraId="56942041">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AA2665">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21D445">
            <w:pPr>
              <w:adjustRightInd w:val="0"/>
              <w:snapToGrid w:val="0"/>
              <w:spacing w:line="300" w:lineRule="exact"/>
              <w:jc w:val="center"/>
              <w:rPr>
                <w:rFonts w:hint="eastAsia" w:ascii="仿宋" w:hAnsi="仿宋" w:eastAsia="仿宋" w:cs="仿宋"/>
                <w:spacing w:val="20"/>
                <w:szCs w:val="21"/>
              </w:rPr>
            </w:pPr>
          </w:p>
        </w:tc>
      </w:tr>
      <w:tr w14:paraId="25D18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08C1E2">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BF65B8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5B5E999">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116" w:type="dxa"/>
            <w:tcBorders>
              <w:top w:val="single" w:color="auto" w:sz="2" w:space="0"/>
              <w:left w:val="single" w:color="auto" w:sz="2" w:space="0"/>
              <w:bottom w:val="single" w:color="auto" w:sz="2" w:space="0"/>
            </w:tcBorders>
            <w:vAlign w:val="center"/>
          </w:tcPr>
          <w:p w14:paraId="57A73ACD">
            <w:pPr>
              <w:adjustRightInd w:val="0"/>
              <w:snapToGrid w:val="0"/>
              <w:spacing w:line="300" w:lineRule="exact"/>
              <w:jc w:val="center"/>
              <w:rPr>
                <w:rFonts w:hint="eastAsia" w:ascii="仿宋" w:hAnsi="仿宋" w:eastAsia="仿宋" w:cs="仿宋"/>
                <w:spacing w:val="20"/>
                <w:szCs w:val="21"/>
              </w:rPr>
            </w:pPr>
          </w:p>
        </w:tc>
      </w:tr>
      <w:tr w14:paraId="2C20D9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9C1AE6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13E0F5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A5AC76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vAlign w:val="center"/>
          </w:tcPr>
          <w:p w14:paraId="31BE736B">
            <w:pPr>
              <w:adjustRightInd w:val="0"/>
              <w:snapToGrid w:val="0"/>
              <w:spacing w:line="300" w:lineRule="exact"/>
              <w:jc w:val="center"/>
              <w:rPr>
                <w:rFonts w:hint="eastAsia" w:ascii="仿宋" w:hAnsi="仿宋" w:eastAsia="仿宋" w:cs="仿宋"/>
                <w:spacing w:val="20"/>
                <w:szCs w:val="21"/>
              </w:rPr>
            </w:pPr>
          </w:p>
        </w:tc>
      </w:tr>
      <w:tr w14:paraId="09AD9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7A9DA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E3E869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E60F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vAlign w:val="center"/>
          </w:tcPr>
          <w:p w14:paraId="56BCA0F7">
            <w:pPr>
              <w:adjustRightInd w:val="0"/>
              <w:snapToGrid w:val="0"/>
              <w:spacing w:line="300" w:lineRule="exact"/>
              <w:jc w:val="center"/>
              <w:rPr>
                <w:rFonts w:hint="eastAsia" w:ascii="仿宋" w:hAnsi="仿宋" w:eastAsia="仿宋" w:cs="仿宋"/>
                <w:spacing w:val="20"/>
                <w:szCs w:val="21"/>
              </w:rPr>
            </w:pPr>
          </w:p>
        </w:tc>
      </w:tr>
      <w:tr w14:paraId="4BEFE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74E1B1">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DF216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38DE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677FFC8">
            <w:pPr>
              <w:adjustRightInd w:val="0"/>
              <w:snapToGrid w:val="0"/>
              <w:spacing w:line="300" w:lineRule="exact"/>
              <w:jc w:val="center"/>
              <w:rPr>
                <w:rFonts w:hint="eastAsia" w:ascii="仿宋" w:hAnsi="仿宋" w:eastAsia="仿宋" w:cs="仿宋"/>
                <w:spacing w:val="20"/>
                <w:szCs w:val="21"/>
              </w:rPr>
            </w:pPr>
          </w:p>
        </w:tc>
      </w:tr>
      <w:tr w14:paraId="5D7F0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2D7B8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75DF322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A23BF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vAlign w:val="center"/>
          </w:tcPr>
          <w:p w14:paraId="05782588">
            <w:pPr>
              <w:adjustRightInd w:val="0"/>
              <w:snapToGrid w:val="0"/>
              <w:spacing w:line="300" w:lineRule="exact"/>
              <w:jc w:val="center"/>
              <w:rPr>
                <w:rFonts w:hint="eastAsia" w:ascii="仿宋" w:hAnsi="仿宋" w:eastAsia="仿宋" w:cs="仿宋"/>
                <w:spacing w:val="20"/>
                <w:szCs w:val="21"/>
              </w:rPr>
            </w:pPr>
          </w:p>
        </w:tc>
      </w:tr>
      <w:tr w14:paraId="038EFB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1AAF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86C21F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B28458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vAlign w:val="center"/>
          </w:tcPr>
          <w:p w14:paraId="1DD3FAA7">
            <w:pPr>
              <w:adjustRightInd w:val="0"/>
              <w:snapToGrid w:val="0"/>
              <w:spacing w:line="300" w:lineRule="exact"/>
              <w:jc w:val="center"/>
              <w:rPr>
                <w:rFonts w:hint="eastAsia" w:ascii="仿宋" w:hAnsi="仿宋" w:eastAsia="仿宋" w:cs="仿宋"/>
                <w:spacing w:val="20"/>
                <w:szCs w:val="21"/>
              </w:rPr>
            </w:pPr>
          </w:p>
        </w:tc>
      </w:tr>
      <w:tr w14:paraId="7DDB21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97FF2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2E26834">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15095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vAlign w:val="center"/>
          </w:tcPr>
          <w:p w14:paraId="2ED31281">
            <w:pPr>
              <w:adjustRightInd w:val="0"/>
              <w:snapToGrid w:val="0"/>
              <w:spacing w:line="300" w:lineRule="exact"/>
              <w:jc w:val="center"/>
              <w:rPr>
                <w:rFonts w:hint="eastAsia" w:ascii="仿宋" w:hAnsi="仿宋" w:eastAsia="仿宋" w:cs="仿宋"/>
                <w:spacing w:val="20"/>
                <w:szCs w:val="21"/>
              </w:rPr>
            </w:pPr>
          </w:p>
        </w:tc>
      </w:tr>
      <w:tr w14:paraId="64711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2F7E1C">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A658D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9E34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vAlign w:val="center"/>
          </w:tcPr>
          <w:p w14:paraId="51C4B874">
            <w:pPr>
              <w:adjustRightInd w:val="0"/>
              <w:snapToGrid w:val="0"/>
              <w:spacing w:line="300" w:lineRule="exact"/>
              <w:jc w:val="center"/>
              <w:rPr>
                <w:rFonts w:hint="eastAsia" w:ascii="仿宋" w:hAnsi="仿宋" w:eastAsia="仿宋" w:cs="仿宋"/>
                <w:spacing w:val="20"/>
                <w:szCs w:val="21"/>
              </w:rPr>
            </w:pPr>
          </w:p>
        </w:tc>
      </w:tr>
      <w:tr w14:paraId="4AB8A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2E3B33">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100501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4EA22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vAlign w:val="center"/>
          </w:tcPr>
          <w:p w14:paraId="6AC188C8">
            <w:pPr>
              <w:adjustRightInd w:val="0"/>
              <w:snapToGrid w:val="0"/>
              <w:spacing w:line="300" w:lineRule="exact"/>
              <w:jc w:val="center"/>
              <w:rPr>
                <w:rFonts w:hint="eastAsia" w:ascii="仿宋" w:hAnsi="仿宋" w:eastAsia="仿宋" w:cs="仿宋"/>
                <w:spacing w:val="20"/>
                <w:szCs w:val="21"/>
              </w:rPr>
            </w:pPr>
          </w:p>
        </w:tc>
      </w:tr>
      <w:tr w14:paraId="0B4A6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6B60CD">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1C00C6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28497B">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vAlign w:val="center"/>
          </w:tcPr>
          <w:p w14:paraId="01F5ED47">
            <w:pPr>
              <w:adjustRightInd w:val="0"/>
              <w:snapToGrid w:val="0"/>
              <w:spacing w:line="300" w:lineRule="exact"/>
              <w:jc w:val="center"/>
              <w:rPr>
                <w:rFonts w:hint="eastAsia" w:ascii="仿宋" w:hAnsi="仿宋" w:eastAsia="仿宋" w:cs="仿宋"/>
                <w:spacing w:val="20"/>
                <w:szCs w:val="21"/>
              </w:rPr>
            </w:pPr>
          </w:p>
        </w:tc>
      </w:tr>
      <w:tr w14:paraId="242F9D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B9209B1">
            <w:pPr>
              <w:pStyle w:val="9"/>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331E9181">
      <w:pPr>
        <w:pStyle w:val="4"/>
        <w:numPr>
          <w:ilvl w:val="1"/>
          <w:numId w:val="0"/>
        </w:numPr>
        <w:adjustRightInd w:val="0"/>
        <w:snapToGrid w:val="0"/>
        <w:spacing w:before="156" w:beforeLines="50"/>
        <w:ind w:leftChars="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396" w:name="_Toc27624"/>
      <w:r>
        <w:rPr>
          <w:rFonts w:hint="eastAsia" w:ascii="黑体" w:hAnsi="黑体" w:eastAsia="黑体" w:cs="黑体"/>
          <w:b w:val="0"/>
          <w:bCs w:val="0"/>
          <w:sz w:val="28"/>
          <w:szCs w:val="28"/>
        </w:rPr>
        <w:t>第二节 政府采购合同通用条款</w:t>
      </w:r>
      <w:bookmarkEnd w:id="396"/>
    </w:p>
    <w:p w14:paraId="119C2A60">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6C3C476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37EBB27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3D43119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2F3D96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6C8F2B1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0980A168">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752DD38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5B1ACE1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60ADC11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562270E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19876F87">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5B99F9E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81BEE06">
      <w:pPr>
        <w:numPr>
          <w:ilvl w:val="0"/>
          <w:numId w:val="13"/>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46184C1E">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7987A901">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51716CD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715D5DF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623B349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171CA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95E457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5D8487BC">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7E30B034">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4D6FD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4E278F6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48CF54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09A83A8">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4CA8A1A7">
      <w:pPr>
        <w:pStyle w:val="2"/>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2AFDBFDE">
      <w:pPr>
        <w:pStyle w:val="2"/>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70404544">
      <w:pPr>
        <w:numPr>
          <w:ilvl w:val="0"/>
          <w:numId w:val="14"/>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4023886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3A81DFC0">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15FCFA5">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3EB5C1CF">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0CA49C45">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3D71F33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57D68233">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6372955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46C5570A">
      <w:pPr>
        <w:pStyle w:val="88"/>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680ECF8E">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4C7BA9FE">
      <w:pPr>
        <w:pStyle w:val="14"/>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3C802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4FEFA9A8">
      <w:pPr>
        <w:pStyle w:val="14"/>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1501F7A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6532BFF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02E857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EFA46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84B0CA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7CE97B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BDCB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46BD039C">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20931939">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371D43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0FAB9E6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35E1DCD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725B22DF">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3526348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397"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397"/>
      <w:r>
        <w:rPr>
          <w:rFonts w:hint="eastAsia" w:ascii="仿宋" w:hAnsi="仿宋" w:eastAsia="仿宋" w:cs="仿宋"/>
          <w:color w:val="auto"/>
          <w:szCs w:val="21"/>
          <w:highlight w:val="none"/>
        </w:rPr>
        <w:t>。</w:t>
      </w:r>
    </w:p>
    <w:p w14:paraId="2D6EC8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52988B54">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3B8674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0C90841">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366F48C">
      <w:pPr>
        <w:pStyle w:val="4"/>
        <w:numPr>
          <w:ilvl w:val="1"/>
          <w:numId w:val="0"/>
        </w:numPr>
        <w:spacing w:line="400" w:lineRule="exact"/>
        <w:ind w:left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50EE354">
      <w:pPr>
        <w:pStyle w:val="2"/>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64E1A9B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04D4E8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1040700">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7E1F76A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59AD09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B998A9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2E714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9CE153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818D4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098F55DE">
      <w:pPr>
        <w:pStyle w:val="88"/>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734DEC4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2D094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213B1A31">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3543ED2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29215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385D386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E4B3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0AAE51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6B40355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7E563E7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3E54B3F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4CDAF1F5">
      <w:pPr>
        <w:numPr>
          <w:ilvl w:val="0"/>
          <w:numId w:val="15"/>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911CAF9">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115FCD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24BD8B4A">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0021F71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840EF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E71B152">
      <w:pPr>
        <w:pStyle w:val="88"/>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A92E754">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22DB5D9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0723CB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DCB85BC">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76CEA56A">
      <w:pPr>
        <w:pStyle w:val="88"/>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0074CE0D">
      <w:pPr>
        <w:pStyle w:val="88"/>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279E0880">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5A0D155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5D60016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73D03C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60A4E0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6864D58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1E94B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6F60B40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79B2674B">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619C9FF4">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ABC9CD9">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131B934B">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4A38697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54EC67A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2737055">
      <w:pPr>
        <w:pStyle w:val="2"/>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43AC6B">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29FC2873">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7547D8A2">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676179ED">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7A6CC31C">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561A501D">
      <w:pPr>
        <w:pStyle w:val="88"/>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6487C71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11725BA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7EC5AEC">
      <w:pPr>
        <w:numPr>
          <w:ilvl w:val="0"/>
          <w:numId w:val="16"/>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09BC297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92BFBCC">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398" w:name="_Toc20313"/>
    </w:p>
    <w:p w14:paraId="73779DE4">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1015B5E5">
      <w:pPr>
        <w:pStyle w:val="4"/>
        <w:numPr>
          <w:ilvl w:val="1"/>
          <w:numId w:val="0"/>
        </w:numPr>
        <w:adjustRightInd w:val="0"/>
        <w:snapToGrid w:val="0"/>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第三节 政府采购合同专用条款</w:t>
      </w:r>
      <w:bookmarkEnd w:id="398"/>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A57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6BA9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AFEA52B">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544C8F74">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vAlign w:val="center"/>
          </w:tcPr>
          <w:p w14:paraId="135C0BB8">
            <w:pPr>
              <w:adjustRightInd w:val="0"/>
              <w:snapToGrid w:val="0"/>
              <w:jc w:val="left"/>
              <w:rPr>
                <w:rFonts w:hint="eastAsia" w:ascii="仿宋" w:hAnsi="仿宋" w:eastAsia="仿宋" w:cs="仿宋"/>
                <w:szCs w:val="21"/>
              </w:rPr>
            </w:pPr>
          </w:p>
        </w:tc>
      </w:tr>
      <w:tr w14:paraId="70986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3DE16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CF360DF">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vAlign w:val="center"/>
          </w:tcPr>
          <w:p w14:paraId="739F040D">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vAlign w:val="center"/>
          </w:tcPr>
          <w:p w14:paraId="5B20EBD4">
            <w:pPr>
              <w:adjustRightInd w:val="0"/>
              <w:snapToGrid w:val="0"/>
              <w:jc w:val="left"/>
              <w:rPr>
                <w:rFonts w:hint="eastAsia" w:ascii="仿宋" w:hAnsi="仿宋" w:eastAsia="仿宋" w:cs="仿宋"/>
                <w:kern w:val="2"/>
                <w:sz w:val="21"/>
                <w:szCs w:val="21"/>
                <w:lang w:val="en-US" w:eastAsia="zh-CN" w:bidi="ar-SA"/>
              </w:rPr>
            </w:pPr>
          </w:p>
        </w:tc>
      </w:tr>
      <w:tr w14:paraId="330D6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4900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ECD6AC9">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vAlign w:val="center"/>
          </w:tcPr>
          <w:p w14:paraId="15F53C2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vAlign w:val="center"/>
          </w:tcPr>
          <w:p w14:paraId="6C2D63F3">
            <w:pPr>
              <w:adjustRightInd w:val="0"/>
              <w:snapToGrid w:val="0"/>
              <w:jc w:val="left"/>
              <w:rPr>
                <w:rFonts w:hint="eastAsia" w:ascii="仿宋" w:hAnsi="仿宋" w:eastAsia="仿宋" w:cs="仿宋"/>
                <w:kern w:val="2"/>
                <w:sz w:val="21"/>
                <w:szCs w:val="21"/>
                <w:lang w:val="en-US" w:eastAsia="zh-CN" w:bidi="ar-SA"/>
              </w:rPr>
            </w:pPr>
          </w:p>
        </w:tc>
      </w:tr>
      <w:tr w14:paraId="56139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98B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E01ACE2">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vAlign w:val="center"/>
          </w:tcPr>
          <w:p w14:paraId="38648D0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vAlign w:val="center"/>
          </w:tcPr>
          <w:p w14:paraId="52B3F3D8">
            <w:pPr>
              <w:adjustRightInd w:val="0"/>
              <w:snapToGrid w:val="0"/>
              <w:jc w:val="left"/>
              <w:rPr>
                <w:rFonts w:hint="eastAsia" w:ascii="仿宋" w:hAnsi="仿宋" w:eastAsia="仿宋" w:cs="仿宋"/>
                <w:kern w:val="2"/>
                <w:sz w:val="21"/>
                <w:szCs w:val="21"/>
                <w:lang w:val="en-US" w:eastAsia="zh-CN" w:bidi="ar-SA"/>
              </w:rPr>
            </w:pPr>
          </w:p>
        </w:tc>
      </w:tr>
      <w:tr w14:paraId="3CB5E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EE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7548904B">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vAlign w:val="center"/>
          </w:tcPr>
          <w:p w14:paraId="2785E6E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vAlign w:val="center"/>
          </w:tcPr>
          <w:p w14:paraId="23B2AFF6">
            <w:pPr>
              <w:adjustRightInd w:val="0"/>
              <w:snapToGrid w:val="0"/>
              <w:jc w:val="left"/>
              <w:rPr>
                <w:rFonts w:hint="eastAsia" w:ascii="仿宋" w:hAnsi="仿宋" w:eastAsia="仿宋" w:cs="仿宋"/>
                <w:kern w:val="2"/>
                <w:sz w:val="21"/>
                <w:szCs w:val="21"/>
                <w:lang w:val="en-US" w:eastAsia="zh-CN" w:bidi="ar-SA"/>
              </w:rPr>
            </w:pPr>
          </w:p>
        </w:tc>
      </w:tr>
      <w:tr w14:paraId="47A77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CDF04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167F3D3">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vAlign w:val="center"/>
          </w:tcPr>
          <w:p w14:paraId="68AEA70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vAlign w:val="center"/>
          </w:tcPr>
          <w:p w14:paraId="7E9582F3">
            <w:pPr>
              <w:adjustRightInd w:val="0"/>
              <w:snapToGrid w:val="0"/>
              <w:jc w:val="left"/>
              <w:rPr>
                <w:rFonts w:hint="eastAsia" w:ascii="仿宋" w:hAnsi="仿宋" w:eastAsia="仿宋" w:cs="仿宋"/>
                <w:kern w:val="2"/>
                <w:sz w:val="21"/>
                <w:szCs w:val="21"/>
                <w:lang w:val="en-US" w:eastAsia="zh-CN" w:bidi="ar-SA"/>
              </w:rPr>
            </w:pPr>
          </w:p>
        </w:tc>
      </w:tr>
      <w:tr w14:paraId="68D4A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D8F9B3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BDB1FED">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vAlign w:val="center"/>
          </w:tcPr>
          <w:p w14:paraId="6D96ED05">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vAlign w:val="center"/>
          </w:tcPr>
          <w:p w14:paraId="6914467F">
            <w:pPr>
              <w:rPr>
                <w:rFonts w:hint="eastAsia" w:ascii="仿宋" w:hAnsi="仿宋" w:eastAsia="仿宋" w:cs="仿宋"/>
              </w:rPr>
            </w:pPr>
          </w:p>
        </w:tc>
      </w:tr>
      <w:tr w14:paraId="1F42F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7C60382">
            <w:pPr>
              <w:adjustRightInd w:val="0"/>
              <w:snapToGrid w:val="0"/>
              <w:jc w:val="center"/>
              <w:rPr>
                <w:rFonts w:hint="eastAsia" w:ascii="仿宋" w:hAnsi="仿宋" w:eastAsia="仿宋" w:cs="仿宋"/>
                <w:szCs w:val="21"/>
              </w:rPr>
            </w:pPr>
          </w:p>
        </w:tc>
        <w:tc>
          <w:tcPr>
            <w:tcW w:w="1742" w:type="dxa"/>
            <w:vAlign w:val="center"/>
          </w:tcPr>
          <w:p w14:paraId="1910D231">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vAlign w:val="center"/>
          </w:tcPr>
          <w:p w14:paraId="17132251">
            <w:pPr>
              <w:rPr>
                <w:rFonts w:hint="eastAsia" w:ascii="仿宋" w:hAnsi="仿宋" w:eastAsia="仿宋" w:cs="仿宋"/>
              </w:rPr>
            </w:pPr>
          </w:p>
        </w:tc>
      </w:tr>
      <w:tr w14:paraId="0E219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40990A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6D001A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vAlign w:val="center"/>
          </w:tcPr>
          <w:p w14:paraId="79CE916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vAlign w:val="center"/>
          </w:tcPr>
          <w:p w14:paraId="33C74AE5">
            <w:pPr>
              <w:rPr>
                <w:rFonts w:hint="eastAsia" w:ascii="仿宋" w:hAnsi="仿宋" w:eastAsia="仿宋" w:cs="仿宋"/>
              </w:rPr>
            </w:pPr>
          </w:p>
        </w:tc>
      </w:tr>
      <w:tr w14:paraId="21F0D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9E76F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9C33BE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vAlign w:val="center"/>
          </w:tcPr>
          <w:p w14:paraId="1816251E">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vAlign w:val="center"/>
          </w:tcPr>
          <w:p w14:paraId="4E4D70EA">
            <w:pPr>
              <w:rPr>
                <w:rFonts w:hint="eastAsia" w:ascii="仿宋" w:hAnsi="仿宋" w:eastAsia="仿宋" w:cs="仿宋"/>
              </w:rPr>
            </w:pPr>
          </w:p>
        </w:tc>
      </w:tr>
      <w:tr w14:paraId="5323A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99B0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F96147C">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vAlign w:val="center"/>
          </w:tcPr>
          <w:p w14:paraId="316A11FD">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vAlign w:val="center"/>
          </w:tcPr>
          <w:p w14:paraId="7B295917">
            <w:pPr>
              <w:autoSpaceDE w:val="0"/>
              <w:autoSpaceDN w:val="0"/>
              <w:adjustRightInd w:val="0"/>
              <w:snapToGrid w:val="0"/>
              <w:ind w:firstLine="420" w:firstLineChars="200"/>
              <w:jc w:val="left"/>
              <w:rPr>
                <w:rFonts w:hint="eastAsia" w:ascii="仿宋" w:hAnsi="仿宋" w:eastAsia="仿宋" w:cs="仿宋"/>
                <w:szCs w:val="21"/>
              </w:rPr>
            </w:pPr>
          </w:p>
        </w:tc>
      </w:tr>
      <w:tr w14:paraId="33EF2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4B4CC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00D3D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vAlign w:val="center"/>
          </w:tcPr>
          <w:p w14:paraId="29AB41F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6FE3D13E">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vAlign w:val="center"/>
          </w:tcPr>
          <w:p w14:paraId="71D970CD">
            <w:pPr>
              <w:adjustRightInd w:val="0"/>
              <w:snapToGrid w:val="0"/>
              <w:jc w:val="left"/>
              <w:rPr>
                <w:rFonts w:hint="eastAsia" w:ascii="仿宋" w:hAnsi="仿宋" w:eastAsia="仿宋" w:cs="仿宋"/>
                <w:szCs w:val="21"/>
              </w:rPr>
            </w:pPr>
          </w:p>
        </w:tc>
      </w:tr>
      <w:tr w14:paraId="4EECE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D738">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DE4D18B">
            <w:pPr>
              <w:pStyle w:val="88"/>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vAlign w:val="center"/>
          </w:tcPr>
          <w:p w14:paraId="47A8437A">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vAlign w:val="center"/>
          </w:tcPr>
          <w:p w14:paraId="56CEC04E">
            <w:pPr>
              <w:adjustRightInd w:val="0"/>
              <w:snapToGrid w:val="0"/>
              <w:jc w:val="left"/>
              <w:rPr>
                <w:rFonts w:hint="eastAsia" w:ascii="仿宋" w:hAnsi="仿宋" w:eastAsia="仿宋" w:cs="仿宋"/>
                <w:szCs w:val="21"/>
              </w:rPr>
            </w:pPr>
          </w:p>
        </w:tc>
      </w:tr>
      <w:tr w14:paraId="7EC3B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B5C0D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51F22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vAlign w:val="center"/>
          </w:tcPr>
          <w:p w14:paraId="6CE8AB70">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vAlign w:val="center"/>
          </w:tcPr>
          <w:p w14:paraId="7BC365E6">
            <w:pPr>
              <w:adjustRightInd w:val="0"/>
              <w:snapToGrid w:val="0"/>
              <w:jc w:val="left"/>
              <w:rPr>
                <w:rFonts w:hint="eastAsia" w:ascii="仿宋" w:hAnsi="仿宋" w:eastAsia="仿宋" w:cs="仿宋"/>
                <w:szCs w:val="21"/>
              </w:rPr>
            </w:pPr>
          </w:p>
        </w:tc>
      </w:tr>
      <w:tr w14:paraId="53526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CA2D9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1D63D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vAlign w:val="center"/>
          </w:tcPr>
          <w:p w14:paraId="61CB356E">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vAlign w:val="center"/>
          </w:tcPr>
          <w:p w14:paraId="501EC931">
            <w:pPr>
              <w:adjustRightInd w:val="0"/>
              <w:snapToGrid w:val="0"/>
              <w:jc w:val="left"/>
              <w:rPr>
                <w:rFonts w:hint="eastAsia" w:ascii="仿宋" w:hAnsi="仿宋" w:eastAsia="仿宋" w:cs="仿宋"/>
                <w:szCs w:val="21"/>
              </w:rPr>
            </w:pPr>
          </w:p>
        </w:tc>
      </w:tr>
      <w:tr w14:paraId="5409B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3E21F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2FA52A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vAlign w:val="center"/>
          </w:tcPr>
          <w:p w14:paraId="0B52A201">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vAlign w:val="center"/>
          </w:tcPr>
          <w:p w14:paraId="2AB04188">
            <w:pPr>
              <w:adjustRightInd w:val="0"/>
              <w:snapToGrid w:val="0"/>
              <w:jc w:val="left"/>
              <w:rPr>
                <w:rFonts w:hint="eastAsia" w:ascii="仿宋" w:hAnsi="仿宋" w:eastAsia="仿宋" w:cs="仿宋"/>
                <w:szCs w:val="21"/>
              </w:rPr>
            </w:pPr>
          </w:p>
        </w:tc>
      </w:tr>
      <w:tr w14:paraId="167BC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78D7F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296658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vAlign w:val="center"/>
          </w:tcPr>
          <w:p w14:paraId="2492222F">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vAlign w:val="center"/>
          </w:tcPr>
          <w:p w14:paraId="1190DDB6">
            <w:pPr>
              <w:adjustRightInd w:val="0"/>
              <w:snapToGrid w:val="0"/>
              <w:jc w:val="left"/>
              <w:rPr>
                <w:rFonts w:hint="eastAsia" w:ascii="仿宋" w:hAnsi="仿宋" w:eastAsia="仿宋" w:cs="仿宋"/>
                <w:szCs w:val="21"/>
              </w:rPr>
            </w:pPr>
          </w:p>
        </w:tc>
      </w:tr>
      <w:tr w14:paraId="20C7C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1247B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AEB16B7">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vAlign w:val="center"/>
          </w:tcPr>
          <w:p w14:paraId="39123B51">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vAlign w:val="center"/>
          </w:tcPr>
          <w:p w14:paraId="6280966C">
            <w:pPr>
              <w:adjustRightInd w:val="0"/>
              <w:snapToGrid w:val="0"/>
              <w:jc w:val="left"/>
              <w:rPr>
                <w:rFonts w:hint="eastAsia" w:ascii="仿宋" w:hAnsi="仿宋" w:eastAsia="仿宋" w:cs="仿宋"/>
                <w:szCs w:val="21"/>
              </w:rPr>
            </w:pPr>
          </w:p>
        </w:tc>
      </w:tr>
      <w:tr w14:paraId="47B6B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4734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8AEABD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10FAAB4F">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49451DB4">
            <w:pPr>
              <w:adjustRightInd w:val="0"/>
              <w:snapToGrid w:val="0"/>
              <w:jc w:val="left"/>
              <w:rPr>
                <w:rFonts w:hint="eastAsia" w:ascii="仿宋" w:hAnsi="仿宋" w:eastAsia="仿宋" w:cs="仿宋"/>
                <w:szCs w:val="21"/>
              </w:rPr>
            </w:pPr>
          </w:p>
        </w:tc>
      </w:tr>
      <w:tr w14:paraId="5436C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7924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FFB475">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vAlign w:val="center"/>
          </w:tcPr>
          <w:p w14:paraId="058740FD">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78B06A0F">
            <w:pPr>
              <w:adjustRightInd w:val="0"/>
              <w:snapToGrid w:val="0"/>
              <w:jc w:val="left"/>
              <w:rPr>
                <w:rFonts w:hint="eastAsia" w:ascii="仿宋" w:hAnsi="仿宋" w:eastAsia="仿宋" w:cs="仿宋"/>
                <w:szCs w:val="21"/>
              </w:rPr>
            </w:pPr>
          </w:p>
        </w:tc>
      </w:tr>
      <w:tr w14:paraId="72AA5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8926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6ACDBFE">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vAlign w:val="center"/>
          </w:tcPr>
          <w:p w14:paraId="12E74AF9">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62680504">
            <w:pPr>
              <w:adjustRightInd w:val="0"/>
              <w:snapToGrid w:val="0"/>
              <w:jc w:val="left"/>
              <w:rPr>
                <w:rFonts w:hint="eastAsia" w:ascii="仿宋" w:hAnsi="仿宋" w:eastAsia="仿宋" w:cs="仿宋"/>
                <w:szCs w:val="21"/>
                <w:u w:val="single"/>
              </w:rPr>
            </w:pPr>
          </w:p>
        </w:tc>
      </w:tr>
      <w:tr w14:paraId="55810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485A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ED15524">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vAlign w:val="center"/>
          </w:tcPr>
          <w:p w14:paraId="500EA1E4">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vAlign w:val="center"/>
          </w:tcPr>
          <w:p w14:paraId="1CEDC17A">
            <w:pPr>
              <w:adjustRightInd w:val="0"/>
              <w:snapToGrid w:val="0"/>
              <w:jc w:val="left"/>
              <w:rPr>
                <w:rFonts w:hint="eastAsia" w:ascii="仿宋" w:hAnsi="仿宋" w:eastAsia="仿宋" w:cs="仿宋"/>
                <w:szCs w:val="21"/>
                <w:u w:val="single"/>
              </w:rPr>
            </w:pPr>
          </w:p>
        </w:tc>
      </w:tr>
      <w:tr w14:paraId="69CC9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CA4EA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2148C6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9B5A2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5B0E3041">
            <w:pPr>
              <w:adjustRightInd w:val="0"/>
              <w:snapToGrid w:val="0"/>
              <w:jc w:val="left"/>
              <w:rPr>
                <w:rFonts w:hint="eastAsia" w:ascii="仿宋" w:hAnsi="仿宋" w:eastAsia="仿宋" w:cs="仿宋"/>
                <w:szCs w:val="21"/>
                <w:u w:val="single"/>
              </w:rPr>
            </w:pPr>
          </w:p>
        </w:tc>
      </w:tr>
      <w:tr w14:paraId="4696C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B5947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AE49E4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768B974">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vAlign w:val="center"/>
          </w:tcPr>
          <w:p w14:paraId="18CA60E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280704DD">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6AC15522">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07244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608F2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443D90">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vAlign w:val="center"/>
          </w:tcPr>
          <w:p w14:paraId="3465693F">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2E7FB2C7">
            <w:pPr>
              <w:adjustRightInd w:val="0"/>
              <w:snapToGrid w:val="0"/>
              <w:jc w:val="left"/>
              <w:rPr>
                <w:rFonts w:hint="eastAsia" w:ascii="仿宋" w:hAnsi="仿宋" w:eastAsia="仿宋" w:cs="仿宋"/>
                <w:szCs w:val="21"/>
                <w:lang w:val="en-US" w:eastAsia="zh-CN"/>
              </w:rPr>
            </w:pPr>
          </w:p>
        </w:tc>
      </w:tr>
    </w:tbl>
    <w:p w14:paraId="5DEC9AB5">
      <w:pPr>
        <w:rPr>
          <w:rFonts w:hint="eastAsia" w:ascii="仿宋" w:hAnsi="仿宋" w:eastAsia="仿宋" w:cs="仿宋"/>
        </w:rPr>
      </w:pPr>
    </w:p>
    <w:p w14:paraId="0D36D86A">
      <w:pPr>
        <w:rPr>
          <w:rFonts w:ascii="仿宋" w:hAnsi="仿宋" w:eastAsia="仿宋" w:cs="Times New Roman"/>
          <w:b/>
          <w:bCs/>
          <w:sz w:val="44"/>
          <w:szCs w:val="44"/>
        </w:rPr>
      </w:pPr>
    </w:p>
    <w:p w14:paraId="4747704C"/>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B90D32-B912-48E2-906F-0D59AFC58F7B}"/>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509081FA-A865-4F75-84C4-7A675B1B7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387BBB3A-77E3-44F0-8A2F-0E302902A53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B5BFFA5F-AB8E-45FC-A6E3-D70EFA6B33CC}"/>
  </w:font>
  <w:font w:name="仿宋_GB2312">
    <w:panose1 w:val="02010609030101010101"/>
    <w:charset w:val="86"/>
    <w:family w:val="modern"/>
    <w:pitch w:val="default"/>
    <w:sig w:usb0="00000001" w:usb1="080E0000" w:usb2="00000000" w:usb3="00000000" w:csb0="00040000" w:csb1="00000000"/>
    <w:embedRegular r:id="rId5" w:fontKey="{447E7650-AF16-445E-B623-D8B96DEB0E92}"/>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6" w:fontKey="{714EA7F1-432E-4092-9591-459068F9E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607B">
    <w:pPr>
      <w:pStyle w:val="17"/>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9B2A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9B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D2F4">
    <w:pPr>
      <w:pStyle w:val="4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B59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6B59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E1EE">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7D635">
                          <w:pPr>
                            <w:pStyle w:val="17"/>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14:paraId="0C57D635">
                    <w:pPr>
                      <w:pStyle w:val="17"/>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11AC7C29">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B13F">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DED5">
    <w:pPr>
      <w:pStyle w:val="47"/>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38CA0">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038CA0">
                    <w:pPr>
                      <w:pStyle w:val="17"/>
                    </w:pPr>
                    <w:r>
                      <w:fldChar w:fldCharType="begin"/>
                    </w:r>
                    <w:r>
                      <w:instrText xml:space="preserve"> PAGE  \* MERGEFORMAT </w:instrText>
                    </w:r>
                    <w:r>
                      <w:fldChar w:fldCharType="separate"/>
                    </w:r>
                    <w:r>
                      <w:t>41</w:t>
                    </w:r>
                    <w:r>
                      <w:fldChar w:fldCharType="end"/>
                    </w:r>
                  </w:p>
                </w:txbxContent>
              </v:textbox>
            </v:shape>
          </w:pict>
        </mc:Fallback>
      </mc:AlternateContent>
    </w:r>
  </w:p>
  <w:p w14:paraId="1EE846A5">
    <w:pPr>
      <w:pStyle w:val="47"/>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089">
    <w:pPr>
      <w:pStyle w:val="49"/>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4559">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36AB">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187B">
    <w:pPr>
      <w:pStyle w:val="49"/>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959EDD9"/>
    <w:multiLevelType w:val="singleLevel"/>
    <w:tmpl w:val="C959EDD9"/>
    <w:lvl w:ilvl="0" w:tentative="0">
      <w:start w:val="2"/>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145420E"/>
    <w:multiLevelType w:val="singleLevel"/>
    <w:tmpl w:val="F145420E"/>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422A1DA"/>
    <w:multiLevelType w:val="singleLevel"/>
    <w:tmpl w:val="0422A1DA"/>
    <w:lvl w:ilvl="0" w:tentative="0">
      <w:start w:val="1"/>
      <w:numFmt w:val="decimal"/>
      <w:suff w:val="nothing"/>
      <w:lvlText w:val="%1）"/>
      <w:lvlJc w:val="left"/>
    </w:lvl>
  </w:abstractNum>
  <w:abstractNum w:abstractNumId="10">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36"/>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5B22D606"/>
    <w:multiLevelType w:val="singleLevel"/>
    <w:tmpl w:val="5B22D606"/>
    <w:lvl w:ilvl="0" w:tentative="0">
      <w:start w:val="3"/>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13"/>
  </w:num>
  <w:num w:numId="3">
    <w:abstractNumId w:val="10"/>
  </w:num>
  <w:num w:numId="4">
    <w:abstractNumId w:val="12"/>
  </w:num>
  <w:num w:numId="5">
    <w:abstractNumId w:val="11"/>
  </w:num>
  <w:num w:numId="6">
    <w:abstractNumId w:val="14"/>
  </w:num>
  <w:num w:numId="7">
    <w:abstractNumId w:val="9"/>
  </w:num>
  <w:num w:numId="8">
    <w:abstractNumId w:val="7"/>
  </w:num>
  <w:num w:numId="9">
    <w:abstractNumId w:val="2"/>
  </w:num>
  <w:num w:numId="10">
    <w:abstractNumId w:val="15"/>
  </w:num>
  <w:num w:numId="11">
    <w:abstractNumId w:val="3"/>
  </w:num>
  <w:num w:numId="12">
    <w:abstractNumId w:val="8"/>
  </w:num>
  <w:num w:numId="13">
    <w:abstractNumId w:val="5"/>
  </w:num>
  <w:num w:numId="14">
    <w:abstractNumId w:val="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MjBhZTg1ZTI4N2RlYTlkNTg2MmI5MmUzNzQ5YjU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22F3F08"/>
    <w:rsid w:val="026B73D9"/>
    <w:rsid w:val="02DF109A"/>
    <w:rsid w:val="02F65944"/>
    <w:rsid w:val="040A0414"/>
    <w:rsid w:val="05CC64B2"/>
    <w:rsid w:val="0639166E"/>
    <w:rsid w:val="0698079F"/>
    <w:rsid w:val="070B414B"/>
    <w:rsid w:val="074342E6"/>
    <w:rsid w:val="07780680"/>
    <w:rsid w:val="083231D5"/>
    <w:rsid w:val="08407AC7"/>
    <w:rsid w:val="090A0966"/>
    <w:rsid w:val="0B0E4E77"/>
    <w:rsid w:val="0B8C1B1F"/>
    <w:rsid w:val="0C7D46A1"/>
    <w:rsid w:val="0CB56FDE"/>
    <w:rsid w:val="0D426A5B"/>
    <w:rsid w:val="0DCC6A42"/>
    <w:rsid w:val="0DD4230C"/>
    <w:rsid w:val="0E0E3C2A"/>
    <w:rsid w:val="0E2A515F"/>
    <w:rsid w:val="0E5C71A2"/>
    <w:rsid w:val="0E761A29"/>
    <w:rsid w:val="0EB05F51"/>
    <w:rsid w:val="0F6D1EE7"/>
    <w:rsid w:val="0F871D69"/>
    <w:rsid w:val="1006159F"/>
    <w:rsid w:val="10750A53"/>
    <w:rsid w:val="11FC1B6F"/>
    <w:rsid w:val="11FC25DC"/>
    <w:rsid w:val="12A10F05"/>
    <w:rsid w:val="12F96AC3"/>
    <w:rsid w:val="136AE410"/>
    <w:rsid w:val="13AE7D2D"/>
    <w:rsid w:val="149F13F6"/>
    <w:rsid w:val="14D67A0C"/>
    <w:rsid w:val="15436193"/>
    <w:rsid w:val="156C41D2"/>
    <w:rsid w:val="15B572DC"/>
    <w:rsid w:val="15B81EC8"/>
    <w:rsid w:val="15B8611F"/>
    <w:rsid w:val="15D7A544"/>
    <w:rsid w:val="1652354B"/>
    <w:rsid w:val="172872C1"/>
    <w:rsid w:val="176A4901"/>
    <w:rsid w:val="178C456C"/>
    <w:rsid w:val="18A3659D"/>
    <w:rsid w:val="18F7531A"/>
    <w:rsid w:val="192A1BE3"/>
    <w:rsid w:val="19564CCF"/>
    <w:rsid w:val="19997E82"/>
    <w:rsid w:val="19DE214F"/>
    <w:rsid w:val="1A7A062D"/>
    <w:rsid w:val="1A8D24E0"/>
    <w:rsid w:val="1B461699"/>
    <w:rsid w:val="1B4764EF"/>
    <w:rsid w:val="1B5211C1"/>
    <w:rsid w:val="1B7927E1"/>
    <w:rsid w:val="1C147B1C"/>
    <w:rsid w:val="1CB06C07"/>
    <w:rsid w:val="1CD06AC2"/>
    <w:rsid w:val="1E282B09"/>
    <w:rsid w:val="1EF9FA11"/>
    <w:rsid w:val="1F7D8579"/>
    <w:rsid w:val="20626A10"/>
    <w:rsid w:val="20751EC0"/>
    <w:rsid w:val="20A15926"/>
    <w:rsid w:val="21185C6E"/>
    <w:rsid w:val="21EB5ABA"/>
    <w:rsid w:val="223457F3"/>
    <w:rsid w:val="22524455"/>
    <w:rsid w:val="23620EA2"/>
    <w:rsid w:val="237A543E"/>
    <w:rsid w:val="238F05D9"/>
    <w:rsid w:val="23AD0250"/>
    <w:rsid w:val="23C433E1"/>
    <w:rsid w:val="24007330"/>
    <w:rsid w:val="24E72569"/>
    <w:rsid w:val="251C0302"/>
    <w:rsid w:val="259721E1"/>
    <w:rsid w:val="259D5707"/>
    <w:rsid w:val="25D85CBE"/>
    <w:rsid w:val="25F470B8"/>
    <w:rsid w:val="25FB4CAB"/>
    <w:rsid w:val="26D02111"/>
    <w:rsid w:val="2763697D"/>
    <w:rsid w:val="281C544D"/>
    <w:rsid w:val="28E7122C"/>
    <w:rsid w:val="29025168"/>
    <w:rsid w:val="29BF69CC"/>
    <w:rsid w:val="2ABC2C3C"/>
    <w:rsid w:val="2B0A4044"/>
    <w:rsid w:val="2B1C0F66"/>
    <w:rsid w:val="2B9E0710"/>
    <w:rsid w:val="2BAC7981"/>
    <w:rsid w:val="2BAE55DD"/>
    <w:rsid w:val="2C1B1019"/>
    <w:rsid w:val="2C241F7B"/>
    <w:rsid w:val="2C87561C"/>
    <w:rsid w:val="2CF77A09"/>
    <w:rsid w:val="2D621327"/>
    <w:rsid w:val="2E0E1929"/>
    <w:rsid w:val="2ED4413B"/>
    <w:rsid w:val="2F7420F0"/>
    <w:rsid w:val="2FDFA1DF"/>
    <w:rsid w:val="2FF4517B"/>
    <w:rsid w:val="2FF656F1"/>
    <w:rsid w:val="2FFFB5F7"/>
    <w:rsid w:val="303F594F"/>
    <w:rsid w:val="30955AF8"/>
    <w:rsid w:val="31D518E9"/>
    <w:rsid w:val="31EB6561"/>
    <w:rsid w:val="337D76D2"/>
    <w:rsid w:val="33BF359D"/>
    <w:rsid w:val="349618B6"/>
    <w:rsid w:val="349B07DD"/>
    <w:rsid w:val="34CB2295"/>
    <w:rsid w:val="35154F94"/>
    <w:rsid w:val="35D85868"/>
    <w:rsid w:val="35F5520D"/>
    <w:rsid w:val="361956C9"/>
    <w:rsid w:val="369B6EA4"/>
    <w:rsid w:val="36B78DE6"/>
    <w:rsid w:val="36DB3646"/>
    <w:rsid w:val="37BB6C79"/>
    <w:rsid w:val="37FF6D5D"/>
    <w:rsid w:val="382174C4"/>
    <w:rsid w:val="382900AC"/>
    <w:rsid w:val="38934DFC"/>
    <w:rsid w:val="38C955EE"/>
    <w:rsid w:val="38EFE013"/>
    <w:rsid w:val="390035D6"/>
    <w:rsid w:val="39FFD3B1"/>
    <w:rsid w:val="3B5FEC7D"/>
    <w:rsid w:val="3BD32D7F"/>
    <w:rsid w:val="3C6A1A01"/>
    <w:rsid w:val="3C793F97"/>
    <w:rsid w:val="3D795675"/>
    <w:rsid w:val="3DBB287B"/>
    <w:rsid w:val="3E7506E7"/>
    <w:rsid w:val="3E777C77"/>
    <w:rsid w:val="3E7B6F13"/>
    <w:rsid w:val="3E87EE28"/>
    <w:rsid w:val="3F023B4A"/>
    <w:rsid w:val="3F6787A7"/>
    <w:rsid w:val="3F8A4D4B"/>
    <w:rsid w:val="3FBA485A"/>
    <w:rsid w:val="3FCF96D0"/>
    <w:rsid w:val="3FDBE19C"/>
    <w:rsid w:val="3FF9205B"/>
    <w:rsid w:val="419B52D9"/>
    <w:rsid w:val="41BC059D"/>
    <w:rsid w:val="42637736"/>
    <w:rsid w:val="427C63D1"/>
    <w:rsid w:val="42DE2DA6"/>
    <w:rsid w:val="432930C3"/>
    <w:rsid w:val="43326265"/>
    <w:rsid w:val="437A3C0C"/>
    <w:rsid w:val="43BD5CD5"/>
    <w:rsid w:val="43FB2B0D"/>
    <w:rsid w:val="44530AC7"/>
    <w:rsid w:val="449066DE"/>
    <w:rsid w:val="452F5B59"/>
    <w:rsid w:val="45444A71"/>
    <w:rsid w:val="45E76232"/>
    <w:rsid w:val="469868AB"/>
    <w:rsid w:val="469D70A6"/>
    <w:rsid w:val="46EC1FD5"/>
    <w:rsid w:val="4703102D"/>
    <w:rsid w:val="47284BF0"/>
    <w:rsid w:val="47A86071"/>
    <w:rsid w:val="47DF0326"/>
    <w:rsid w:val="47F70831"/>
    <w:rsid w:val="48605F4B"/>
    <w:rsid w:val="487C2208"/>
    <w:rsid w:val="499D2B9C"/>
    <w:rsid w:val="49FF64EB"/>
    <w:rsid w:val="4AF3148F"/>
    <w:rsid w:val="4BBA2DD1"/>
    <w:rsid w:val="4BD765E4"/>
    <w:rsid w:val="4C3A53ED"/>
    <w:rsid w:val="4C4E4BA1"/>
    <w:rsid w:val="4C8C2321"/>
    <w:rsid w:val="4C9D5BD0"/>
    <w:rsid w:val="4D758985"/>
    <w:rsid w:val="4D783BDA"/>
    <w:rsid w:val="4D78CE61"/>
    <w:rsid w:val="4DE52D57"/>
    <w:rsid w:val="4DFD7AF0"/>
    <w:rsid w:val="4EB7BDCE"/>
    <w:rsid w:val="4F3529EA"/>
    <w:rsid w:val="4FD3437A"/>
    <w:rsid w:val="4FF78C91"/>
    <w:rsid w:val="4FFD9F10"/>
    <w:rsid w:val="501E46A8"/>
    <w:rsid w:val="513E1544"/>
    <w:rsid w:val="514461C7"/>
    <w:rsid w:val="51A35340"/>
    <w:rsid w:val="522C0F7D"/>
    <w:rsid w:val="52AF94E1"/>
    <w:rsid w:val="52B4142D"/>
    <w:rsid w:val="52FB4E65"/>
    <w:rsid w:val="53381612"/>
    <w:rsid w:val="534053B7"/>
    <w:rsid w:val="53446002"/>
    <w:rsid w:val="53CA7C27"/>
    <w:rsid w:val="547630C2"/>
    <w:rsid w:val="54BC2736"/>
    <w:rsid w:val="54FB9A18"/>
    <w:rsid w:val="55011498"/>
    <w:rsid w:val="554111A6"/>
    <w:rsid w:val="56202860"/>
    <w:rsid w:val="5635189E"/>
    <w:rsid w:val="57527971"/>
    <w:rsid w:val="57D02195"/>
    <w:rsid w:val="57EF4CB5"/>
    <w:rsid w:val="57FD5F51"/>
    <w:rsid w:val="58C57884"/>
    <w:rsid w:val="591F781C"/>
    <w:rsid w:val="597960BA"/>
    <w:rsid w:val="59C97520"/>
    <w:rsid w:val="59E773CD"/>
    <w:rsid w:val="5A7F6420"/>
    <w:rsid w:val="5A8B0281"/>
    <w:rsid w:val="5AD970E2"/>
    <w:rsid w:val="5B0F4C09"/>
    <w:rsid w:val="5BD76A25"/>
    <w:rsid w:val="5C5D0F1E"/>
    <w:rsid w:val="5C685162"/>
    <w:rsid w:val="5D210194"/>
    <w:rsid w:val="5D244222"/>
    <w:rsid w:val="5DAF84ED"/>
    <w:rsid w:val="5EDFDCE2"/>
    <w:rsid w:val="5EE77161"/>
    <w:rsid w:val="5EFF796C"/>
    <w:rsid w:val="5F590A3B"/>
    <w:rsid w:val="5FF780F5"/>
    <w:rsid w:val="609A3E05"/>
    <w:rsid w:val="61572249"/>
    <w:rsid w:val="61FC694D"/>
    <w:rsid w:val="62974183"/>
    <w:rsid w:val="63863C43"/>
    <w:rsid w:val="63A6664F"/>
    <w:rsid w:val="64016D84"/>
    <w:rsid w:val="645111D2"/>
    <w:rsid w:val="64DF9EC9"/>
    <w:rsid w:val="65197815"/>
    <w:rsid w:val="65DDBEC6"/>
    <w:rsid w:val="66951B01"/>
    <w:rsid w:val="66AB51D6"/>
    <w:rsid w:val="66D67563"/>
    <w:rsid w:val="671863B6"/>
    <w:rsid w:val="673F5EBD"/>
    <w:rsid w:val="679B7E6C"/>
    <w:rsid w:val="67D3133B"/>
    <w:rsid w:val="68502C74"/>
    <w:rsid w:val="68D66149"/>
    <w:rsid w:val="68FBFECA"/>
    <w:rsid w:val="693C36F0"/>
    <w:rsid w:val="693D7FC2"/>
    <w:rsid w:val="694667A7"/>
    <w:rsid w:val="69474A62"/>
    <w:rsid w:val="696564FE"/>
    <w:rsid w:val="69D92A68"/>
    <w:rsid w:val="6B637A3C"/>
    <w:rsid w:val="6BFF1818"/>
    <w:rsid w:val="6C110ACA"/>
    <w:rsid w:val="6C282AC3"/>
    <w:rsid w:val="6C45485C"/>
    <w:rsid w:val="6C8B79CA"/>
    <w:rsid w:val="6C8E7F83"/>
    <w:rsid w:val="6CD34FDC"/>
    <w:rsid w:val="6CD84D38"/>
    <w:rsid w:val="6CFC1CAA"/>
    <w:rsid w:val="6DB51873"/>
    <w:rsid w:val="6E3B4E2B"/>
    <w:rsid w:val="6F111D66"/>
    <w:rsid w:val="6F310892"/>
    <w:rsid w:val="6F5042AC"/>
    <w:rsid w:val="6F825643"/>
    <w:rsid w:val="6F9FC792"/>
    <w:rsid w:val="6FBBFA80"/>
    <w:rsid w:val="6FDCE01E"/>
    <w:rsid w:val="702F16FB"/>
    <w:rsid w:val="70962620"/>
    <w:rsid w:val="717F6BF2"/>
    <w:rsid w:val="71C07C18"/>
    <w:rsid w:val="72037883"/>
    <w:rsid w:val="722021E3"/>
    <w:rsid w:val="729329B5"/>
    <w:rsid w:val="73627339"/>
    <w:rsid w:val="73BBBF70"/>
    <w:rsid w:val="73F76F74"/>
    <w:rsid w:val="74676F1D"/>
    <w:rsid w:val="746E42B5"/>
    <w:rsid w:val="74A40EAA"/>
    <w:rsid w:val="74D75C0D"/>
    <w:rsid w:val="75022074"/>
    <w:rsid w:val="75063912"/>
    <w:rsid w:val="75611C6E"/>
    <w:rsid w:val="759B656F"/>
    <w:rsid w:val="75A63077"/>
    <w:rsid w:val="75B261CA"/>
    <w:rsid w:val="76494306"/>
    <w:rsid w:val="7673301A"/>
    <w:rsid w:val="76EA574E"/>
    <w:rsid w:val="77091334"/>
    <w:rsid w:val="776431E2"/>
    <w:rsid w:val="777B802D"/>
    <w:rsid w:val="77AC30B0"/>
    <w:rsid w:val="77BEE99B"/>
    <w:rsid w:val="77EDCD3E"/>
    <w:rsid w:val="77FF35A8"/>
    <w:rsid w:val="780958C6"/>
    <w:rsid w:val="78582BB4"/>
    <w:rsid w:val="7859644F"/>
    <w:rsid w:val="79912D80"/>
    <w:rsid w:val="79A72A92"/>
    <w:rsid w:val="79AD7E05"/>
    <w:rsid w:val="7AF54138"/>
    <w:rsid w:val="7B1F9969"/>
    <w:rsid w:val="7B3B1E3C"/>
    <w:rsid w:val="7B7FC282"/>
    <w:rsid w:val="7BFF93D5"/>
    <w:rsid w:val="7BFFFD80"/>
    <w:rsid w:val="7D077306"/>
    <w:rsid w:val="7D2FCE98"/>
    <w:rsid w:val="7D5D078F"/>
    <w:rsid w:val="7D9E7778"/>
    <w:rsid w:val="7DFBB78E"/>
    <w:rsid w:val="7E0C7BF1"/>
    <w:rsid w:val="7E9795B2"/>
    <w:rsid w:val="7EB75FDC"/>
    <w:rsid w:val="7EBE630B"/>
    <w:rsid w:val="7EC724BB"/>
    <w:rsid w:val="7F554756"/>
    <w:rsid w:val="7FA6493D"/>
    <w:rsid w:val="7FBF4201"/>
    <w:rsid w:val="7FBFA4DF"/>
    <w:rsid w:val="7FCDC45A"/>
    <w:rsid w:val="7FD6EEA1"/>
    <w:rsid w:val="7FDB2E85"/>
    <w:rsid w:val="7FE77FFB"/>
    <w:rsid w:val="7FE87412"/>
    <w:rsid w:val="7FEC708A"/>
    <w:rsid w:val="7FEFC782"/>
    <w:rsid w:val="7FF5DE78"/>
    <w:rsid w:val="7FFA2937"/>
    <w:rsid w:val="7FFB2F48"/>
    <w:rsid w:val="7FFD58BB"/>
    <w:rsid w:val="7FFD67A0"/>
    <w:rsid w:val="8CDF10BC"/>
    <w:rsid w:val="927D3FA2"/>
    <w:rsid w:val="976FE15F"/>
    <w:rsid w:val="9BF5D7FF"/>
    <w:rsid w:val="9BF95913"/>
    <w:rsid w:val="A0FA0254"/>
    <w:rsid w:val="B2FEDF08"/>
    <w:rsid w:val="B6F74296"/>
    <w:rsid w:val="B6FFB09C"/>
    <w:rsid w:val="B7D32BD2"/>
    <w:rsid w:val="B97E1B2E"/>
    <w:rsid w:val="B9EB4691"/>
    <w:rsid w:val="B9F7CCFF"/>
    <w:rsid w:val="BABEF770"/>
    <w:rsid w:val="BB7FD89E"/>
    <w:rsid w:val="BBFAE1ED"/>
    <w:rsid w:val="BF5FCF80"/>
    <w:rsid w:val="C69F9F2D"/>
    <w:rsid w:val="C9EFB729"/>
    <w:rsid w:val="CFE71354"/>
    <w:rsid w:val="CFFD387A"/>
    <w:rsid w:val="D7F6A8D1"/>
    <w:rsid w:val="DAD60305"/>
    <w:rsid w:val="DAF82A97"/>
    <w:rsid w:val="DE7A16DD"/>
    <w:rsid w:val="DEB36856"/>
    <w:rsid w:val="DEFE527B"/>
    <w:rsid w:val="DEFF5F54"/>
    <w:rsid w:val="DF8DBC26"/>
    <w:rsid w:val="DFD71BF5"/>
    <w:rsid w:val="DFF9DEEC"/>
    <w:rsid w:val="E57FC849"/>
    <w:rsid w:val="E5ADB478"/>
    <w:rsid w:val="E8BA93D7"/>
    <w:rsid w:val="E9FF92BA"/>
    <w:rsid w:val="EAF3F0FA"/>
    <w:rsid w:val="EDEF8DD2"/>
    <w:rsid w:val="EE6F9A54"/>
    <w:rsid w:val="EFFFBD1D"/>
    <w:rsid w:val="F3FB3398"/>
    <w:rsid w:val="F69F50A1"/>
    <w:rsid w:val="F72D6AA6"/>
    <w:rsid w:val="F7BFAF27"/>
    <w:rsid w:val="F7CF3D95"/>
    <w:rsid w:val="F8FD37EA"/>
    <w:rsid w:val="F9AF20B5"/>
    <w:rsid w:val="FBFE35F6"/>
    <w:rsid w:val="FBFFDFFE"/>
    <w:rsid w:val="FD5C79E7"/>
    <w:rsid w:val="FD9D5592"/>
    <w:rsid w:val="FDFDCEF0"/>
    <w:rsid w:val="FDFF94A8"/>
    <w:rsid w:val="FE39164B"/>
    <w:rsid w:val="FE7C563D"/>
    <w:rsid w:val="FE7E7BBF"/>
    <w:rsid w:val="FEBC9016"/>
    <w:rsid w:val="FF672D1C"/>
    <w:rsid w:val="FF7E56F9"/>
    <w:rsid w:val="FF979485"/>
    <w:rsid w:val="FF9D1227"/>
    <w:rsid w:val="FFABD37F"/>
    <w:rsid w:val="FFBF8919"/>
    <w:rsid w:val="FFEF37E5"/>
    <w:rsid w:val="FFFDF464"/>
    <w:rsid w:val="FFFF22CE"/>
    <w:rsid w:val="FFFF45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5">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Cs w:val="21"/>
      <w:lang w:eastAsia="en-US"/>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link w:val="93"/>
    <w:qFormat/>
    <w:uiPriority w:val="99"/>
    <w:pPr>
      <w:jc w:val="left"/>
    </w:pPr>
  </w:style>
  <w:style w:type="paragraph" w:styleId="9">
    <w:name w:val="Body Text Indent"/>
    <w:basedOn w:val="10"/>
    <w:next w:val="1"/>
    <w:qFormat/>
    <w:uiPriority w:val="0"/>
    <w:pPr>
      <w:spacing w:line="360" w:lineRule="auto"/>
      <w:ind w:firstLine="570"/>
    </w:pPr>
    <w:rPr>
      <w:sz w:val="24"/>
    </w:rPr>
  </w:style>
  <w:style w:type="paragraph" w:customStyle="1" w:styleId="10">
    <w:name w:val="Normal_6"/>
    <w:next w:val="11"/>
    <w:qFormat/>
    <w:uiPriority w:val="0"/>
    <w:pPr>
      <w:widowControl w:val="0"/>
    </w:pPr>
    <w:rPr>
      <w:rFonts w:ascii="宋体" w:hAnsi="宋体" w:eastAsia="宋体" w:cs="宋体"/>
      <w:sz w:val="22"/>
      <w:szCs w:val="22"/>
      <w:lang w:val="en-US" w:eastAsia="en-US" w:bidi="ar-SA"/>
    </w:rPr>
  </w:style>
  <w:style w:type="paragraph" w:styleId="11">
    <w:name w:val="Body Text First Indent 2"/>
    <w:basedOn w:val="9"/>
    <w:next w:val="6"/>
    <w:unhideWhenUsed/>
    <w:qFormat/>
    <w:uiPriority w:val="99"/>
    <w:pPr>
      <w:ind w:firstLine="420" w:firstLineChars="200"/>
    </w:p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Balloon Text"/>
    <w:basedOn w:val="1"/>
    <w:link w:val="92"/>
    <w:qFormat/>
    <w:uiPriority w:val="99"/>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宋体" w:hAnsi="宋体" w:cs="宋体"/>
      <w:kern w:val="0"/>
      <w:sz w:val="24"/>
    </w:rPr>
  </w:style>
  <w:style w:type="paragraph" w:styleId="22">
    <w:name w:val="annotation subject"/>
    <w:basedOn w:val="8"/>
    <w:next w:val="8"/>
    <w:link w:val="94"/>
    <w:qFormat/>
    <w:uiPriority w:val="99"/>
    <w:rPr>
      <w:b/>
      <w:bCs/>
    </w:rPr>
  </w:style>
  <w:style w:type="paragraph" w:styleId="23">
    <w:name w:val="Body Text First Indent"/>
    <w:basedOn w:val="2"/>
    <w:qFormat/>
    <w:uiPriority w:val="0"/>
    <w:pPr>
      <w:tabs>
        <w:tab w:val="left" w:pos="567"/>
      </w:tabs>
      <w:autoSpaceDE w:val="0"/>
      <w:autoSpaceDN w:val="0"/>
      <w:adjustRightInd w:val="0"/>
      <w:spacing w:line="360" w:lineRule="auto"/>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basedOn w:val="26"/>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Normal_0"/>
    <w:qFormat/>
    <w:uiPriority w:val="0"/>
    <w:pPr>
      <w:jc w:val="both"/>
    </w:pPr>
    <w:rPr>
      <w:rFonts w:ascii="Calibri" w:hAnsi="Calibri" w:eastAsia="宋体" w:cs="Times New Roman"/>
      <w:kern w:val="2"/>
      <w:sz w:val="21"/>
      <w:szCs w:val="21"/>
      <w:lang w:val="en-US" w:eastAsia="zh-CN" w:bidi="ar-SA"/>
    </w:rPr>
  </w:style>
  <w:style w:type="paragraph" w:customStyle="1" w:styleId="32">
    <w:name w:val="Default"/>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33">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34">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35">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36">
    <w:name w:val="标题 41"/>
    <w:basedOn w:val="1"/>
    <w:qFormat/>
    <w:uiPriority w:val="0"/>
    <w:pPr>
      <w:keepNext/>
      <w:keepLines/>
      <w:numPr>
        <w:ilvl w:val="3"/>
        <w:numId w:val="3"/>
      </w:numPr>
      <w:ind w:firstLine="0"/>
      <w:outlineLvl w:val="3"/>
    </w:pPr>
    <w:rPr>
      <w:b/>
      <w:bCs/>
      <w:szCs w:val="28"/>
    </w:rPr>
  </w:style>
  <w:style w:type="character" w:customStyle="1" w:styleId="37">
    <w:name w:val="默认段落字体1"/>
    <w:qFormat/>
    <w:uiPriority w:val="0"/>
  </w:style>
  <w:style w:type="table" w:customStyle="1" w:styleId="38">
    <w:name w:val="普通表格1"/>
    <w:qFormat/>
    <w:uiPriority w:val="0"/>
    <w:tblPr>
      <w:tblCellMar>
        <w:top w:w="0" w:type="dxa"/>
        <w:left w:w="0" w:type="dxa"/>
        <w:bottom w:w="0" w:type="dxa"/>
        <w:right w:w="0" w:type="dxa"/>
      </w:tblCellMar>
    </w:tblPr>
  </w:style>
  <w:style w:type="paragraph" w:customStyle="1" w:styleId="39">
    <w:name w:val="正文缩进11"/>
    <w:basedOn w:val="1"/>
    <w:qFormat/>
    <w:uiPriority w:val="0"/>
    <w:pPr>
      <w:autoSpaceDE w:val="0"/>
      <w:autoSpaceDN w:val="0"/>
      <w:ind w:firstLine="420"/>
      <w:jc w:val="left"/>
    </w:pPr>
    <w:rPr>
      <w:rFonts w:ascii="宋体"/>
      <w:kern w:val="0"/>
      <w:sz w:val="24"/>
      <w:szCs w:val="20"/>
    </w:rPr>
  </w:style>
  <w:style w:type="paragraph" w:customStyle="1" w:styleId="40">
    <w:name w:val="正文文本1"/>
    <w:basedOn w:val="1"/>
    <w:qFormat/>
    <w:uiPriority w:val="0"/>
    <w:pPr>
      <w:tabs>
        <w:tab w:val="left" w:pos="567"/>
      </w:tabs>
      <w:spacing w:before="120" w:line="22" w:lineRule="atLeast"/>
    </w:pPr>
    <w:rPr>
      <w:rFonts w:ascii="宋体" w:hAnsi="宋体"/>
      <w:sz w:val="24"/>
    </w:rPr>
  </w:style>
  <w:style w:type="paragraph" w:customStyle="1" w:styleId="41">
    <w:name w:val="正文文本缩进1"/>
    <w:basedOn w:val="1"/>
    <w:qFormat/>
    <w:uiPriority w:val="0"/>
    <w:pPr>
      <w:spacing w:line="360" w:lineRule="auto"/>
      <w:ind w:firstLine="570"/>
    </w:pPr>
    <w:rPr>
      <w:sz w:val="24"/>
    </w:rPr>
  </w:style>
  <w:style w:type="paragraph" w:customStyle="1" w:styleId="42">
    <w:name w:val="普通(网站)1"/>
    <w:basedOn w:val="1"/>
    <w:qFormat/>
    <w:uiPriority w:val="0"/>
    <w:pPr>
      <w:widowControl/>
      <w:jc w:val="left"/>
    </w:pPr>
    <w:rPr>
      <w:rFonts w:ascii="宋体" w:hAnsi="宋体"/>
      <w:kern w:val="0"/>
      <w:sz w:val="24"/>
    </w:rPr>
  </w:style>
  <w:style w:type="paragraph" w:customStyle="1" w:styleId="43">
    <w:name w:val="目录 31"/>
    <w:basedOn w:val="1"/>
    <w:qFormat/>
    <w:uiPriority w:val="0"/>
    <w:pPr>
      <w:tabs>
        <w:tab w:val="left" w:pos="1260"/>
        <w:tab w:val="right" w:leader="dot" w:pos="8630"/>
      </w:tabs>
      <w:ind w:left="840" w:leftChars="400"/>
    </w:pPr>
  </w:style>
  <w:style w:type="paragraph" w:customStyle="1" w:styleId="44">
    <w:name w:val="纯文本11"/>
    <w:basedOn w:val="1"/>
    <w:qFormat/>
    <w:uiPriority w:val="0"/>
    <w:rPr>
      <w:rFonts w:ascii="宋体" w:hAnsi="Courier New"/>
      <w:szCs w:val="20"/>
    </w:rPr>
  </w:style>
  <w:style w:type="paragraph" w:customStyle="1" w:styleId="45">
    <w:name w:val="批注框文本1"/>
    <w:basedOn w:val="1"/>
    <w:link w:val="46"/>
    <w:qFormat/>
    <w:uiPriority w:val="0"/>
    <w:rPr>
      <w:sz w:val="18"/>
      <w:szCs w:val="18"/>
    </w:rPr>
  </w:style>
  <w:style w:type="character" w:customStyle="1" w:styleId="46">
    <w:name w:val="批注框文本 Char"/>
    <w:basedOn w:val="37"/>
    <w:link w:val="45"/>
    <w:qFormat/>
    <w:uiPriority w:val="0"/>
    <w:rPr>
      <w:kern w:val="2"/>
      <w:sz w:val="18"/>
      <w:szCs w:val="18"/>
    </w:rPr>
  </w:style>
  <w:style w:type="paragraph" w:customStyle="1" w:styleId="47">
    <w:name w:val="页脚1"/>
    <w:basedOn w:val="1"/>
    <w:link w:val="48"/>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48">
    <w:name w:val="页脚 Char"/>
    <w:basedOn w:val="37"/>
    <w:link w:val="47"/>
    <w:qFormat/>
    <w:uiPriority w:val="0"/>
    <w:rPr>
      <w:rFonts w:ascii="宋体"/>
      <w:sz w:val="18"/>
    </w:rPr>
  </w:style>
  <w:style w:type="paragraph" w:customStyle="1" w:styleId="49">
    <w:name w:val="页眉1"/>
    <w:basedOn w:val="1"/>
    <w:link w:val="50"/>
    <w:qFormat/>
    <w:uiPriority w:val="0"/>
    <w:pPr>
      <w:pBdr>
        <w:bottom w:val="single" w:color="000000" w:sz="6" w:space="1"/>
      </w:pBdr>
      <w:tabs>
        <w:tab w:val="center" w:pos="4153"/>
        <w:tab w:val="right" w:pos="8306"/>
      </w:tabs>
      <w:snapToGrid w:val="0"/>
      <w:jc w:val="center"/>
    </w:pPr>
    <w:rPr>
      <w:sz w:val="18"/>
      <w:szCs w:val="18"/>
    </w:rPr>
  </w:style>
  <w:style w:type="character" w:customStyle="1" w:styleId="50">
    <w:name w:val="页眉 Char"/>
    <w:basedOn w:val="37"/>
    <w:link w:val="49"/>
    <w:qFormat/>
    <w:uiPriority w:val="0"/>
    <w:rPr>
      <w:kern w:val="2"/>
      <w:sz w:val="18"/>
      <w:szCs w:val="18"/>
    </w:rPr>
  </w:style>
  <w:style w:type="paragraph" w:customStyle="1" w:styleId="51">
    <w:name w:val="目录 11"/>
    <w:basedOn w:val="1"/>
    <w:qFormat/>
    <w:uiPriority w:val="0"/>
  </w:style>
  <w:style w:type="paragraph" w:customStyle="1" w:styleId="52">
    <w:name w:val="脚注文本1"/>
    <w:basedOn w:val="1"/>
    <w:qFormat/>
    <w:uiPriority w:val="0"/>
    <w:pPr>
      <w:snapToGrid w:val="0"/>
    </w:pPr>
    <w:rPr>
      <w:sz w:val="18"/>
    </w:rPr>
  </w:style>
  <w:style w:type="paragraph" w:customStyle="1" w:styleId="53">
    <w:name w:val="目录 21"/>
    <w:basedOn w:val="1"/>
    <w:qFormat/>
    <w:uiPriority w:val="0"/>
    <w:pPr>
      <w:ind w:left="420" w:leftChars="200"/>
    </w:pPr>
  </w:style>
  <w:style w:type="paragraph" w:customStyle="1" w:styleId="54">
    <w:name w:val="正文首行缩进1"/>
    <w:basedOn w:val="40"/>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55">
    <w:name w:val="正文首行缩进 21"/>
    <w:basedOn w:val="41"/>
    <w:qFormat/>
    <w:uiPriority w:val="0"/>
    <w:pPr>
      <w:ind w:firstLine="420" w:firstLineChars="200"/>
    </w:pPr>
  </w:style>
  <w:style w:type="table" w:customStyle="1" w:styleId="56">
    <w:name w:val="网格型1"/>
    <w:basedOn w:val="38"/>
    <w:qFormat/>
    <w:uiPriority w:val="0"/>
    <w:pPr>
      <w:widowControl w:val="0"/>
      <w:jc w:val="both"/>
    </w:pPr>
  </w:style>
  <w:style w:type="character" w:customStyle="1" w:styleId="57">
    <w:name w:val="页码1"/>
    <w:qFormat/>
    <w:uiPriority w:val="0"/>
  </w:style>
  <w:style w:type="character" w:customStyle="1" w:styleId="58">
    <w:name w:val="超链接1"/>
    <w:basedOn w:val="37"/>
    <w:qFormat/>
    <w:uiPriority w:val="0"/>
    <w:rPr>
      <w:color w:val="0000FF"/>
      <w:u w:val="single"/>
    </w:rPr>
  </w:style>
  <w:style w:type="paragraph" w:customStyle="1" w:styleId="59">
    <w:name w:val="表格文字"/>
    <w:basedOn w:val="1"/>
    <w:qFormat/>
    <w:uiPriority w:val="0"/>
    <w:pPr>
      <w:spacing w:before="25" w:after="25"/>
      <w:jc w:val="left"/>
    </w:pPr>
    <w:rPr>
      <w:bCs/>
      <w:spacing w:val="10"/>
      <w:kern w:val="0"/>
      <w:sz w:val="24"/>
      <w:szCs w:val="20"/>
    </w:rPr>
  </w:style>
  <w:style w:type="paragraph" w:customStyle="1" w:styleId="60">
    <w:name w:val="FC正文"/>
    <w:basedOn w:val="1"/>
    <w:qFormat/>
    <w:uiPriority w:val="0"/>
    <w:pPr>
      <w:snapToGrid w:val="0"/>
      <w:spacing w:line="360" w:lineRule="auto"/>
      <w:ind w:firstLine="200" w:firstLineChars="200"/>
      <w:contextualSpacing/>
    </w:pPr>
    <w:rPr>
      <w:rFonts w:ascii="宋体" w:hAnsi="宋体"/>
    </w:rPr>
  </w:style>
  <w:style w:type="paragraph" w:customStyle="1" w:styleId="61">
    <w:name w:val="样式 正文首行缩进 2 + 首行缩进:  2 字符"/>
    <w:basedOn w:val="1"/>
    <w:qFormat/>
    <w:uiPriority w:val="0"/>
    <w:pPr>
      <w:spacing w:after="120"/>
      <w:ind w:left="200" w:leftChars="200" w:firstLine="170" w:firstLineChars="170"/>
    </w:pPr>
    <w:rPr>
      <w:szCs w:val="20"/>
    </w:rPr>
  </w:style>
  <w:style w:type="paragraph" w:customStyle="1" w:styleId="62">
    <w:name w:val="列出段落1"/>
    <w:basedOn w:val="1"/>
    <w:qFormat/>
    <w:uiPriority w:val="0"/>
    <w:pPr>
      <w:ind w:firstLine="420" w:firstLineChars="200"/>
    </w:pPr>
  </w:style>
  <w:style w:type="character" w:customStyle="1" w:styleId="63">
    <w:name w:val="font51"/>
    <w:basedOn w:val="37"/>
    <w:qFormat/>
    <w:uiPriority w:val="0"/>
    <w:rPr>
      <w:rFonts w:hint="eastAsia" w:ascii="宋体" w:hAnsi="宋体" w:eastAsia="宋体"/>
      <w:color w:val="000000"/>
      <w:sz w:val="20"/>
      <w:szCs w:val="20"/>
      <w:u w:val="none"/>
    </w:rPr>
  </w:style>
  <w:style w:type="paragraph" w:customStyle="1" w:styleId="64">
    <w:name w:val="正文缩进1"/>
    <w:basedOn w:val="1"/>
    <w:qFormat/>
    <w:uiPriority w:val="0"/>
    <w:pPr>
      <w:autoSpaceDE w:val="0"/>
      <w:autoSpaceDN w:val="0"/>
      <w:ind w:firstLine="420"/>
      <w:jc w:val="left"/>
    </w:pPr>
    <w:rPr>
      <w:rFonts w:ascii="宋体"/>
      <w:kern w:val="0"/>
      <w:sz w:val="24"/>
      <w:szCs w:val="20"/>
    </w:rPr>
  </w:style>
  <w:style w:type="paragraph" w:customStyle="1" w:styleId="65">
    <w:name w:val="索引 11"/>
    <w:basedOn w:val="1"/>
    <w:next w:val="1"/>
    <w:qFormat/>
    <w:uiPriority w:val="0"/>
    <w:pPr>
      <w:spacing w:line="360" w:lineRule="auto"/>
    </w:pPr>
    <w:rPr>
      <w:rFonts w:ascii="仿宋_GB2312" w:eastAsia="仿宋_GB2312"/>
      <w:sz w:val="24"/>
      <w:szCs w:val="20"/>
    </w:rPr>
  </w:style>
  <w:style w:type="paragraph" w:customStyle="1" w:styleId="66">
    <w:name w:val="纯文本1"/>
    <w:basedOn w:val="1"/>
    <w:qFormat/>
    <w:uiPriority w:val="0"/>
    <w:rPr>
      <w:rFonts w:ascii="宋体" w:hAnsi="Courier New"/>
      <w:kern w:val="0"/>
      <w:sz w:val="20"/>
      <w:szCs w:val="20"/>
    </w:rPr>
  </w:style>
  <w:style w:type="character" w:customStyle="1" w:styleId="67">
    <w:name w:val="font31"/>
    <w:basedOn w:val="37"/>
    <w:qFormat/>
    <w:uiPriority w:val="0"/>
    <w:rPr>
      <w:rFonts w:hint="eastAsia" w:ascii="宋体" w:hAnsi="宋体" w:eastAsia="宋体"/>
      <w:color w:val="000000"/>
      <w:sz w:val="14"/>
      <w:szCs w:val="14"/>
      <w:u w:val="none"/>
    </w:rPr>
  </w:style>
  <w:style w:type="character" w:customStyle="1" w:styleId="68">
    <w:name w:val="font142"/>
    <w:basedOn w:val="37"/>
    <w:qFormat/>
    <w:uiPriority w:val="0"/>
    <w:rPr>
      <w:rFonts w:hint="eastAsia" w:ascii="宋体" w:hAnsi="宋体" w:eastAsia="宋体"/>
      <w:color w:val="000000"/>
      <w:sz w:val="14"/>
      <w:szCs w:val="14"/>
      <w:u w:val="none"/>
      <w:vertAlign w:val="superscript"/>
    </w:rPr>
  </w:style>
  <w:style w:type="character" w:customStyle="1" w:styleId="69">
    <w:name w:val="font151"/>
    <w:basedOn w:val="37"/>
    <w:qFormat/>
    <w:uiPriority w:val="0"/>
    <w:rPr>
      <w:rFonts w:ascii="Arial" w:hAnsi="Arial"/>
      <w:color w:val="000000"/>
      <w:sz w:val="14"/>
      <w:szCs w:val="14"/>
      <w:u w:val="none"/>
    </w:rPr>
  </w:style>
  <w:style w:type="paragraph" w:customStyle="1" w:styleId="70">
    <w:name w:val="列出段落2"/>
    <w:basedOn w:val="1"/>
    <w:qFormat/>
    <w:uiPriority w:val="0"/>
    <w:pPr>
      <w:ind w:firstLine="420" w:firstLineChars="200"/>
    </w:pPr>
  </w:style>
  <w:style w:type="paragraph" w:customStyle="1" w:styleId="71">
    <w:name w:val="CL标准正文首行缩进2字"/>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2">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3">
    <w:name w:val="font91"/>
    <w:basedOn w:val="37"/>
    <w:qFormat/>
    <w:uiPriority w:val="0"/>
    <w:rPr>
      <w:rFonts w:ascii="黑体" w:hAnsi="宋体" w:eastAsia="黑体"/>
      <w:b/>
      <w:bCs/>
      <w:color w:val="000000"/>
      <w:sz w:val="18"/>
      <w:szCs w:val="18"/>
      <w:u w:val="none"/>
    </w:rPr>
  </w:style>
  <w:style w:type="character" w:customStyle="1" w:styleId="74">
    <w:name w:val="font101"/>
    <w:basedOn w:val="37"/>
    <w:qFormat/>
    <w:uiPriority w:val="0"/>
    <w:rPr>
      <w:rFonts w:ascii="黑体" w:hAnsi="宋体" w:eastAsia="黑体"/>
      <w:color w:val="000000"/>
      <w:sz w:val="18"/>
      <w:szCs w:val="18"/>
      <w:u w:val="none"/>
    </w:rPr>
  </w:style>
  <w:style w:type="character" w:customStyle="1" w:styleId="75">
    <w:name w:val="font71"/>
    <w:basedOn w:val="37"/>
    <w:qFormat/>
    <w:uiPriority w:val="0"/>
    <w:rPr>
      <w:rFonts w:ascii="Arial" w:hAnsi="Arial"/>
      <w:color w:val="000000"/>
      <w:sz w:val="20"/>
      <w:szCs w:val="20"/>
      <w:u w:val="none"/>
    </w:rPr>
  </w:style>
  <w:style w:type="character" w:customStyle="1" w:styleId="76">
    <w:name w:val="font61"/>
    <w:basedOn w:val="37"/>
    <w:qFormat/>
    <w:uiPriority w:val="0"/>
    <w:rPr>
      <w:rFonts w:hint="eastAsia" w:ascii="宋体" w:hAnsi="宋体" w:eastAsia="宋体"/>
      <w:color w:val="000000"/>
      <w:sz w:val="22"/>
      <w:szCs w:val="22"/>
      <w:u w:val="none"/>
    </w:rPr>
  </w:style>
  <w:style w:type="character" w:customStyle="1" w:styleId="77">
    <w:name w:val="font81"/>
    <w:basedOn w:val="37"/>
    <w:qFormat/>
    <w:uiPriority w:val="0"/>
    <w:rPr>
      <w:rFonts w:ascii="Arial" w:hAnsi="Arial"/>
      <w:color w:val="000000"/>
      <w:sz w:val="18"/>
      <w:szCs w:val="18"/>
      <w:u w:val="none"/>
    </w:rPr>
  </w:style>
  <w:style w:type="character" w:customStyle="1" w:styleId="78">
    <w:name w:val="font112"/>
    <w:basedOn w:val="37"/>
    <w:qFormat/>
    <w:uiPriority w:val="0"/>
    <w:rPr>
      <w:rFonts w:hint="eastAsia" w:ascii="宋体" w:hAnsi="宋体" w:eastAsia="宋体"/>
      <w:color w:val="000000"/>
      <w:sz w:val="18"/>
      <w:szCs w:val="18"/>
      <w:u w:val="none"/>
    </w:rPr>
  </w:style>
  <w:style w:type="character" w:customStyle="1" w:styleId="79">
    <w:name w:val="font121"/>
    <w:basedOn w:val="37"/>
    <w:qFormat/>
    <w:uiPriority w:val="0"/>
    <w:rPr>
      <w:rFonts w:ascii="Arial" w:hAnsi="Arial"/>
      <w:color w:val="000000"/>
      <w:sz w:val="18"/>
      <w:szCs w:val="18"/>
      <w:u w:val="none"/>
    </w:rPr>
  </w:style>
  <w:style w:type="character" w:customStyle="1" w:styleId="80">
    <w:name w:val="font131"/>
    <w:basedOn w:val="37"/>
    <w:qFormat/>
    <w:uiPriority w:val="0"/>
    <w:rPr>
      <w:rFonts w:hint="eastAsia" w:ascii="宋体" w:hAnsi="宋体" w:eastAsia="宋体"/>
      <w:color w:val="000000"/>
      <w:sz w:val="18"/>
      <w:szCs w:val="18"/>
      <w:u w:val="none"/>
    </w:rPr>
  </w:style>
  <w:style w:type="character" w:customStyle="1" w:styleId="81">
    <w:name w:val="font141"/>
    <w:basedOn w:val="37"/>
    <w:qFormat/>
    <w:uiPriority w:val="0"/>
    <w:rPr>
      <w:rFonts w:ascii="黑体" w:hAnsi="宋体" w:eastAsia="黑体"/>
      <w:color w:val="000000"/>
      <w:sz w:val="8"/>
      <w:szCs w:val="8"/>
      <w:u w:val="none"/>
    </w:rPr>
  </w:style>
  <w:style w:type="paragraph" w:styleId="82">
    <w:name w:val="List Paragraph"/>
    <w:basedOn w:val="1"/>
    <w:qFormat/>
    <w:uiPriority w:val="0"/>
    <w:pPr>
      <w:ind w:firstLine="420" w:firstLineChars="200"/>
    </w:pPr>
  </w:style>
  <w:style w:type="character" w:customStyle="1" w:styleId="83">
    <w:name w:val="font11"/>
    <w:basedOn w:val="37"/>
    <w:qFormat/>
    <w:uiPriority w:val="0"/>
    <w:rPr>
      <w:rFonts w:hint="eastAsia" w:ascii="宋体" w:hAnsi="宋体" w:eastAsia="宋体"/>
      <w:color w:val="0D0D0D"/>
      <w:sz w:val="20"/>
      <w:szCs w:val="20"/>
      <w:u w:val="none"/>
    </w:rPr>
  </w:style>
  <w:style w:type="paragraph" w:customStyle="1" w:styleId="84">
    <w:name w:val="Table Text"/>
    <w:basedOn w:val="1"/>
    <w:semiHidden/>
    <w:qFormat/>
    <w:uiPriority w:val="0"/>
    <w:rPr>
      <w:rFonts w:ascii="黑体" w:hAnsi="黑体" w:eastAsia="黑体"/>
      <w:sz w:val="18"/>
      <w:szCs w:val="18"/>
      <w:lang w:eastAsia="en-US"/>
    </w:rPr>
  </w:style>
  <w:style w:type="table" w:customStyle="1" w:styleId="85">
    <w:name w:val="Table Normal"/>
    <w:qFormat/>
    <w:uiPriority w:val="0"/>
    <w:tblPr>
      <w:tblCellMar>
        <w:top w:w="0" w:type="dxa"/>
        <w:left w:w="0" w:type="dxa"/>
        <w:bottom w:w="0" w:type="dxa"/>
        <w:right w:w="0" w:type="dxa"/>
      </w:tblCellMar>
    </w:tblPr>
  </w:style>
  <w:style w:type="character" w:customStyle="1" w:styleId="86">
    <w:name w:val="font21"/>
    <w:basedOn w:val="37"/>
    <w:qFormat/>
    <w:uiPriority w:val="0"/>
    <w:rPr>
      <w:rFonts w:hint="eastAsia" w:ascii="黑体" w:hAnsi="宋体" w:eastAsia="黑体"/>
      <w:color w:val="000000"/>
      <w:sz w:val="18"/>
      <w:szCs w:val="18"/>
      <w:u w:val="none"/>
    </w:rPr>
  </w:style>
  <w:style w:type="character" w:customStyle="1" w:styleId="87">
    <w:name w:val="font41"/>
    <w:basedOn w:val="37"/>
    <w:qFormat/>
    <w:uiPriority w:val="0"/>
    <w:rPr>
      <w:rFonts w:ascii="Arial" w:hAnsi="Arial"/>
      <w:color w:val="000000"/>
      <w:sz w:val="18"/>
      <w:szCs w:val="18"/>
      <w:u w:val="none"/>
    </w:rPr>
  </w:style>
  <w:style w:type="paragraph" w:customStyle="1" w:styleId="8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首行缩进"/>
    <w:basedOn w:val="1"/>
    <w:qFormat/>
    <w:uiPriority w:val="0"/>
    <w:pPr>
      <w:ind w:firstLine="480" w:firstLineChars="200"/>
    </w:pPr>
    <w:rPr>
      <w:lang w:val="zh-CN"/>
    </w:rPr>
  </w:style>
  <w:style w:type="paragraph" w:customStyle="1" w:styleId="9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2">
    <w:name w:val="批注框文本 字符"/>
    <w:basedOn w:val="26"/>
    <w:link w:val="16"/>
    <w:qFormat/>
    <w:uiPriority w:val="99"/>
    <w:rPr>
      <w:rFonts w:ascii="Times New Roman" w:hAnsi="Times New Roman" w:eastAsia="宋体" w:cs="Times New Roman"/>
      <w:kern w:val="2"/>
      <w:sz w:val="18"/>
      <w:szCs w:val="18"/>
    </w:rPr>
  </w:style>
  <w:style w:type="character" w:customStyle="1" w:styleId="93">
    <w:name w:val="批注文字 字符"/>
    <w:basedOn w:val="26"/>
    <w:link w:val="8"/>
    <w:qFormat/>
    <w:uiPriority w:val="99"/>
    <w:rPr>
      <w:rFonts w:ascii="Times New Roman" w:hAnsi="Times New Roman" w:eastAsia="宋体" w:cs="Times New Roman"/>
      <w:kern w:val="2"/>
      <w:sz w:val="21"/>
      <w:szCs w:val="24"/>
    </w:rPr>
  </w:style>
  <w:style w:type="character" w:customStyle="1" w:styleId="94">
    <w:name w:val="批注主题 字符"/>
    <w:basedOn w:val="93"/>
    <w:link w:val="22"/>
    <w:qFormat/>
    <w:uiPriority w:val="99"/>
    <w:rPr>
      <w:rFonts w:ascii="Times New Roman" w:hAnsi="Times New Roman" w:eastAsia="宋体" w:cs="Times New Roman"/>
      <w:b/>
      <w:bCs/>
      <w:kern w:val="2"/>
      <w:sz w:val="21"/>
      <w:szCs w:val="24"/>
    </w:rPr>
  </w:style>
  <w:style w:type="paragraph" w:customStyle="1" w:styleId="9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6">
    <w:name w:val="列出段落21"/>
    <w:basedOn w:val="1"/>
    <w:qFormat/>
    <w:uiPriority w:val="99"/>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124778</Words>
  <Characters>138936</Characters>
  <Lines>1</Lines>
  <Paragraphs>1</Paragraphs>
  <TotalTime>10</TotalTime>
  <ScaleCrop>false</ScaleCrop>
  <LinksUpToDate>false</LinksUpToDate>
  <CharactersWithSpaces>144041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2024-05-05T12:03:00Z</dcterms:created>
  <dc:creator>Shall Chen</dc:creator>
  <cp:lastModifiedBy>朱文财</cp:lastModifiedBy>
  <cp:lastPrinted>2024-11-24T03:54:00Z</cp:lastPrinted>
  <dcterms:modified xsi:type="dcterms:W3CDTF">2025-03-03T10:44:18Z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B8E3EC073BF34F68848181A58BA51195_13</vt:lpwstr>
  </property>
  <property fmtid="{D5CDD505-2E9C-101B-9397-08002B2CF9AE}" pid="4" name="KSOTemplateDocerSaveRecord">
    <vt:lpwstr>eyJoZGlkIjoiMjI3MzE3MjJjOTBlMWE3YmJkNDNlNmVlNmE3NDU3MDkiLCJ1c2VySWQiOiIzMTI1MTYwODkifQ==</vt:lpwstr>
  </property>
</Properties>
</file>