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A88DE">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伽师县民政局政府购买社会救助事务性服务示范项目</w:t>
      </w:r>
    </w:p>
    <w:p w14:paraId="41249103">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rPr>
      </w:pPr>
    </w:p>
    <w:p w14:paraId="69B19CD1">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竞争性磋商文件</w:t>
      </w:r>
    </w:p>
    <w:p w14:paraId="2019ED45">
      <w:pPr>
        <w:pStyle w:val="54"/>
        <w:pageBreakBefore w:val="0"/>
        <w:kinsoku/>
        <w:overflowPunct/>
        <w:bidi w:val="0"/>
        <w:snapToGrid w:val="0"/>
        <w:spacing w:line="312" w:lineRule="auto"/>
        <w:rPr>
          <w:rFonts w:hint="eastAsia" w:ascii="微软雅黑" w:hAnsi="微软雅黑" w:eastAsia="微软雅黑" w:cs="微软雅黑"/>
          <w:color w:val="auto"/>
          <w:highlight w:val="none"/>
          <w:lang w:val="en-US" w:eastAsia="zh-CN"/>
        </w:rPr>
      </w:pPr>
    </w:p>
    <w:p w14:paraId="07971713">
      <w:pPr>
        <w:pStyle w:val="2"/>
        <w:pageBreakBefore w:val="0"/>
        <w:kinsoku/>
        <w:overflowPunct/>
        <w:bidi w:val="0"/>
        <w:snapToGrid w:val="0"/>
        <w:spacing w:line="312" w:lineRule="auto"/>
        <w:jc w:val="center"/>
        <w:rPr>
          <w:rFonts w:hint="default" w:ascii="微软雅黑" w:hAnsi="微软雅黑" w:eastAsia="微软雅黑" w:cs="微软雅黑"/>
          <w:b/>
          <w:color w:val="auto"/>
          <w:sz w:val="48"/>
          <w:szCs w:val="48"/>
          <w:highlight w:val="none"/>
          <w:lang w:val="en-US" w:eastAsia="zh-CN"/>
        </w:rPr>
      </w:pPr>
      <w:r>
        <w:rPr>
          <w:rFonts w:hint="eastAsia" w:ascii="微软雅黑" w:hAnsi="微软雅黑" w:eastAsia="微软雅黑" w:cs="微软雅黑"/>
          <w:b/>
          <w:color w:val="auto"/>
          <w:sz w:val="32"/>
          <w:szCs w:val="32"/>
          <w:highlight w:val="none"/>
        </w:rPr>
        <w:t>项目编号：</w:t>
      </w:r>
      <w:r>
        <w:rPr>
          <w:rFonts w:hint="eastAsia" w:ascii="微软雅黑" w:hAnsi="微软雅黑" w:eastAsia="微软雅黑" w:cs="微软雅黑"/>
          <w:b/>
          <w:color w:val="auto"/>
          <w:sz w:val="32"/>
          <w:szCs w:val="32"/>
          <w:highlight w:val="none"/>
          <w:lang w:val="en-US" w:eastAsia="zh-CN"/>
        </w:rPr>
        <w:t>XJZHZF</w:t>
      </w:r>
      <w:r>
        <w:rPr>
          <w:rFonts w:hint="eastAsia" w:ascii="微软雅黑" w:hAnsi="微软雅黑" w:eastAsia="微软雅黑" w:cs="微软雅黑"/>
          <w:b/>
          <w:color w:val="auto"/>
          <w:sz w:val="32"/>
          <w:szCs w:val="32"/>
          <w:highlight w:val="none"/>
          <w:lang w:eastAsia="zh-CN"/>
        </w:rPr>
        <w:t>CG</w:t>
      </w:r>
      <w:r>
        <w:rPr>
          <w:rFonts w:hint="eastAsia" w:ascii="微软雅黑" w:hAnsi="微软雅黑" w:eastAsia="微软雅黑" w:cs="微软雅黑"/>
          <w:b/>
          <w:color w:val="auto"/>
          <w:sz w:val="32"/>
          <w:szCs w:val="32"/>
          <w:highlight w:val="none"/>
          <w:lang w:val="en-US" w:eastAsia="zh-CN"/>
        </w:rPr>
        <w:t>-</w:t>
      </w:r>
      <w:r>
        <w:rPr>
          <w:rFonts w:hint="eastAsia" w:ascii="微软雅黑" w:hAnsi="微软雅黑" w:eastAsia="微软雅黑" w:cs="微软雅黑"/>
          <w:b/>
          <w:color w:val="auto"/>
          <w:sz w:val="32"/>
          <w:szCs w:val="32"/>
          <w:highlight w:val="none"/>
          <w:lang w:eastAsia="zh-CN"/>
        </w:rPr>
        <w:t>202</w:t>
      </w:r>
      <w:r>
        <w:rPr>
          <w:rFonts w:hint="eastAsia" w:ascii="微软雅黑" w:hAnsi="微软雅黑" w:eastAsia="微软雅黑" w:cs="微软雅黑"/>
          <w:b/>
          <w:color w:val="auto"/>
          <w:sz w:val="32"/>
          <w:szCs w:val="32"/>
          <w:highlight w:val="none"/>
          <w:lang w:val="en-US" w:eastAsia="zh-CN"/>
        </w:rPr>
        <w:t>5</w:t>
      </w:r>
      <w:r>
        <w:rPr>
          <w:rFonts w:hint="eastAsia" w:ascii="微软雅黑" w:hAnsi="微软雅黑" w:eastAsia="微软雅黑" w:cs="微软雅黑"/>
          <w:b/>
          <w:color w:val="auto"/>
          <w:sz w:val="32"/>
          <w:szCs w:val="32"/>
          <w:highlight w:val="none"/>
          <w:lang w:eastAsia="zh-CN"/>
        </w:rPr>
        <w:t>-0</w:t>
      </w:r>
      <w:r>
        <w:rPr>
          <w:rFonts w:hint="eastAsia" w:ascii="微软雅黑" w:hAnsi="微软雅黑" w:eastAsia="微软雅黑" w:cs="微软雅黑"/>
          <w:b/>
          <w:color w:val="auto"/>
          <w:sz w:val="32"/>
          <w:szCs w:val="32"/>
          <w:highlight w:val="none"/>
          <w:lang w:val="en-US" w:eastAsia="zh-CN"/>
        </w:rPr>
        <w:t>1</w:t>
      </w:r>
    </w:p>
    <w:p w14:paraId="497B4F0D">
      <w:pPr>
        <w:pStyle w:val="5"/>
        <w:pageBreakBefore w:val="0"/>
        <w:kinsoku/>
        <w:overflowPunct/>
        <w:bidi w:val="0"/>
        <w:snapToGrid w:val="0"/>
        <w:spacing w:line="312" w:lineRule="auto"/>
        <w:rPr>
          <w:rFonts w:hint="eastAsia" w:ascii="微软雅黑" w:hAnsi="微软雅黑" w:eastAsia="微软雅黑" w:cs="微软雅黑"/>
          <w:color w:val="auto"/>
          <w:highlight w:val="none"/>
          <w:lang w:val="en-US" w:eastAsia="zh-CN"/>
        </w:rPr>
      </w:pPr>
    </w:p>
    <w:p w14:paraId="2EB16415">
      <w:pPr>
        <w:rPr>
          <w:rFonts w:hint="eastAsia"/>
          <w:color w:val="auto"/>
          <w:highlight w:val="none"/>
          <w:lang w:val="en-US" w:eastAsia="zh-CN"/>
        </w:rPr>
      </w:pPr>
    </w:p>
    <w:p w14:paraId="1D08F12C">
      <w:pPr>
        <w:keepNext w:val="0"/>
        <w:keepLines w:val="0"/>
        <w:pageBreakBefore w:val="0"/>
        <w:widowControl w:val="0"/>
        <w:kinsoku/>
        <w:wordWrap/>
        <w:overflowPunct/>
        <w:topLinePunct w:val="0"/>
        <w:autoSpaceDE/>
        <w:autoSpaceDN/>
        <w:bidi w:val="0"/>
        <w:adjustRightInd/>
        <w:snapToGrid w:val="0"/>
        <w:spacing w:before="121" w:line="264" w:lineRule="auto"/>
        <w:ind w:firstLine="640" w:firstLineChars="200"/>
        <w:textAlignment w:val="auto"/>
        <w:rPr>
          <w:rFonts w:hint="default"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采购单位：伽师县民政局</w:t>
      </w:r>
    </w:p>
    <w:p w14:paraId="474658FD">
      <w:pPr>
        <w:keepNext w:val="0"/>
        <w:keepLines w:val="0"/>
        <w:pageBreakBefore w:val="0"/>
        <w:widowControl w:val="0"/>
        <w:kinsoku/>
        <w:wordWrap/>
        <w:overflowPunct/>
        <w:topLinePunct w:val="0"/>
        <w:autoSpaceDE/>
        <w:autoSpaceDN/>
        <w:bidi w:val="0"/>
        <w:adjustRightInd/>
        <w:snapToGrid w:val="0"/>
        <w:spacing w:before="140" w:line="264" w:lineRule="auto"/>
        <w:ind w:firstLine="640" w:firstLineChars="200"/>
        <w:textAlignment w:val="auto"/>
        <w:rPr>
          <w:rFonts w:hint="default"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联 系 人：杨城灵</w:t>
      </w:r>
    </w:p>
    <w:p w14:paraId="73E490C0">
      <w:pPr>
        <w:keepNext w:val="0"/>
        <w:keepLines w:val="0"/>
        <w:pageBreakBefore w:val="0"/>
        <w:widowControl w:val="0"/>
        <w:kinsoku/>
        <w:wordWrap/>
        <w:overflowPunct/>
        <w:topLinePunct w:val="0"/>
        <w:autoSpaceDE/>
        <w:autoSpaceDN/>
        <w:bidi w:val="0"/>
        <w:adjustRightInd/>
        <w:snapToGrid w:val="0"/>
        <w:spacing w:before="138" w:line="264" w:lineRule="auto"/>
        <w:ind w:firstLine="640" w:firstLineChars="200"/>
        <w:textAlignment w:val="auto"/>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联系电话：18299693652</w:t>
      </w:r>
    </w:p>
    <w:p w14:paraId="39FD2225">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微软雅黑" w:hAnsi="微软雅黑" w:eastAsia="微软雅黑" w:cs="微软雅黑"/>
          <w:b/>
          <w:color w:val="auto"/>
          <w:kern w:val="2"/>
          <w:sz w:val="32"/>
          <w:szCs w:val="32"/>
          <w:highlight w:val="none"/>
          <w:lang w:val="en-US" w:eastAsia="zh-CN" w:bidi="ar-SA"/>
        </w:rPr>
      </w:pPr>
    </w:p>
    <w:p w14:paraId="3BFB1B57">
      <w:pPr>
        <w:keepNext w:val="0"/>
        <w:keepLines w:val="0"/>
        <w:pageBreakBefore w:val="0"/>
        <w:widowControl w:val="0"/>
        <w:kinsoku/>
        <w:wordWrap/>
        <w:overflowPunct/>
        <w:topLinePunct w:val="0"/>
        <w:autoSpaceDE/>
        <w:autoSpaceDN/>
        <w:bidi w:val="0"/>
        <w:adjustRightInd/>
        <w:snapToGrid w:val="0"/>
        <w:spacing w:before="120" w:line="264" w:lineRule="auto"/>
        <w:ind w:firstLine="640" w:firstLineChars="200"/>
        <w:textAlignment w:val="auto"/>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代理机构： 新疆卓宏项目管理有限公司</w:t>
      </w:r>
    </w:p>
    <w:p w14:paraId="56B48757">
      <w:pPr>
        <w:keepNext w:val="0"/>
        <w:keepLines w:val="0"/>
        <w:pageBreakBefore w:val="0"/>
        <w:widowControl w:val="0"/>
        <w:kinsoku/>
        <w:wordWrap/>
        <w:overflowPunct/>
        <w:topLinePunct w:val="0"/>
        <w:autoSpaceDE/>
        <w:autoSpaceDN/>
        <w:bidi w:val="0"/>
        <w:adjustRightInd/>
        <w:snapToGrid w:val="0"/>
        <w:spacing w:before="141" w:line="264" w:lineRule="auto"/>
        <w:ind w:firstLine="640" w:firstLineChars="200"/>
        <w:textAlignment w:val="auto"/>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 xml:space="preserve">联 系 人：陈阳 </w:t>
      </w:r>
    </w:p>
    <w:p w14:paraId="13950CA6">
      <w:pPr>
        <w:keepNext w:val="0"/>
        <w:keepLines w:val="0"/>
        <w:pageBreakBefore w:val="0"/>
        <w:widowControl w:val="0"/>
        <w:kinsoku/>
        <w:wordWrap/>
        <w:overflowPunct/>
        <w:topLinePunct w:val="0"/>
        <w:autoSpaceDE/>
        <w:autoSpaceDN/>
        <w:bidi w:val="0"/>
        <w:adjustRightInd/>
        <w:snapToGrid w:val="0"/>
        <w:spacing w:before="140" w:line="264" w:lineRule="auto"/>
        <w:ind w:firstLine="640" w:firstLineChars="200"/>
        <w:textAlignment w:val="auto"/>
        <w:rPr>
          <w:rFonts w:hint="default" w:ascii="微软雅黑" w:hAnsi="微软雅黑" w:eastAsia="微软雅黑" w:cs="微软雅黑"/>
          <w:color w:val="auto"/>
          <w:sz w:val="28"/>
          <w:szCs w:val="28"/>
          <w:highlight w:val="none"/>
          <w:lang w:val="en-US"/>
        </w:rPr>
      </w:pPr>
      <w:r>
        <w:rPr>
          <w:rFonts w:hint="eastAsia" w:ascii="微软雅黑" w:hAnsi="微软雅黑" w:eastAsia="微软雅黑" w:cs="微软雅黑"/>
          <w:b/>
          <w:color w:val="auto"/>
          <w:kern w:val="2"/>
          <w:sz w:val="32"/>
          <w:szCs w:val="32"/>
          <w:highlight w:val="none"/>
          <w:lang w:val="en-US" w:eastAsia="zh-CN" w:bidi="ar-SA"/>
        </w:rPr>
        <w:t xml:space="preserve">联系电话：15739131398 </w:t>
      </w:r>
    </w:p>
    <w:p w14:paraId="7D2B35EE">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bookmarkStart w:id="0" w:name="_Toc19507"/>
    </w:p>
    <w:p w14:paraId="04992826">
      <w:pPr>
        <w:pageBreakBefore w:val="0"/>
        <w:kinsoku/>
        <w:overflowPunct/>
        <w:bidi w:val="0"/>
        <w:snapToGrid w:val="0"/>
        <w:spacing w:line="312" w:lineRule="auto"/>
        <w:jc w:val="center"/>
        <w:outlineLvl w:val="9"/>
        <w:rPr>
          <w:rFonts w:hint="eastAsia" w:ascii="微软雅黑" w:hAnsi="微软雅黑" w:eastAsia="微软雅黑" w:cs="微软雅黑"/>
          <w:color w:val="auto"/>
          <w:sz w:val="24"/>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微软雅黑" w:hAnsi="微软雅黑" w:eastAsia="微软雅黑" w:cs="微软雅黑"/>
          <w:b/>
          <w:color w:val="auto"/>
          <w:spacing w:val="4"/>
          <w:sz w:val="32"/>
          <w:szCs w:val="32"/>
          <w:highlight w:val="none"/>
        </w:rPr>
        <w:t>二</w:t>
      </w:r>
      <w:r>
        <w:rPr>
          <w:rFonts w:hint="eastAsia" w:ascii="微软雅黑" w:hAnsi="微软雅黑" w:eastAsia="微软雅黑" w:cs="微软雅黑"/>
          <w:b/>
          <w:color w:val="auto"/>
          <w:spacing w:val="4"/>
          <w:sz w:val="32"/>
          <w:szCs w:val="32"/>
          <w:highlight w:val="none"/>
          <w:lang w:eastAsia="zh-CN"/>
        </w:rPr>
        <w:t>〇</w:t>
      </w:r>
      <w:r>
        <w:rPr>
          <w:rFonts w:hint="eastAsia" w:ascii="微软雅黑" w:hAnsi="微软雅黑" w:eastAsia="微软雅黑" w:cs="微软雅黑"/>
          <w:b/>
          <w:color w:val="auto"/>
          <w:spacing w:val="4"/>
          <w:sz w:val="32"/>
          <w:szCs w:val="32"/>
          <w:highlight w:val="none"/>
        </w:rPr>
        <w:t>二</w:t>
      </w:r>
      <w:r>
        <w:rPr>
          <w:rFonts w:hint="eastAsia" w:ascii="微软雅黑" w:hAnsi="微软雅黑" w:eastAsia="微软雅黑" w:cs="微软雅黑"/>
          <w:b/>
          <w:color w:val="auto"/>
          <w:spacing w:val="4"/>
          <w:sz w:val="32"/>
          <w:szCs w:val="32"/>
          <w:highlight w:val="none"/>
          <w:lang w:val="en-US" w:eastAsia="zh-CN"/>
        </w:rPr>
        <w:t>五</w:t>
      </w:r>
      <w:r>
        <w:rPr>
          <w:rFonts w:hint="eastAsia" w:ascii="微软雅黑" w:hAnsi="微软雅黑" w:eastAsia="微软雅黑" w:cs="微软雅黑"/>
          <w:b/>
          <w:color w:val="auto"/>
          <w:spacing w:val="4"/>
          <w:sz w:val="32"/>
          <w:szCs w:val="32"/>
          <w:highlight w:val="none"/>
        </w:rPr>
        <w:t>年</w:t>
      </w:r>
      <w:r>
        <w:rPr>
          <w:rFonts w:hint="eastAsia" w:ascii="微软雅黑" w:hAnsi="微软雅黑" w:eastAsia="微软雅黑" w:cs="微软雅黑"/>
          <w:b/>
          <w:color w:val="auto"/>
          <w:spacing w:val="4"/>
          <w:sz w:val="32"/>
          <w:szCs w:val="32"/>
          <w:highlight w:val="none"/>
          <w:lang w:val="en-US" w:eastAsia="zh-CN"/>
        </w:rPr>
        <w:t>三</w:t>
      </w:r>
      <w:r>
        <w:rPr>
          <w:rFonts w:hint="eastAsia" w:ascii="微软雅黑" w:hAnsi="微软雅黑" w:eastAsia="微软雅黑" w:cs="微软雅黑"/>
          <w:b/>
          <w:color w:val="auto"/>
          <w:spacing w:val="4"/>
          <w:sz w:val="32"/>
          <w:szCs w:val="32"/>
          <w:highlight w:val="none"/>
        </w:rPr>
        <w:t>月</w:t>
      </w:r>
    </w:p>
    <w:bookmarkEnd w:id="0"/>
    <w:p w14:paraId="7CE58049">
      <w:pPr>
        <w:pStyle w:val="23"/>
        <w:pageBreakBefore w:val="0"/>
        <w:tabs>
          <w:tab w:val="right" w:leader="dot" w:pos="8312"/>
        </w:tabs>
        <w:kinsoku/>
        <w:overflowPunct/>
        <w:bidi w:val="0"/>
        <w:snapToGrid w:val="0"/>
        <w:spacing w:line="312" w:lineRule="auto"/>
        <w:rPr>
          <w:rFonts w:hint="eastAsia" w:ascii="微软雅黑" w:hAnsi="微软雅黑" w:eastAsia="微软雅黑" w:cs="微软雅黑"/>
          <w:b/>
          <w:color w:val="auto"/>
          <w:sz w:val="30"/>
          <w:szCs w:val="30"/>
          <w:highlight w:val="none"/>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sdt>
      <w:sdtPr>
        <w:rPr>
          <w:rFonts w:hint="eastAsia" w:ascii="微软雅黑" w:hAnsi="微软雅黑" w:eastAsia="微软雅黑" w:cs="微软雅黑"/>
          <w:color w:val="auto"/>
          <w:kern w:val="2"/>
          <w:sz w:val="36"/>
          <w:szCs w:val="36"/>
          <w:highlight w:val="none"/>
          <w:lang w:val="en-US" w:eastAsia="zh-CN" w:bidi="ar-SA"/>
        </w:rPr>
        <w:id w:val="147457317"/>
        <w15:color w:val="DBDBDB"/>
        <w:docPartObj>
          <w:docPartGallery w:val="Table of Contents"/>
          <w:docPartUnique/>
        </w:docPartObj>
      </w:sdtPr>
      <w:sdtEndPr>
        <w:rPr>
          <w:rFonts w:hint="eastAsia" w:ascii="微软雅黑" w:hAnsi="微软雅黑" w:eastAsia="微软雅黑" w:cs="微软雅黑"/>
          <w:color w:val="auto"/>
          <w:kern w:val="2"/>
          <w:sz w:val="21"/>
          <w:szCs w:val="24"/>
          <w:highlight w:val="none"/>
          <w:lang w:val="en-US" w:eastAsia="zh-CN" w:bidi="ar-SA"/>
        </w:rPr>
      </w:sdtEndPr>
      <w:sdtContent>
        <w:p w14:paraId="418DF655">
          <w:pPr>
            <w:pageBreakBefore w:val="0"/>
            <w:kinsoku/>
            <w:overflowPunct/>
            <w:bidi w:val="0"/>
            <w:snapToGrid w:val="0"/>
            <w:spacing w:before="0" w:beforeLines="0" w:after="0" w:afterLines="0" w:line="312" w:lineRule="auto"/>
            <w:ind w:left="0" w:leftChars="0" w:right="0" w:rightChars="0" w:firstLine="0" w:firstLineChars="0"/>
            <w:jc w:val="center"/>
            <w:rPr>
              <w:rFonts w:hint="eastAsia" w:ascii="微软雅黑" w:hAnsi="微软雅黑" w:eastAsia="微软雅黑" w:cs="微软雅黑"/>
              <w:color w:val="auto"/>
              <w:sz w:val="36"/>
              <w:szCs w:val="36"/>
              <w:highlight w:val="none"/>
            </w:rPr>
          </w:pPr>
          <w:r>
            <w:rPr>
              <w:rFonts w:hint="eastAsia" w:ascii="微软雅黑" w:hAnsi="微软雅黑" w:eastAsia="微软雅黑" w:cs="微软雅黑"/>
              <w:color w:val="auto"/>
              <w:sz w:val="36"/>
              <w:szCs w:val="36"/>
              <w:highlight w:val="none"/>
            </w:rPr>
            <w:t>目</w:t>
          </w:r>
          <w:r>
            <w:rPr>
              <w:rFonts w:hint="eastAsia" w:ascii="微软雅黑" w:hAnsi="微软雅黑" w:eastAsia="微软雅黑" w:cs="微软雅黑"/>
              <w:color w:val="auto"/>
              <w:sz w:val="36"/>
              <w:szCs w:val="36"/>
              <w:highlight w:val="none"/>
              <w:lang w:val="en-US" w:eastAsia="zh-CN"/>
            </w:rPr>
            <w:t xml:space="preserve">  </w:t>
          </w:r>
          <w:r>
            <w:rPr>
              <w:rFonts w:hint="eastAsia" w:ascii="微软雅黑" w:hAnsi="微软雅黑" w:eastAsia="微软雅黑" w:cs="微软雅黑"/>
              <w:color w:val="auto"/>
              <w:sz w:val="36"/>
              <w:szCs w:val="36"/>
              <w:highlight w:val="none"/>
            </w:rPr>
            <w:t>录</w:t>
          </w:r>
        </w:p>
        <w:p w14:paraId="61EDB7FB">
          <w:pPr>
            <w:pStyle w:val="97"/>
            <w:pageBreakBefore w:val="0"/>
            <w:tabs>
              <w:tab w:val="right" w:leader="dot" w:pos="9746"/>
            </w:tabs>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_Toc5720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第一</w:t>
          </w:r>
          <w:r>
            <w:rPr>
              <w:rFonts w:hint="eastAsia" w:ascii="微软雅黑" w:hAnsi="微软雅黑" w:eastAsia="微软雅黑" w:cs="微软雅黑"/>
              <w:color w:val="auto"/>
              <w:sz w:val="24"/>
              <w:szCs w:val="24"/>
              <w:highlight w:val="none"/>
              <w:lang w:eastAsia="zh-CN"/>
            </w:rPr>
            <w:t>册</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fldChar w:fldCharType="end"/>
          </w:r>
        </w:p>
        <w:p w14:paraId="4863BF5E">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TOC \o "1-1" \h \u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_Toc5720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第一章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供应商须知</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fldChar w:fldCharType="end"/>
          </w:r>
        </w:p>
        <w:p w14:paraId="18F4F73D">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_Toc20351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第二章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响应文件格式</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_Toc20351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25</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23BEF751">
          <w:pPr>
            <w:pStyle w:val="97"/>
            <w:pageBreakBefore w:val="0"/>
            <w:tabs>
              <w:tab w:val="right" w:leader="dot" w:pos="9746"/>
            </w:tabs>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_Toc5720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eastAsia="zh-CN"/>
            </w:rPr>
            <w:t>二册</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5</w:t>
          </w:r>
        </w:p>
        <w:p w14:paraId="28BB1472">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_Toc3540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eastAsia="zh-CN"/>
            </w:rPr>
            <w:t>三</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竞争性磋商公告</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6</w:t>
          </w:r>
        </w:p>
        <w:p w14:paraId="278997F7">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_Toc29095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bCs/>
              <w:color w:val="auto"/>
              <w:sz w:val="24"/>
              <w:szCs w:val="24"/>
              <w:highlight w:val="none"/>
            </w:rPr>
            <w:t>第</w:t>
          </w:r>
          <w:r>
            <w:rPr>
              <w:rFonts w:hint="eastAsia" w:ascii="微软雅黑" w:hAnsi="微软雅黑" w:eastAsia="微软雅黑" w:cs="微软雅黑"/>
              <w:bCs/>
              <w:color w:val="auto"/>
              <w:sz w:val="24"/>
              <w:szCs w:val="24"/>
              <w:highlight w:val="none"/>
              <w:lang w:eastAsia="zh-CN"/>
            </w:rPr>
            <w:t>四</w:t>
          </w:r>
          <w:r>
            <w:rPr>
              <w:rFonts w:hint="eastAsia" w:ascii="微软雅黑" w:hAnsi="微软雅黑" w:eastAsia="微软雅黑" w:cs="微软雅黑"/>
              <w:bCs/>
              <w:color w:val="auto"/>
              <w:sz w:val="24"/>
              <w:szCs w:val="24"/>
              <w:highlight w:val="none"/>
            </w:rPr>
            <w:t>章</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供应商须知资料表</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_Toc29095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56</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1A90DF89">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_Toc9651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kern w:val="0"/>
              <w:sz w:val="24"/>
              <w:szCs w:val="24"/>
              <w:highlight w:val="none"/>
              <w:lang w:val="en-US" w:eastAsia="zh-CN" w:bidi="ar-SA"/>
            </w:rPr>
            <w:t>第五章  项目采购需求</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5</w:t>
          </w:r>
        </w:p>
        <w:p w14:paraId="69C06B2D">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_Toc2565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lang w:eastAsia="zh-CN"/>
            </w:rPr>
            <w:t>第六章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评审方法及标准</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_Toc2565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61</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14:paraId="685A8732">
          <w:pPr>
            <w:pStyle w:val="97"/>
            <w:pageBreakBefore w:val="0"/>
            <w:tabs>
              <w:tab w:val="right" w:leader="dot" w:pos="9746"/>
            </w:tabs>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_Toc5720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eastAsia="zh-CN"/>
            </w:rPr>
            <w:t>三册</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6</w:t>
          </w:r>
        </w:p>
        <w:p w14:paraId="0059836A">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_Toc21917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eastAsia="zh-CN"/>
            </w:rPr>
            <w:t>七</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政府采购合同</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7</w:t>
          </w:r>
        </w:p>
      </w:sdtContent>
    </w:sdt>
    <w:p w14:paraId="2EDFB16C">
      <w:pPr>
        <w:bidi w:val="0"/>
        <w:rPr>
          <w:rFonts w:hint="eastAsia"/>
          <w:color w:val="auto"/>
          <w:highlight w:val="none"/>
          <w:lang w:val="en-US" w:eastAsia="zh-CN"/>
        </w:rPr>
      </w:pPr>
    </w:p>
    <w:p w14:paraId="0C8B2871">
      <w:pPr>
        <w:bidi w:val="0"/>
        <w:rPr>
          <w:rFonts w:hint="eastAsia"/>
          <w:color w:val="auto"/>
          <w:highlight w:val="none"/>
          <w:lang w:val="en-US" w:eastAsia="zh-CN"/>
        </w:rPr>
      </w:pPr>
    </w:p>
    <w:p w14:paraId="003ED6A2">
      <w:pPr>
        <w:bidi w:val="0"/>
        <w:rPr>
          <w:rFonts w:hint="eastAsia"/>
          <w:color w:val="auto"/>
          <w:highlight w:val="none"/>
          <w:lang w:val="en-US" w:eastAsia="zh-CN"/>
        </w:rPr>
      </w:pPr>
    </w:p>
    <w:p w14:paraId="0FD5E9EA">
      <w:pPr>
        <w:bidi w:val="0"/>
        <w:rPr>
          <w:rFonts w:hint="eastAsia"/>
          <w:color w:val="auto"/>
          <w:highlight w:val="none"/>
          <w:lang w:val="en-US" w:eastAsia="zh-CN"/>
        </w:rPr>
      </w:pPr>
    </w:p>
    <w:p w14:paraId="26ED3589">
      <w:pPr>
        <w:tabs>
          <w:tab w:val="left" w:pos="5428"/>
        </w:tabs>
        <w:bidi w:val="0"/>
        <w:jc w:val="left"/>
        <w:rPr>
          <w:rFonts w:hint="eastAsia" w:ascii="微软雅黑" w:hAnsi="微软雅黑" w:eastAsia="微软雅黑" w:cs="微软雅黑"/>
          <w:b/>
          <w:color w:val="auto"/>
          <w:sz w:val="52"/>
          <w:szCs w:val="52"/>
          <w:highlight w:val="none"/>
          <w:lang w:eastAsia="zh-CN"/>
        </w:rPr>
        <w:sectPr>
          <w:headerReference r:id="rId6" w:type="defaul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color w:val="auto"/>
          <w:highlight w:val="none"/>
          <w:lang w:val="en-US" w:eastAsia="zh-CN"/>
        </w:rPr>
        <w:tab/>
      </w:r>
      <w:bookmarkStart w:id="1" w:name="_Toc5720"/>
      <w:bookmarkStart w:id="2" w:name="_Toc4046"/>
      <w:bookmarkStart w:id="3" w:name="_Toc518923082"/>
      <w:bookmarkStart w:id="4" w:name="_Toc10257"/>
      <w:bookmarkStart w:id="5" w:name="_Toc216582809"/>
      <w:bookmarkStart w:id="6" w:name="_Toc520356163"/>
      <w:bookmarkStart w:id="7" w:name="_Toc6601_WPSOffice_Level1"/>
      <w:bookmarkStart w:id="8" w:name="_Toc7692"/>
    </w:p>
    <w:p w14:paraId="1146BDEE">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伽师县民政局政府购买社会救助事务性服务示范项目</w:t>
      </w:r>
    </w:p>
    <w:p w14:paraId="205068C9">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p>
    <w:p w14:paraId="7CE56EE2">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竞争性磋商文件</w:t>
      </w:r>
    </w:p>
    <w:p w14:paraId="58843438">
      <w:pPr>
        <w:pStyle w:val="54"/>
        <w:pageBreakBefore w:val="0"/>
        <w:kinsoku/>
        <w:overflowPunct/>
        <w:bidi w:val="0"/>
        <w:snapToGrid w:val="0"/>
        <w:spacing w:line="312" w:lineRule="auto"/>
        <w:rPr>
          <w:rFonts w:hint="eastAsia" w:ascii="微软雅黑" w:hAnsi="微软雅黑" w:eastAsia="微软雅黑" w:cs="微软雅黑"/>
          <w:color w:val="auto"/>
          <w:sz w:val="36"/>
          <w:szCs w:val="36"/>
          <w:highlight w:val="none"/>
          <w:lang w:val="en-US" w:eastAsia="zh-CN"/>
        </w:rPr>
      </w:pPr>
    </w:p>
    <w:p w14:paraId="0E53B3A8">
      <w:pPr>
        <w:pStyle w:val="2"/>
        <w:pageBreakBefore w:val="0"/>
        <w:kinsoku/>
        <w:overflowPunct/>
        <w:bidi w:val="0"/>
        <w:snapToGrid w:val="0"/>
        <w:spacing w:line="312" w:lineRule="auto"/>
        <w:jc w:val="center"/>
        <w:rPr>
          <w:rFonts w:hint="default"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项目编号：XJZHZFCG-2025-01</w:t>
      </w:r>
    </w:p>
    <w:p w14:paraId="3FF4AF43">
      <w:pPr>
        <w:pageBreakBefore w:val="0"/>
        <w:kinsoku/>
        <w:overflowPunct/>
        <w:bidi w:val="0"/>
        <w:snapToGrid w:val="0"/>
        <w:spacing w:line="312" w:lineRule="auto"/>
        <w:ind w:left="1079" w:leftChars="257" w:hanging="540"/>
        <w:jc w:val="center"/>
        <w:rPr>
          <w:rFonts w:hint="eastAsia" w:ascii="微软雅黑" w:hAnsi="微软雅黑" w:eastAsia="微软雅黑" w:cs="微软雅黑"/>
          <w:b/>
          <w:color w:val="auto"/>
          <w:kern w:val="2"/>
          <w:sz w:val="36"/>
          <w:szCs w:val="36"/>
          <w:highlight w:val="none"/>
          <w:lang w:val="en-US" w:eastAsia="zh-CN" w:bidi="ar-SA"/>
        </w:rPr>
      </w:pPr>
    </w:p>
    <w:p w14:paraId="5AF54531">
      <w:pPr>
        <w:pStyle w:val="5"/>
        <w:pageBreakBefore w:val="0"/>
        <w:kinsoku/>
        <w:overflowPunct/>
        <w:bidi w:val="0"/>
        <w:snapToGrid w:val="0"/>
        <w:spacing w:line="312" w:lineRule="auto"/>
        <w:rPr>
          <w:rFonts w:hint="eastAsia" w:ascii="微软雅黑" w:hAnsi="微软雅黑" w:eastAsia="微软雅黑" w:cs="微软雅黑"/>
          <w:b/>
          <w:color w:val="auto"/>
          <w:kern w:val="2"/>
          <w:sz w:val="36"/>
          <w:szCs w:val="36"/>
          <w:highlight w:val="none"/>
          <w:lang w:val="en-US" w:eastAsia="zh-CN" w:bidi="ar-SA"/>
        </w:rPr>
      </w:pPr>
    </w:p>
    <w:p w14:paraId="4FFEC17B">
      <w:pPr>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第一册</w:t>
      </w:r>
    </w:p>
    <w:p w14:paraId="5C0C6A83">
      <w:pPr>
        <w:pageBreakBefore w:val="0"/>
        <w:kinsoku/>
        <w:overflowPunct/>
        <w:bidi w:val="0"/>
        <w:snapToGrid w:val="0"/>
        <w:spacing w:line="312" w:lineRule="auto"/>
        <w:jc w:val="both"/>
        <w:rPr>
          <w:rFonts w:hint="eastAsia" w:ascii="微软雅黑" w:hAnsi="微软雅黑" w:eastAsia="微软雅黑" w:cs="微软雅黑"/>
          <w:b/>
          <w:bCs/>
          <w:color w:val="auto"/>
          <w:sz w:val="32"/>
          <w:szCs w:val="32"/>
          <w:highlight w:val="none"/>
          <w:u w:val="none"/>
        </w:rPr>
      </w:pPr>
    </w:p>
    <w:p w14:paraId="5FDD26A2">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5CDE2115">
      <w:pPr>
        <w:pageBreakBefore w:val="0"/>
        <w:kinsoku/>
        <w:overflowPunct/>
        <w:bidi w:val="0"/>
        <w:snapToGrid w:val="0"/>
        <w:spacing w:line="312" w:lineRule="auto"/>
        <w:jc w:val="both"/>
        <w:outlineLvl w:val="9"/>
        <w:rPr>
          <w:rFonts w:hint="eastAsia" w:ascii="微软雅黑" w:hAnsi="微软雅黑" w:eastAsia="微软雅黑" w:cs="微软雅黑"/>
          <w:b/>
          <w:color w:val="auto"/>
          <w:spacing w:val="4"/>
          <w:sz w:val="32"/>
          <w:szCs w:val="32"/>
          <w:highlight w:val="none"/>
        </w:rPr>
      </w:pPr>
    </w:p>
    <w:p w14:paraId="6761768C">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2627BE73">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2942897F">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66DAD461">
      <w:pPr>
        <w:pageBreakBefore w:val="0"/>
        <w:kinsoku/>
        <w:overflowPunct/>
        <w:bidi w:val="0"/>
        <w:snapToGrid w:val="0"/>
        <w:spacing w:line="312" w:lineRule="auto"/>
        <w:jc w:val="center"/>
        <w:outlineLvl w:val="0"/>
        <w:rPr>
          <w:rFonts w:hint="eastAsia" w:ascii="微软雅黑" w:hAnsi="微软雅黑" w:eastAsia="微软雅黑" w:cs="微软雅黑"/>
          <w:b/>
          <w:color w:val="auto"/>
          <w:sz w:val="30"/>
          <w:szCs w:val="30"/>
          <w:highlight w:val="none"/>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13CB9D91">
      <w:pPr>
        <w:pageBreakBefore w:val="0"/>
        <w:kinsoku/>
        <w:overflowPunct/>
        <w:bidi w:val="0"/>
        <w:snapToGrid w:val="0"/>
        <w:spacing w:line="312" w:lineRule="auto"/>
        <w:jc w:val="center"/>
        <w:outlineLvl w:val="0"/>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第一章</w:t>
      </w:r>
      <w:bookmarkStart w:id="9" w:name="_Toc518923059"/>
      <w:r>
        <w:rPr>
          <w:rFonts w:hint="eastAsia" w:ascii="微软雅黑" w:hAnsi="微软雅黑" w:eastAsia="微软雅黑" w:cs="微软雅黑"/>
          <w:b/>
          <w:color w:val="auto"/>
          <w:sz w:val="36"/>
          <w:szCs w:val="36"/>
          <w:highlight w:val="none"/>
          <w:lang w:val="en-US" w:eastAsia="zh-CN"/>
        </w:rPr>
        <w:t xml:space="preserve">   </w:t>
      </w:r>
      <w:r>
        <w:rPr>
          <w:rFonts w:hint="eastAsia" w:ascii="微软雅黑" w:hAnsi="微软雅黑" w:eastAsia="微软雅黑" w:cs="微软雅黑"/>
          <w:b/>
          <w:color w:val="auto"/>
          <w:sz w:val="36"/>
          <w:szCs w:val="36"/>
          <w:highlight w:val="none"/>
        </w:rPr>
        <w:t>供应商须知</w:t>
      </w:r>
      <w:bookmarkEnd w:id="1"/>
      <w:bookmarkEnd w:id="2"/>
      <w:bookmarkEnd w:id="9"/>
    </w:p>
    <w:p w14:paraId="5728A041">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color w:val="auto"/>
          <w:sz w:val="24"/>
          <w:szCs w:val="16"/>
          <w:highlight w:val="none"/>
        </w:rPr>
      </w:pPr>
      <w:bookmarkStart w:id="10" w:name="_Toc520356143"/>
      <w:bookmarkStart w:id="11" w:name="_Toc216582805"/>
      <w:bookmarkStart w:id="12" w:name="_Toc4112"/>
      <w:bookmarkStart w:id="13" w:name="_Toc25430_WPSOffice_Level1"/>
      <w:bookmarkStart w:id="14" w:name="_Toc9485"/>
      <w:bookmarkStart w:id="15" w:name="_Toc518923060"/>
      <w:r>
        <w:rPr>
          <w:rFonts w:hint="eastAsia" w:ascii="微软雅黑" w:hAnsi="微软雅黑" w:eastAsia="微软雅黑" w:cs="微软雅黑"/>
          <w:color w:val="auto"/>
          <w:sz w:val="32"/>
          <w:szCs w:val="32"/>
          <w:highlight w:val="none"/>
        </w:rPr>
        <w:t>一</w:t>
      </w:r>
      <w:bookmarkEnd w:id="10"/>
      <w:bookmarkEnd w:id="11"/>
      <w:r>
        <w:rPr>
          <w:rFonts w:hint="eastAsia" w:ascii="微软雅黑" w:hAnsi="微软雅黑" w:eastAsia="微软雅黑" w:cs="微软雅黑"/>
          <w:color w:val="auto"/>
          <w:sz w:val="32"/>
          <w:szCs w:val="32"/>
          <w:highlight w:val="none"/>
          <w:lang w:eastAsia="zh-CN"/>
        </w:rPr>
        <w:t>、</w:t>
      </w:r>
      <w:r>
        <w:rPr>
          <w:rFonts w:hint="eastAsia" w:ascii="微软雅黑" w:hAnsi="微软雅黑" w:eastAsia="微软雅黑" w:cs="微软雅黑"/>
          <w:color w:val="auto"/>
          <w:sz w:val="32"/>
          <w:szCs w:val="32"/>
          <w:highlight w:val="none"/>
        </w:rPr>
        <w:t>总则</w:t>
      </w:r>
      <w:bookmarkEnd w:id="12"/>
      <w:bookmarkEnd w:id="13"/>
      <w:bookmarkEnd w:id="14"/>
      <w:bookmarkEnd w:id="15"/>
    </w:p>
    <w:p w14:paraId="08D35AD4">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6" w:name="_Toc12013"/>
      <w:bookmarkStart w:id="17" w:name="_Toc520356144"/>
      <w:bookmarkStart w:id="18" w:name="_Toc518923061"/>
      <w:bookmarkStart w:id="19" w:name="_Toc16905_WPSOffice_Level2"/>
      <w:bookmarkStart w:id="20" w:name="_Toc4676_WPSOffice_Level2"/>
      <w:r>
        <w:rPr>
          <w:rFonts w:hint="eastAsia" w:ascii="微软雅黑" w:hAnsi="微软雅黑" w:eastAsia="微软雅黑" w:cs="微软雅黑"/>
          <w:b/>
          <w:bCs/>
          <w:color w:val="auto"/>
          <w:highlight w:val="none"/>
          <w:u w:val="none"/>
        </w:rPr>
        <w:t>1.采购人、采购代理机构及</w:t>
      </w:r>
      <w:bookmarkEnd w:id="16"/>
      <w:bookmarkEnd w:id="17"/>
      <w:bookmarkEnd w:id="18"/>
      <w:bookmarkEnd w:id="19"/>
      <w:bookmarkEnd w:id="20"/>
      <w:r>
        <w:rPr>
          <w:rFonts w:hint="eastAsia" w:ascii="微软雅黑" w:hAnsi="微软雅黑" w:eastAsia="微软雅黑" w:cs="微软雅黑"/>
          <w:b/>
          <w:bCs/>
          <w:color w:val="auto"/>
          <w:highlight w:val="none"/>
          <w:u w:val="none"/>
        </w:rPr>
        <w:t>供应商</w:t>
      </w:r>
    </w:p>
    <w:p w14:paraId="472E9360">
      <w:pPr>
        <w:pageBreakBefore w:val="0"/>
        <w:numPr>
          <w:ilvl w:val="1"/>
          <w:numId w:val="3"/>
        </w:numPr>
        <w:tabs>
          <w:tab w:val="left" w:pos="0"/>
          <w:tab w:val="clear" w:pos="900"/>
        </w:tabs>
        <w:kinsoku/>
        <w:overflowPunct/>
        <w:bidi w:val="0"/>
        <w:snapToGrid w:val="0"/>
        <w:spacing w:line="312" w:lineRule="auto"/>
        <w:ind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采购人：是指依法开展政府采购活动的国家机关、事业单位、团体组织。</w:t>
      </w:r>
    </w:p>
    <w:p w14:paraId="69970120">
      <w:pPr>
        <w:pageBreakBefore w:val="0"/>
        <w:tabs>
          <w:tab w:val="left" w:pos="0"/>
        </w:tabs>
        <w:kinsoku/>
        <w:overflowPunct/>
        <w:bidi w:val="0"/>
        <w:snapToGrid w:val="0"/>
        <w:spacing w:line="312" w:lineRule="auto"/>
        <w:ind w:left="9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6D0B585D">
      <w:pPr>
        <w:pageBreakBefore w:val="0"/>
        <w:numPr>
          <w:ilvl w:val="1"/>
          <w:numId w:val="3"/>
        </w:numPr>
        <w:tabs>
          <w:tab w:val="left" w:pos="0"/>
          <w:tab w:val="clear" w:pos="900"/>
        </w:tabs>
        <w:kinsoku/>
        <w:overflowPunct/>
        <w:bidi w:val="0"/>
        <w:snapToGrid w:val="0"/>
        <w:spacing w:line="312" w:lineRule="auto"/>
        <w:ind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采购代理机构：是指集中采购机构或从事采购代理业务的社会中介机构。本项目的采购代理机构见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66AA3A12">
      <w:pPr>
        <w:pageBreakBefore w:val="0"/>
        <w:numPr>
          <w:ilvl w:val="1"/>
          <w:numId w:val="3"/>
        </w:numPr>
        <w:kinsoku/>
        <w:overflowPunct/>
        <w:bidi w:val="0"/>
        <w:snapToGrid w:val="0"/>
        <w:spacing w:line="312" w:lineRule="auto"/>
        <w:ind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供应商：是指向采购人提供货物、工程或者服务的法人、非法人组织或者自然人。本项目的供应商须满足以下条件：</w:t>
      </w:r>
    </w:p>
    <w:p w14:paraId="4C09267E">
      <w:pPr>
        <w:pageBreakBefore w:val="0"/>
        <w:kinsoku/>
        <w:overflowPunct/>
        <w:bidi w:val="0"/>
        <w:snapToGrid w:val="0"/>
        <w:spacing w:line="312"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在中华人民共和国境内注册，能够独立承担民事责任，有生产或供应能力的本国供应商。</w:t>
      </w:r>
    </w:p>
    <w:p w14:paraId="4A7FB7A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1.3.2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具备《中华人民共和国政府采购法》第二十二条关于供应商条件的规定，遵守本项目采购人本级和上级财政部门政府采购的有关规定。</w:t>
      </w:r>
    </w:p>
    <w:p w14:paraId="0497242B">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   以采购代理机构认可的方式获得了本项目的磋商文件。</w:t>
      </w:r>
    </w:p>
    <w:p w14:paraId="0BD0A9EB">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   符合</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中规定的其他要求。</w:t>
      </w:r>
    </w:p>
    <w:p w14:paraId="77B25BC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   若</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中写明专门面向中小企业采购的，如供应商为非中小企业，其响应将被认定为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4B2179A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     如</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中允许联合体递交响应文件，对联合体规定如下：</w:t>
      </w:r>
    </w:p>
    <w:p w14:paraId="2FBEE12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   两个以上供应商可以组成一个联合体，以一个供应商的身份递交响应文件。</w:t>
      </w:r>
      <w:r>
        <w:rPr>
          <w:rFonts w:hint="eastAsia" w:ascii="微软雅黑" w:hAnsi="微软雅黑" w:eastAsia="微软雅黑" w:cs="微软雅黑"/>
          <w:b/>
          <w:bCs/>
          <w:color w:val="auto"/>
          <w:sz w:val="24"/>
          <w:highlight w:val="none"/>
        </w:rPr>
        <w:t>本项目不接受联合体投标。</w:t>
      </w:r>
    </w:p>
    <w:p w14:paraId="0E5FA25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联合体各方均应符合《中华人民共和国政府采购法》第二十二条规定的条件。</w:t>
      </w:r>
      <w:r>
        <w:rPr>
          <w:rFonts w:hint="eastAsia" w:ascii="微软雅黑" w:hAnsi="微软雅黑" w:eastAsia="微软雅黑" w:cs="微软雅黑"/>
          <w:b/>
          <w:bCs/>
          <w:color w:val="auto"/>
          <w:sz w:val="24"/>
          <w:highlight w:val="none"/>
        </w:rPr>
        <w:t>本项目不接受联合体投标。</w:t>
      </w:r>
    </w:p>
    <w:p w14:paraId="4277967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   采购人根据采购项目对供应商的特殊要求，联合体中至少应当有一方符合相关规定。</w:t>
      </w:r>
      <w:r>
        <w:rPr>
          <w:rFonts w:hint="eastAsia" w:ascii="微软雅黑" w:hAnsi="微软雅黑" w:eastAsia="微软雅黑" w:cs="微软雅黑"/>
          <w:b/>
          <w:bCs/>
          <w:color w:val="auto"/>
          <w:sz w:val="24"/>
          <w:highlight w:val="none"/>
        </w:rPr>
        <w:t>本项目不接受联合体投标。</w:t>
      </w:r>
    </w:p>
    <w:p w14:paraId="08B06AA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   联合体各方应签订共同响应本磋商文件协议，明确约定联合体各方承担的工作和相应的责任，并将共同响应协议连同响应文件一并提交采购单位。</w:t>
      </w:r>
      <w:r>
        <w:rPr>
          <w:rFonts w:hint="eastAsia" w:ascii="微软雅黑" w:hAnsi="微软雅黑" w:eastAsia="微软雅黑" w:cs="微软雅黑"/>
          <w:b/>
          <w:bCs/>
          <w:color w:val="auto"/>
          <w:sz w:val="24"/>
          <w:highlight w:val="none"/>
        </w:rPr>
        <w:t>本项目不接受联合体投标。</w:t>
      </w:r>
    </w:p>
    <w:p w14:paraId="263638C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   大中型企业、其他自然人、法人或者非法人组织与小型、微型企业组成联合体共同参加磋商，共同响应协议中应写明小型、微型企业的协议合同金额占到共同响应协议报价总金额的比例。</w:t>
      </w:r>
    </w:p>
    <w:p w14:paraId="24282E9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  联合体中有同类资质的供应商按照联合体分工承担相同工作的，按照资质等级较低的供应商确定资质等级。</w:t>
      </w:r>
    </w:p>
    <w:p w14:paraId="4E83BFD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3382FCE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   对联合体提交响应文件的其他资格要求见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680264B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    单位负责人为同一人或者存在直接控股、管理关系的不同供应商，其相关磋商将被认定为</w:t>
      </w:r>
      <w:r>
        <w:rPr>
          <w:rFonts w:hint="eastAsia" w:ascii="微软雅黑" w:hAnsi="微软雅黑" w:eastAsia="微软雅黑" w:cs="微软雅黑"/>
          <w:b/>
          <w:bCs/>
          <w:color w:val="auto"/>
          <w:sz w:val="24"/>
          <w:highlight w:val="none"/>
        </w:rPr>
        <w:t>响应无效</w:t>
      </w:r>
    </w:p>
    <w:p w14:paraId="3739C61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    为本项目提供过整体设计、规范编制或者项目管理、监理、检测等服务的供应商，不得再参加本项目上述服务以外的其他采购活动。否则其磋商将被认定为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1B0C2F5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供应商在磋商响应过程中不得向采购人提供或给予影响其正常决策行为的任何有价值物品或服务。一经发现，其磋商将被认定为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426338E4">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1" w:name="_Toc11813_WPSOffice_Level2"/>
      <w:bookmarkStart w:id="22" w:name="_Toc11482_WPSOffice_Level2"/>
      <w:bookmarkStart w:id="23" w:name="_Toc518923062"/>
      <w:bookmarkStart w:id="24" w:name="_Toc2643"/>
      <w:r>
        <w:rPr>
          <w:rFonts w:hint="eastAsia" w:ascii="微软雅黑" w:hAnsi="微软雅黑" w:eastAsia="微软雅黑" w:cs="微软雅黑"/>
          <w:b/>
          <w:bCs/>
          <w:color w:val="auto"/>
          <w:highlight w:val="none"/>
          <w:u w:val="none"/>
        </w:rPr>
        <w:t>2.资金来源</w:t>
      </w:r>
      <w:bookmarkEnd w:id="21"/>
      <w:bookmarkEnd w:id="22"/>
      <w:bookmarkEnd w:id="23"/>
      <w:bookmarkEnd w:id="24"/>
    </w:p>
    <w:p w14:paraId="51AEAA28">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本项目的采购人已获得足以支付本次磋商后所签订的合同项下的资金（包括财政性资金和本项目采购中无法与财政性资金分割的非财政性资金）。</w:t>
      </w:r>
    </w:p>
    <w:p w14:paraId="58C3728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    项目预算金额和分项或分包最高限价</w:t>
      </w:r>
      <w:r>
        <w:rPr>
          <w:rFonts w:hint="eastAsia" w:ascii="微软雅黑" w:hAnsi="微软雅黑" w:eastAsia="微软雅黑" w:cs="微软雅黑"/>
          <w:color w:val="auto"/>
          <w:sz w:val="24"/>
          <w:highlight w:val="none"/>
          <w:u w:val="single"/>
        </w:rPr>
        <w:t>见供应商须知资料表</w:t>
      </w:r>
      <w:r>
        <w:rPr>
          <w:rFonts w:hint="eastAsia" w:ascii="微软雅黑" w:hAnsi="微软雅黑" w:eastAsia="微软雅黑" w:cs="微软雅黑"/>
          <w:color w:val="auto"/>
          <w:sz w:val="24"/>
          <w:highlight w:val="none"/>
        </w:rPr>
        <w:t>。</w:t>
      </w:r>
    </w:p>
    <w:p w14:paraId="109E58A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    供应商报价超过磋商文件规定的预算金额或者分项、分包最高限价的，其报价将被认定为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14:paraId="3E086C59">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5" w:name="_Toc518923063"/>
      <w:bookmarkStart w:id="26" w:name="_Toc8946_WPSOffice_Level2"/>
      <w:bookmarkStart w:id="27" w:name="_Toc8601_WPSOffice_Level2"/>
      <w:bookmarkStart w:id="28" w:name="_Toc28166"/>
      <w:bookmarkStart w:id="29" w:name="_Toc520356145"/>
      <w:r>
        <w:rPr>
          <w:rFonts w:hint="eastAsia" w:ascii="微软雅黑" w:hAnsi="微软雅黑" w:eastAsia="微软雅黑" w:cs="微软雅黑"/>
          <w:b/>
          <w:bCs/>
          <w:color w:val="auto"/>
          <w:highlight w:val="none"/>
          <w:u w:val="none"/>
        </w:rPr>
        <w:t>3.磋商费用</w:t>
      </w:r>
      <w:bookmarkEnd w:id="25"/>
      <w:bookmarkEnd w:id="26"/>
      <w:bookmarkEnd w:id="27"/>
      <w:bookmarkEnd w:id="28"/>
      <w:bookmarkEnd w:id="29"/>
    </w:p>
    <w:p w14:paraId="7FC4408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不论磋商的结果如何，供应商应承担所有与准备和参加磋商有关的费用。</w:t>
      </w:r>
    </w:p>
    <w:p w14:paraId="1E5A1B58">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30" w:name="_Toc1523_WPSOffice_Level2"/>
      <w:bookmarkStart w:id="31" w:name="_Toc32365"/>
      <w:bookmarkStart w:id="32" w:name="_Toc8368_WPSOffice_Level2"/>
      <w:bookmarkStart w:id="33" w:name="_Toc518923064"/>
      <w:r>
        <w:rPr>
          <w:rFonts w:hint="eastAsia" w:ascii="微软雅黑" w:hAnsi="微软雅黑" w:eastAsia="微软雅黑" w:cs="微软雅黑"/>
          <w:b/>
          <w:bCs/>
          <w:color w:val="auto"/>
          <w:highlight w:val="none"/>
          <w:u w:val="none"/>
        </w:rPr>
        <w:t>4.适用法律</w:t>
      </w:r>
      <w:bookmarkEnd w:id="30"/>
      <w:bookmarkEnd w:id="31"/>
      <w:bookmarkEnd w:id="32"/>
      <w:bookmarkEnd w:id="33"/>
    </w:p>
    <w:p w14:paraId="7C842369">
      <w:pPr>
        <w:pStyle w:val="4"/>
        <w:pageBreakBefore w:val="0"/>
        <w:kinsoku/>
        <w:overflowPunct/>
        <w:bidi w:val="0"/>
        <w:snapToGrid w:val="0"/>
        <w:spacing w:before="0" w:line="312" w:lineRule="auto"/>
        <w:ind w:left="957" w:leftChars="456" w:firstLine="0" w:firstLineChars="0"/>
        <w:jc w:val="left"/>
        <w:rPr>
          <w:rFonts w:hint="eastAsia" w:ascii="微软雅黑" w:hAnsi="微软雅黑" w:eastAsia="微软雅黑" w:cs="微软雅黑"/>
          <w:b w:val="0"/>
          <w:color w:val="auto"/>
          <w:kern w:val="2"/>
          <w:sz w:val="24"/>
          <w:szCs w:val="24"/>
          <w:highlight w:val="none"/>
          <w:lang w:val="en-US" w:eastAsia="zh-CN" w:bidi="ar-SA"/>
        </w:rPr>
      </w:pPr>
      <w:bookmarkStart w:id="34" w:name="_Toc216582806"/>
      <w:bookmarkStart w:id="35" w:name="_Toc520356146"/>
      <w:bookmarkStart w:id="36" w:name="_Toc518923065"/>
      <w:bookmarkStart w:id="37" w:name="_Toc809"/>
      <w:bookmarkStart w:id="38" w:name="_Toc23133"/>
      <w:bookmarkStart w:id="39" w:name="_Toc10894_WPSOffice_Level1"/>
      <w:r>
        <w:rPr>
          <w:rFonts w:hint="eastAsia" w:ascii="微软雅黑" w:hAnsi="微软雅黑" w:eastAsia="微软雅黑" w:cs="微软雅黑"/>
          <w:b w:val="0"/>
          <w:color w:val="auto"/>
          <w:kern w:val="2"/>
          <w:sz w:val="24"/>
          <w:szCs w:val="24"/>
          <w:highlight w:val="none"/>
          <w:lang w:val="en-US" w:eastAsia="zh-CN" w:bidi="ar-SA"/>
        </w:rPr>
        <w:t>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14:paraId="4BAE433F">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二</w:t>
      </w:r>
      <w:bookmarkEnd w:id="34"/>
      <w:bookmarkEnd w:id="35"/>
      <w:bookmarkEnd w:id="36"/>
      <w:bookmarkEnd w:id="37"/>
      <w:r>
        <w:rPr>
          <w:rFonts w:hint="eastAsia" w:ascii="微软雅黑" w:hAnsi="微软雅黑" w:eastAsia="微软雅黑" w:cs="微软雅黑"/>
          <w:color w:val="auto"/>
          <w:sz w:val="32"/>
          <w:szCs w:val="32"/>
          <w:highlight w:val="none"/>
          <w:lang w:eastAsia="zh-CN"/>
        </w:rPr>
        <w:t>、</w:t>
      </w:r>
      <w:r>
        <w:rPr>
          <w:rFonts w:hint="eastAsia" w:ascii="微软雅黑" w:hAnsi="微软雅黑" w:eastAsia="微软雅黑" w:cs="微软雅黑"/>
          <w:color w:val="auto"/>
          <w:sz w:val="32"/>
          <w:szCs w:val="32"/>
          <w:highlight w:val="none"/>
        </w:rPr>
        <w:t>磋商文件</w:t>
      </w:r>
      <w:bookmarkEnd w:id="38"/>
      <w:bookmarkEnd w:id="39"/>
    </w:p>
    <w:p w14:paraId="688FBE6D">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40" w:name="_Toc15218_WPSOffice_Level2"/>
      <w:bookmarkStart w:id="41" w:name="_Toc22990"/>
      <w:bookmarkStart w:id="42" w:name="_Toc15303_WPSOffice_Level2"/>
      <w:bookmarkStart w:id="43" w:name="_Toc518923066"/>
      <w:bookmarkStart w:id="44" w:name="_Toc520356147"/>
      <w:r>
        <w:rPr>
          <w:rFonts w:hint="eastAsia" w:ascii="微软雅黑" w:hAnsi="微软雅黑" w:eastAsia="微软雅黑" w:cs="微软雅黑"/>
          <w:b/>
          <w:bCs/>
          <w:color w:val="auto"/>
          <w:highlight w:val="none"/>
          <w:u w:val="none"/>
        </w:rPr>
        <w:t>5.磋商文件构成</w:t>
      </w:r>
      <w:bookmarkEnd w:id="40"/>
      <w:bookmarkEnd w:id="41"/>
      <w:bookmarkEnd w:id="42"/>
      <w:bookmarkEnd w:id="43"/>
      <w:bookmarkEnd w:id="44"/>
    </w:p>
    <w:p w14:paraId="6E1A328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磋商文件分为三册共7章，内容如下：</w:t>
      </w:r>
    </w:p>
    <w:p w14:paraId="5A5E7BB2">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14:paraId="24E834FF">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1章   </w:t>
      </w:r>
      <w:r>
        <w:rPr>
          <w:rFonts w:hint="eastAsia" w:ascii="微软雅黑" w:hAnsi="微软雅黑" w:eastAsia="微软雅黑" w:cs="微软雅黑"/>
          <w:color w:val="auto"/>
          <w:sz w:val="24"/>
          <w:highlight w:val="none"/>
        </w:rPr>
        <w:t>供应商须知</w:t>
      </w:r>
    </w:p>
    <w:p w14:paraId="6711A3D2">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2章   </w:t>
      </w:r>
      <w:r>
        <w:rPr>
          <w:rFonts w:hint="eastAsia" w:ascii="微软雅黑" w:hAnsi="微软雅黑" w:eastAsia="微软雅黑" w:cs="微软雅黑"/>
          <w:color w:val="auto"/>
          <w:sz w:val="24"/>
          <w:highlight w:val="none"/>
        </w:rPr>
        <w:t>响应文件格式</w:t>
      </w:r>
    </w:p>
    <w:p w14:paraId="71FB2F98">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14:paraId="70DC3774">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3章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竞争性磋商公告</w:t>
      </w:r>
    </w:p>
    <w:p w14:paraId="1E68F157">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4章  </w:t>
      </w:r>
      <w:r>
        <w:rPr>
          <w:rFonts w:hint="eastAsia" w:ascii="微软雅黑" w:hAnsi="微软雅黑" w:eastAsia="微软雅黑" w:cs="微软雅黑"/>
          <w:color w:val="auto"/>
          <w:sz w:val="24"/>
          <w:highlight w:val="none"/>
        </w:rPr>
        <w:t xml:space="preserve"> 供应商须知资料表</w:t>
      </w:r>
    </w:p>
    <w:p w14:paraId="140B8957">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5章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w:t>
      </w:r>
    </w:p>
    <w:p w14:paraId="5AC50327">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6章  </w:t>
      </w:r>
      <w:r>
        <w:rPr>
          <w:rFonts w:hint="eastAsia" w:ascii="微软雅黑" w:hAnsi="微软雅黑" w:eastAsia="微软雅黑" w:cs="微软雅黑"/>
          <w:color w:val="auto"/>
          <w:sz w:val="24"/>
          <w:highlight w:val="none"/>
        </w:rPr>
        <w:t xml:space="preserve"> 评标方法和标准</w:t>
      </w:r>
    </w:p>
    <w:p w14:paraId="61D136FF">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14:paraId="1D418CA0">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7章   </w:t>
      </w:r>
      <w:r>
        <w:rPr>
          <w:rFonts w:hint="eastAsia" w:ascii="微软雅黑" w:hAnsi="微软雅黑" w:eastAsia="微软雅黑" w:cs="微软雅黑"/>
          <w:color w:val="auto"/>
          <w:sz w:val="24"/>
          <w:highlight w:val="none"/>
        </w:rPr>
        <w:t>政府采购合同格式</w:t>
      </w:r>
    </w:p>
    <w:p w14:paraId="3C5F961C">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如本文件的前后内容不一致，以最后描述为准。</w:t>
      </w:r>
    </w:p>
    <w:p w14:paraId="7C135D6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5.3    供应商应认真阅读磋商文件所有的事项、格式、条款和技术规范等。如供应商没有按照磋商文件要求提交全部资料，或者响应文件没有对磋商文件在各方面都做出实质性响应，可能导致其响应文件被认定为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3CF3B474">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45" w:name="_Toc520356148"/>
      <w:bookmarkStart w:id="46" w:name="_Toc518923067"/>
      <w:bookmarkStart w:id="47" w:name="_Toc29081_WPSOffice_Level2"/>
      <w:bookmarkStart w:id="48" w:name="_Toc21314"/>
      <w:bookmarkStart w:id="49" w:name="_Toc90_WPSOffice_Level2"/>
      <w:r>
        <w:rPr>
          <w:rFonts w:hint="eastAsia" w:ascii="微软雅黑" w:hAnsi="微软雅黑" w:eastAsia="微软雅黑" w:cs="微软雅黑"/>
          <w:b/>
          <w:bCs/>
          <w:color w:val="auto"/>
          <w:highlight w:val="none"/>
          <w:u w:val="none"/>
        </w:rPr>
        <w:t>6.磋商文件的澄清</w:t>
      </w:r>
      <w:bookmarkEnd w:id="45"/>
      <w:r>
        <w:rPr>
          <w:rFonts w:hint="eastAsia" w:ascii="微软雅黑" w:hAnsi="微软雅黑" w:eastAsia="微软雅黑" w:cs="微软雅黑"/>
          <w:b/>
          <w:bCs/>
          <w:color w:val="auto"/>
          <w:highlight w:val="none"/>
          <w:u w:val="none"/>
        </w:rPr>
        <w:t>与修改</w:t>
      </w:r>
      <w:bookmarkEnd w:id="46"/>
      <w:bookmarkEnd w:id="47"/>
      <w:bookmarkEnd w:id="48"/>
      <w:bookmarkEnd w:id="49"/>
    </w:p>
    <w:p w14:paraId="2EC2FB03">
      <w:pPr>
        <w:pStyle w:val="8"/>
        <w:pageBreakBefore w:val="0"/>
        <w:kinsoku/>
        <w:overflowPunct/>
        <w:bidi w:val="0"/>
        <w:snapToGrid w:val="0"/>
        <w:spacing w:line="312"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    为了保证对磋商文件的澄清和修改满足法律的时限要求，</w:t>
      </w:r>
      <w:bookmarkStart w:id="50" w:name="_Ref467378678"/>
      <w:bookmarkStart w:id="51" w:name="_Toc520356149"/>
      <w:r>
        <w:rPr>
          <w:rFonts w:hint="eastAsia" w:ascii="微软雅黑" w:hAnsi="微软雅黑" w:eastAsia="微软雅黑" w:cs="微软雅黑"/>
          <w:color w:val="auto"/>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53D29E7">
      <w:pPr>
        <w:pStyle w:val="8"/>
        <w:pageBreakBefore w:val="0"/>
        <w:kinsoku/>
        <w:overflowPunct/>
        <w:bidi w:val="0"/>
        <w:snapToGrid w:val="0"/>
        <w:spacing w:line="312"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6.2</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14:paraId="4926FC53">
      <w:pPr>
        <w:pStyle w:val="8"/>
        <w:pageBreakBefore w:val="0"/>
        <w:kinsoku/>
        <w:overflowPunct/>
        <w:bidi w:val="0"/>
        <w:snapToGrid w:val="0"/>
        <w:spacing w:line="312"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p w14:paraId="7031654A">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52" w:name="_Toc10994"/>
      <w:bookmarkStart w:id="53" w:name="_Toc518923068"/>
      <w:bookmarkStart w:id="54" w:name="_Toc31699_WPSOffice_Level2"/>
      <w:bookmarkStart w:id="55" w:name="_Toc9694_WPSOffice_Level2"/>
      <w:r>
        <w:rPr>
          <w:rFonts w:hint="eastAsia" w:ascii="微软雅黑" w:hAnsi="微软雅黑" w:eastAsia="微软雅黑" w:cs="微软雅黑"/>
          <w:b/>
          <w:bCs/>
          <w:color w:val="auto"/>
          <w:highlight w:val="none"/>
          <w:u w:val="none"/>
        </w:rPr>
        <w:t>7</w:t>
      </w:r>
      <w:bookmarkEnd w:id="50"/>
      <w:bookmarkEnd w:id="51"/>
      <w:r>
        <w:rPr>
          <w:rFonts w:hint="eastAsia" w:ascii="微软雅黑" w:hAnsi="微软雅黑" w:eastAsia="微软雅黑" w:cs="微软雅黑"/>
          <w:b/>
          <w:bCs/>
          <w:color w:val="auto"/>
          <w:highlight w:val="none"/>
          <w:u w:val="none"/>
        </w:rPr>
        <w:t>.响应文件递交截止时间的顺延</w:t>
      </w:r>
      <w:bookmarkEnd w:id="52"/>
      <w:bookmarkEnd w:id="53"/>
      <w:bookmarkEnd w:id="54"/>
      <w:bookmarkEnd w:id="55"/>
    </w:p>
    <w:p w14:paraId="1BAE464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为使供应商准备递交响应文件时有足够的时间对磋商文件的澄清或者修改部分进行研究，采购人将依法决定是否顺延响应文件递交截止时间。</w:t>
      </w:r>
    </w:p>
    <w:p w14:paraId="55296E15">
      <w:pPr>
        <w:pStyle w:val="4"/>
        <w:pageBreakBefore w:val="0"/>
        <w:tabs>
          <w:tab w:val="left" w:pos="900"/>
        </w:tabs>
        <w:kinsoku/>
        <w:overflowPunct/>
        <w:bidi w:val="0"/>
        <w:snapToGrid w:val="0"/>
        <w:spacing w:before="0" w:line="312" w:lineRule="auto"/>
        <w:ind w:left="1079" w:leftChars="257" w:hanging="540"/>
        <w:rPr>
          <w:rFonts w:hint="eastAsia" w:ascii="微软雅黑" w:hAnsi="微软雅黑" w:eastAsia="微软雅黑" w:cs="微软雅黑"/>
          <w:color w:val="auto"/>
          <w:sz w:val="32"/>
          <w:szCs w:val="32"/>
          <w:highlight w:val="none"/>
        </w:rPr>
      </w:pPr>
      <w:bookmarkStart w:id="56" w:name="_Toc516367020"/>
      <w:bookmarkStart w:id="57" w:name="_Toc520356150"/>
      <w:bookmarkStart w:id="58" w:name="_Toc32251"/>
      <w:bookmarkStart w:id="59" w:name="_Toc25389"/>
      <w:bookmarkStart w:id="60" w:name="_Toc4436_WPSOffice_Level1"/>
      <w:bookmarkStart w:id="61" w:name="_Toc216582807"/>
      <w:bookmarkStart w:id="62" w:name="_Toc518923069"/>
      <w:r>
        <w:rPr>
          <w:rFonts w:hint="eastAsia" w:ascii="微软雅黑" w:hAnsi="微软雅黑" w:eastAsia="微软雅黑" w:cs="微软雅黑"/>
          <w:color w:val="auto"/>
          <w:sz w:val="32"/>
          <w:szCs w:val="32"/>
          <w:highlight w:val="none"/>
        </w:rPr>
        <w:t>三</w:t>
      </w:r>
      <w:bookmarkEnd w:id="56"/>
      <w:r>
        <w:rPr>
          <w:rFonts w:hint="eastAsia" w:ascii="微软雅黑" w:hAnsi="微软雅黑" w:eastAsia="微软雅黑" w:cs="微软雅黑"/>
          <w:color w:val="auto"/>
          <w:sz w:val="32"/>
          <w:szCs w:val="32"/>
          <w:highlight w:val="none"/>
          <w:lang w:eastAsia="zh-CN"/>
        </w:rPr>
        <w:t>、</w:t>
      </w:r>
      <w:r>
        <w:rPr>
          <w:rFonts w:hint="eastAsia" w:ascii="微软雅黑" w:hAnsi="微软雅黑" w:eastAsia="微软雅黑" w:cs="微软雅黑"/>
          <w:color w:val="auto"/>
          <w:sz w:val="32"/>
          <w:szCs w:val="32"/>
          <w:highlight w:val="none"/>
        </w:rPr>
        <w:t>响应文件的编制</w:t>
      </w:r>
      <w:bookmarkEnd w:id="57"/>
      <w:bookmarkEnd w:id="58"/>
      <w:bookmarkEnd w:id="59"/>
      <w:bookmarkEnd w:id="60"/>
      <w:bookmarkEnd w:id="61"/>
      <w:bookmarkEnd w:id="62"/>
    </w:p>
    <w:p w14:paraId="7703D5E2">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63" w:name="_Toc13590_WPSOffice_Level2"/>
      <w:bookmarkStart w:id="64" w:name="_Toc20686_WPSOffice_Level2"/>
      <w:bookmarkStart w:id="65" w:name="_Toc6728"/>
      <w:bookmarkStart w:id="66" w:name="_Toc518923070"/>
      <w:bookmarkStart w:id="67" w:name="_Toc520356151"/>
      <w:bookmarkStart w:id="68" w:name="_Toc516367021"/>
      <w:r>
        <w:rPr>
          <w:rFonts w:hint="eastAsia" w:ascii="微软雅黑" w:hAnsi="微软雅黑" w:eastAsia="微软雅黑" w:cs="微软雅黑"/>
          <w:b/>
          <w:bCs/>
          <w:color w:val="auto"/>
          <w:highlight w:val="none"/>
          <w:u w:val="none"/>
        </w:rPr>
        <w:t>8.</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磋商范围及响应文件成交准和计量单位的使用</w:t>
      </w:r>
      <w:bookmarkEnd w:id="63"/>
      <w:bookmarkEnd w:id="64"/>
      <w:bookmarkEnd w:id="65"/>
      <w:bookmarkEnd w:id="66"/>
      <w:bookmarkEnd w:id="67"/>
      <w:bookmarkEnd w:id="68"/>
    </w:p>
    <w:p w14:paraId="2039D126">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项目有分包的，供应商可对磋商文件其中一个或几个分包进行响应，除非在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中另有规定。</w:t>
      </w:r>
    </w:p>
    <w:p w14:paraId="6D527D8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8.2    供应商应当对所投分包磋商文件中“</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需求”所列的所有服务内容进行响应，如仅响应分包中的部分内容，其响应将被认定为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14CCCC6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     无论磋商文件第5章项目</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需求中是否要求，供应商所投服务均应符合国家强制性标准。</w:t>
      </w:r>
    </w:p>
    <w:p w14:paraId="48EE219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8.4     除磋商文件中有特殊要求外，响应文件中所使用的计量单位，应采用中华人民共和国法定计量单位。</w:t>
      </w:r>
    </w:p>
    <w:p w14:paraId="532E032B">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69" w:name="_Ref467306195"/>
      <w:bookmarkStart w:id="70" w:name="_Toc516367022"/>
      <w:bookmarkStart w:id="71" w:name="_Ref467306676"/>
      <w:bookmarkStart w:id="72" w:name="_Toc520356152"/>
      <w:bookmarkStart w:id="73" w:name="_Toc31935_WPSOffice_Level2"/>
      <w:bookmarkStart w:id="74" w:name="_Toc518923071"/>
      <w:bookmarkStart w:id="75" w:name="_Toc15487"/>
      <w:bookmarkStart w:id="76" w:name="_Toc28579_WPSOffice_Level2"/>
      <w:r>
        <w:rPr>
          <w:rFonts w:hint="eastAsia" w:ascii="微软雅黑" w:hAnsi="微软雅黑" w:eastAsia="微软雅黑" w:cs="微软雅黑"/>
          <w:b/>
          <w:bCs/>
          <w:color w:val="auto"/>
          <w:highlight w:val="none"/>
          <w:u w:val="none"/>
        </w:rPr>
        <w:t>9.</w:t>
      </w:r>
      <w:bookmarkEnd w:id="69"/>
      <w:bookmarkEnd w:id="70"/>
      <w:bookmarkEnd w:id="71"/>
      <w:r>
        <w:rPr>
          <w:rFonts w:hint="eastAsia" w:ascii="微软雅黑" w:hAnsi="微软雅黑" w:eastAsia="微软雅黑" w:cs="微软雅黑"/>
          <w:b/>
          <w:bCs/>
          <w:color w:val="auto"/>
          <w:highlight w:val="none"/>
          <w:u w:val="none"/>
        </w:rPr>
        <w:t>响应文件构成</w:t>
      </w:r>
      <w:bookmarkEnd w:id="72"/>
      <w:bookmarkEnd w:id="73"/>
      <w:bookmarkEnd w:id="74"/>
      <w:bookmarkEnd w:id="75"/>
      <w:bookmarkEnd w:id="76"/>
    </w:p>
    <w:p w14:paraId="08F1F988">
      <w:pPr>
        <w:pageBreakBefore w:val="0"/>
        <w:tabs>
          <w:tab w:val="left" w:pos="900"/>
          <w:tab w:val="left" w:pos="5580"/>
        </w:tabs>
        <w:kinsoku/>
        <w:overflowPunct/>
        <w:bidi w:val="0"/>
        <w:snapToGrid w:val="0"/>
        <w:spacing w:line="312" w:lineRule="auto"/>
        <w:ind w:left="960" w:hanging="960" w:hangingChars="400"/>
        <w:jc w:val="left"/>
        <w:rPr>
          <w:rFonts w:hint="eastAsia" w:ascii="微软雅黑" w:hAnsi="微软雅黑" w:eastAsia="微软雅黑" w:cs="微软雅黑"/>
          <w:color w:val="auto"/>
          <w:highlight w:val="none"/>
        </w:rPr>
      </w:pPr>
      <w:bookmarkStart w:id="77" w:name="_Ref467052588"/>
      <w:r>
        <w:rPr>
          <w:rFonts w:hint="eastAsia" w:ascii="微软雅黑" w:hAnsi="微软雅黑" w:eastAsia="微软雅黑" w:cs="微软雅黑"/>
          <w:color w:val="auto"/>
          <w:sz w:val="24"/>
          <w:highlight w:val="none"/>
        </w:rPr>
        <w:t xml:space="preserve">9.1   </w:t>
      </w:r>
      <w:r>
        <w:rPr>
          <w:rFonts w:hint="eastAsia" w:ascii="微软雅黑" w:hAnsi="微软雅黑" w:eastAsia="微软雅黑" w:cs="微软雅黑"/>
          <w:b w:val="0"/>
          <w:bCs w:val="0"/>
          <w:color w:val="auto"/>
          <w:sz w:val="24"/>
          <w:highlight w:val="none"/>
        </w:rPr>
        <w:t xml:space="preserve"> </w:t>
      </w:r>
      <w:bookmarkEnd w:id="77"/>
      <w:r>
        <w:rPr>
          <w:rFonts w:hint="eastAsia" w:ascii="微软雅黑" w:hAnsi="微软雅黑" w:eastAsia="微软雅黑" w:cs="微软雅黑"/>
          <w:b w:val="0"/>
          <w:bCs w:val="0"/>
          <w:color w:val="auto"/>
          <w:sz w:val="24"/>
          <w:highlight w:val="none"/>
          <w:lang w:val="en-US" w:eastAsia="zh-CN"/>
        </w:rPr>
        <w:t xml:space="preserve"> </w:t>
      </w:r>
      <w:r>
        <w:rPr>
          <w:rFonts w:hint="eastAsia" w:ascii="微软雅黑" w:hAnsi="微软雅黑" w:eastAsia="微软雅黑" w:cs="微软雅黑"/>
          <w:b w:val="0"/>
          <w:bCs w:val="0"/>
          <w:color w:val="auto"/>
          <w:sz w:val="24"/>
          <w:highlight w:val="none"/>
          <w:u w:val="single"/>
        </w:rPr>
        <w:t>供应商应完整地按磋商文件提供的响应文件格式及要求编写响应文件， 供应商须在响应截止时间前完成在系统上递交电子响应文件。供应商的电子响应文件是经过CA证书加密后上传提交的，任何单位或个人均无法在响应截止时间(即投标时间)之前查看或篡改，不存在泄密风险。（严格按照政采云电子投标流程制作并上传电子响应文件）</w:t>
      </w:r>
    </w:p>
    <w:p w14:paraId="1C9F081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    上述文件应按照磋商文件规定的格式填写、签署和盖章。</w:t>
      </w:r>
    </w:p>
    <w:p w14:paraId="6A06ECA4">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78" w:name="_Toc10751_WPSOffice_Level2"/>
      <w:bookmarkStart w:id="79" w:name="_Toc520356153"/>
      <w:bookmarkStart w:id="80" w:name="_Toc5768_WPSOffice_Level2"/>
      <w:bookmarkStart w:id="81" w:name="_Toc516367023"/>
      <w:bookmarkStart w:id="82" w:name="_Toc2671"/>
      <w:bookmarkStart w:id="83" w:name="_Toc518923072"/>
      <w:bookmarkStart w:id="84" w:name="_Toc508185920"/>
      <w:bookmarkStart w:id="85" w:name="_Toc520356155"/>
      <w:r>
        <w:rPr>
          <w:rFonts w:hint="eastAsia" w:ascii="微软雅黑" w:hAnsi="微软雅黑" w:eastAsia="微软雅黑" w:cs="微软雅黑"/>
          <w:b/>
          <w:bCs/>
          <w:color w:val="auto"/>
          <w:highlight w:val="none"/>
          <w:u w:val="none"/>
        </w:rPr>
        <w:t>10.</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证明标的的合格性和符合磋商文件规定的响应文件</w:t>
      </w:r>
      <w:bookmarkEnd w:id="78"/>
      <w:bookmarkEnd w:id="79"/>
      <w:bookmarkEnd w:id="80"/>
      <w:bookmarkEnd w:id="81"/>
      <w:bookmarkEnd w:id="82"/>
      <w:bookmarkEnd w:id="83"/>
      <w:bookmarkEnd w:id="84"/>
    </w:p>
    <w:p w14:paraId="19C1E39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供应商应提交证明文件，证明其响应文件内容符合磋商文件规定。该证明文件是响应文件的一部分。</w:t>
      </w:r>
    </w:p>
    <w:p w14:paraId="5005CBEC">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86"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上款所述的证明文件，可以是文字资料、图纸和数据</w:t>
      </w:r>
      <w:bookmarkEnd w:id="86"/>
      <w:r>
        <w:rPr>
          <w:rFonts w:hint="eastAsia" w:ascii="微软雅黑" w:hAnsi="微软雅黑" w:eastAsia="微软雅黑" w:cs="微软雅黑"/>
          <w:color w:val="auto"/>
          <w:sz w:val="24"/>
          <w:highlight w:val="none"/>
        </w:rPr>
        <w:t>。</w:t>
      </w:r>
    </w:p>
    <w:p w14:paraId="28BE1DC2">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87" w:name="_Toc518923073"/>
      <w:bookmarkStart w:id="88" w:name="_Toc8529"/>
      <w:bookmarkStart w:id="89" w:name="_Toc32368_WPSOffice_Level2"/>
      <w:bookmarkStart w:id="90" w:name="_Toc15335_WPSOffice_Level2"/>
      <w:r>
        <w:rPr>
          <w:rFonts w:hint="eastAsia" w:ascii="微软雅黑" w:hAnsi="微软雅黑" w:eastAsia="微软雅黑" w:cs="微软雅黑"/>
          <w:b/>
          <w:bCs/>
          <w:color w:val="auto"/>
          <w:highlight w:val="none"/>
          <w:u w:val="none"/>
        </w:rPr>
        <w:t>11.</w:t>
      </w:r>
      <w:bookmarkEnd w:id="85"/>
      <w:bookmarkEnd w:id="87"/>
      <w:bookmarkEnd w:id="88"/>
      <w:r>
        <w:rPr>
          <w:rFonts w:hint="eastAsia" w:ascii="微软雅黑" w:hAnsi="微软雅黑" w:eastAsia="微软雅黑" w:cs="微软雅黑"/>
          <w:b/>
          <w:bCs/>
          <w:color w:val="auto"/>
          <w:highlight w:val="none"/>
          <w:u w:val="none"/>
        </w:rPr>
        <w:t>磋商报价</w:t>
      </w:r>
      <w:bookmarkEnd w:id="89"/>
      <w:bookmarkEnd w:id="90"/>
    </w:p>
    <w:p w14:paraId="6B58989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响应文件均以人民币报价。供应商的磋商报价应遵守《中华人民共和国价格法》。同时，根据《中华人民共和国政府采购法》第二条的规定，为保证公平竞争，如有主体响应标的的赠与行为，其响应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14:paraId="7F2932A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供应商应在标的分项报价表上标明分项服务的价格（如适用）和总价，并由法定代表人或其委托代理人签署。</w:t>
      </w:r>
    </w:p>
    <w:p w14:paraId="4BBC4F58">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采购人不接受具有附加条件的报价。</w:t>
      </w:r>
    </w:p>
    <w:p w14:paraId="7A916E0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供应商所报的各分项磋商报价在合同履行过程中是固定不变的，不得以任何理由予以变更。任何包含价格调整要求的响应，将被认定为</w:t>
      </w:r>
      <w:r>
        <w:rPr>
          <w:rFonts w:hint="eastAsia" w:ascii="微软雅黑" w:hAnsi="微软雅黑" w:eastAsia="微软雅黑" w:cs="微软雅黑"/>
          <w:b/>
          <w:bCs/>
          <w:color w:val="auto"/>
          <w:sz w:val="24"/>
          <w:highlight w:val="none"/>
        </w:rPr>
        <w:t>响应无效。</w:t>
      </w:r>
    </w:p>
    <w:p w14:paraId="47735669">
      <w:pPr>
        <w:pStyle w:val="25"/>
        <w:pageBreakBefore w:val="0"/>
        <w:kinsoku/>
        <w:overflowPunct/>
        <w:bidi w:val="0"/>
        <w:snapToGrid w:val="0"/>
        <w:spacing w:line="312" w:lineRule="auto"/>
        <w:ind w:left="960" w:hanging="960" w:hangingChars="400"/>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 xml:space="preserve">11.5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color w:val="auto"/>
          <w:spacing w:val="-4"/>
          <w:sz w:val="24"/>
          <w:highlight w:val="none"/>
        </w:rPr>
        <w:t>竞争性磋商共有两次报价，二次报价为最终报价，磋商小组所有成员集中与单一供应商分别进行磋商，并给予所有参加磋商的供应商平等的磋</w:t>
      </w:r>
      <w:r>
        <w:rPr>
          <w:rFonts w:hint="eastAsia" w:ascii="微软雅黑" w:hAnsi="微软雅黑" w:eastAsia="微软雅黑" w:cs="微软雅黑"/>
          <w:b/>
          <w:color w:val="auto"/>
          <w:sz w:val="24"/>
          <w:highlight w:val="none"/>
        </w:rPr>
        <w:t>商机会， 磋商小组要求所有实质性响应的供应商在规定时间内提交最</w:t>
      </w:r>
      <w:r>
        <w:rPr>
          <w:rFonts w:hint="eastAsia" w:ascii="微软雅黑" w:hAnsi="微软雅黑" w:eastAsia="微软雅黑" w:cs="微软雅黑"/>
          <w:b/>
          <w:color w:val="auto"/>
          <w:spacing w:val="-6"/>
          <w:sz w:val="24"/>
          <w:highlight w:val="none"/>
        </w:rPr>
        <w:t>后报价，最后报价是供应商响应文件的有效组成部分，经磋商确定最终</w:t>
      </w:r>
      <w:r>
        <w:rPr>
          <w:rFonts w:hint="eastAsia" w:ascii="微软雅黑" w:hAnsi="微软雅黑" w:eastAsia="微软雅黑" w:cs="微软雅黑"/>
          <w:b/>
          <w:color w:val="auto"/>
          <w:spacing w:val="-3"/>
          <w:sz w:val="24"/>
          <w:highlight w:val="none"/>
        </w:rPr>
        <w:t>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w:t>
      </w:r>
      <w:r>
        <w:rPr>
          <w:rFonts w:hint="eastAsia" w:ascii="微软雅黑" w:hAnsi="微软雅黑" w:eastAsia="微软雅黑" w:cs="微软雅黑"/>
          <w:b/>
          <w:color w:val="auto"/>
          <w:sz w:val="24"/>
          <w:highlight w:val="none"/>
        </w:rPr>
        <w:t>所有参加磋商的未成交的供应商。</w:t>
      </w:r>
    </w:p>
    <w:p w14:paraId="456D48B8">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91" w:name="_Toc518923074"/>
      <w:bookmarkStart w:id="92" w:name="_Toc16199"/>
      <w:bookmarkStart w:id="93" w:name="_Ref467306513"/>
      <w:bookmarkStart w:id="94" w:name="_Toc520356156"/>
      <w:bookmarkStart w:id="95" w:name="_Toc25748_WPSOffice_Level2"/>
      <w:bookmarkStart w:id="96" w:name="_Toc24125_WPSOffice_Level2"/>
      <w:r>
        <w:rPr>
          <w:rFonts w:hint="eastAsia" w:ascii="微软雅黑" w:hAnsi="微软雅黑" w:eastAsia="微软雅黑" w:cs="微软雅黑"/>
          <w:b/>
          <w:bCs/>
          <w:color w:val="auto"/>
          <w:highlight w:val="none"/>
          <w:u w:val="none"/>
        </w:rPr>
        <w:t>12.</w:t>
      </w:r>
      <w:bookmarkEnd w:id="91"/>
      <w:bookmarkEnd w:id="92"/>
      <w:bookmarkEnd w:id="93"/>
      <w:bookmarkEnd w:id="94"/>
      <w:r>
        <w:rPr>
          <w:rFonts w:hint="eastAsia" w:ascii="微软雅黑" w:hAnsi="微软雅黑" w:eastAsia="微软雅黑" w:cs="微软雅黑"/>
          <w:b/>
          <w:bCs/>
          <w:color w:val="auto"/>
          <w:highlight w:val="none"/>
          <w:u w:val="none"/>
        </w:rPr>
        <w:t>磋商保证金</w:t>
      </w:r>
      <w:bookmarkEnd w:id="95"/>
      <w:bookmarkEnd w:id="96"/>
    </w:p>
    <w:p w14:paraId="0CE2648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97"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w:t>
      </w:r>
      <w:bookmarkEnd w:id="97"/>
      <w:r>
        <w:rPr>
          <w:rFonts w:hint="eastAsia" w:ascii="微软雅黑" w:hAnsi="微软雅黑" w:eastAsia="微软雅黑" w:cs="微软雅黑"/>
          <w:color w:val="auto"/>
          <w:sz w:val="24"/>
          <w:highlight w:val="none"/>
        </w:rPr>
        <w:t>磋商保证金，并作为其响应文件的一部分。</w:t>
      </w:r>
    </w:p>
    <w:p w14:paraId="29E9B87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供应商存在下列情形的，</w:t>
      </w:r>
      <w:r>
        <w:rPr>
          <w:rFonts w:hint="eastAsia" w:ascii="微软雅黑" w:hAnsi="微软雅黑" w:eastAsia="微软雅黑" w:cs="微软雅黑"/>
          <w:b/>
          <w:bCs/>
          <w:color w:val="auto"/>
          <w:sz w:val="24"/>
          <w:highlight w:val="none"/>
        </w:rPr>
        <w:t>磋商保证金不予退还：</w:t>
      </w:r>
    </w:p>
    <w:p w14:paraId="5A75F856">
      <w:pPr>
        <w:pageBreakBefore w:val="0"/>
        <w:kinsoku/>
        <w:overflowPunct/>
        <w:bidi w:val="0"/>
        <w:snapToGrid w:val="0"/>
        <w:spacing w:line="312" w:lineRule="auto"/>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（1）在磋商有效期内，撤销响应文件的；</w:t>
      </w:r>
    </w:p>
    <w:p w14:paraId="0338BDAF">
      <w:pPr>
        <w:pStyle w:val="15"/>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（2）成交后不按本须知第30条的规定与采购人签订合同的；</w:t>
      </w:r>
    </w:p>
    <w:p w14:paraId="1163E31E">
      <w:pPr>
        <w:pStyle w:val="15"/>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（3）成交后不按本须知第31条的规定提交履约保证金的；</w:t>
      </w:r>
    </w:p>
    <w:p w14:paraId="156A1383">
      <w:pPr>
        <w:pStyle w:val="15"/>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（4）成交后不按本须知第32条的规定缴纳成交服务费的；</w:t>
      </w:r>
    </w:p>
    <w:p w14:paraId="15DDA07B">
      <w:pPr>
        <w:pStyle w:val="15"/>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14:paraId="0944BAB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98"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98"/>
      <w:r>
        <w:rPr>
          <w:rFonts w:hint="eastAsia" w:ascii="微软雅黑" w:hAnsi="微软雅黑" w:eastAsia="微软雅黑" w:cs="微软雅黑"/>
          <w:color w:val="auto"/>
          <w:sz w:val="24"/>
          <w:highlight w:val="none"/>
        </w:rPr>
        <w:t>政府采购信用担保试点范围内的项目，接受符合财政部门规定的政府采购磋商担保函原件。</w:t>
      </w:r>
    </w:p>
    <w:p w14:paraId="312E259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供应商未按本须知第12.1和12.3条规定提交磋商保证金的，其磋商资格将被认定为</w:t>
      </w:r>
      <w:r>
        <w:rPr>
          <w:rFonts w:hint="eastAsia" w:ascii="微软雅黑" w:hAnsi="微软雅黑" w:eastAsia="微软雅黑" w:cs="微软雅黑"/>
          <w:b/>
          <w:color w:val="auto"/>
          <w:sz w:val="24"/>
          <w:highlight w:val="none"/>
          <w:lang w:eastAsia="zh-CN"/>
        </w:rPr>
        <w:t>磋商无效</w:t>
      </w:r>
      <w:r>
        <w:rPr>
          <w:rFonts w:hint="eastAsia" w:ascii="微软雅黑" w:hAnsi="微软雅黑" w:eastAsia="微软雅黑" w:cs="微软雅黑"/>
          <w:color w:val="auto"/>
          <w:sz w:val="24"/>
          <w:highlight w:val="none"/>
        </w:rPr>
        <w:t>。</w:t>
      </w:r>
    </w:p>
    <w:p w14:paraId="179FDE55">
      <w:pPr>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  采用电汇形式的，一般可以实时入账；</w:t>
      </w:r>
    </w:p>
    <w:p w14:paraId="7A10E220">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6445A85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    联合体递交响应文件的，可以由联合体中的一方或者共同提交磋商保证金。以一方名义提交磋商保证金的，对联合体各方均具有约束力。</w:t>
      </w:r>
      <w:r>
        <w:rPr>
          <w:rFonts w:hint="eastAsia" w:ascii="微软雅黑" w:hAnsi="微软雅黑" w:eastAsia="微软雅黑" w:cs="微软雅黑"/>
          <w:b/>
          <w:bCs/>
          <w:color w:val="auto"/>
          <w:sz w:val="24"/>
          <w:highlight w:val="none"/>
        </w:rPr>
        <w:t>本项目不接受联合体投标。</w:t>
      </w:r>
    </w:p>
    <w:p w14:paraId="7BDC08A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磋商保证金的退还</w:t>
      </w:r>
    </w:p>
    <w:p w14:paraId="3C0DBCD4">
      <w:pPr>
        <w:pageBreakBefore w:val="0"/>
        <w:kinsoku/>
        <w:overflowPunct/>
        <w:bidi w:val="0"/>
        <w:snapToGrid w:val="0"/>
        <w:spacing w:line="312"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  成交人应在与采购人签订合同之日起5个工作日内，及时联系保证金收受机构办理磋商保证金无息退还手续。</w:t>
      </w:r>
    </w:p>
    <w:p w14:paraId="2C179B66">
      <w:pPr>
        <w:pageBreakBefore w:val="0"/>
        <w:kinsoku/>
        <w:overflowPunct/>
        <w:bidi w:val="0"/>
        <w:snapToGrid w:val="0"/>
        <w:spacing w:line="312"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  未成交供应商的磋商保证金将在成交通知书发出之日暨成交结果公告公布之日起5个工作日内无息退还。供应商及时联系保证金收受机构办理退还磋商保证金手续。</w:t>
      </w:r>
      <w:bookmarkStart w:id="99" w:name="_Toc518923075"/>
    </w:p>
    <w:p w14:paraId="22511F86">
      <w:pPr>
        <w:pageBreakBefore w:val="0"/>
        <w:kinsoku/>
        <w:overflowPunct/>
        <w:bidi w:val="0"/>
        <w:snapToGrid w:val="0"/>
        <w:spacing w:line="312" w:lineRule="auto"/>
        <w:ind w:left="893" w:hanging="892" w:hangingChars="425"/>
        <w:rPr>
          <w:rFonts w:hint="eastAsia" w:ascii="微软雅黑" w:hAnsi="微软雅黑" w:eastAsia="微软雅黑" w:cs="微软雅黑"/>
          <w:bCs/>
          <w:color w:val="auto"/>
          <w:highlight w:val="none"/>
        </w:rPr>
      </w:pPr>
      <w:r>
        <w:rPr>
          <w:rFonts w:hint="eastAsia" w:ascii="微软雅黑" w:hAnsi="微软雅黑" w:eastAsia="微软雅黑" w:cs="微软雅黑"/>
          <w:bCs/>
          <w:color w:val="auto"/>
          <w:highlight w:val="none"/>
        </w:rPr>
        <w:t xml:space="preserve">12.6.3  </w:t>
      </w:r>
      <w:r>
        <w:rPr>
          <w:rFonts w:hint="eastAsia" w:ascii="微软雅黑" w:hAnsi="微软雅黑" w:eastAsia="微软雅黑" w:cs="微软雅黑"/>
          <w:color w:val="auto"/>
          <w:sz w:val="24"/>
          <w:highlight w:val="none"/>
        </w:rPr>
        <w:t>政府采购磋商担保函不予退回。</w:t>
      </w:r>
      <w:bookmarkEnd w:id="99"/>
    </w:p>
    <w:p w14:paraId="5AFE1951">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   因供应商自身原因导致无法及时退还的，采购人或采购代理机构将不承担相应责任。</w:t>
      </w:r>
    </w:p>
    <w:p w14:paraId="391D65D8">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00" w:name="_Toc520356157"/>
      <w:bookmarkStart w:id="101" w:name="_Toc518923076"/>
      <w:bookmarkStart w:id="102" w:name="_Toc20355"/>
      <w:bookmarkStart w:id="103" w:name="_Toc11106_WPSOffice_Level2"/>
      <w:bookmarkStart w:id="104" w:name="_Toc4716_WPSOffice_Level2"/>
      <w:r>
        <w:rPr>
          <w:rFonts w:hint="eastAsia" w:ascii="微软雅黑" w:hAnsi="微软雅黑" w:eastAsia="微软雅黑" w:cs="微软雅黑"/>
          <w:b/>
          <w:bCs/>
          <w:color w:val="auto"/>
          <w:highlight w:val="none"/>
          <w:u w:val="none"/>
        </w:rPr>
        <w:t>13.</w:t>
      </w:r>
      <w:bookmarkEnd w:id="100"/>
      <w:bookmarkEnd w:id="101"/>
      <w:bookmarkEnd w:id="102"/>
      <w:r>
        <w:rPr>
          <w:rFonts w:hint="eastAsia" w:ascii="微软雅黑" w:hAnsi="微软雅黑" w:eastAsia="微软雅黑" w:cs="微软雅黑"/>
          <w:b/>
          <w:bCs/>
          <w:color w:val="auto"/>
          <w:highlight w:val="none"/>
          <w:u w:val="none"/>
        </w:rPr>
        <w:t>磋商有效期</w:t>
      </w:r>
      <w:bookmarkEnd w:id="103"/>
      <w:bookmarkEnd w:id="104"/>
    </w:p>
    <w:p w14:paraId="79E00A5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磋商应在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中规定时间内保持有效。磋商有效期不满足要求的响应，其磋商资格将被认定为</w:t>
      </w:r>
      <w:r>
        <w:rPr>
          <w:rFonts w:hint="eastAsia" w:ascii="微软雅黑" w:hAnsi="微软雅黑" w:eastAsia="微软雅黑" w:cs="微软雅黑"/>
          <w:b/>
          <w:color w:val="auto"/>
          <w:sz w:val="24"/>
          <w:highlight w:val="none"/>
        </w:rPr>
        <w:t>无效</w:t>
      </w:r>
      <w:r>
        <w:rPr>
          <w:rFonts w:hint="eastAsia" w:ascii="微软雅黑" w:hAnsi="微软雅黑" w:eastAsia="微软雅黑" w:cs="微软雅黑"/>
          <w:color w:val="auto"/>
          <w:sz w:val="24"/>
          <w:highlight w:val="none"/>
        </w:rPr>
        <w:t>。</w:t>
      </w:r>
    </w:p>
    <w:p w14:paraId="3C9CE84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14:paraId="34705B9D">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05" w:name="_Toc520356158"/>
      <w:bookmarkStart w:id="106" w:name="_Toc31308_WPSOffice_Level2"/>
      <w:bookmarkStart w:id="107" w:name="_Toc13034_WPSOffice_Level2"/>
      <w:bookmarkStart w:id="108" w:name="_Toc27303"/>
      <w:bookmarkStart w:id="109" w:name="_Toc518923077"/>
      <w:r>
        <w:rPr>
          <w:rFonts w:hint="eastAsia" w:ascii="微软雅黑" w:hAnsi="微软雅黑" w:eastAsia="微软雅黑" w:cs="微软雅黑"/>
          <w:b/>
          <w:bCs/>
          <w:color w:val="auto"/>
          <w:highlight w:val="none"/>
          <w:u w:val="none"/>
        </w:rPr>
        <w:t>14.响应文件的签署</w:t>
      </w:r>
      <w:bookmarkEnd w:id="105"/>
      <w:r>
        <w:rPr>
          <w:rFonts w:hint="eastAsia" w:ascii="微软雅黑" w:hAnsi="微软雅黑" w:eastAsia="微软雅黑" w:cs="微软雅黑"/>
          <w:b/>
          <w:bCs/>
          <w:color w:val="auto"/>
          <w:highlight w:val="none"/>
          <w:u w:val="none"/>
        </w:rPr>
        <w:t>及规定</w:t>
      </w:r>
      <w:bookmarkEnd w:id="106"/>
      <w:bookmarkEnd w:id="107"/>
      <w:bookmarkEnd w:id="108"/>
      <w:bookmarkEnd w:id="109"/>
    </w:p>
    <w:p w14:paraId="647320B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lang w:val="en-US" w:eastAsia="zh-CN"/>
        </w:rPr>
        <w:t>应按供应商须知资料表中的规定，准备和递交（加密上传）电子响应文件。</w:t>
      </w:r>
    </w:p>
    <w:p w14:paraId="26AD84D8">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应按照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规定的格式填写、签署和盖章。</w:t>
      </w:r>
    </w:p>
    <w:p w14:paraId="3AA8A1F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14.3   </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因字迹潦草、表达不清或</w:t>
      </w:r>
      <w:r>
        <w:rPr>
          <w:rFonts w:hint="eastAsia" w:ascii="微软雅黑" w:hAnsi="微软雅黑" w:eastAsia="微软雅黑" w:cs="微软雅黑"/>
          <w:color w:val="auto"/>
          <w:sz w:val="24"/>
          <w:highlight w:val="none"/>
          <w:lang w:val="en-US" w:eastAsia="zh-CN"/>
        </w:rPr>
        <w:t>未按照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规定的格式填写、签署和盖章所引起的后果由</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负责。</w:t>
      </w:r>
    </w:p>
    <w:p w14:paraId="0101B28C">
      <w:pPr>
        <w:pStyle w:val="4"/>
        <w:pageBreakBefore w:val="0"/>
        <w:tabs>
          <w:tab w:val="left" w:pos="900"/>
        </w:tabs>
        <w:kinsoku/>
        <w:overflowPunct/>
        <w:bidi w:val="0"/>
        <w:snapToGrid w:val="0"/>
        <w:spacing w:before="0" w:line="312" w:lineRule="auto"/>
        <w:ind w:left="1079" w:leftChars="257" w:hanging="540"/>
        <w:rPr>
          <w:rFonts w:hint="eastAsia" w:ascii="微软雅黑" w:hAnsi="微软雅黑" w:eastAsia="微软雅黑" w:cs="微软雅黑"/>
          <w:color w:val="auto"/>
          <w:sz w:val="32"/>
          <w:szCs w:val="21"/>
          <w:highlight w:val="none"/>
        </w:rPr>
      </w:pPr>
      <w:bookmarkStart w:id="110" w:name="_Toc32510"/>
      <w:bookmarkStart w:id="111" w:name="_Toc520356159"/>
      <w:bookmarkStart w:id="112" w:name="_Toc518923078"/>
      <w:bookmarkStart w:id="113" w:name="_Toc30674_WPSOffice_Level1"/>
      <w:bookmarkStart w:id="114" w:name="_Toc216582808"/>
      <w:bookmarkStart w:id="115" w:name="_Toc22303"/>
      <w:r>
        <w:rPr>
          <w:rFonts w:hint="eastAsia" w:ascii="微软雅黑" w:hAnsi="微软雅黑" w:eastAsia="微软雅黑" w:cs="微软雅黑"/>
          <w:color w:val="auto"/>
          <w:sz w:val="32"/>
          <w:szCs w:val="21"/>
          <w:highlight w:val="none"/>
        </w:rPr>
        <w:t>四</w:t>
      </w:r>
      <w:r>
        <w:rPr>
          <w:rFonts w:hint="eastAsia" w:ascii="微软雅黑" w:hAnsi="微软雅黑" w:eastAsia="微软雅黑" w:cs="微软雅黑"/>
          <w:color w:val="auto"/>
          <w:sz w:val="32"/>
          <w:szCs w:val="21"/>
          <w:highlight w:val="none"/>
          <w:lang w:eastAsia="zh-CN"/>
        </w:rPr>
        <w:t>、</w:t>
      </w:r>
      <w:r>
        <w:rPr>
          <w:rFonts w:hint="eastAsia" w:ascii="微软雅黑" w:hAnsi="微软雅黑" w:eastAsia="微软雅黑" w:cs="微软雅黑"/>
          <w:color w:val="auto"/>
          <w:sz w:val="32"/>
          <w:szCs w:val="21"/>
          <w:highlight w:val="none"/>
        </w:rPr>
        <w:t>响应文件的递交</w:t>
      </w:r>
      <w:bookmarkEnd w:id="110"/>
      <w:bookmarkEnd w:id="111"/>
      <w:bookmarkEnd w:id="112"/>
      <w:bookmarkEnd w:id="113"/>
      <w:bookmarkEnd w:id="114"/>
      <w:bookmarkEnd w:id="115"/>
    </w:p>
    <w:p w14:paraId="0BD53138">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16" w:name="_Toc24004_WPSOffice_Level2"/>
      <w:bookmarkStart w:id="117" w:name="_Toc518923079"/>
      <w:bookmarkStart w:id="118" w:name="_Toc22654_WPSOffice_Level2"/>
      <w:bookmarkStart w:id="119" w:name="_Toc520356160"/>
      <w:bookmarkStart w:id="120" w:name="_Toc13247"/>
      <w:r>
        <w:rPr>
          <w:rFonts w:hint="eastAsia" w:ascii="微软雅黑" w:hAnsi="微软雅黑" w:eastAsia="微软雅黑" w:cs="微软雅黑"/>
          <w:b/>
          <w:bCs/>
          <w:color w:val="auto"/>
          <w:highlight w:val="none"/>
          <w:u w:val="none"/>
        </w:rPr>
        <w:t>15.响应文件的</w:t>
      </w:r>
      <w:r>
        <w:rPr>
          <w:rFonts w:hint="eastAsia" w:ascii="微软雅黑" w:hAnsi="微软雅黑" w:eastAsia="微软雅黑" w:cs="微软雅黑"/>
          <w:b/>
          <w:bCs/>
          <w:color w:val="auto"/>
          <w:highlight w:val="none"/>
          <w:u w:val="none"/>
          <w:lang w:eastAsia="zh-CN"/>
        </w:rPr>
        <w:t>递交</w:t>
      </w:r>
      <w:r>
        <w:rPr>
          <w:rFonts w:hint="eastAsia" w:ascii="微软雅黑" w:hAnsi="微软雅黑" w:eastAsia="微软雅黑" w:cs="微软雅黑"/>
          <w:b/>
          <w:bCs/>
          <w:color w:val="auto"/>
          <w:highlight w:val="none"/>
          <w:u w:val="none"/>
        </w:rPr>
        <w:t>和标记</w:t>
      </w:r>
      <w:bookmarkEnd w:id="116"/>
      <w:bookmarkEnd w:id="117"/>
      <w:bookmarkEnd w:id="118"/>
      <w:bookmarkEnd w:id="119"/>
      <w:bookmarkEnd w:id="120"/>
    </w:p>
    <w:p w14:paraId="1D947E5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15.1   </w:t>
      </w:r>
      <w:r>
        <w:rPr>
          <w:rFonts w:hint="eastAsia" w:ascii="微软雅黑" w:hAnsi="微软雅黑" w:eastAsia="微软雅黑" w:cs="微软雅黑"/>
          <w:b/>
          <w:bCs/>
          <w:color w:val="auto"/>
          <w:sz w:val="24"/>
          <w:highlight w:val="none"/>
          <w:u w:val="single"/>
          <w:lang w:val="en-US" w:eastAsia="zh-CN"/>
        </w:rPr>
        <w:t>为方便评审及进行资格审查，供应商应完整地按磋商文件提供的响应文件格式及要求编写响应文件，供应商须在响应截止时间前完成在系统上传递交电子响应文件。供应商的电子响应文件是经过CA证书加密后上传提交的，任何单位或个人均无法在响应截止时间(即响应截止时间)之前查看或篡改，不存在泄密风险。（严格按照政采云电子投标流程制作并上传电子响应文件）</w:t>
      </w:r>
    </w:p>
    <w:p w14:paraId="6FB10F4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15.2    供应商因自身原因导致电子响应文件无法导入电子评标系统的，该响应文件视为无效文件。</w:t>
      </w:r>
    </w:p>
    <w:p w14:paraId="61FCFFD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15.3    电子响应文件具有法律效力,与其他形式的响应文件在内容和格式上等同，若响应文件与磋商文件要求不一致，其内容影响成交结果时，责任由供应商自行承担。</w:t>
      </w:r>
    </w:p>
    <w:p w14:paraId="62C4E03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p>
    <w:p w14:paraId="4BCD863B">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21" w:name="_Toc518923080"/>
      <w:bookmarkStart w:id="122" w:name="_Toc14358_WPSOffice_Level2"/>
      <w:bookmarkStart w:id="123" w:name="_Toc520356161"/>
      <w:bookmarkStart w:id="124" w:name="_Toc25787"/>
      <w:bookmarkStart w:id="125" w:name="_Toc178_WPSOffice_Level2"/>
      <w:r>
        <w:rPr>
          <w:rFonts w:hint="eastAsia" w:ascii="微软雅黑" w:hAnsi="微软雅黑" w:eastAsia="微软雅黑" w:cs="微软雅黑"/>
          <w:b/>
          <w:bCs/>
          <w:color w:val="auto"/>
          <w:highlight w:val="none"/>
          <w:u w:val="none"/>
        </w:rPr>
        <w:t>16.</w:t>
      </w:r>
      <w:r>
        <w:rPr>
          <w:rFonts w:hint="eastAsia" w:ascii="微软雅黑" w:hAnsi="微软雅黑" w:eastAsia="微软雅黑" w:cs="微软雅黑"/>
          <w:b/>
          <w:bCs/>
          <w:color w:val="auto"/>
          <w:highlight w:val="none"/>
          <w:u w:val="none"/>
          <w:lang w:eastAsia="zh-CN"/>
        </w:rPr>
        <w:t>响应</w:t>
      </w:r>
      <w:r>
        <w:rPr>
          <w:rFonts w:hint="eastAsia" w:ascii="微软雅黑" w:hAnsi="微软雅黑" w:eastAsia="微软雅黑" w:cs="微软雅黑"/>
          <w:b/>
          <w:bCs/>
          <w:color w:val="auto"/>
          <w:highlight w:val="none"/>
          <w:u w:val="none"/>
        </w:rPr>
        <w:t>截止</w:t>
      </w:r>
      <w:bookmarkEnd w:id="121"/>
      <w:bookmarkEnd w:id="122"/>
      <w:bookmarkEnd w:id="123"/>
      <w:bookmarkEnd w:id="124"/>
      <w:bookmarkEnd w:id="125"/>
    </w:p>
    <w:p w14:paraId="7B9E3AE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126" w:name="_Toc26522_WPSOffice_Level2"/>
      <w:bookmarkStart w:id="127" w:name="_Toc520356162"/>
      <w:bookmarkStart w:id="128" w:name="_Toc518923081"/>
      <w:bookmarkStart w:id="129" w:name="_Toc17985_WPSOffice_Level2"/>
      <w:bookmarkStart w:id="130" w:name="_Toc13921"/>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u w:val="single"/>
        </w:rPr>
        <w:t>供应商应在供应商须知资料表中规定的截止时间前，将响应文件递交到招标公告中规定的地点。解密时间30分钟，逾期未解密的视为</w:t>
      </w:r>
      <w:r>
        <w:rPr>
          <w:rFonts w:hint="eastAsia" w:ascii="微软雅黑" w:hAnsi="微软雅黑" w:eastAsia="微软雅黑" w:cs="微软雅黑"/>
          <w:b/>
          <w:bCs/>
          <w:color w:val="auto"/>
          <w:sz w:val="24"/>
          <w:highlight w:val="none"/>
          <w:u w:val="single"/>
          <w:lang w:eastAsia="zh-CN"/>
        </w:rPr>
        <w:t>响应无效</w:t>
      </w:r>
      <w:r>
        <w:rPr>
          <w:rFonts w:hint="eastAsia" w:ascii="微软雅黑" w:hAnsi="微软雅黑" w:eastAsia="微软雅黑" w:cs="微软雅黑"/>
          <w:b/>
          <w:bCs/>
          <w:color w:val="auto"/>
          <w:sz w:val="24"/>
          <w:highlight w:val="none"/>
          <w:u w:val="single"/>
        </w:rPr>
        <w:t>。</w:t>
      </w:r>
    </w:p>
    <w:p w14:paraId="32A0E15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采购人和采购代理机构有权按本须知的规定，延迟响应截止时间。在此情况下，采购人、采购代理机构和供应商受响应截止时间制约的所有权利和义务均应延长至新的截止时间。</w:t>
      </w:r>
    </w:p>
    <w:p w14:paraId="342E66E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   采购人和采购代理机构将拒绝接收在响应截止时间后上传的响应文件。</w:t>
      </w:r>
    </w:p>
    <w:p w14:paraId="129DD644">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rPr>
        <w:t>17.响应文件的接收、修改与撤回</w:t>
      </w:r>
      <w:bookmarkEnd w:id="126"/>
      <w:bookmarkEnd w:id="127"/>
      <w:bookmarkEnd w:id="128"/>
      <w:bookmarkEnd w:id="129"/>
      <w:bookmarkEnd w:id="130"/>
    </w:p>
    <w:p w14:paraId="4AB9777E">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在响应截止时间后上传响应文件的，采购人和采购代理机构将拒绝接收。</w:t>
      </w:r>
    </w:p>
    <w:p w14:paraId="68245C8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采购人或者采购代理机构收到响应文件后，应当如实记载响应文件的送达时间和</w:t>
      </w:r>
      <w:r>
        <w:rPr>
          <w:rFonts w:hint="eastAsia" w:ascii="微软雅黑" w:hAnsi="微软雅黑" w:eastAsia="微软雅黑" w:cs="微软雅黑"/>
          <w:color w:val="auto"/>
          <w:sz w:val="24"/>
          <w:highlight w:val="none"/>
          <w:lang w:eastAsia="zh-CN"/>
        </w:rPr>
        <w:t>加密</w:t>
      </w:r>
      <w:r>
        <w:rPr>
          <w:rFonts w:hint="eastAsia" w:ascii="微软雅黑" w:hAnsi="微软雅黑" w:eastAsia="微软雅黑" w:cs="微软雅黑"/>
          <w:color w:val="auto"/>
          <w:sz w:val="24"/>
          <w:highlight w:val="none"/>
        </w:rPr>
        <w:t>情况。</w:t>
      </w:r>
    </w:p>
    <w:p w14:paraId="73DFC8CD">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递交响应文件以后，如果供应商要进行修改或撤回投标，须提出书面申请并在响应截止时间前上传至新疆政采云平台https://www.zcygov.cn，供应商对响应文件的修改或撤回通知应按本须知规定编制、</w:t>
      </w:r>
      <w:r>
        <w:rPr>
          <w:rFonts w:hint="eastAsia" w:ascii="微软雅黑" w:hAnsi="微软雅黑" w:eastAsia="微软雅黑" w:cs="微软雅黑"/>
          <w:color w:val="auto"/>
          <w:sz w:val="24"/>
          <w:highlight w:val="none"/>
          <w:lang w:eastAsia="zh-CN"/>
        </w:rPr>
        <w:t>加密</w:t>
      </w:r>
      <w:r>
        <w:rPr>
          <w:rFonts w:hint="eastAsia" w:ascii="微软雅黑" w:hAnsi="微软雅黑" w:eastAsia="微软雅黑" w:cs="微软雅黑"/>
          <w:color w:val="auto"/>
          <w:sz w:val="24"/>
          <w:highlight w:val="none"/>
        </w:rPr>
        <w:t>、标记。采购人和采购代理机构将予以接收，并视为响应文件的组成部分。</w:t>
      </w:r>
    </w:p>
    <w:p w14:paraId="04186FF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在响应截止期之后，采购人和采购代理机构不接受供应商主动对其响应文件做任何修改。</w:t>
      </w:r>
    </w:p>
    <w:p w14:paraId="564BE56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采购人和采购代理机构对所接收响应文件概不退回。</w:t>
      </w:r>
    </w:p>
    <w:p w14:paraId="05FC06BD">
      <w:pPr>
        <w:pageBreakBefore w:val="0"/>
        <w:kinsoku/>
        <w:overflowPunct/>
        <w:bidi w:val="0"/>
        <w:snapToGrid w:val="0"/>
        <w:spacing w:line="312" w:lineRule="auto"/>
        <w:ind w:left="900" w:hanging="1200" w:hangingChars="375"/>
        <w:jc w:val="center"/>
        <w:rPr>
          <w:rFonts w:hint="eastAsia" w:ascii="微软雅黑" w:hAnsi="微软雅黑" w:eastAsia="微软雅黑" w:cs="微软雅黑"/>
          <w:b/>
          <w:color w:val="auto"/>
          <w:kern w:val="0"/>
          <w:sz w:val="32"/>
          <w:szCs w:val="21"/>
          <w:highlight w:val="none"/>
          <w:lang w:val="en-US" w:eastAsia="zh-CN" w:bidi="ar-SA"/>
        </w:rPr>
      </w:pPr>
      <w:r>
        <w:rPr>
          <w:rFonts w:hint="eastAsia" w:ascii="微软雅黑" w:hAnsi="微软雅黑" w:eastAsia="微软雅黑" w:cs="微软雅黑"/>
          <w:b/>
          <w:color w:val="auto"/>
          <w:kern w:val="0"/>
          <w:sz w:val="32"/>
          <w:szCs w:val="21"/>
          <w:highlight w:val="none"/>
          <w:lang w:val="en-US" w:eastAsia="zh-CN" w:bidi="ar-SA"/>
        </w:rPr>
        <w:t>五、磋商开启及</w:t>
      </w:r>
      <w:bookmarkEnd w:id="3"/>
      <w:bookmarkEnd w:id="4"/>
      <w:bookmarkEnd w:id="5"/>
      <w:bookmarkEnd w:id="6"/>
      <w:r>
        <w:rPr>
          <w:rFonts w:hint="eastAsia" w:ascii="微软雅黑" w:hAnsi="微软雅黑" w:eastAsia="微软雅黑" w:cs="微软雅黑"/>
          <w:b/>
          <w:color w:val="auto"/>
          <w:kern w:val="0"/>
          <w:sz w:val="32"/>
          <w:szCs w:val="21"/>
          <w:highlight w:val="none"/>
          <w:lang w:val="en-US" w:eastAsia="zh-CN" w:bidi="ar-SA"/>
        </w:rPr>
        <w:t>评审</w:t>
      </w:r>
      <w:bookmarkEnd w:id="7"/>
      <w:bookmarkEnd w:id="8"/>
    </w:p>
    <w:p w14:paraId="1F3E4A19">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31" w:name="_Toc520356164"/>
      <w:bookmarkStart w:id="132" w:name="_Toc518923083"/>
      <w:bookmarkStart w:id="133" w:name="_Toc8653"/>
      <w:bookmarkStart w:id="134" w:name="_Toc32308_WPSOffice_Level2"/>
      <w:bookmarkStart w:id="135" w:name="_Toc13011_WPSOffice_Level2"/>
      <w:r>
        <w:rPr>
          <w:rFonts w:hint="eastAsia" w:ascii="微软雅黑" w:hAnsi="微软雅黑" w:eastAsia="微软雅黑" w:cs="微软雅黑"/>
          <w:b/>
          <w:bCs/>
          <w:color w:val="auto"/>
          <w:highlight w:val="none"/>
          <w:u w:val="none"/>
        </w:rPr>
        <w:t>18.</w:t>
      </w:r>
      <w:bookmarkEnd w:id="131"/>
      <w:bookmarkEnd w:id="132"/>
      <w:bookmarkEnd w:id="133"/>
      <w:r>
        <w:rPr>
          <w:rFonts w:hint="eastAsia" w:ascii="微软雅黑" w:hAnsi="微软雅黑" w:eastAsia="微软雅黑" w:cs="微软雅黑"/>
          <w:b/>
          <w:bCs/>
          <w:color w:val="auto"/>
          <w:highlight w:val="none"/>
          <w:u w:val="none"/>
        </w:rPr>
        <w:t>磋商开启</w:t>
      </w:r>
      <w:bookmarkEnd w:id="134"/>
      <w:bookmarkEnd w:id="135"/>
    </w:p>
    <w:p w14:paraId="6F20FE0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采购人和采购代理机构将按</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中规定的磋商开启时间和地点组织公开磋商开启并邀请所有供应商代表参加。</w:t>
      </w:r>
    </w:p>
    <w:p w14:paraId="3BD785D2">
      <w:pPr>
        <w:pageBreakBefore w:val="0"/>
        <w:kinsoku/>
        <w:overflowPunct/>
        <w:bidi w:val="0"/>
        <w:snapToGrid w:val="0"/>
        <w:spacing w:line="312" w:lineRule="auto"/>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供应商不足3家的，不得磋商开启。</w:t>
      </w:r>
    </w:p>
    <w:p w14:paraId="6CB1EF06">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18.2    </w:t>
      </w:r>
      <w:r>
        <w:rPr>
          <w:rFonts w:hint="eastAsia" w:ascii="微软雅黑" w:hAnsi="微软雅黑" w:eastAsia="微软雅黑" w:cs="微软雅黑"/>
          <w:b/>
          <w:bCs/>
          <w:color w:val="auto"/>
          <w:sz w:val="24"/>
          <w:highlight w:val="none"/>
          <w:u w:val="single"/>
        </w:rPr>
        <w:t>本项目实行电子响应文件，电子响应文件的有关要求按供应商须知资料表要求，供应商应该使用供应商CA锁对电子响应文件加密，否则，其响应文件将被拒绝评审。开标时，供应商必须使用加密该文件的CA锁，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14:paraId="64AB9EC6">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18.3    </w:t>
      </w:r>
      <w:bookmarkStart w:id="136" w:name="_Toc520356165"/>
      <w:r>
        <w:rPr>
          <w:rFonts w:hint="eastAsia" w:ascii="微软雅黑" w:hAnsi="微软雅黑" w:eastAsia="微软雅黑" w:cs="微软雅黑"/>
          <w:b/>
          <w:bCs/>
          <w:color w:val="auto"/>
          <w:sz w:val="24"/>
          <w:highlight w:val="none"/>
          <w:u w:val="single"/>
        </w:rPr>
        <w:t>供应商在规定时间内对响应文件进行解密，时长为 30 分钟。</w:t>
      </w:r>
    </w:p>
    <w:p w14:paraId="53FD155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 xml:space="preserve">18.4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b/>
          <w:bCs/>
          <w:color w:val="auto"/>
          <w:sz w:val="24"/>
          <w:highlight w:val="none"/>
          <w:u w:val="single"/>
          <w:lang w:val="en-US" w:eastAsia="zh-CN"/>
        </w:rPr>
        <w:t>由采购代理机构开启开标记录，须供应商在政采云平台对报价进行签章确认。</w:t>
      </w:r>
    </w:p>
    <w:p w14:paraId="7B03CE94">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18.5    </w:t>
      </w:r>
      <w:r>
        <w:rPr>
          <w:rFonts w:hint="eastAsia" w:ascii="微软雅黑" w:hAnsi="微软雅黑" w:eastAsia="微软雅黑" w:cs="微软雅黑"/>
          <w:color w:val="auto"/>
          <w:sz w:val="24"/>
          <w:highlight w:val="none"/>
        </w:rPr>
        <w:t>供应商代表对磋商开启过程和磋商开启记录有疑义，以及认为采购人、采购代理机构相关工作人员有需要回避的情形的，应当场提出询问或者回避申请。</w:t>
      </w:r>
    </w:p>
    <w:p w14:paraId="340D5246">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37" w:name="_Toc21320_WPSOffice_Level2"/>
      <w:bookmarkStart w:id="138" w:name="_Toc518923084"/>
      <w:bookmarkStart w:id="139" w:name="_Toc4350_WPSOffice_Level2"/>
      <w:bookmarkStart w:id="140" w:name="_Toc34"/>
      <w:r>
        <w:rPr>
          <w:rFonts w:hint="eastAsia" w:ascii="微软雅黑" w:hAnsi="微软雅黑" w:eastAsia="微软雅黑" w:cs="微软雅黑"/>
          <w:b/>
          <w:bCs/>
          <w:color w:val="auto"/>
          <w:highlight w:val="none"/>
          <w:u w:val="none"/>
        </w:rPr>
        <w:t>19</w:t>
      </w:r>
      <w:bookmarkEnd w:id="136"/>
      <w:r>
        <w:rPr>
          <w:rFonts w:hint="eastAsia" w:ascii="微软雅黑" w:hAnsi="微软雅黑" w:eastAsia="微软雅黑" w:cs="微软雅黑"/>
          <w:b/>
          <w:bCs/>
          <w:color w:val="auto"/>
          <w:highlight w:val="none"/>
          <w:u w:val="none"/>
        </w:rPr>
        <w:t>.资格审查及组建评审委员会</w:t>
      </w:r>
      <w:bookmarkEnd w:id="137"/>
      <w:bookmarkEnd w:id="138"/>
      <w:bookmarkEnd w:id="139"/>
      <w:bookmarkEnd w:id="140"/>
    </w:p>
    <w:p w14:paraId="527E8E4A">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19.1    采购人依据法律法规和</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中规定的内容，对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的资格进行审查。未按要求提供资格审查资料的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或其中一项未通过的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，将视为资格审查不合格，未能通过资格审查的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不进入下一阶段的详细评审，将被认定为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14:paraId="3ABA329F">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19.2    </w:t>
      </w:r>
      <w:r>
        <w:rPr>
          <w:rFonts w:hint="eastAsia" w:ascii="微软雅黑" w:hAnsi="微软雅黑" w:eastAsia="微软雅黑" w:cs="微软雅黑"/>
          <w:color w:val="auto"/>
          <w:sz w:val="24"/>
          <w:highlight w:val="none"/>
        </w:rPr>
        <w:t>采购人在</w:t>
      </w:r>
      <w:r>
        <w:rPr>
          <w:rFonts w:hint="eastAsia" w:ascii="微软雅黑" w:hAnsi="微软雅黑" w:eastAsia="微软雅黑" w:cs="微软雅黑"/>
          <w:color w:val="auto"/>
          <w:sz w:val="24"/>
          <w:highlight w:val="none"/>
          <w:lang w:eastAsia="zh-CN"/>
        </w:rPr>
        <w:t>资格审查</w:t>
      </w:r>
      <w:r>
        <w:rPr>
          <w:rFonts w:hint="eastAsia" w:ascii="微软雅黑" w:hAnsi="微软雅黑" w:eastAsia="微软雅黑" w:cs="微软雅黑"/>
          <w:color w:val="auto"/>
          <w:sz w:val="24"/>
          <w:highlight w:val="none"/>
        </w:rPr>
        <w:t>期间查询供应商的信用记录。供应商存在不良信用记录的，其磋商将被认定为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14:paraId="544D758E">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19.2.1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b/>
          <w:bCs/>
          <w:color w:val="auto"/>
          <w:sz w:val="24"/>
          <w:highlight w:val="none"/>
        </w:rPr>
        <w:t>不良信用记录指：</w:t>
      </w:r>
      <w:r>
        <w:rPr>
          <w:rFonts w:hint="eastAsia" w:ascii="微软雅黑" w:hAnsi="微软雅黑" w:eastAsia="微软雅黑" w:cs="微软雅黑"/>
          <w:color w:val="auto"/>
          <w:sz w:val="24"/>
          <w:highlight w:val="none"/>
        </w:rPr>
        <w:t>供应商参加采购活动前三年内，被“信用中国”网站列入失信被执行人和重大税收违法失信主体的、被“中国政府采购网”网站列入政府采购严重违法失信行为记录名单（处罚期限尚未届满的）的供应商；以及存在《中华人民共和国政府采购法实施条例》第十九条规定的行政处罚记录。</w:t>
      </w:r>
    </w:p>
    <w:p w14:paraId="60942AC3">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        以联合体形式参加磋商的，联合体任何成员存在以上不良信用记录的，联合体磋商将被认定为</w:t>
      </w:r>
      <w:r>
        <w:rPr>
          <w:rFonts w:hint="eastAsia" w:ascii="微软雅黑" w:hAnsi="微软雅黑" w:eastAsia="微软雅黑" w:cs="微软雅黑"/>
          <w:b/>
          <w:bCs/>
          <w:color w:val="auto"/>
          <w:sz w:val="24"/>
          <w:highlight w:val="none"/>
          <w:lang w:val="en-US" w:eastAsia="zh-CN"/>
        </w:rPr>
        <w:t>磋商无效</w:t>
      </w:r>
      <w:r>
        <w:rPr>
          <w:rFonts w:hint="eastAsia" w:ascii="微软雅黑" w:hAnsi="微软雅黑" w:eastAsia="微软雅黑" w:cs="微软雅黑"/>
          <w:color w:val="auto"/>
          <w:sz w:val="24"/>
          <w:highlight w:val="none"/>
          <w:lang w:val="en-US" w:eastAsia="zh-CN"/>
        </w:rPr>
        <w:t>。</w:t>
      </w:r>
    </w:p>
    <w:p w14:paraId="602422A5">
      <w:pPr>
        <w:pageBreakBefore w:val="0"/>
        <w:kinsoku/>
        <w:overflowPunct/>
        <w:bidi w:val="0"/>
        <w:snapToGrid w:val="0"/>
        <w:spacing w:line="312"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19.3  </w:t>
      </w:r>
      <w:r>
        <w:rPr>
          <w:rFonts w:hint="eastAsia" w:ascii="微软雅黑" w:hAnsi="微软雅黑" w:eastAsia="微软雅黑" w:cs="微软雅黑"/>
          <w:color w:val="auto"/>
          <w:sz w:val="24"/>
          <w:highlight w:val="none"/>
          <w:lang w:val="en-US" w:eastAsia="zh-CN"/>
        </w:rPr>
        <w:t xml:space="preserve"> </w:t>
      </w:r>
      <w:bookmarkStart w:id="141" w:name="_Toc520356166"/>
      <w:r>
        <w:rPr>
          <w:rFonts w:hint="eastAsia" w:ascii="微软雅黑" w:hAnsi="微软雅黑" w:eastAsia="微软雅黑" w:cs="微软雅黑"/>
          <w:color w:val="auto"/>
          <w:sz w:val="24"/>
          <w:highlight w:val="none"/>
          <w:lang w:val="en-US" w:eastAsia="zh-CN"/>
        </w:rPr>
        <w:t>按照《中华人民共和国政府采购法》、《中华人民共和国政府采购法实施条例》及本项目本级和上级财政部门的有关规定依法组建的评审委员会，负责本项目评审工作。本项目磋商小组由3人组成（政采云专家库随机抽取专家3名）。</w:t>
      </w:r>
    </w:p>
    <w:p w14:paraId="2B63F4D6">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bdr w:val="single" w:color="auto" w:sz="4" w:space="0"/>
        </w:rPr>
      </w:pPr>
      <w:bookmarkStart w:id="142" w:name="_Toc6842"/>
      <w:bookmarkStart w:id="143" w:name="_Toc17843_WPSOffice_Level2"/>
      <w:bookmarkStart w:id="144" w:name="_Toc31689_WPSOffice_Level2"/>
      <w:bookmarkStart w:id="145" w:name="_Toc518923085"/>
      <w:r>
        <w:rPr>
          <w:rFonts w:hint="eastAsia" w:ascii="微软雅黑" w:hAnsi="微软雅黑" w:eastAsia="微软雅黑" w:cs="微软雅黑"/>
          <w:b/>
          <w:bCs/>
          <w:color w:val="auto"/>
          <w:highlight w:val="none"/>
          <w:u w:val="none"/>
        </w:rPr>
        <w:t>20.响应文件的</w:t>
      </w:r>
      <w:bookmarkEnd w:id="141"/>
      <w:r>
        <w:rPr>
          <w:rFonts w:hint="eastAsia" w:ascii="微软雅黑" w:hAnsi="微软雅黑" w:eastAsia="微软雅黑" w:cs="微软雅黑"/>
          <w:b/>
          <w:bCs/>
          <w:color w:val="auto"/>
          <w:highlight w:val="none"/>
          <w:u w:val="none"/>
        </w:rPr>
        <w:t>符合性审查与澄清</w:t>
      </w:r>
      <w:bookmarkEnd w:id="142"/>
      <w:bookmarkEnd w:id="143"/>
      <w:bookmarkEnd w:id="144"/>
      <w:bookmarkEnd w:id="145"/>
    </w:p>
    <w:p w14:paraId="127847F0">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14:paraId="0FD5889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响应文件的澄清</w:t>
      </w:r>
    </w:p>
    <w:p w14:paraId="5C99F75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14:paraId="3BDBF83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20.2.2  供应商的澄清、说明或补正将作为响应文件的一部分。</w:t>
      </w:r>
    </w:p>
    <w:p w14:paraId="21566F6F">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   响应文件报价出现前后不一致的，按照下列规定修正：</w:t>
      </w:r>
    </w:p>
    <w:p w14:paraId="5A0FEE4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（一）响应文件中报价一览表（报价表）内容与响应文件中相应内容不一致的，以报价一览表（报价表）为准；</w:t>
      </w:r>
    </w:p>
    <w:p w14:paraId="3EE8639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（二）大写金额和小写金额不一致的，以大写金额为准；</w:t>
      </w:r>
    </w:p>
    <w:p w14:paraId="1A1D026C">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（三）单价金额小数点或者百分比有明显错位的，以报价一览表的总价为准，并修改单价；</w:t>
      </w:r>
    </w:p>
    <w:p w14:paraId="67C7E45A">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（四）总价金额与按单价汇总金额不一致的，以单价金额计算结果为准。</w:t>
      </w:r>
    </w:p>
    <w:p w14:paraId="38FE5F7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同时出现两种以上不一致的，按照前款规定的顺序修正。修正后的报价按照第20.2条的规定经供应商确认后产生约束力，供应商不确认的，将被认定为响应无效。</w:t>
      </w:r>
    </w:p>
    <w:p w14:paraId="2798EF0A">
      <w:pPr>
        <w:pageBreakBefore w:val="0"/>
        <w:kinsoku/>
        <w:overflowPunct/>
        <w:bidi w:val="0"/>
        <w:snapToGrid w:val="0"/>
        <w:spacing w:line="312" w:lineRule="auto"/>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对不同文字文本响应文件的解释发生异议的，以中文文本为准。</w:t>
      </w:r>
    </w:p>
    <w:p w14:paraId="57043496">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48" w:name="_Toc8603"/>
      <w:bookmarkStart w:id="149" w:name="_Toc6346_WPSOffice_Level2"/>
      <w:bookmarkStart w:id="150" w:name="_Toc518923086"/>
      <w:bookmarkStart w:id="151" w:name="_Toc26452_WPSOffice_Level2"/>
      <w:r>
        <w:rPr>
          <w:rFonts w:hint="eastAsia" w:ascii="微软雅黑" w:hAnsi="微软雅黑" w:eastAsia="微软雅黑" w:cs="微软雅黑"/>
          <w:b/>
          <w:bCs/>
          <w:color w:val="auto"/>
          <w:highlight w:val="none"/>
          <w:u w:val="none"/>
        </w:rPr>
        <w:t>21.响应偏离</w:t>
      </w:r>
      <w:bookmarkEnd w:id="148"/>
      <w:bookmarkEnd w:id="149"/>
      <w:bookmarkEnd w:id="150"/>
      <w:bookmarkEnd w:id="151"/>
    </w:p>
    <w:p w14:paraId="497FF75C">
      <w:pPr>
        <w:pStyle w:val="5"/>
        <w:pageBreakBefore w:val="0"/>
        <w:kinsoku/>
        <w:overflowPunct/>
        <w:bidi w:val="0"/>
        <w:snapToGrid w:val="0"/>
        <w:spacing w:before="0" w:after="0" w:line="312" w:lineRule="auto"/>
        <w:ind w:firstLine="960" w:firstLineChars="400"/>
        <w:rPr>
          <w:rFonts w:hint="eastAsia" w:ascii="微软雅黑" w:hAnsi="微软雅黑" w:eastAsia="微软雅黑" w:cs="微软雅黑"/>
          <w:color w:val="auto"/>
          <w:sz w:val="24"/>
          <w:highlight w:val="none"/>
          <w:u w:val="none"/>
        </w:rPr>
      </w:pPr>
      <w:bookmarkStart w:id="152" w:name="_Toc11645_WPSOffice_Level2"/>
      <w:bookmarkStart w:id="153" w:name="_Toc25236_WPSOffice_Level2"/>
      <w:bookmarkStart w:id="154" w:name="_Toc518923087"/>
      <w:bookmarkStart w:id="155" w:name="_Toc25255"/>
      <w:r>
        <w:rPr>
          <w:rFonts w:hint="eastAsia" w:ascii="微软雅黑" w:hAnsi="微软雅黑" w:eastAsia="微软雅黑" w:cs="微软雅黑"/>
          <w:color w:val="auto"/>
          <w:sz w:val="24"/>
          <w:highlight w:val="none"/>
          <w:u w:val="none"/>
        </w:rPr>
        <w:t>磋商小组可以接受响应文件中不构成实质性偏离的不正规或不一致。</w:t>
      </w:r>
    </w:p>
    <w:p w14:paraId="0B4096A0">
      <w:pPr>
        <w:pStyle w:val="5"/>
        <w:pageBreakBefore w:val="0"/>
        <w:kinsoku/>
        <w:overflowPunct/>
        <w:bidi w:val="0"/>
        <w:snapToGrid w:val="0"/>
        <w:spacing w:before="0" w:after="0" w:line="312" w:lineRule="auto"/>
        <w:rPr>
          <w:rFonts w:hint="eastAsia"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22.</w:t>
      </w:r>
      <w:r>
        <w:rPr>
          <w:rFonts w:hint="eastAsia" w:ascii="微软雅黑" w:hAnsi="微软雅黑" w:eastAsia="微软雅黑" w:cs="微软雅黑"/>
          <w:b/>
          <w:bCs/>
          <w:color w:val="auto"/>
          <w:highlight w:val="none"/>
          <w:u w:val="none"/>
        </w:rPr>
        <w:t>响应无效</w:t>
      </w:r>
      <w:bookmarkEnd w:id="152"/>
      <w:bookmarkEnd w:id="153"/>
      <w:bookmarkEnd w:id="154"/>
      <w:bookmarkEnd w:id="155"/>
    </w:p>
    <w:p w14:paraId="1A1A3818">
      <w:pPr>
        <w:pageBreakBefore w:val="0"/>
        <w:kinsoku/>
        <w:overflowPunct/>
        <w:bidi w:val="0"/>
        <w:snapToGrid w:val="0"/>
        <w:spacing w:line="312" w:lineRule="auto"/>
        <w:ind w:left="852" w:leftChars="-23"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w:t>
      </w:r>
      <w:r>
        <w:rPr>
          <w:rFonts w:hint="eastAsia" w:ascii="微软雅黑" w:hAnsi="微软雅黑" w:eastAsia="微软雅黑" w:cs="微软雅黑"/>
          <w:b/>
          <w:color w:val="auto"/>
          <w:sz w:val="24"/>
          <w:highlight w:val="none"/>
          <w:lang w:eastAsia="zh-CN"/>
        </w:rPr>
        <w:t>磋商无效</w:t>
      </w:r>
      <w:r>
        <w:rPr>
          <w:rFonts w:hint="eastAsia" w:ascii="微软雅黑" w:hAnsi="微软雅黑" w:eastAsia="微软雅黑" w:cs="微软雅黑"/>
          <w:color w:val="auto"/>
          <w:sz w:val="24"/>
          <w:highlight w:val="none"/>
        </w:rPr>
        <w:t>。供应商不得通过修正或撤销不符合要求的偏离从而使其响应文件成为实质上响应</w:t>
      </w:r>
      <w:r>
        <w:rPr>
          <w:rFonts w:hint="eastAsia" w:ascii="微软雅黑" w:hAnsi="微软雅黑" w:eastAsia="微软雅黑" w:cs="微软雅黑"/>
          <w:color w:val="auto"/>
          <w:sz w:val="24"/>
          <w:highlight w:val="none"/>
          <w:lang w:eastAsia="zh-CN"/>
        </w:rPr>
        <w:t>的磋商</w:t>
      </w:r>
      <w:r>
        <w:rPr>
          <w:rFonts w:hint="eastAsia" w:ascii="微软雅黑" w:hAnsi="微软雅黑" w:eastAsia="微软雅黑" w:cs="微软雅黑"/>
          <w:color w:val="auto"/>
          <w:sz w:val="24"/>
          <w:highlight w:val="none"/>
        </w:rPr>
        <w:t>。</w:t>
      </w:r>
    </w:p>
    <w:p w14:paraId="30AF94A2">
      <w:pPr>
        <w:pageBreakBefore w:val="0"/>
        <w:kinsoku/>
        <w:overflowPunct/>
        <w:bidi w:val="0"/>
        <w:snapToGrid w:val="0"/>
        <w:spacing w:line="312" w:lineRule="auto"/>
        <w:ind w:left="791" w:leftChars="37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磋商小组决定磋商的响应性只根据磋商文件要求、响应文件内容及财政主管部门指定相关信息发布媒体。</w:t>
      </w:r>
    </w:p>
    <w:p w14:paraId="50B22C96">
      <w:pPr>
        <w:pageBreakBefore w:val="0"/>
        <w:kinsoku/>
        <w:overflowPunct/>
        <w:bidi w:val="0"/>
        <w:snapToGrid w:val="0"/>
        <w:spacing w:line="312" w:lineRule="auto"/>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如发现下列情况之一的，其磋商将被认定为</w:t>
      </w:r>
      <w:r>
        <w:rPr>
          <w:rFonts w:hint="eastAsia" w:ascii="微软雅黑" w:hAnsi="微软雅黑" w:eastAsia="微软雅黑" w:cs="微软雅黑"/>
          <w:b/>
          <w:bCs/>
          <w:color w:val="auto"/>
          <w:sz w:val="24"/>
          <w:highlight w:val="none"/>
        </w:rPr>
        <w:t>无效</w:t>
      </w:r>
      <w:r>
        <w:rPr>
          <w:rFonts w:hint="eastAsia" w:ascii="微软雅黑" w:hAnsi="微软雅黑" w:eastAsia="微软雅黑" w:cs="微软雅黑"/>
          <w:color w:val="auto"/>
          <w:sz w:val="24"/>
          <w:highlight w:val="none"/>
        </w:rPr>
        <w:t>：（</w:t>
      </w:r>
      <w:r>
        <w:rPr>
          <w:rFonts w:hint="eastAsia" w:ascii="微软雅黑" w:hAnsi="微软雅黑" w:eastAsia="微软雅黑" w:cs="微软雅黑"/>
          <w:b/>
          <w:color w:val="auto"/>
          <w:sz w:val="24"/>
          <w:highlight w:val="none"/>
        </w:rPr>
        <w:t>以下情形应当在磋商文件中规定，并以醒目的方式标明</w:t>
      </w:r>
      <w:r>
        <w:rPr>
          <w:rFonts w:hint="eastAsia" w:ascii="微软雅黑" w:hAnsi="微软雅黑" w:eastAsia="微软雅黑" w:cs="微软雅黑"/>
          <w:color w:val="auto"/>
          <w:sz w:val="24"/>
          <w:highlight w:val="none"/>
        </w:rPr>
        <w:t>）</w:t>
      </w:r>
    </w:p>
    <w:p w14:paraId="4CBDF2E5">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未按磋商文件规定的形式和金额提交磋商保证金的；</w:t>
      </w:r>
    </w:p>
    <w:p w14:paraId="377579B5">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未按照磋商文件规定要求签署、盖章的；</w:t>
      </w:r>
    </w:p>
    <w:p w14:paraId="03BA5774">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未满足磋商文件中技术条款的实质性要求；</w:t>
      </w:r>
    </w:p>
    <w:p w14:paraId="7EBDBB96">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与其他供应商串通参加磋商，或者与采购人串通参加磋商；</w:t>
      </w:r>
    </w:p>
    <w:p w14:paraId="24A1A502">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属于磋商文件规定的其他响应无效情形；</w:t>
      </w:r>
    </w:p>
    <w:p w14:paraId="105A9F49">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评审委员会认为供应商的报价明显低于其他通过符合性检查供</w:t>
      </w:r>
    </w:p>
    <w:p w14:paraId="2E1F2F95">
      <w:pPr>
        <w:pageBreakBefore w:val="0"/>
        <w:kinsoku/>
        <w:overflowPunct/>
        <w:bidi w:val="0"/>
        <w:snapToGrid w:val="0"/>
        <w:spacing w:line="312" w:lineRule="auto"/>
        <w:ind w:left="957" w:leftChars="456"/>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应商的报价，有可能影响履约的，且供应商未按照规定证明其报价合理性的；</w:t>
      </w:r>
    </w:p>
    <w:p w14:paraId="44358A2F">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响应文件含有采购人不能接受的附加条件的；</w:t>
      </w:r>
    </w:p>
    <w:p w14:paraId="767E1716">
      <w:pPr>
        <w:pageBreakBefore w:val="0"/>
        <w:numPr>
          <w:ilvl w:val="0"/>
          <w:numId w:val="4"/>
        </w:numPr>
        <w:tabs>
          <w:tab w:val="left" w:pos="0"/>
        </w:tabs>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不符合法规和磋商文件中规定的其他实质性要求的。</w:t>
      </w:r>
    </w:p>
    <w:p w14:paraId="01E82D91">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lang w:val="en-US" w:eastAsia="zh-CN"/>
        </w:rPr>
      </w:pPr>
      <w:bookmarkStart w:id="156" w:name="_Toc22743_WPSOffice_Level2"/>
      <w:bookmarkStart w:id="157" w:name="_Toc20835"/>
      <w:bookmarkStart w:id="158" w:name="_Toc518923088"/>
      <w:bookmarkStart w:id="159" w:name="_Toc14330_WPSOffice_Level2"/>
      <w:r>
        <w:rPr>
          <w:rFonts w:hint="eastAsia" w:ascii="微软雅黑" w:hAnsi="微软雅黑" w:eastAsia="微软雅黑" w:cs="微软雅黑"/>
          <w:b/>
          <w:bCs/>
          <w:color w:val="auto"/>
          <w:sz w:val="24"/>
          <w:highlight w:val="none"/>
          <w:lang w:val="en-US" w:eastAsia="zh-CN"/>
        </w:rPr>
        <w:t xml:space="preserve">22.3   </w:t>
      </w:r>
      <w:r>
        <w:rPr>
          <w:rFonts w:hint="eastAsia" w:ascii="微软雅黑" w:hAnsi="微软雅黑" w:eastAsia="微软雅黑" w:cs="微软雅黑"/>
          <w:color w:val="auto"/>
          <w:sz w:val="24"/>
          <w:highlight w:val="none"/>
          <w:lang w:val="en-US" w:eastAsia="zh-CN"/>
        </w:rPr>
        <w:t>有下列情形之一的，属于恶意串通，对供应商依照政府采购法第七十七条第一款的规定追究法律责任，对采购人、采购代理机构及其工作人员依照政府采购法第七十二条的规定追究法律责任：</w:t>
      </w:r>
    </w:p>
    <w:p w14:paraId="6B5EED6F">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（1）供应商直接或者间接从采购人或者采购代理机构处获得其他供应商的相关情况并修改其响应文件或者响应文件；</w:t>
      </w:r>
    </w:p>
    <w:p w14:paraId="3571173B">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（2）供应商按照采购人或者采购代理机构的授意撤换、修改响应文件或者响应文件；</w:t>
      </w:r>
    </w:p>
    <w:p w14:paraId="49F7BB63">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（3）供应商之间协商报价、技术方案等响应文件或者响应文件的实质性内容；</w:t>
      </w:r>
    </w:p>
    <w:p w14:paraId="7FCB5CD3">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（4）属于同一集团、协会、商会等组织成员的供应商按照该组织要求协同参加政府采购活动；</w:t>
      </w:r>
    </w:p>
    <w:p w14:paraId="5C67A851">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（5）供应商之间事先约定由某一特定供应商中标、成交；</w:t>
      </w:r>
    </w:p>
    <w:p w14:paraId="2C72B210">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（6）供应商之间商定部分供应商放弃参加政府采购活动或者放弃中标、成交；</w:t>
      </w:r>
    </w:p>
    <w:p w14:paraId="47F96160">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（7）供应商与采购人或者采购代理机构之间、供应商相互之间，为谋求特定供应商中标、成交或者排斥其他供应商的其他串通行为。</w:t>
      </w:r>
    </w:p>
    <w:p w14:paraId="3752DE8D">
      <w:pPr>
        <w:pageBreakBefore w:val="0"/>
        <w:kinsoku/>
        <w:overflowPunct/>
        <w:bidi w:val="0"/>
        <w:snapToGrid w:val="0"/>
        <w:spacing w:line="312" w:lineRule="auto"/>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23</w:t>
      </w:r>
      <w:bookmarkEnd w:id="147"/>
      <w:r>
        <w:rPr>
          <w:rFonts w:hint="eastAsia" w:ascii="微软雅黑" w:hAnsi="微软雅黑" w:eastAsia="微软雅黑" w:cs="微软雅黑"/>
          <w:b/>
          <w:bCs/>
          <w:color w:val="auto"/>
          <w:sz w:val="24"/>
          <w:highlight w:val="none"/>
        </w:rPr>
        <w:t>.比较与评价</w:t>
      </w:r>
      <w:bookmarkEnd w:id="156"/>
      <w:bookmarkEnd w:id="157"/>
      <w:bookmarkEnd w:id="158"/>
      <w:bookmarkEnd w:id="159"/>
    </w:p>
    <w:p w14:paraId="4608FD6A">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经符合性审查合格的响应文件，评审委员会将根据磋商文件确定的评审方法和标准，对其技术部分和商务部分作进一步的比较和评价。</w:t>
      </w:r>
    </w:p>
    <w:p w14:paraId="7B8ADFF6">
      <w:pPr>
        <w:pStyle w:val="54"/>
        <w:pageBreakBefore w:val="0"/>
        <w:kinsoku/>
        <w:overflowPunct/>
        <w:bidi w:val="0"/>
        <w:snapToGrid w:val="0"/>
        <w:spacing w:line="312" w:lineRule="auto"/>
        <w:ind w:left="960" w:hanging="960" w:hangingChars="4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b/>
          <w:bCs/>
          <w:color w:val="auto"/>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磋商小组采用综合评分法对提交最后报价的供应商的响应文件和最后报价进行综合评分。磋商小组应当从质量和服务均能满足采购文件实质性响应要求的供应商中，按照综合评分由</w:t>
      </w:r>
      <w:r>
        <w:rPr>
          <w:rFonts w:hint="eastAsia" w:ascii="微软雅黑" w:hAnsi="微软雅黑" w:eastAsia="微软雅黑" w:cs="微软雅黑"/>
          <w:b/>
          <w:bCs/>
          <w:color w:val="auto"/>
          <w:sz w:val="24"/>
          <w:highlight w:val="none"/>
          <w:u w:val="single"/>
          <w:lang w:eastAsia="zh-CN"/>
        </w:rPr>
        <w:t>高</w:t>
      </w:r>
      <w:r>
        <w:rPr>
          <w:rFonts w:hint="eastAsia" w:ascii="微软雅黑" w:hAnsi="微软雅黑" w:eastAsia="微软雅黑" w:cs="微软雅黑"/>
          <w:b/>
          <w:bCs/>
          <w:color w:val="auto"/>
          <w:sz w:val="24"/>
          <w:highlight w:val="none"/>
          <w:u w:val="single"/>
        </w:rPr>
        <w:t>到</w:t>
      </w:r>
      <w:r>
        <w:rPr>
          <w:rFonts w:hint="eastAsia" w:ascii="微软雅黑" w:hAnsi="微软雅黑" w:eastAsia="微软雅黑" w:cs="微软雅黑"/>
          <w:b/>
          <w:bCs/>
          <w:color w:val="auto"/>
          <w:sz w:val="24"/>
          <w:highlight w:val="none"/>
          <w:u w:val="single"/>
          <w:lang w:eastAsia="zh-CN"/>
        </w:rPr>
        <w:t>低</w:t>
      </w:r>
      <w:r>
        <w:rPr>
          <w:rFonts w:hint="eastAsia" w:ascii="微软雅黑" w:hAnsi="微软雅黑" w:eastAsia="微软雅黑" w:cs="微软雅黑"/>
          <w:b/>
          <w:bCs/>
          <w:color w:val="auto"/>
          <w:sz w:val="24"/>
          <w:highlight w:val="none"/>
          <w:u w:val="single"/>
        </w:rPr>
        <w:t>的顺序提出成交候选人，并编写评审报告，将结果通知所有参加磋商的未成交的供应商；</w:t>
      </w:r>
    </w:p>
    <w:p w14:paraId="4F5A7F80">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23.2  </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评审严格按照磋商文件的要求和条件进行。根据实际情况，在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中规定采用下列一种评审方法，详细评审标准见磋商文件</w:t>
      </w:r>
      <w:r>
        <w:rPr>
          <w:rFonts w:hint="eastAsia" w:ascii="微软雅黑" w:hAnsi="微软雅黑" w:eastAsia="微软雅黑" w:cs="微软雅黑"/>
          <w:b/>
          <w:bCs/>
          <w:color w:val="auto"/>
          <w:sz w:val="24"/>
          <w:highlight w:val="none"/>
        </w:rPr>
        <w:t>第六章</w:t>
      </w:r>
      <w:r>
        <w:rPr>
          <w:rFonts w:hint="eastAsia" w:ascii="微软雅黑" w:hAnsi="微软雅黑" w:eastAsia="微软雅黑" w:cs="微软雅黑"/>
          <w:color w:val="auto"/>
          <w:sz w:val="24"/>
          <w:highlight w:val="none"/>
        </w:rPr>
        <w:t>：</w:t>
      </w:r>
    </w:p>
    <w:p w14:paraId="7C1293CA">
      <w:pPr>
        <w:pStyle w:val="15"/>
        <w:pageBreakBefore w:val="0"/>
        <w:kinsoku/>
        <w:overflowPunct/>
        <w:bidi w:val="0"/>
        <w:snapToGrid w:val="0"/>
        <w:spacing w:line="312" w:lineRule="auto"/>
        <w:ind w:left="957" w:leftChars="456" w:firstLine="33" w:firstLineChars="1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综合评分法，是指响应文件满足磋商文件全部实质性要求，且按照评审因素的量化指标评审得分最高的供应商为成交候选人的评审方法。</w:t>
      </w:r>
    </w:p>
    <w:p w14:paraId="4C9AA04E">
      <w:pPr>
        <w:pStyle w:val="15"/>
        <w:pageBreakBefore w:val="0"/>
        <w:kinsoku/>
        <w:overflowPunct/>
        <w:bidi w:val="0"/>
        <w:snapToGrid w:val="0"/>
        <w:spacing w:line="312" w:lineRule="auto"/>
        <w:ind w:left="960" w:hanging="960" w:hangingChars="4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 xml:space="preserve">23.3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根据《政府采购促进中小企业发展管理办法》（财库[2020]46 号）、关于进一步加大政府采购支持中小企业力度的通知财库〔2022〕19号，《财政部 司法部关于政</w:t>
      </w:r>
      <w:r>
        <w:rPr>
          <w:rFonts w:hint="eastAsia" w:ascii="微软雅黑" w:hAnsi="微软雅黑" w:eastAsia="微软雅黑" w:cs="微软雅黑"/>
          <w:b/>
          <w:bCs/>
          <w:color w:val="auto"/>
          <w:sz w:val="24"/>
          <w:szCs w:val="24"/>
          <w:highlight w:val="none"/>
        </w:rPr>
        <w:t>府采购支持监狱企业发展有关问题的通知》（财库〔2014〕68 号）和《三部门联合发布关于促进残疾人就业政府采购政策的通知》（财库〔2017〕141 号）的规定，对满足价格扣除条件且在响应文件中提交了</w:t>
      </w:r>
      <w:r>
        <w:rPr>
          <w:rFonts w:hint="eastAsia" w:ascii="微软雅黑" w:hAnsi="微软雅黑" w:eastAsia="微软雅黑" w:cs="微软雅黑"/>
          <w:b/>
          <w:bCs/>
          <w:color w:val="auto"/>
          <w:sz w:val="24"/>
          <w:szCs w:val="24"/>
          <w:highlight w:val="none"/>
          <w:lang w:eastAsia="zh-CN"/>
        </w:rPr>
        <w:t>《中小企业声明函》</w:t>
      </w:r>
      <w:r>
        <w:rPr>
          <w:rFonts w:hint="eastAsia" w:ascii="微软雅黑" w:hAnsi="微软雅黑" w:eastAsia="微软雅黑" w:cs="微软雅黑"/>
          <w:b/>
          <w:bCs/>
          <w:color w:val="auto"/>
          <w:sz w:val="24"/>
          <w:szCs w:val="24"/>
          <w:highlight w:val="none"/>
        </w:rPr>
        <w:t>或省级以上监狱管理局、戒毒管理局（含新疆生产建设兵团）出具的属于监狱企业的证明文件的供应商，其磋商报价扣除</w:t>
      </w:r>
      <w:r>
        <w:rPr>
          <w:rFonts w:hint="eastAsia" w:ascii="微软雅黑" w:hAnsi="微软雅黑" w:eastAsia="微软雅黑" w:cs="微软雅黑"/>
          <w:b/>
          <w:bCs/>
          <w:color w:val="auto"/>
          <w:sz w:val="24"/>
          <w:szCs w:val="24"/>
          <w:highlight w:val="none"/>
          <w:u w:val="single"/>
          <w:lang w:val="en-US" w:eastAsia="zh-CN"/>
        </w:rPr>
        <w:t xml:space="preserve">  10-20%  </w:t>
      </w:r>
      <w:r>
        <w:rPr>
          <w:rFonts w:hint="eastAsia" w:ascii="微软雅黑" w:hAnsi="微软雅黑" w:eastAsia="微软雅黑" w:cs="微软雅黑"/>
          <w:b/>
          <w:bCs/>
          <w:color w:val="auto"/>
          <w:sz w:val="24"/>
          <w:szCs w:val="24"/>
          <w:highlight w:val="none"/>
        </w:rPr>
        <w:t>后参与评审。对于同时属于小微企业、监狱企业或残疾人福利性单位的，不重复进行投标报价扣除。具体办法详见磋商文件第 6 章。</w:t>
      </w:r>
    </w:p>
    <w:p w14:paraId="1404C783">
      <w:pPr>
        <w:pStyle w:val="5"/>
        <w:pageBreakBefore w:val="0"/>
        <w:kinsoku/>
        <w:overflowPunct/>
        <w:bidi w:val="0"/>
        <w:snapToGrid w:val="0"/>
        <w:spacing w:before="0" w:after="0" w:line="312" w:lineRule="auto"/>
        <w:rPr>
          <w:rFonts w:hint="eastAsia" w:ascii="微软雅黑" w:hAnsi="微软雅黑" w:eastAsia="微软雅黑" w:cs="微软雅黑"/>
          <w:b/>
          <w:bCs/>
          <w:color w:val="auto"/>
          <w:kern w:val="2"/>
          <w:szCs w:val="24"/>
          <w:highlight w:val="none"/>
          <w:u w:val="none"/>
        </w:rPr>
      </w:pPr>
      <w:bookmarkStart w:id="160" w:name="_Toc520356168"/>
      <w:bookmarkStart w:id="161" w:name="_Toc518923089"/>
      <w:bookmarkStart w:id="162" w:name="_Toc27560_WPSOffice_Level2"/>
      <w:bookmarkStart w:id="163" w:name="_Toc5823"/>
      <w:bookmarkStart w:id="164" w:name="_Toc21686_WPSOffice_Level2"/>
      <w:r>
        <w:rPr>
          <w:rFonts w:hint="eastAsia" w:ascii="微软雅黑" w:hAnsi="微软雅黑" w:eastAsia="微软雅黑" w:cs="微软雅黑"/>
          <w:b/>
          <w:bCs/>
          <w:color w:val="auto"/>
          <w:kern w:val="2"/>
          <w:szCs w:val="24"/>
          <w:highlight w:val="none"/>
          <w:u w:val="none"/>
        </w:rPr>
        <w:t>24</w:t>
      </w:r>
      <w:bookmarkEnd w:id="160"/>
      <w:r>
        <w:rPr>
          <w:rFonts w:hint="eastAsia" w:ascii="微软雅黑" w:hAnsi="微软雅黑" w:eastAsia="微软雅黑" w:cs="微软雅黑"/>
          <w:b/>
          <w:bCs/>
          <w:color w:val="auto"/>
          <w:kern w:val="2"/>
          <w:szCs w:val="24"/>
          <w:highlight w:val="none"/>
          <w:u w:val="none"/>
        </w:rPr>
        <w:t>.废标</w:t>
      </w:r>
      <w:bookmarkEnd w:id="161"/>
      <w:bookmarkEnd w:id="162"/>
      <w:bookmarkEnd w:id="163"/>
      <w:bookmarkEnd w:id="164"/>
    </w:p>
    <w:p w14:paraId="2F8EDC1A">
      <w:pPr>
        <w:pageBreakBefore w:val="0"/>
        <w:kinsoku/>
        <w:overflowPunct/>
        <w:bidi w:val="0"/>
        <w:snapToGrid w:val="0"/>
        <w:spacing w:line="312" w:lineRule="auto"/>
        <w:ind w:left="897" w:leftChars="399" w:hanging="60" w:hangingChars="25"/>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出现下列情形之一，将导致项目废标：</w:t>
      </w:r>
    </w:p>
    <w:p w14:paraId="38B323D4">
      <w:pPr>
        <w:pageBreakBefore w:val="0"/>
        <w:kinsoku/>
        <w:overflowPunct/>
        <w:bidi w:val="0"/>
        <w:snapToGrid w:val="0"/>
        <w:spacing w:line="312" w:lineRule="auto"/>
        <w:ind w:left="897" w:leftChars="399" w:hanging="60" w:hangingChars="25"/>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（1）符合专业条件的供应商或者对磋商文件做实质性响应的供应商不足三家；</w:t>
      </w:r>
    </w:p>
    <w:p w14:paraId="50C6587D">
      <w:pPr>
        <w:pageBreakBefore w:val="0"/>
        <w:kinsoku/>
        <w:overflowPunct/>
        <w:bidi w:val="0"/>
        <w:snapToGrid w:val="0"/>
        <w:spacing w:line="312" w:lineRule="auto"/>
        <w:ind w:left="897" w:leftChars="399" w:hanging="60" w:hangingChars="25"/>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（2）出现影响采购公正的违法、违规行为的；</w:t>
      </w:r>
    </w:p>
    <w:p w14:paraId="3B9A293E">
      <w:pPr>
        <w:pageBreakBefore w:val="0"/>
        <w:kinsoku/>
        <w:overflowPunct/>
        <w:bidi w:val="0"/>
        <w:snapToGrid w:val="0"/>
        <w:spacing w:line="312" w:lineRule="auto"/>
        <w:ind w:firstLine="840" w:firstLineChars="35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（3）供应商的报价均超过了采购预算，采购人不能支付的；</w:t>
      </w:r>
    </w:p>
    <w:p w14:paraId="1367667E">
      <w:pPr>
        <w:pageBreakBefore w:val="0"/>
        <w:kinsoku/>
        <w:overflowPunct/>
        <w:bidi w:val="0"/>
        <w:snapToGrid w:val="0"/>
        <w:spacing w:line="312" w:lineRule="auto"/>
        <w:ind w:firstLine="840" w:firstLineChars="35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（4）因重大变故，采购任务取消的。</w:t>
      </w:r>
    </w:p>
    <w:p w14:paraId="7F39CCE4">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65" w:name="_Toc23660"/>
      <w:bookmarkStart w:id="166" w:name="_Toc4205_WPSOffice_Level2"/>
      <w:bookmarkStart w:id="167" w:name="_Toc518923090"/>
      <w:bookmarkStart w:id="168" w:name="_Toc16649_WPSOffice_Level2"/>
      <w:bookmarkStart w:id="169" w:name="_Toc520356169"/>
      <w:r>
        <w:rPr>
          <w:rFonts w:hint="eastAsia" w:ascii="微软雅黑" w:hAnsi="微软雅黑" w:eastAsia="微软雅黑" w:cs="微软雅黑"/>
          <w:b/>
          <w:bCs/>
          <w:color w:val="auto"/>
          <w:highlight w:val="none"/>
          <w:u w:val="none"/>
        </w:rPr>
        <w:t>25.保密原则</w:t>
      </w:r>
      <w:bookmarkEnd w:id="165"/>
      <w:bookmarkEnd w:id="166"/>
      <w:bookmarkEnd w:id="167"/>
      <w:bookmarkEnd w:id="168"/>
    </w:p>
    <w:p w14:paraId="1927ECF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评审将在严格保密的情况下进行。</w:t>
      </w:r>
    </w:p>
    <w:p w14:paraId="3ED2B108">
      <w:pPr>
        <w:pageBreakBefore w:val="0"/>
        <w:kinsoku/>
        <w:overflowPunct/>
        <w:bidi w:val="0"/>
        <w:snapToGrid w:val="0"/>
        <w:spacing w:line="312" w:lineRule="auto"/>
        <w:ind w:left="900" w:hanging="900" w:hangingChars="375"/>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政府采购评审专家应当遵守评审工作纪律，不得泄露评审文件、评审情况和评审中获悉的商业秘密。</w:t>
      </w:r>
      <w:bookmarkStart w:id="170" w:name="_Toc518923091"/>
      <w:bookmarkStart w:id="171" w:name="_Toc216582810"/>
      <w:bookmarkStart w:id="172" w:name="_Toc10964"/>
      <w:bookmarkStart w:id="173" w:name="_Toc4193_WPSOffice_Level1"/>
    </w:p>
    <w:p w14:paraId="3B2033D0">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color w:val="auto"/>
          <w:highlight w:val="none"/>
        </w:rPr>
      </w:pPr>
      <w:bookmarkStart w:id="174" w:name="_Toc27023"/>
      <w:r>
        <w:rPr>
          <w:rFonts w:hint="eastAsia" w:ascii="微软雅黑" w:hAnsi="微软雅黑" w:eastAsia="微软雅黑" w:cs="微软雅黑"/>
          <w:color w:val="auto"/>
          <w:sz w:val="32"/>
          <w:szCs w:val="22"/>
          <w:highlight w:val="none"/>
        </w:rPr>
        <w:t>六</w:t>
      </w:r>
      <w:bookmarkEnd w:id="169"/>
      <w:r>
        <w:rPr>
          <w:rFonts w:hint="eastAsia" w:ascii="微软雅黑" w:hAnsi="微软雅黑" w:eastAsia="微软雅黑" w:cs="微软雅黑"/>
          <w:color w:val="auto"/>
          <w:sz w:val="32"/>
          <w:szCs w:val="22"/>
          <w:highlight w:val="none"/>
          <w:lang w:eastAsia="zh-CN"/>
        </w:rPr>
        <w:t>、</w:t>
      </w:r>
      <w:r>
        <w:rPr>
          <w:rFonts w:hint="eastAsia" w:ascii="微软雅黑" w:hAnsi="微软雅黑" w:eastAsia="微软雅黑" w:cs="微软雅黑"/>
          <w:color w:val="auto"/>
          <w:sz w:val="32"/>
          <w:szCs w:val="22"/>
          <w:highlight w:val="none"/>
        </w:rPr>
        <w:t>确定</w:t>
      </w:r>
      <w:bookmarkEnd w:id="170"/>
      <w:bookmarkEnd w:id="171"/>
      <w:bookmarkEnd w:id="172"/>
      <w:r>
        <w:rPr>
          <w:rFonts w:hint="eastAsia" w:ascii="微软雅黑" w:hAnsi="微软雅黑" w:eastAsia="微软雅黑" w:cs="微软雅黑"/>
          <w:color w:val="auto"/>
          <w:sz w:val="32"/>
          <w:szCs w:val="22"/>
          <w:highlight w:val="none"/>
        </w:rPr>
        <w:t>成交</w:t>
      </w:r>
      <w:bookmarkEnd w:id="173"/>
      <w:bookmarkEnd w:id="174"/>
    </w:p>
    <w:p w14:paraId="237D91BE">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75" w:name="_Toc32578"/>
      <w:bookmarkStart w:id="176" w:name="_Toc518923092"/>
      <w:bookmarkStart w:id="177" w:name="_Toc4749_WPSOffice_Level2"/>
      <w:bookmarkStart w:id="178" w:name="_Toc520356170"/>
      <w:bookmarkStart w:id="179" w:name="_Toc31921_WPSOffice_Level2"/>
      <w:bookmarkStart w:id="180" w:name="_Ref467307010"/>
      <w:r>
        <w:rPr>
          <w:rFonts w:hint="eastAsia" w:ascii="微软雅黑" w:hAnsi="微软雅黑" w:eastAsia="微软雅黑" w:cs="微软雅黑"/>
          <w:b/>
          <w:bCs/>
          <w:color w:val="auto"/>
          <w:highlight w:val="none"/>
          <w:u w:val="none"/>
        </w:rPr>
        <w:t>26.成交候选人的确定原则及标准</w:t>
      </w:r>
      <w:bookmarkEnd w:id="175"/>
      <w:bookmarkEnd w:id="176"/>
      <w:bookmarkEnd w:id="177"/>
      <w:bookmarkEnd w:id="178"/>
      <w:bookmarkEnd w:id="179"/>
      <w:bookmarkEnd w:id="180"/>
    </w:p>
    <w:p w14:paraId="6F30DA5E">
      <w:pPr>
        <w:pStyle w:val="5"/>
        <w:pageBreakBefore w:val="0"/>
        <w:kinsoku/>
        <w:overflowPunct/>
        <w:bidi w:val="0"/>
        <w:snapToGrid w:val="0"/>
        <w:spacing w:before="0" w:after="0" w:line="312" w:lineRule="auto"/>
        <w:ind w:left="957" w:leftChars="456" w:firstLine="0" w:firstLineChars="0"/>
        <w:rPr>
          <w:rFonts w:hint="eastAsia" w:ascii="微软雅黑" w:hAnsi="微软雅黑" w:eastAsia="微软雅黑" w:cs="微软雅黑"/>
          <w:color w:val="auto"/>
          <w:kern w:val="2"/>
          <w:sz w:val="24"/>
          <w:szCs w:val="24"/>
          <w:highlight w:val="none"/>
          <w:u w:val="none"/>
          <w:lang w:val="en-US" w:eastAsia="zh-CN" w:bidi="ar-SA"/>
        </w:rPr>
      </w:pPr>
      <w:bookmarkStart w:id="181" w:name="27.确定成交候选人和成交人"/>
      <w:bookmarkEnd w:id="181"/>
      <w:bookmarkStart w:id="182" w:name="_Toc520356171"/>
      <w:bookmarkStart w:id="183" w:name="_Toc2420_WPSOffice_Level2"/>
      <w:bookmarkStart w:id="184" w:name="_Toc3689_WPSOffice_Level2"/>
      <w:bookmarkStart w:id="185" w:name="_Toc10555"/>
      <w:bookmarkStart w:id="186" w:name="_Toc518923093"/>
      <w:r>
        <w:rPr>
          <w:rFonts w:hint="eastAsia" w:ascii="微软雅黑" w:hAnsi="微软雅黑" w:eastAsia="微软雅黑" w:cs="微软雅黑"/>
          <w:color w:val="auto"/>
          <w:kern w:val="2"/>
          <w:sz w:val="24"/>
          <w:szCs w:val="24"/>
          <w:highlight w:val="none"/>
          <w:u w:val="none"/>
          <w:lang w:val="en-US" w:eastAsia="zh-CN" w:bidi="ar-SA"/>
        </w:rPr>
        <w:t>对实质上响应磋商文件的供应商按下列方法进行排序，确定投标候选人：</w:t>
      </w:r>
    </w:p>
    <w:p w14:paraId="7154561A">
      <w:pPr>
        <w:pStyle w:val="5"/>
        <w:pageBreakBefore w:val="0"/>
        <w:kinsoku/>
        <w:overflowPunct/>
        <w:bidi w:val="0"/>
        <w:snapToGrid w:val="0"/>
        <w:spacing w:before="0" w:after="0" w:line="312" w:lineRule="auto"/>
        <w:ind w:left="957" w:leftChars="456" w:firstLine="0" w:firstLineChars="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kern w:val="2"/>
          <w:sz w:val="24"/>
          <w:szCs w:val="24"/>
          <w:highlight w:val="none"/>
          <w:u w:val="none"/>
          <w:lang w:val="en-US" w:eastAsia="zh-CN" w:bidi="ar-SA"/>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14:paraId="3A348DBD">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rPr>
        <w:t>27</w:t>
      </w:r>
      <w:bookmarkEnd w:id="182"/>
      <w:r>
        <w:rPr>
          <w:rFonts w:hint="eastAsia" w:ascii="微软雅黑" w:hAnsi="微软雅黑" w:eastAsia="微软雅黑" w:cs="微软雅黑"/>
          <w:b/>
          <w:bCs/>
          <w:color w:val="auto"/>
          <w:highlight w:val="none"/>
          <w:u w:val="none"/>
        </w:rPr>
        <w:t>.确定成交候选人和成交人</w:t>
      </w:r>
      <w:bookmarkEnd w:id="183"/>
      <w:bookmarkEnd w:id="184"/>
      <w:bookmarkEnd w:id="185"/>
      <w:bookmarkEnd w:id="186"/>
    </w:p>
    <w:p w14:paraId="6680596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评审委员会将根据评审标准，按</w:t>
      </w:r>
      <w:r>
        <w:rPr>
          <w:rFonts w:hint="eastAsia" w:ascii="微软雅黑" w:hAnsi="微软雅黑" w:eastAsia="微软雅黑" w:cs="微软雅黑"/>
          <w:color w:val="auto"/>
          <w:sz w:val="24"/>
          <w:highlight w:val="none"/>
          <w:u w:val="single"/>
        </w:rPr>
        <w:t>供应商须知资料表中</w:t>
      </w:r>
      <w:r>
        <w:rPr>
          <w:rFonts w:hint="eastAsia" w:ascii="微软雅黑" w:hAnsi="微软雅黑" w:eastAsia="微软雅黑" w:cs="微软雅黑"/>
          <w:color w:val="auto"/>
          <w:sz w:val="24"/>
          <w:highlight w:val="none"/>
        </w:rPr>
        <w:t>规定数量推荐成交候选人；</w:t>
      </w:r>
      <w:r>
        <w:rPr>
          <w:rFonts w:hint="eastAsia" w:ascii="微软雅黑" w:hAnsi="微软雅黑" w:eastAsia="微软雅黑" w:cs="微软雅黑"/>
          <w:b/>
          <w:bCs/>
          <w:color w:val="auto"/>
          <w:sz w:val="24"/>
          <w:highlight w:val="none"/>
          <w:u w:val="single"/>
        </w:rPr>
        <w:t>磋商小组应当根据综合评分情况，按照评审得分由高到低顺序推荐3名以上成交候选供应商</w:t>
      </w:r>
      <w:r>
        <w:rPr>
          <w:rFonts w:hint="eastAsia" w:ascii="微软雅黑" w:hAnsi="微软雅黑" w:eastAsia="微软雅黑" w:cs="微软雅黑"/>
          <w:color w:val="auto"/>
          <w:sz w:val="24"/>
          <w:highlight w:val="none"/>
        </w:rPr>
        <w:t>或根据采购人的委托，直接确定成交人。</w:t>
      </w:r>
    </w:p>
    <w:p w14:paraId="5CCAB8B8">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87" w:name="_Ref467306874"/>
      <w:bookmarkStart w:id="188" w:name="_Toc520356173"/>
      <w:bookmarkStart w:id="189" w:name="_Toc17336_WPSOffice_Level2"/>
      <w:bookmarkStart w:id="190" w:name="_Toc518923094"/>
      <w:bookmarkStart w:id="191" w:name="_Toc620_WPSOffice_Level2"/>
      <w:bookmarkStart w:id="192" w:name="_Toc17138"/>
      <w:r>
        <w:rPr>
          <w:rFonts w:hint="eastAsia" w:ascii="微软雅黑" w:hAnsi="微软雅黑" w:eastAsia="微软雅黑" w:cs="微软雅黑"/>
          <w:b/>
          <w:bCs/>
          <w:color w:val="auto"/>
          <w:highlight w:val="none"/>
          <w:u w:val="none"/>
        </w:rPr>
        <w:t>28</w:t>
      </w:r>
      <w:bookmarkEnd w:id="187"/>
      <w:bookmarkEnd w:id="188"/>
      <w:r>
        <w:rPr>
          <w:rFonts w:hint="eastAsia" w:ascii="微软雅黑" w:hAnsi="微软雅黑" w:eastAsia="微软雅黑" w:cs="微软雅黑"/>
          <w:b/>
          <w:bCs/>
          <w:color w:val="auto"/>
          <w:highlight w:val="none"/>
          <w:u w:val="none"/>
        </w:rPr>
        <w:t>.采购任务取消</w:t>
      </w:r>
      <w:bookmarkEnd w:id="189"/>
      <w:bookmarkEnd w:id="190"/>
      <w:bookmarkEnd w:id="191"/>
      <w:bookmarkEnd w:id="192"/>
    </w:p>
    <w:p w14:paraId="4B0C5A4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因重大变故采购任务取消时，采购人有权拒绝任何供应商成交，且对受影响的供应商不承担任何责任。</w:t>
      </w:r>
      <w:bookmarkStart w:id="193" w:name="_Toc520356174"/>
    </w:p>
    <w:p w14:paraId="4A16AEFA">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94" w:name="_Toc518923095"/>
      <w:bookmarkStart w:id="195" w:name="_Toc22810_WPSOffice_Level2"/>
      <w:bookmarkStart w:id="196" w:name="_Toc18072"/>
      <w:bookmarkStart w:id="197" w:name="_Toc7273_WPSOffice_Level2"/>
      <w:r>
        <w:rPr>
          <w:rFonts w:hint="eastAsia" w:ascii="微软雅黑" w:hAnsi="微软雅黑" w:eastAsia="微软雅黑" w:cs="微软雅黑"/>
          <w:b/>
          <w:bCs/>
          <w:color w:val="auto"/>
          <w:highlight w:val="none"/>
          <w:u w:val="none"/>
        </w:rPr>
        <w:t>29.成交通知书</w:t>
      </w:r>
      <w:bookmarkEnd w:id="193"/>
      <w:r>
        <w:rPr>
          <w:rFonts w:hint="eastAsia" w:ascii="微软雅黑" w:hAnsi="微软雅黑" w:eastAsia="微软雅黑" w:cs="微软雅黑"/>
          <w:b/>
          <w:bCs/>
          <w:color w:val="auto"/>
          <w:highlight w:val="none"/>
          <w:u w:val="none"/>
        </w:rPr>
        <w:t>和采购结果通知书</w:t>
      </w:r>
      <w:bookmarkEnd w:id="194"/>
      <w:bookmarkEnd w:id="195"/>
      <w:bookmarkEnd w:id="196"/>
      <w:bookmarkEnd w:id="197"/>
    </w:p>
    <w:p w14:paraId="3807296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在磋商有效期内，成交人确定后，采购人或者采购代理机构发布成交公告，同时以书面形式向成交人发出成交通知书；</w:t>
      </w:r>
    </w:p>
    <w:p w14:paraId="0A59514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成交通知书是合同的组成部分；</w:t>
      </w:r>
    </w:p>
    <w:p w14:paraId="6AD823A3">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    采购结果通知书和成交通知书同时发出。采购结果通知书中将告知未通过资格审查的供应商未通过的原因；采用综合评分法评审的，还将告知未成交人本人的评审得分和排序。</w:t>
      </w:r>
    </w:p>
    <w:p w14:paraId="534720B6">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98" w:name="_Toc518923096"/>
      <w:bookmarkStart w:id="199" w:name="_Toc9717_WPSOffice_Level2"/>
      <w:bookmarkStart w:id="200" w:name="_Ref467306377"/>
      <w:bookmarkStart w:id="201" w:name="_Toc23285_WPSOffice_Level2"/>
      <w:bookmarkStart w:id="202" w:name="_Ref467307204"/>
      <w:bookmarkStart w:id="203" w:name="_Ref467306978"/>
      <w:bookmarkStart w:id="204" w:name="_Toc16952"/>
      <w:bookmarkStart w:id="205" w:name="_Toc520356175"/>
      <w:bookmarkStart w:id="206" w:name="_Ref467307062"/>
      <w:r>
        <w:rPr>
          <w:rFonts w:hint="eastAsia" w:ascii="微软雅黑" w:hAnsi="微软雅黑" w:eastAsia="微软雅黑" w:cs="微软雅黑"/>
          <w:b/>
          <w:bCs/>
          <w:color w:val="auto"/>
          <w:highlight w:val="none"/>
          <w:u w:val="none"/>
        </w:rPr>
        <w:t>30.签订合同</w:t>
      </w:r>
      <w:bookmarkEnd w:id="198"/>
      <w:bookmarkEnd w:id="199"/>
      <w:bookmarkEnd w:id="200"/>
      <w:bookmarkEnd w:id="201"/>
      <w:bookmarkEnd w:id="202"/>
      <w:bookmarkEnd w:id="203"/>
      <w:bookmarkEnd w:id="204"/>
      <w:bookmarkEnd w:id="205"/>
      <w:bookmarkEnd w:id="206"/>
    </w:p>
    <w:p w14:paraId="6BA453F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成交人应当自发出成交通知书之日起30日内，与采购人签订合同。</w:t>
      </w:r>
    </w:p>
    <w:p w14:paraId="76219E08">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207" w:name="_Ref467306425"/>
      <w:bookmarkStart w:id="208" w:name="_Toc520356176"/>
      <w:bookmarkStart w:id="209" w:name="_Ref467307090"/>
      <w:r>
        <w:rPr>
          <w:rFonts w:hint="eastAsia" w:ascii="微软雅黑" w:hAnsi="微软雅黑" w:eastAsia="微软雅黑" w:cs="微软雅黑"/>
          <w:color w:val="auto"/>
          <w:sz w:val="24"/>
          <w:highlight w:val="none"/>
        </w:rPr>
        <w:t>磋商文件、成交人的响应文件及其澄清文件等，均为签订合同的依据。</w:t>
      </w:r>
    </w:p>
    <w:p w14:paraId="6096F81B">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   成交人拒绝与采购人签订合同的，采购人可以按照评审报告推荐的成交候选人名单排序，确定下一成交候选人为成交人，也可以重新开展政府采购活动。</w:t>
      </w:r>
    </w:p>
    <w:p w14:paraId="235BDA21">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   当出现法规规定的</w:t>
      </w:r>
      <w:r>
        <w:rPr>
          <w:rFonts w:hint="eastAsia" w:ascii="微软雅黑" w:hAnsi="微软雅黑" w:eastAsia="微软雅黑" w:cs="微软雅黑"/>
          <w:b/>
          <w:color w:val="auto"/>
          <w:sz w:val="24"/>
          <w:highlight w:val="none"/>
        </w:rPr>
        <w:t>成交无效或成交结果无效</w:t>
      </w:r>
      <w:r>
        <w:rPr>
          <w:rFonts w:hint="eastAsia" w:ascii="微软雅黑" w:hAnsi="微软雅黑" w:eastAsia="微软雅黑" w:cs="微软雅黑"/>
          <w:color w:val="auto"/>
          <w:sz w:val="24"/>
          <w:highlight w:val="none"/>
        </w:rPr>
        <w:t>情形时，采购人可与排名下一位的成交候选人另行签订合同，或依法重新开展采购活动。</w:t>
      </w:r>
    </w:p>
    <w:p w14:paraId="0000C048">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10" w:name="_Toc518923097"/>
      <w:bookmarkStart w:id="211" w:name="_Toc4147_WPSOffice_Level2"/>
      <w:bookmarkStart w:id="212" w:name="_Toc10642_WPSOffice_Level2"/>
      <w:bookmarkStart w:id="213" w:name="_Toc4302"/>
      <w:r>
        <w:rPr>
          <w:rFonts w:hint="eastAsia" w:ascii="微软雅黑" w:hAnsi="微软雅黑" w:eastAsia="微软雅黑" w:cs="微软雅黑"/>
          <w:b/>
          <w:bCs/>
          <w:color w:val="auto"/>
          <w:highlight w:val="none"/>
          <w:u w:val="none"/>
        </w:rPr>
        <w:t>31.履约保证金</w:t>
      </w:r>
      <w:bookmarkEnd w:id="207"/>
      <w:bookmarkEnd w:id="208"/>
      <w:bookmarkEnd w:id="209"/>
      <w:bookmarkEnd w:id="210"/>
      <w:bookmarkEnd w:id="211"/>
      <w:bookmarkEnd w:id="212"/>
      <w:bookmarkEnd w:id="213"/>
    </w:p>
    <w:p w14:paraId="555CB536">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成交人应按照</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规定向采购人缴纳履约保证金（如采用保函形式，格式见本章附件1）。</w:t>
      </w:r>
    </w:p>
    <w:p w14:paraId="6651D80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政府采购利用担保试点范围内的项目，除31.1规定的情形外，成交人也可以按照财政部门的规定，向采购人提供合格的履约担保函（格式见本章附件2）。</w:t>
      </w:r>
    </w:p>
    <w:p w14:paraId="28FBBA4C">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31.3   如果成交人没有按照上述履约保证金的规定执行，将视为放弃成交资格，成交人的磋商保证金将不予退还。在此情况下，采购人可确定下一候选人为成交人，也可以重新开展采购活动。</w:t>
      </w:r>
    </w:p>
    <w:p w14:paraId="06698887">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14" w:name="_Toc12960_WPSOffice_Level2"/>
      <w:bookmarkStart w:id="215" w:name="_Toc21635_WPSOffice_Level2"/>
      <w:bookmarkStart w:id="216" w:name="_Toc8476"/>
      <w:bookmarkStart w:id="217" w:name="_Toc518923098"/>
      <w:r>
        <w:rPr>
          <w:rFonts w:hint="eastAsia" w:ascii="微软雅黑" w:hAnsi="微软雅黑" w:eastAsia="微软雅黑" w:cs="微软雅黑"/>
          <w:b/>
          <w:bCs/>
          <w:color w:val="auto"/>
          <w:highlight w:val="none"/>
          <w:u w:val="none"/>
        </w:rPr>
        <w:t>32.成交服务费</w:t>
      </w:r>
      <w:bookmarkEnd w:id="214"/>
      <w:bookmarkEnd w:id="215"/>
      <w:bookmarkEnd w:id="216"/>
      <w:bookmarkEnd w:id="217"/>
    </w:p>
    <w:p w14:paraId="0E28B697">
      <w:pPr>
        <w:pStyle w:val="5"/>
        <w:pageBreakBefore w:val="0"/>
        <w:kinsoku/>
        <w:overflowPunct/>
        <w:bidi w:val="0"/>
        <w:snapToGrid w:val="0"/>
        <w:spacing w:before="0" w:after="0" w:line="312" w:lineRule="auto"/>
        <w:ind w:firstLine="960" w:firstLineChars="400"/>
        <w:rPr>
          <w:rFonts w:hint="eastAsia" w:ascii="微软雅黑" w:hAnsi="微软雅黑" w:eastAsia="微软雅黑" w:cs="微软雅黑"/>
          <w:color w:val="auto"/>
          <w:kern w:val="2"/>
          <w:sz w:val="24"/>
          <w:szCs w:val="24"/>
          <w:highlight w:val="none"/>
          <w:u w:val="none"/>
          <w:lang w:val="en-US" w:eastAsia="zh-CN" w:bidi="ar-SA"/>
        </w:rPr>
      </w:pPr>
      <w:bookmarkStart w:id="218" w:name="_Toc518923099"/>
      <w:bookmarkStart w:id="219" w:name="_Toc9330_WPSOffice_Level2"/>
      <w:bookmarkStart w:id="220" w:name="_Toc30567_WPSOffice_Level2"/>
      <w:bookmarkStart w:id="221" w:name="_Toc31411"/>
      <w:r>
        <w:rPr>
          <w:rFonts w:hint="eastAsia" w:ascii="微软雅黑" w:hAnsi="微软雅黑" w:eastAsia="微软雅黑" w:cs="微软雅黑"/>
          <w:color w:val="auto"/>
          <w:kern w:val="2"/>
          <w:sz w:val="24"/>
          <w:szCs w:val="24"/>
          <w:highlight w:val="none"/>
          <w:u w:val="none"/>
          <w:lang w:val="en-US" w:eastAsia="zh-CN" w:bidi="ar-SA"/>
        </w:rPr>
        <w:t>成交人须按照</w:t>
      </w:r>
      <w:r>
        <w:rPr>
          <w:rFonts w:hint="eastAsia" w:ascii="微软雅黑" w:hAnsi="微软雅黑" w:eastAsia="微软雅黑" w:cs="微软雅黑"/>
          <w:color w:val="auto"/>
          <w:kern w:val="2"/>
          <w:sz w:val="24"/>
          <w:szCs w:val="24"/>
          <w:highlight w:val="none"/>
          <w:u w:val="single"/>
          <w:lang w:val="en-US" w:eastAsia="zh-CN" w:bidi="ar-SA"/>
        </w:rPr>
        <w:t>供应商须知资料表</w:t>
      </w:r>
      <w:r>
        <w:rPr>
          <w:rFonts w:hint="eastAsia" w:ascii="微软雅黑" w:hAnsi="微软雅黑" w:eastAsia="微软雅黑" w:cs="微软雅黑"/>
          <w:color w:val="auto"/>
          <w:kern w:val="2"/>
          <w:sz w:val="24"/>
          <w:szCs w:val="24"/>
          <w:highlight w:val="none"/>
          <w:u w:val="none"/>
          <w:lang w:val="en-US" w:eastAsia="zh-CN" w:bidi="ar-SA"/>
        </w:rPr>
        <w:t>规定，向采购代理机构支付成交服务费。</w:t>
      </w:r>
    </w:p>
    <w:p w14:paraId="4A7F9930">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rPr>
        <w:t>33.政府采购信用担保</w:t>
      </w:r>
      <w:bookmarkEnd w:id="218"/>
      <w:bookmarkEnd w:id="219"/>
      <w:bookmarkEnd w:id="220"/>
      <w:bookmarkEnd w:id="221"/>
    </w:p>
    <w:p w14:paraId="0F224774">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   本项目是否属于信用担保试点范围见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5D99221C">
      <w:pPr>
        <w:pageBreakBefore w:val="0"/>
        <w:kinsoku/>
        <w:overflowPunct/>
        <w:bidi w:val="0"/>
        <w:snapToGrid w:val="0"/>
        <w:spacing w:line="312"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   如属于政府采购信用担保试点范围内，中小型企业供应商可以自由按照财政部门的规定，采用磋商担保、履约担保和融资担保。</w:t>
      </w:r>
    </w:p>
    <w:p w14:paraId="0FB4E9D2">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33.2.1 供应商递交的磋商担保函和履约担保函应符合本磋商文件的规定。</w:t>
      </w:r>
    </w:p>
    <w:p w14:paraId="7C408175">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 成交人可以采取融资担保的形式为政府采购项目履约进行融资。</w:t>
      </w:r>
    </w:p>
    <w:p w14:paraId="3CEAC6D6">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 合格的政府采购专业信用担保机构见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4CDEBECB">
      <w:pPr>
        <w:pStyle w:val="5"/>
        <w:pageBreakBefore w:val="0"/>
        <w:kinsoku/>
        <w:overflowPunct/>
        <w:bidi w:val="0"/>
        <w:snapToGrid w:val="0"/>
        <w:spacing w:before="0" w:after="0" w:line="312" w:lineRule="auto"/>
        <w:rPr>
          <w:rFonts w:hint="eastAsia" w:ascii="微软雅黑" w:hAnsi="微软雅黑" w:eastAsia="微软雅黑" w:cs="微软雅黑"/>
          <w:color w:val="auto"/>
          <w:highlight w:val="none"/>
          <w:u w:val="none"/>
        </w:rPr>
      </w:pPr>
      <w:bookmarkStart w:id="222" w:name="_Toc4701"/>
      <w:bookmarkStart w:id="223" w:name="_Toc9469_WPSOffice_Level2"/>
      <w:bookmarkStart w:id="224" w:name="_Toc518923100"/>
      <w:bookmarkStart w:id="225" w:name="_Toc5233_WPSOffice_Level2"/>
      <w:r>
        <w:rPr>
          <w:rFonts w:hint="eastAsia" w:ascii="微软雅黑" w:hAnsi="微软雅黑" w:eastAsia="微软雅黑" w:cs="微软雅黑"/>
          <w:b/>
          <w:bCs/>
          <w:color w:val="auto"/>
          <w:highlight w:val="none"/>
          <w:u w:val="none"/>
        </w:rPr>
        <w:t>34.廉洁自律规定</w:t>
      </w:r>
      <w:bookmarkEnd w:id="222"/>
      <w:bookmarkEnd w:id="223"/>
      <w:bookmarkEnd w:id="224"/>
      <w:bookmarkEnd w:id="225"/>
    </w:p>
    <w:p w14:paraId="5488FAA9">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   采购代理机构工作人员不得以不正当手段获取政府采购代理业务，不得与采购人、供应商恶意串通操纵政府采购活动。</w:t>
      </w:r>
    </w:p>
    <w:p w14:paraId="0BEF3E07">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   采购代理机构工作人员不得接受采购人或者供应商组织的宴请、旅游、娱乐，不得收受礼品、现金、有价证券等，不得向采购人或者供应商报销应当由个人承担的费用。</w:t>
      </w:r>
    </w:p>
    <w:p w14:paraId="1A4FE9F6">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34.3   为强化采购代理机构内部监督机制，供应商可按</w:t>
      </w:r>
      <w:r>
        <w:rPr>
          <w:rFonts w:hint="eastAsia" w:ascii="微软雅黑" w:hAnsi="微软雅黑" w:eastAsia="微软雅黑" w:cs="微软雅黑"/>
          <w:color w:val="auto"/>
          <w:sz w:val="24"/>
          <w:highlight w:val="none"/>
          <w:u w:val="single"/>
        </w:rPr>
        <w:t>供应商须知资料表中的</w:t>
      </w:r>
      <w:r>
        <w:rPr>
          <w:rFonts w:hint="eastAsia" w:ascii="微软雅黑" w:hAnsi="微软雅黑" w:eastAsia="微软雅黑" w:cs="微软雅黑"/>
          <w:color w:val="auto"/>
          <w:sz w:val="24"/>
          <w:highlight w:val="none"/>
        </w:rPr>
        <w:t>监督电话和信箱，反映采购代理机构的廉洁自律等问题。</w:t>
      </w:r>
    </w:p>
    <w:p w14:paraId="4E0B2A45">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26" w:name="_Toc21055"/>
      <w:bookmarkStart w:id="227" w:name="_Toc27272_WPSOffice_Level2"/>
      <w:bookmarkStart w:id="228" w:name="_Toc27811_WPSOffice_Level2"/>
      <w:bookmarkStart w:id="229" w:name="_Toc518923101"/>
      <w:r>
        <w:rPr>
          <w:rFonts w:hint="eastAsia" w:ascii="微软雅黑" w:hAnsi="微软雅黑" w:eastAsia="微软雅黑" w:cs="微软雅黑"/>
          <w:b/>
          <w:bCs/>
          <w:color w:val="auto"/>
          <w:highlight w:val="none"/>
          <w:u w:val="none"/>
        </w:rPr>
        <w:t>35.人员回避</w:t>
      </w:r>
      <w:bookmarkEnd w:id="226"/>
      <w:bookmarkEnd w:id="227"/>
      <w:bookmarkEnd w:id="228"/>
      <w:bookmarkEnd w:id="229"/>
    </w:p>
    <w:p w14:paraId="00D8A495">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供应商认为采购人员及其相关人员有法律法规所列与其他供应商有利害关系的，可以向采购人或采购代理机构书面提出回避申请，并说明理由。</w:t>
      </w:r>
    </w:p>
    <w:p w14:paraId="3D46313B">
      <w:pPr>
        <w:pageBreakBefore w:val="0"/>
        <w:kinsoku/>
        <w:overflowPunct/>
        <w:bidi w:val="0"/>
        <w:snapToGrid w:val="0"/>
        <w:spacing w:line="312" w:lineRule="auto"/>
        <w:ind w:left="904" w:hanging="900" w:hangingChars="375"/>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36.质疑与接收</w:t>
      </w:r>
    </w:p>
    <w:p w14:paraId="319FD6CC">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79A0FEF9">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795AE581">
      <w:pPr>
        <w:pageBreakBefore w:val="0"/>
        <w:kinsoku/>
        <w:overflowPunct/>
        <w:bidi w:val="0"/>
        <w:snapToGrid w:val="0"/>
        <w:spacing w:line="312" w:lineRule="auto"/>
        <w:ind w:left="957" w:leftChars="456" w:firstLine="60" w:firstLineChars="2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超出法定质疑期的、重复提出的、分次提出的或内容、形式不符合《政府采购质疑和投诉办法》的，质疑供应商将依法承担不利后果。</w:t>
      </w:r>
    </w:p>
    <w:p w14:paraId="0FEA7235">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36.3   采购代理机构质疑函接收部门、联系电话和通讯地址, 见供应商须知资料表。</w:t>
      </w:r>
    </w:p>
    <w:p w14:paraId="52CC1CA5">
      <w:pPr>
        <w:pageBreakBefore w:val="0"/>
        <w:kinsoku/>
        <w:overflowPunct/>
        <w:bidi w:val="0"/>
        <w:snapToGrid w:val="0"/>
        <w:spacing w:line="312" w:lineRule="auto"/>
        <w:ind w:left="900" w:hanging="900" w:hangingChars="375"/>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36.4、</w:t>
      </w:r>
      <w:r>
        <w:rPr>
          <w:rFonts w:hint="eastAsia" w:ascii="微软雅黑" w:hAnsi="微软雅黑" w:eastAsia="微软雅黑" w:cs="微软雅黑"/>
          <w:b/>
          <w:bCs/>
          <w:color w:val="auto"/>
          <w:sz w:val="24"/>
          <w:highlight w:val="none"/>
        </w:rPr>
        <w:t>质疑的提出</w:t>
      </w:r>
    </w:p>
    <w:p w14:paraId="285E7BF6">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   本采购文件中所称质疑及答复，是指参加本次采购活动的供应商对政府采购活动中的采购文件、采购过程和成交结果向采购方提出质疑，采购方答复质疑的行为。</w:t>
      </w:r>
    </w:p>
    <w:p w14:paraId="015DC1E0">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4C15F8E9">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14:paraId="4FE2042F">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14:paraId="50E5B7ED">
      <w:pPr>
        <w:pageBreakBefore w:val="0"/>
        <w:kinsoku/>
        <w:overflowPunct/>
        <w:bidi w:val="0"/>
        <w:snapToGrid w:val="0"/>
        <w:spacing w:line="312" w:lineRule="auto"/>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（三）对成交结果提出质疑的，为成交结果公告期限届满之日。</w:t>
      </w:r>
    </w:p>
    <w:p w14:paraId="64B99CAB">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3900B314">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58F95BBE">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36.9   提出质疑应当符合下列条件：</w:t>
      </w:r>
    </w:p>
    <w:p w14:paraId="06C1EAB8">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14:paraId="612CB9E5">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14:paraId="1F9EBFE9">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14:paraId="0B09EF3E">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14:paraId="53BBBF5D">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3DAB7AA7">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40.1  质疑人所提供的证明材料应当具有真实性、合法性以及与质疑事项的关联性和证明力，否则不能作为认定该质疑事项成立的依据。</w:t>
      </w:r>
    </w:p>
    <w:p w14:paraId="4046655D">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40.2   质疑人提出质疑时应当提交质疑函。质疑函包括下列内容：</w:t>
      </w:r>
    </w:p>
    <w:p w14:paraId="7E272AAD">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14:paraId="7047DCEA">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14:paraId="5D746253">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14:paraId="7F5D98A6">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14:paraId="7E770150">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14:paraId="4AD51256">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14:paraId="73E10D7F">
      <w:pPr>
        <w:pageBreakBefore w:val="0"/>
        <w:kinsoku/>
        <w:overflowPunct/>
        <w:bidi w:val="0"/>
        <w:snapToGrid w:val="0"/>
        <w:spacing w:line="312" w:lineRule="auto"/>
        <w:ind w:left="957" w:leftChars="456" w:firstLine="60" w:firstLineChars="2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5D19B992">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40.3    质疑人可以委托代理人进行质疑。代理人应当提交授权委托书。授权委托书应当载明委托代理的具体权限、期限和相关事项。</w:t>
      </w:r>
    </w:p>
    <w:p w14:paraId="0C6E93F0">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40.4、质疑的审查和受理</w:t>
      </w:r>
    </w:p>
    <w:p w14:paraId="093C642A">
      <w:pPr>
        <w:pageBreakBefore w:val="0"/>
        <w:kinsoku/>
        <w:overflowPunct/>
        <w:bidi w:val="0"/>
        <w:snapToGrid w:val="0"/>
        <w:spacing w:line="312" w:lineRule="auto"/>
        <w:ind w:left="957" w:leftChars="456" w:firstLine="60" w:firstLineChars="2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14:paraId="642B4E6D">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40.5    对不符合质疑受理条件的，分别按照下列不同情形予以处理：</w:t>
      </w:r>
    </w:p>
    <w:p w14:paraId="57234B35">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14:paraId="1EEF6A5B">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14:paraId="0CDDF36B">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14:paraId="468410F4">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14:paraId="3892EE6A">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14:paraId="544EFD78">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14:paraId="60034968">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40.6、质疑的处理和答复</w:t>
      </w:r>
    </w:p>
    <w:p w14:paraId="6D9BD021">
      <w:pPr>
        <w:pageBreakBefore w:val="0"/>
        <w:kinsoku/>
        <w:overflowPunct/>
        <w:bidi w:val="0"/>
        <w:snapToGrid w:val="0"/>
        <w:spacing w:line="312" w:lineRule="auto"/>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40.7  采购方受理质疑后，将及时把质疑函发送给被质疑人，并要求其在一定限期内提交书面答复，同时提供有关证据、依据和相关材料。</w:t>
      </w:r>
    </w:p>
    <w:p w14:paraId="74B115CE">
      <w:pPr>
        <w:pageBreakBefore w:val="0"/>
        <w:kinsoku/>
        <w:overflowPunct/>
        <w:bidi w:val="0"/>
        <w:snapToGrid w:val="0"/>
        <w:spacing w:line="312" w:lineRule="auto"/>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40.8 对于质疑事项中涉及的问题较多、情况比较复杂的，为了全面查清事实、取得充分的证据，采购方认为有必要时，可以进行调查取证或者组织质证。</w:t>
      </w:r>
    </w:p>
    <w:p w14:paraId="25E7F8A4">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40.9  对评审过程、成交结果提出质疑的，采购方可以组织原评审委员会协助答复质疑。</w:t>
      </w:r>
    </w:p>
    <w:p w14:paraId="5D4783BB">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  质疑处理过程中，质疑人书面申请撤回质疑的，将终止质疑处理程序。</w:t>
      </w:r>
    </w:p>
    <w:p w14:paraId="5B1C72BF">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14:paraId="590A19B3">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14:paraId="56B89209">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41.2   采购方将在正式受理质疑后7个工作日内作出答复。</w:t>
      </w:r>
    </w:p>
    <w:p w14:paraId="1E231847">
      <w:pPr>
        <w:pStyle w:val="54"/>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41.3   质疑答复应当包括下列内容：</w:t>
      </w:r>
    </w:p>
    <w:p w14:paraId="4E3EA080">
      <w:pPr>
        <w:pStyle w:val="54"/>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14:paraId="6FC42BD3">
      <w:pPr>
        <w:pStyle w:val="54"/>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14:paraId="396BE7D8">
      <w:pPr>
        <w:pStyle w:val="54"/>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14:paraId="303CFC7F">
      <w:pPr>
        <w:pStyle w:val="54"/>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14:paraId="0F51011E">
      <w:pPr>
        <w:pStyle w:val="54"/>
        <w:pageBreakBefore w:val="0"/>
        <w:kinsoku/>
        <w:overflowPunct/>
        <w:bidi w:val="0"/>
        <w:snapToGrid w:val="0"/>
        <w:spacing w:line="312" w:lineRule="auto"/>
        <w:ind w:firstLine="960" w:firstLineChars="4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14:paraId="69500CA6">
      <w:pPr>
        <w:pageBreakBefore w:val="0"/>
        <w:kinsoku/>
        <w:overflowPunct/>
        <w:bidi w:val="0"/>
        <w:snapToGrid w:val="0"/>
        <w:spacing w:line="312" w:lineRule="auto"/>
        <w:ind w:left="718" w:leftChars="342"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（六）答复质疑的日期。</w:t>
      </w:r>
    </w:p>
    <w:p w14:paraId="51A364FE">
      <w:pPr>
        <w:pageBreakBefore w:val="0"/>
        <w:kinsoku/>
        <w:overflowPunct/>
        <w:bidi w:val="0"/>
        <w:snapToGrid w:val="0"/>
        <w:spacing w:line="312" w:lineRule="auto"/>
        <w:jc w:val="center"/>
        <w:outlineLvl w:val="9"/>
        <w:rPr>
          <w:rFonts w:hint="eastAsia" w:ascii="微软雅黑" w:hAnsi="微软雅黑" w:eastAsia="微软雅黑" w:cs="微软雅黑"/>
          <w:b/>
          <w:bCs/>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230" w:name="_Toc8244"/>
    </w:p>
    <w:bookmarkEnd w:id="230"/>
    <w:p w14:paraId="4736A2DB">
      <w:pPr>
        <w:jc w:val="center"/>
        <w:outlineLvl w:val="1"/>
        <w:rPr>
          <w:rFonts w:hint="eastAsia" w:ascii="微软雅黑" w:hAnsi="微软雅黑" w:eastAsia="微软雅黑" w:cs="微软雅黑"/>
          <w:b/>
          <w:bCs/>
          <w:color w:val="auto"/>
          <w:sz w:val="24"/>
          <w:highlight w:val="none"/>
        </w:rPr>
      </w:pPr>
      <w:bookmarkStart w:id="231" w:name="_Toc21204"/>
      <w:bookmarkStart w:id="232" w:name="_Toc22622"/>
      <w:bookmarkStart w:id="233" w:name="_Toc13570"/>
      <w:bookmarkStart w:id="234" w:name="_Toc3758"/>
      <w:bookmarkStart w:id="235" w:name="_Toc20975"/>
      <w:bookmarkStart w:id="236" w:name="_Toc18881"/>
      <w:bookmarkStart w:id="237" w:name="_Toc18415"/>
      <w:bookmarkStart w:id="238" w:name="_Toc3480"/>
      <w:bookmarkStart w:id="239" w:name="_Toc11099"/>
      <w:r>
        <w:rPr>
          <w:rFonts w:hint="eastAsia" w:ascii="微软雅黑" w:hAnsi="微软雅黑" w:eastAsia="微软雅黑" w:cs="微软雅黑"/>
          <w:b/>
          <w:bCs/>
          <w:color w:val="auto"/>
          <w:sz w:val="24"/>
          <w:highlight w:val="none"/>
        </w:rPr>
        <w:t>质疑函范本</w:t>
      </w:r>
    </w:p>
    <w:p w14:paraId="6615EE70">
      <w:pPr>
        <w:adjustRightInd w:val="0"/>
        <w:snapToGrid w:val="0"/>
        <w:spacing w:before="312" w:beforeLines="100" w:line="360" w:lineRule="auto"/>
        <w:rPr>
          <w:rFonts w:hint="eastAsia" w:ascii="微软雅黑" w:hAnsi="微软雅黑" w:eastAsia="微软雅黑" w:cs="微软雅黑"/>
          <w:bCs/>
          <w:color w:val="auto"/>
          <w:sz w:val="24"/>
          <w:highlight w:val="none"/>
        </w:rPr>
      </w:pPr>
      <w:bookmarkStart w:id="240" w:name="_Toc9491"/>
      <w:bookmarkStart w:id="241" w:name="_Toc7044"/>
      <w:bookmarkStart w:id="242" w:name="_Toc28797"/>
      <w:bookmarkStart w:id="243" w:name="_Toc24926"/>
      <w:bookmarkStart w:id="244" w:name="_Toc32439"/>
      <w:bookmarkStart w:id="245" w:name="_Toc13218"/>
      <w:bookmarkStart w:id="246" w:name="_Toc29534"/>
      <w:bookmarkStart w:id="247" w:name="_Toc31020"/>
      <w:bookmarkStart w:id="248" w:name="_Toc20504"/>
      <w:r>
        <w:rPr>
          <w:rFonts w:hint="eastAsia" w:ascii="微软雅黑" w:hAnsi="微软雅黑" w:eastAsia="微软雅黑" w:cs="微软雅黑"/>
          <w:bCs/>
          <w:color w:val="auto"/>
          <w:sz w:val="24"/>
          <w:highlight w:val="none"/>
        </w:rPr>
        <w:t>一、质疑供应商基本信息</w:t>
      </w:r>
      <w:bookmarkEnd w:id="240"/>
      <w:bookmarkEnd w:id="241"/>
      <w:bookmarkEnd w:id="242"/>
      <w:bookmarkEnd w:id="243"/>
      <w:bookmarkEnd w:id="244"/>
      <w:bookmarkEnd w:id="245"/>
      <w:bookmarkEnd w:id="246"/>
      <w:bookmarkEnd w:id="247"/>
      <w:bookmarkEnd w:id="248"/>
    </w:p>
    <w:p w14:paraId="2933F5FB">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r>
        <w:rPr>
          <w:rFonts w:hint="eastAsia" w:ascii="微软雅黑" w:hAnsi="微软雅黑" w:eastAsia="微软雅黑" w:cs="微软雅黑"/>
          <w:color w:val="auto"/>
          <w:sz w:val="24"/>
          <w:highlight w:val="none"/>
          <w:u w:val="dotted"/>
        </w:rPr>
        <w:t xml:space="preserve">                                        </w:t>
      </w:r>
    </w:p>
    <w:p w14:paraId="16FAB36F">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14:paraId="7B3A6C14">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p>
    <w:p w14:paraId="5B091862">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r>
        <w:rPr>
          <w:rFonts w:hint="eastAsia" w:ascii="微软雅黑" w:hAnsi="微软雅黑" w:eastAsia="微软雅黑" w:cs="微软雅黑"/>
          <w:color w:val="auto"/>
          <w:sz w:val="24"/>
          <w:highlight w:val="none"/>
          <w:u w:val="dotted"/>
        </w:rPr>
        <w:t xml:space="preserve">                                          </w:t>
      </w:r>
    </w:p>
    <w:p w14:paraId="37D90EA1">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p>
    <w:p w14:paraId="44B0AFA1">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地址： </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14:paraId="062C24A5">
      <w:pPr>
        <w:adjustRightInd w:val="0"/>
        <w:snapToGrid w:val="0"/>
        <w:spacing w:line="360" w:lineRule="auto"/>
        <w:rPr>
          <w:rFonts w:hint="eastAsia" w:ascii="微软雅黑" w:hAnsi="微软雅黑" w:eastAsia="微软雅黑" w:cs="微软雅黑"/>
          <w:bCs/>
          <w:color w:val="auto"/>
          <w:sz w:val="24"/>
          <w:highlight w:val="none"/>
        </w:rPr>
      </w:pPr>
      <w:bookmarkStart w:id="249" w:name="_Toc30222"/>
      <w:bookmarkStart w:id="250" w:name="_Toc4409"/>
      <w:bookmarkStart w:id="251" w:name="_Toc3694"/>
      <w:bookmarkStart w:id="252" w:name="_Toc27681"/>
      <w:bookmarkStart w:id="253" w:name="_Toc20123"/>
      <w:bookmarkStart w:id="254" w:name="_Toc226"/>
      <w:bookmarkStart w:id="255" w:name="_Toc31363"/>
      <w:bookmarkStart w:id="256" w:name="_Toc32083"/>
      <w:bookmarkStart w:id="257" w:name="_Toc12179"/>
      <w:r>
        <w:rPr>
          <w:rFonts w:hint="eastAsia" w:ascii="微软雅黑" w:hAnsi="微软雅黑" w:eastAsia="微软雅黑" w:cs="微软雅黑"/>
          <w:bCs/>
          <w:color w:val="auto"/>
          <w:sz w:val="24"/>
          <w:highlight w:val="none"/>
        </w:rPr>
        <w:t>二、质疑项目基本情况</w:t>
      </w:r>
      <w:bookmarkEnd w:id="249"/>
      <w:bookmarkEnd w:id="250"/>
      <w:bookmarkEnd w:id="251"/>
      <w:bookmarkEnd w:id="252"/>
      <w:bookmarkEnd w:id="253"/>
      <w:bookmarkEnd w:id="254"/>
      <w:bookmarkEnd w:id="255"/>
      <w:bookmarkEnd w:id="256"/>
      <w:bookmarkEnd w:id="257"/>
    </w:p>
    <w:p w14:paraId="6A506318">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r>
        <w:rPr>
          <w:rFonts w:hint="eastAsia" w:ascii="微软雅黑" w:hAnsi="微软雅黑" w:eastAsia="微软雅黑" w:cs="微软雅黑"/>
          <w:color w:val="auto"/>
          <w:sz w:val="24"/>
          <w:highlight w:val="none"/>
          <w:u w:val="dotted"/>
        </w:rPr>
        <w:t xml:space="preserve">                                     </w:t>
      </w:r>
    </w:p>
    <w:p w14:paraId="0F33D5FD">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包号：</w:t>
      </w:r>
      <w:r>
        <w:rPr>
          <w:rFonts w:hint="eastAsia" w:ascii="微软雅黑" w:hAnsi="微软雅黑" w:eastAsia="微软雅黑" w:cs="微软雅黑"/>
          <w:color w:val="auto"/>
          <w:sz w:val="24"/>
          <w:highlight w:val="none"/>
          <w:u w:val="dotted"/>
        </w:rPr>
        <w:t xml:space="preserve">                </w:t>
      </w:r>
    </w:p>
    <w:p w14:paraId="550C004B">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采购人名称：</w:t>
      </w:r>
      <w:r>
        <w:rPr>
          <w:rFonts w:hint="eastAsia" w:ascii="微软雅黑" w:hAnsi="微软雅黑" w:eastAsia="微软雅黑" w:cs="微软雅黑"/>
          <w:color w:val="auto"/>
          <w:sz w:val="24"/>
          <w:highlight w:val="none"/>
          <w:u w:val="dotted"/>
        </w:rPr>
        <w:t xml:space="preserve">                                         </w:t>
      </w:r>
    </w:p>
    <w:p w14:paraId="67EBD247">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获取日期：</w:t>
      </w:r>
      <w:r>
        <w:rPr>
          <w:rFonts w:hint="eastAsia" w:ascii="微软雅黑" w:hAnsi="微软雅黑" w:eastAsia="微软雅黑" w:cs="微软雅黑"/>
          <w:color w:val="auto"/>
          <w:sz w:val="24"/>
          <w:highlight w:val="none"/>
          <w:u w:val="dotted"/>
        </w:rPr>
        <w:t xml:space="preserve">                                   </w:t>
      </w:r>
    </w:p>
    <w:p w14:paraId="7BAA47BA">
      <w:pPr>
        <w:adjustRightInd w:val="0"/>
        <w:snapToGrid w:val="0"/>
        <w:spacing w:line="360" w:lineRule="auto"/>
        <w:rPr>
          <w:rFonts w:hint="eastAsia" w:ascii="微软雅黑" w:hAnsi="微软雅黑" w:eastAsia="微软雅黑" w:cs="微软雅黑"/>
          <w:bCs/>
          <w:color w:val="auto"/>
          <w:sz w:val="24"/>
          <w:highlight w:val="none"/>
        </w:rPr>
      </w:pPr>
      <w:bookmarkStart w:id="258" w:name="_Toc21644"/>
      <w:bookmarkStart w:id="259" w:name="_Toc17103"/>
      <w:bookmarkStart w:id="260" w:name="_Toc1349"/>
      <w:bookmarkStart w:id="261" w:name="_Toc12401"/>
      <w:bookmarkStart w:id="262" w:name="_Toc17475"/>
      <w:bookmarkStart w:id="263" w:name="_Toc4900"/>
      <w:bookmarkStart w:id="264" w:name="_Toc4978"/>
      <w:r>
        <w:rPr>
          <w:rFonts w:hint="eastAsia" w:ascii="微软雅黑" w:hAnsi="微软雅黑" w:eastAsia="微软雅黑" w:cs="微软雅黑"/>
          <w:bCs/>
          <w:color w:val="auto"/>
          <w:sz w:val="24"/>
          <w:highlight w:val="none"/>
        </w:rPr>
        <w:t>三、质疑事项具体内容</w:t>
      </w:r>
      <w:bookmarkEnd w:id="258"/>
      <w:bookmarkEnd w:id="259"/>
      <w:bookmarkEnd w:id="260"/>
      <w:bookmarkEnd w:id="261"/>
      <w:bookmarkEnd w:id="262"/>
      <w:bookmarkEnd w:id="263"/>
      <w:bookmarkEnd w:id="264"/>
    </w:p>
    <w:p w14:paraId="2058A9F9">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r>
        <w:rPr>
          <w:rFonts w:hint="eastAsia" w:ascii="微软雅黑" w:hAnsi="微软雅黑" w:eastAsia="微软雅黑" w:cs="微软雅黑"/>
          <w:color w:val="auto"/>
          <w:sz w:val="24"/>
          <w:highlight w:val="none"/>
          <w:u w:val="dotted"/>
        </w:rPr>
        <w:t xml:space="preserve">                                      </w:t>
      </w:r>
    </w:p>
    <w:p w14:paraId="10754DA4">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事实依据：</w:t>
      </w:r>
      <w:r>
        <w:rPr>
          <w:rFonts w:hint="eastAsia" w:ascii="微软雅黑" w:hAnsi="微软雅黑" w:eastAsia="微软雅黑" w:cs="微软雅黑"/>
          <w:color w:val="auto"/>
          <w:sz w:val="24"/>
          <w:highlight w:val="none"/>
          <w:u w:val="dotted"/>
        </w:rPr>
        <w:t xml:space="preserve">                                        </w:t>
      </w:r>
    </w:p>
    <w:p w14:paraId="76BB8F3B">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法律依据：</w:t>
      </w:r>
      <w:r>
        <w:rPr>
          <w:rFonts w:hint="eastAsia" w:ascii="微软雅黑" w:hAnsi="微软雅黑" w:eastAsia="微软雅黑" w:cs="微软雅黑"/>
          <w:color w:val="auto"/>
          <w:sz w:val="24"/>
          <w:highlight w:val="none"/>
          <w:u w:val="dotted"/>
        </w:rPr>
        <w:t xml:space="preserve">                                        </w:t>
      </w:r>
    </w:p>
    <w:p w14:paraId="74514BA4">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r>
        <w:rPr>
          <w:rFonts w:hint="eastAsia" w:ascii="微软雅黑" w:hAnsi="微软雅黑" w:eastAsia="微软雅黑" w:cs="微软雅黑"/>
          <w:color w:val="auto"/>
          <w:sz w:val="24"/>
          <w:highlight w:val="none"/>
          <w:u w:val="dotted"/>
        </w:rPr>
        <w:t xml:space="preserve">                                        </w:t>
      </w:r>
    </w:p>
    <w:p w14:paraId="7F9C95C2">
      <w:pPr>
        <w:adjustRightInd w:val="0"/>
        <w:snapToGrid w:val="0"/>
        <w:spacing w:line="360" w:lineRule="auto"/>
        <w:rPr>
          <w:rFonts w:hint="eastAsia" w:ascii="微软雅黑" w:hAnsi="微软雅黑" w:eastAsia="微软雅黑" w:cs="微软雅黑"/>
          <w:bCs/>
          <w:color w:val="auto"/>
          <w:sz w:val="24"/>
          <w:highlight w:val="none"/>
        </w:rPr>
      </w:pPr>
      <w:bookmarkStart w:id="265" w:name="_Toc15774"/>
      <w:bookmarkStart w:id="266" w:name="_Toc14716"/>
      <w:bookmarkStart w:id="267" w:name="_Toc19138"/>
      <w:bookmarkStart w:id="268" w:name="_Toc11711"/>
      <w:bookmarkStart w:id="269" w:name="_Toc31962"/>
      <w:bookmarkStart w:id="270" w:name="_Toc19561"/>
      <w:bookmarkStart w:id="271" w:name="_Toc12953"/>
      <w:bookmarkStart w:id="272" w:name="_Toc30785"/>
      <w:bookmarkStart w:id="273" w:name="_Toc11725"/>
      <w:r>
        <w:rPr>
          <w:rFonts w:hint="eastAsia" w:ascii="微软雅黑" w:hAnsi="微软雅黑" w:eastAsia="微软雅黑" w:cs="微软雅黑"/>
          <w:bCs/>
          <w:color w:val="auto"/>
          <w:sz w:val="24"/>
          <w:highlight w:val="none"/>
        </w:rPr>
        <w:t>四、与质疑事项相关的质疑请求</w:t>
      </w:r>
      <w:bookmarkEnd w:id="265"/>
      <w:bookmarkEnd w:id="266"/>
      <w:bookmarkEnd w:id="267"/>
      <w:bookmarkEnd w:id="268"/>
      <w:bookmarkEnd w:id="269"/>
      <w:bookmarkEnd w:id="270"/>
      <w:bookmarkEnd w:id="271"/>
      <w:bookmarkEnd w:id="272"/>
      <w:bookmarkEnd w:id="273"/>
    </w:p>
    <w:p w14:paraId="6FD766DD">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请求：</w:t>
      </w:r>
      <w:r>
        <w:rPr>
          <w:rFonts w:hint="eastAsia" w:ascii="微软雅黑" w:hAnsi="微软雅黑" w:eastAsia="微软雅黑" w:cs="微软雅黑"/>
          <w:color w:val="auto"/>
          <w:sz w:val="24"/>
          <w:highlight w:val="none"/>
          <w:u w:val="dotted"/>
        </w:rPr>
        <w:t xml:space="preserve">                                               </w:t>
      </w:r>
    </w:p>
    <w:p w14:paraId="1F162108">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签字(签章)：                   公章：                      </w:t>
      </w:r>
    </w:p>
    <w:p w14:paraId="7726A6D6">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14:paraId="21D29A32">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14:paraId="28C92D7C">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14:paraId="2F9ACCE4">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14:paraId="0B8E3A2F">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14:paraId="04113223">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14:paraId="40F47BE5">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14:paraId="2A5CA952">
      <w:pPr>
        <w:widowControl/>
        <w:ind w:firstLine="480" w:firstLineChars="200"/>
        <w:jc w:val="left"/>
        <w:rPr>
          <w:rFonts w:hint="eastAsia" w:ascii="微软雅黑" w:hAnsi="微软雅黑" w:eastAsia="微软雅黑" w:cs="微软雅黑"/>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微软雅黑" w:hAnsi="微软雅黑" w:eastAsia="微软雅黑" w:cs="微软雅黑"/>
          <w:color w:val="auto"/>
          <w:sz w:val="24"/>
          <w:highlight w:val="none"/>
        </w:rPr>
        <w:t>6.质疑供应商为自然人的，质疑函应由本人签字；质疑供应商为法人或者其他组织的，质疑函应由法定代表人、主要负责人，或者其授权代表签字或者盖章，并加盖公章。</w:t>
      </w:r>
    </w:p>
    <w:p w14:paraId="0499456A">
      <w:pPr>
        <w:pStyle w:val="4"/>
        <w:pageBreakBefore w:val="0"/>
        <w:kinsoku/>
        <w:overflowPunct/>
        <w:bidi w:val="0"/>
        <w:snapToGrid w:val="0"/>
        <w:spacing w:before="0" w:line="312" w:lineRule="auto"/>
        <w:jc w:val="center"/>
        <w:rPr>
          <w:rFonts w:hint="eastAsia" w:ascii="微软雅黑" w:hAnsi="微软雅黑" w:eastAsia="微软雅黑" w:cs="微软雅黑"/>
          <w:i w:val="0"/>
          <w:iCs w:val="0"/>
          <w:color w:val="auto"/>
          <w:szCs w:val="24"/>
          <w:highlight w:val="none"/>
        </w:rPr>
      </w:pPr>
      <w:r>
        <w:rPr>
          <w:rFonts w:hint="eastAsia" w:ascii="微软雅黑" w:hAnsi="微软雅黑" w:eastAsia="微软雅黑" w:cs="微软雅黑"/>
          <w:i w:val="0"/>
          <w:iCs w:val="0"/>
          <w:color w:val="auto"/>
          <w:szCs w:val="24"/>
          <w:highlight w:val="none"/>
        </w:rPr>
        <w:t>附件1：履约保证金保函</w:t>
      </w:r>
      <w:bookmarkEnd w:id="231"/>
      <w:bookmarkEnd w:id="232"/>
      <w:bookmarkEnd w:id="233"/>
      <w:bookmarkEnd w:id="234"/>
      <w:bookmarkEnd w:id="235"/>
      <w:bookmarkEnd w:id="236"/>
      <w:bookmarkEnd w:id="237"/>
      <w:bookmarkEnd w:id="238"/>
      <w:bookmarkEnd w:id="239"/>
    </w:p>
    <w:p w14:paraId="30303EAF">
      <w:pPr>
        <w:pStyle w:val="15"/>
        <w:pageBreakBefore w:val="0"/>
        <w:kinsoku/>
        <w:overflowPunct/>
        <w:bidi w:val="0"/>
        <w:snapToGrid w:val="0"/>
        <w:spacing w:line="312" w:lineRule="auto"/>
        <w:ind w:left="1079" w:leftChars="257" w:hanging="540"/>
        <w:rPr>
          <w:rFonts w:hint="eastAsia" w:ascii="微软雅黑" w:hAnsi="微软雅黑" w:eastAsia="微软雅黑" w:cs="微软雅黑"/>
          <w:b/>
          <w:i w:val="0"/>
          <w:iCs w:val="0"/>
          <w:color w:val="auto"/>
          <w:sz w:val="24"/>
          <w:highlight w:val="none"/>
        </w:rPr>
      </w:pPr>
      <w:r>
        <w:rPr>
          <w:rFonts w:hint="eastAsia" w:ascii="微软雅黑" w:hAnsi="微软雅黑" w:eastAsia="微软雅黑" w:cs="微软雅黑"/>
          <w:b/>
          <w:i w:val="0"/>
          <w:iCs w:val="0"/>
          <w:color w:val="auto"/>
          <w:sz w:val="24"/>
          <w:highlight w:val="none"/>
        </w:rPr>
        <w:t xml:space="preserve">                         （</w:t>
      </w:r>
      <w:r>
        <w:rPr>
          <w:rFonts w:hint="eastAsia" w:ascii="微软雅黑" w:hAnsi="微软雅黑" w:eastAsia="微软雅黑" w:cs="微软雅黑"/>
          <w:b/>
          <w:i w:val="0"/>
          <w:iCs w:val="0"/>
          <w:color w:val="auto"/>
          <w:sz w:val="24"/>
          <w:highlight w:val="none"/>
          <w:lang w:val="en-US" w:eastAsia="zh-CN"/>
        </w:rPr>
        <w:t>成交</w:t>
      </w:r>
      <w:r>
        <w:rPr>
          <w:rFonts w:hint="eastAsia" w:ascii="微软雅黑" w:hAnsi="微软雅黑" w:eastAsia="微软雅黑" w:cs="微软雅黑"/>
          <w:b/>
          <w:i w:val="0"/>
          <w:iCs w:val="0"/>
          <w:color w:val="auto"/>
          <w:sz w:val="24"/>
          <w:highlight w:val="none"/>
        </w:rPr>
        <w:t>后开具）</w:t>
      </w:r>
    </w:p>
    <w:p w14:paraId="4D0CB4E6">
      <w:pPr>
        <w:pStyle w:val="15"/>
        <w:pageBreakBefore w:val="0"/>
        <w:kinsoku/>
        <w:overflowPunct/>
        <w:bidi w:val="0"/>
        <w:snapToGrid w:val="0"/>
        <w:spacing w:line="312"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致: (</w:t>
      </w:r>
      <w:r>
        <w:rPr>
          <w:rFonts w:hint="eastAsia" w:ascii="微软雅黑" w:hAnsi="微软雅黑" w:eastAsia="微软雅黑" w:cs="微软雅黑"/>
          <w:i w:val="0"/>
          <w:iCs w:val="0"/>
          <w:color w:val="auto"/>
          <w:sz w:val="24"/>
          <w:highlight w:val="none"/>
          <w:u w:val="single"/>
          <w:lang w:eastAsia="zh-CN"/>
        </w:rPr>
        <w:t>采购人</w:t>
      </w:r>
      <w:r>
        <w:rPr>
          <w:rFonts w:hint="eastAsia" w:ascii="微软雅黑" w:hAnsi="微软雅黑" w:eastAsia="微软雅黑" w:cs="微软雅黑"/>
          <w:i w:val="0"/>
          <w:iCs w:val="0"/>
          <w:color w:val="auto"/>
          <w:sz w:val="24"/>
          <w:highlight w:val="none"/>
        </w:rPr>
        <w:t>)</w:t>
      </w:r>
    </w:p>
    <w:p w14:paraId="031A12F7">
      <w:pPr>
        <w:pStyle w:val="15"/>
        <w:pageBreakBefore w:val="0"/>
        <w:kinsoku/>
        <w:overflowPunct/>
        <w:bidi w:val="0"/>
        <w:snapToGrid w:val="0"/>
        <w:spacing w:line="312" w:lineRule="auto"/>
        <w:ind w:left="1079" w:leftChars="257" w:hanging="540"/>
        <w:jc w:val="center"/>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号合同履约保函</w:t>
      </w:r>
    </w:p>
    <w:p w14:paraId="309515F3">
      <w:pPr>
        <w:pStyle w:val="15"/>
        <w:pageBreakBefore w:val="0"/>
        <w:kinsoku/>
        <w:overflowPunct/>
        <w:bidi w:val="0"/>
        <w:snapToGrid w:val="0"/>
        <w:spacing w:line="312" w:lineRule="auto"/>
        <w:ind w:firstLine="600" w:firstLineChars="25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本保函作为贵方与(</w:t>
      </w:r>
      <w:r>
        <w:rPr>
          <w:rFonts w:hint="eastAsia" w:ascii="微软雅黑" w:hAnsi="微软雅黑" w:eastAsia="微软雅黑" w:cs="微软雅黑"/>
          <w:i w:val="0"/>
          <w:iCs w:val="0"/>
          <w:color w:val="auto"/>
          <w:sz w:val="24"/>
          <w:highlight w:val="none"/>
          <w:u w:val="single"/>
          <w:lang w:eastAsia="zh-CN"/>
        </w:rPr>
        <w:t>采购人</w:t>
      </w:r>
      <w:r>
        <w:rPr>
          <w:rFonts w:hint="eastAsia" w:ascii="微软雅黑" w:hAnsi="微软雅黑" w:eastAsia="微软雅黑" w:cs="微软雅黑"/>
          <w:i w:val="0"/>
          <w:iCs w:val="0"/>
          <w:color w:val="auto"/>
          <w:sz w:val="24"/>
          <w:highlight w:val="none"/>
        </w:rPr>
        <w:t>)(以下简称卖方)于</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年</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月</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日就</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项目(以下简称项目)项下提供(</w:t>
      </w:r>
      <w:r>
        <w:rPr>
          <w:rFonts w:hint="eastAsia" w:ascii="微软雅黑" w:hAnsi="微软雅黑" w:eastAsia="微软雅黑" w:cs="微软雅黑"/>
          <w:i w:val="0"/>
          <w:iCs w:val="0"/>
          <w:color w:val="auto"/>
          <w:sz w:val="24"/>
          <w:highlight w:val="none"/>
          <w:u w:val="single"/>
          <w:lang w:val="en-US" w:eastAsia="zh-CN"/>
        </w:rPr>
        <w:t>项目</w:t>
      </w:r>
      <w:r>
        <w:rPr>
          <w:rFonts w:hint="eastAsia" w:ascii="微软雅黑" w:hAnsi="微软雅黑" w:eastAsia="微软雅黑" w:cs="微软雅黑"/>
          <w:i w:val="0"/>
          <w:iCs w:val="0"/>
          <w:color w:val="auto"/>
          <w:sz w:val="24"/>
          <w:highlight w:val="none"/>
          <w:u w:val="single"/>
        </w:rPr>
        <w:t>名称</w:t>
      </w:r>
      <w:r>
        <w:rPr>
          <w:rFonts w:hint="eastAsia" w:ascii="微软雅黑" w:hAnsi="微软雅黑" w:eastAsia="微软雅黑" w:cs="微软雅黑"/>
          <w:i w:val="0"/>
          <w:iCs w:val="0"/>
          <w:color w:val="auto"/>
          <w:sz w:val="24"/>
          <w:highlight w:val="none"/>
        </w:rPr>
        <w:t>)(以下简称</w:t>
      </w:r>
      <w:r>
        <w:rPr>
          <w:rFonts w:hint="eastAsia" w:ascii="微软雅黑" w:hAnsi="微软雅黑" w:eastAsia="微软雅黑" w:cs="微软雅黑"/>
          <w:i w:val="0"/>
          <w:iCs w:val="0"/>
          <w:color w:val="auto"/>
          <w:sz w:val="24"/>
          <w:highlight w:val="none"/>
          <w:lang w:val="en-US" w:eastAsia="zh-CN"/>
        </w:rPr>
        <w:t>项目</w:t>
      </w:r>
      <w:r>
        <w:rPr>
          <w:rFonts w:hint="eastAsia" w:ascii="微软雅黑" w:hAnsi="微软雅黑" w:eastAsia="微软雅黑" w:cs="微软雅黑"/>
          <w:i w:val="0"/>
          <w:iCs w:val="0"/>
          <w:color w:val="auto"/>
          <w:sz w:val="24"/>
          <w:highlight w:val="none"/>
        </w:rPr>
        <w:t>)签订的(</w:t>
      </w:r>
      <w:r>
        <w:rPr>
          <w:rFonts w:hint="eastAsia" w:ascii="微软雅黑" w:hAnsi="微软雅黑" w:eastAsia="微软雅黑" w:cs="微软雅黑"/>
          <w:i w:val="0"/>
          <w:iCs w:val="0"/>
          <w:color w:val="auto"/>
          <w:sz w:val="24"/>
          <w:highlight w:val="none"/>
          <w:u w:val="single"/>
        </w:rPr>
        <w:t>合同号</w:t>
      </w:r>
      <w:r>
        <w:rPr>
          <w:rFonts w:hint="eastAsia" w:ascii="微软雅黑" w:hAnsi="微软雅黑" w:eastAsia="微软雅黑" w:cs="微软雅黑"/>
          <w:i w:val="0"/>
          <w:iCs w:val="0"/>
          <w:color w:val="auto"/>
          <w:sz w:val="24"/>
          <w:highlight w:val="none"/>
        </w:rPr>
        <w:t>)号合同的履约保函。</w:t>
      </w:r>
    </w:p>
    <w:p w14:paraId="4D414C4D">
      <w:pPr>
        <w:pStyle w:val="15"/>
        <w:pageBreakBefore w:val="0"/>
        <w:kinsoku/>
        <w:overflowPunct/>
        <w:bidi w:val="0"/>
        <w:snapToGrid w:val="0"/>
        <w:spacing w:line="312" w:lineRule="auto"/>
        <w:ind w:firstLine="540" w:firstLineChars="225"/>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w:t>
      </w:r>
      <w:r>
        <w:rPr>
          <w:rFonts w:hint="eastAsia" w:ascii="微软雅黑" w:hAnsi="微软雅黑" w:eastAsia="微软雅黑" w:cs="微软雅黑"/>
          <w:i w:val="0"/>
          <w:iCs w:val="0"/>
          <w:color w:val="auto"/>
          <w:sz w:val="24"/>
          <w:highlight w:val="none"/>
          <w:u w:val="single"/>
        </w:rPr>
        <w:t>出具保函的银行名称</w:t>
      </w:r>
      <w:r>
        <w:rPr>
          <w:rFonts w:hint="eastAsia" w:ascii="微软雅黑" w:hAnsi="微软雅黑" w:eastAsia="微软雅黑" w:cs="微软雅黑"/>
          <w:i w:val="0"/>
          <w:iCs w:val="0"/>
          <w:color w:val="auto"/>
          <w:sz w:val="24"/>
          <w:highlight w:val="none"/>
        </w:rPr>
        <w:t>)(以下简称银行)无条件地、不可撤销地具结保证本行、其继承人和受让人无追索地向贵方以(</w:t>
      </w:r>
      <w:r>
        <w:rPr>
          <w:rFonts w:hint="eastAsia" w:ascii="微软雅黑" w:hAnsi="微软雅黑" w:eastAsia="微软雅黑" w:cs="微软雅黑"/>
          <w:i w:val="0"/>
          <w:iCs w:val="0"/>
          <w:color w:val="auto"/>
          <w:sz w:val="24"/>
          <w:highlight w:val="none"/>
          <w:u w:val="single"/>
        </w:rPr>
        <w:t>货币名称</w:t>
      </w:r>
      <w:r>
        <w:rPr>
          <w:rFonts w:hint="eastAsia" w:ascii="微软雅黑" w:hAnsi="微软雅黑" w:eastAsia="微软雅黑" w:cs="微软雅黑"/>
          <w:i w:val="0"/>
          <w:iCs w:val="0"/>
          <w:color w:val="auto"/>
          <w:sz w:val="24"/>
          <w:highlight w:val="none"/>
        </w:rPr>
        <w:t>)支付总额不超过(</w:t>
      </w:r>
      <w:r>
        <w:rPr>
          <w:rFonts w:hint="eastAsia" w:ascii="微软雅黑" w:hAnsi="微软雅黑" w:eastAsia="微软雅黑" w:cs="微软雅黑"/>
          <w:i w:val="0"/>
          <w:iCs w:val="0"/>
          <w:color w:val="auto"/>
          <w:sz w:val="24"/>
          <w:highlight w:val="none"/>
          <w:u w:val="single"/>
        </w:rPr>
        <w:t>货币数量</w:t>
      </w:r>
      <w:r>
        <w:rPr>
          <w:rFonts w:hint="eastAsia" w:ascii="微软雅黑" w:hAnsi="微软雅黑" w:eastAsia="微软雅黑" w:cs="微软雅黑"/>
          <w:i w:val="0"/>
          <w:iCs w:val="0"/>
          <w:color w:val="auto"/>
          <w:sz w:val="24"/>
          <w:highlight w:val="none"/>
        </w:rPr>
        <w:t>),即相当于合同价格的</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%,并以此约定如下:</w:t>
      </w:r>
    </w:p>
    <w:p w14:paraId="3363D376">
      <w:pPr>
        <w:pStyle w:val="15"/>
        <w:pageBreakBefore w:val="0"/>
        <w:kinsoku/>
        <w:overflowPunct/>
        <w:bidi w:val="0"/>
        <w:snapToGrid w:val="0"/>
        <w:spacing w:line="312" w:lineRule="auto"/>
        <w:ind w:left="539" w:leftChars="257"/>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263AAAE3">
      <w:pPr>
        <w:pStyle w:val="15"/>
        <w:pageBreakBefore w:val="0"/>
        <w:kinsoku/>
        <w:overflowPunct/>
        <w:bidi w:val="0"/>
        <w:snapToGrid w:val="0"/>
        <w:spacing w:line="312" w:lineRule="auto"/>
        <w:ind w:left="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3F26FDA6">
      <w:pPr>
        <w:pStyle w:val="15"/>
        <w:pageBreakBefore w:val="0"/>
        <w:kinsoku/>
        <w:overflowPunct/>
        <w:bidi w:val="0"/>
        <w:snapToGrid w:val="0"/>
        <w:spacing w:line="312" w:lineRule="auto"/>
        <w:ind w:left="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4E4CE99">
      <w:pPr>
        <w:pStyle w:val="15"/>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4.本保函在本合同规定的保证期期满前完全有效。</w:t>
      </w:r>
    </w:p>
    <w:p w14:paraId="7DE92F9C">
      <w:pPr>
        <w:pStyle w:val="15"/>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谨启</w:t>
      </w:r>
    </w:p>
    <w:p w14:paraId="4533E922">
      <w:pPr>
        <w:pStyle w:val="15"/>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出具保函银行名称：</w:t>
      </w:r>
      <w:r>
        <w:rPr>
          <w:rFonts w:hint="eastAsia" w:ascii="微软雅黑" w:hAnsi="微软雅黑" w:eastAsia="微软雅黑" w:cs="微软雅黑"/>
          <w:i w:val="0"/>
          <w:iCs w:val="0"/>
          <w:color w:val="auto"/>
          <w:sz w:val="24"/>
          <w:highlight w:val="none"/>
          <w:u w:val="single"/>
        </w:rPr>
        <w:t xml:space="preserve">                             </w:t>
      </w:r>
    </w:p>
    <w:p w14:paraId="73E51189">
      <w:pPr>
        <w:pStyle w:val="15"/>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u w:val="single"/>
        </w:rPr>
      </w:pPr>
      <w:r>
        <w:rPr>
          <w:rFonts w:hint="eastAsia" w:ascii="微软雅黑" w:hAnsi="微软雅黑" w:eastAsia="微软雅黑" w:cs="微软雅黑"/>
          <w:i w:val="0"/>
          <w:iCs w:val="0"/>
          <w:color w:val="auto"/>
          <w:sz w:val="24"/>
          <w:highlight w:val="none"/>
        </w:rPr>
        <w:t>签字人姓名和职务：</w:t>
      </w:r>
      <w:r>
        <w:rPr>
          <w:rFonts w:hint="eastAsia" w:ascii="微软雅黑" w:hAnsi="微软雅黑" w:eastAsia="微软雅黑" w:cs="微软雅黑"/>
          <w:i w:val="0"/>
          <w:iCs w:val="0"/>
          <w:color w:val="auto"/>
          <w:sz w:val="24"/>
          <w:highlight w:val="none"/>
          <w:u w:val="single"/>
        </w:rPr>
        <w:t xml:space="preserve">                             </w:t>
      </w:r>
    </w:p>
    <w:p w14:paraId="0960B962">
      <w:pPr>
        <w:pStyle w:val="15"/>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签字人签名：</w:t>
      </w:r>
      <w:r>
        <w:rPr>
          <w:rFonts w:hint="eastAsia" w:ascii="微软雅黑" w:hAnsi="微软雅黑" w:eastAsia="微软雅黑" w:cs="微软雅黑"/>
          <w:i w:val="0"/>
          <w:iCs w:val="0"/>
          <w:color w:val="auto"/>
          <w:sz w:val="24"/>
          <w:highlight w:val="none"/>
          <w:u w:val="single"/>
        </w:rPr>
        <w:t xml:space="preserve">                                   </w:t>
      </w:r>
    </w:p>
    <w:p w14:paraId="58B42CA0">
      <w:pPr>
        <w:pStyle w:val="15"/>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u w:val="single"/>
        </w:rPr>
      </w:pPr>
      <w:r>
        <w:rPr>
          <w:rFonts w:hint="eastAsia" w:ascii="微软雅黑" w:hAnsi="微软雅黑" w:eastAsia="微软雅黑" w:cs="微软雅黑"/>
          <w:i w:val="0"/>
          <w:iCs w:val="0"/>
          <w:color w:val="auto"/>
          <w:sz w:val="24"/>
          <w:highlight w:val="none"/>
        </w:rPr>
        <w:t>公章：</w:t>
      </w:r>
      <w:r>
        <w:rPr>
          <w:rFonts w:hint="eastAsia" w:ascii="微软雅黑" w:hAnsi="微软雅黑" w:eastAsia="微软雅黑" w:cs="微软雅黑"/>
          <w:i w:val="0"/>
          <w:iCs w:val="0"/>
          <w:color w:val="auto"/>
          <w:sz w:val="24"/>
          <w:highlight w:val="none"/>
          <w:u w:val="single"/>
        </w:rPr>
        <w:t xml:space="preserve">                                         </w:t>
      </w:r>
    </w:p>
    <w:p w14:paraId="49FECD27">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i w:val="0"/>
          <w:iCs w:val="0"/>
          <w:color w:val="auto"/>
          <w:szCs w:val="24"/>
          <w:highlight w:val="none"/>
        </w:rPr>
      </w:pPr>
      <w:r>
        <w:rPr>
          <w:rFonts w:hint="eastAsia" w:ascii="微软雅黑" w:hAnsi="微软雅黑" w:eastAsia="微软雅黑" w:cs="微软雅黑"/>
          <w:i w:val="0"/>
          <w:iCs w:val="0"/>
          <w:color w:val="auto"/>
          <w:highlight w:val="none"/>
        </w:rPr>
        <w:br w:type="page"/>
      </w:r>
      <w:bookmarkStart w:id="274" w:name="_Toc5921"/>
      <w:bookmarkStart w:id="275" w:name="_Toc14838"/>
      <w:bookmarkStart w:id="276" w:name="_Toc10951"/>
      <w:bookmarkStart w:id="277" w:name="_Toc7839"/>
      <w:bookmarkStart w:id="278" w:name="_Toc26756"/>
      <w:bookmarkStart w:id="279" w:name="_Toc515647800"/>
      <w:bookmarkStart w:id="280" w:name="_Toc5471"/>
      <w:bookmarkStart w:id="281" w:name="_Toc31409"/>
      <w:bookmarkStart w:id="282" w:name="_Toc20214"/>
      <w:bookmarkStart w:id="283" w:name="_Toc2673"/>
      <w:bookmarkStart w:id="284" w:name="_Toc1716"/>
      <w:bookmarkStart w:id="285" w:name="_Toc6548"/>
      <w:r>
        <w:rPr>
          <w:rFonts w:hint="eastAsia" w:ascii="微软雅黑" w:hAnsi="微软雅黑" w:eastAsia="微软雅黑" w:cs="微软雅黑"/>
          <w:i w:val="0"/>
          <w:iCs w:val="0"/>
          <w:color w:val="auto"/>
          <w:szCs w:val="24"/>
          <w:highlight w:val="none"/>
        </w:rPr>
        <w:t>附件2：</w:t>
      </w:r>
      <w:bookmarkEnd w:id="274"/>
      <w:bookmarkEnd w:id="275"/>
      <w:bookmarkEnd w:id="276"/>
      <w:bookmarkEnd w:id="277"/>
      <w:bookmarkEnd w:id="278"/>
      <w:bookmarkEnd w:id="279"/>
      <w:bookmarkEnd w:id="280"/>
      <w:bookmarkEnd w:id="281"/>
      <w:bookmarkEnd w:id="282"/>
      <w:bookmarkEnd w:id="283"/>
      <w:bookmarkEnd w:id="284"/>
      <w:bookmarkEnd w:id="285"/>
      <w:r>
        <w:rPr>
          <w:rFonts w:hint="eastAsia" w:ascii="微软雅黑" w:hAnsi="微软雅黑" w:eastAsia="微软雅黑" w:cs="微软雅黑"/>
          <w:i w:val="0"/>
          <w:iCs w:val="0"/>
          <w:color w:val="auto"/>
          <w:szCs w:val="24"/>
          <w:highlight w:val="none"/>
        </w:rPr>
        <w:t>政府采购履约担保函</w:t>
      </w:r>
    </w:p>
    <w:p w14:paraId="4E46BF35">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i w:val="0"/>
          <w:iCs w:val="0"/>
          <w:color w:val="auto"/>
          <w:kern w:val="0"/>
          <w:sz w:val="24"/>
          <w:szCs w:val="20"/>
          <w:highlight w:val="none"/>
        </w:rPr>
      </w:pPr>
      <w:bookmarkStart w:id="286" w:name="_Toc25430"/>
      <w:bookmarkStart w:id="287" w:name="_Toc1295"/>
      <w:bookmarkStart w:id="288" w:name="_Toc8931"/>
      <w:bookmarkStart w:id="289" w:name="_Toc515647801"/>
      <w:bookmarkStart w:id="290" w:name="_Toc25749"/>
      <w:bookmarkStart w:id="291" w:name="_Toc27725"/>
      <w:bookmarkStart w:id="292" w:name="_Toc13962"/>
      <w:bookmarkStart w:id="293" w:name="_Toc21940"/>
      <w:bookmarkStart w:id="294" w:name="_Toc13654"/>
      <w:bookmarkStart w:id="295" w:name="_Toc162"/>
      <w:bookmarkStart w:id="296" w:name="_Toc28164"/>
      <w:bookmarkStart w:id="297" w:name="_Toc6828"/>
      <w:r>
        <w:rPr>
          <w:rFonts w:hint="eastAsia" w:ascii="微软雅黑" w:hAnsi="微软雅黑" w:eastAsia="微软雅黑" w:cs="微软雅黑"/>
          <w:i w:val="0"/>
          <w:iCs w:val="0"/>
          <w:color w:val="auto"/>
          <w:szCs w:val="24"/>
          <w:highlight w:val="none"/>
        </w:rPr>
        <w:t>（采用政府采购信用担保形式时使用）</w:t>
      </w:r>
      <w:bookmarkEnd w:id="286"/>
      <w:bookmarkEnd w:id="287"/>
      <w:bookmarkEnd w:id="288"/>
      <w:bookmarkEnd w:id="289"/>
      <w:bookmarkEnd w:id="290"/>
      <w:bookmarkEnd w:id="291"/>
      <w:bookmarkEnd w:id="292"/>
      <w:bookmarkEnd w:id="293"/>
      <w:bookmarkEnd w:id="294"/>
      <w:bookmarkEnd w:id="295"/>
      <w:bookmarkEnd w:id="296"/>
      <w:bookmarkEnd w:id="297"/>
    </w:p>
    <w:p w14:paraId="1A6E0E5D">
      <w:pPr>
        <w:pageBreakBefore w:val="0"/>
        <w:kinsoku/>
        <w:overflowPunct/>
        <w:bidi w:val="0"/>
        <w:snapToGrid w:val="0"/>
        <w:spacing w:line="240" w:lineRule="auto"/>
        <w:jc w:val="center"/>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政府采购履约担保函</w:t>
      </w:r>
    </w:p>
    <w:p w14:paraId="4779218B">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 xml:space="preserve">                                                   编号：</w:t>
      </w:r>
    </w:p>
    <w:p w14:paraId="331A0F55">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（采购人）：</w:t>
      </w:r>
    </w:p>
    <w:p w14:paraId="0FEE21C3">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鉴于你方与</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（以下简称</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）于</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年</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月</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日签定编号为   的《</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政府采购合同》（以下简称主合同），且依据该合同的约定，</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应在</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年</w:t>
      </w:r>
    </w:p>
    <w:p w14:paraId="768B378D">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月</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日前向你方交纳履约保证金，且可以履约担保函的形式交纳履约保证金。应</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的申请，我方以保证的方式向你方提供如下履约保证金担保：</w:t>
      </w:r>
    </w:p>
    <w:p w14:paraId="652259D5">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一、保证责任的情形及保证金额</w:t>
      </w:r>
    </w:p>
    <w:p w14:paraId="3809FE8C">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（一）在</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出现下列情形之一时，我方承担保证责任：</w:t>
      </w:r>
    </w:p>
    <w:p w14:paraId="21949254">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1．将中标项目转让给他人，或者在</w:t>
      </w:r>
      <w:r>
        <w:rPr>
          <w:rFonts w:hint="eastAsia" w:ascii="微软雅黑" w:hAnsi="微软雅黑" w:eastAsia="微软雅黑" w:cs="微软雅黑"/>
          <w:i w:val="0"/>
          <w:iCs w:val="0"/>
          <w:color w:val="auto"/>
          <w:sz w:val="24"/>
          <w:highlight w:val="none"/>
          <w:lang w:eastAsia="zh-CN"/>
        </w:rPr>
        <w:t>响应文件</w:t>
      </w:r>
      <w:r>
        <w:rPr>
          <w:rFonts w:hint="eastAsia" w:ascii="微软雅黑" w:hAnsi="微软雅黑" w:eastAsia="微软雅黑" w:cs="微软雅黑"/>
          <w:i w:val="0"/>
          <w:iCs w:val="0"/>
          <w:color w:val="auto"/>
          <w:sz w:val="24"/>
          <w:highlight w:val="none"/>
        </w:rPr>
        <w:t>中未说明，且未经采购招标机构人同意，将中标项目分包给他人的；</w:t>
      </w:r>
    </w:p>
    <w:p w14:paraId="50B7E19E">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 xml:space="preserve">　　2．主合同约定的应当缴纳履约保证金的情形: </w:t>
      </w:r>
    </w:p>
    <w:p w14:paraId="37F20EFE">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（1）未按主合同约定的质量、数量和期限供应货物/提供服务/完成工程的；</w:t>
      </w:r>
    </w:p>
    <w:p w14:paraId="1F8C139C">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w:t>
      </w:r>
    </w:p>
    <w:p w14:paraId="72C7CC28">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（二）我方的保证范围是主合同约定的合同价款总额的</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%数额为</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元（大写</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），币种为</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。（即主合同履约保证金金额）</w:t>
      </w:r>
    </w:p>
    <w:p w14:paraId="056E1BA4">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二、保证的方式及保证期间</w:t>
      </w:r>
    </w:p>
    <w:p w14:paraId="5AFC4971">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我方保证的方式为：连带责任保证。</w:t>
      </w:r>
    </w:p>
    <w:p w14:paraId="40B5FD2A">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我方保证的期间为：自本合同生效之日起至</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按照主合同约定的供货/完工期限届满后</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日内。</w:t>
      </w:r>
    </w:p>
    <w:p w14:paraId="06475695">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如果</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未按主合同约定向贵方供应货物/提供服务/完成工程的，由我方在保证金额内向你方支付上述款项。</w:t>
      </w:r>
    </w:p>
    <w:p w14:paraId="6EBD85BA">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三、承担保证责任的程序</w:t>
      </w:r>
    </w:p>
    <w:p w14:paraId="77F63E81">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1．你方要求我方承担保证责任的，应在本保函保证期间内向我方发出书面索赔通知。索赔通知应写明要求索赔的金额，支付款项应到达的帐号。并附有证明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违约事实的证明材料。</w:t>
      </w:r>
    </w:p>
    <w:p w14:paraId="6BE6963F">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如果你方与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因货物质量问题产生争议，你方还需同时提供</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部门出具的质量检测报告，或经诉讼（仲裁）程序裁决后的裁决书、调解书，本保证人即按照检测结果或裁决书、调解书决定是否承担保证责任。</w:t>
      </w:r>
    </w:p>
    <w:p w14:paraId="06E307FD">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 我方收到你方的书面索赔通知及相应证明材料，在</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工作日内进行核定后按照本保函的承诺承担保证责任。</w:t>
      </w:r>
    </w:p>
    <w:p w14:paraId="0A89426A">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四、保证责任的终止</w:t>
      </w:r>
    </w:p>
    <w:p w14:paraId="70F3E1D8">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102ABF0">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2．我方按照本保函向你方履行了保证责任后，自我方向你方支付款项（支付款项从我方账户划出）之日起，保证责任即终止。</w:t>
      </w:r>
    </w:p>
    <w:p w14:paraId="2488B235">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3．按照法律法规的规定或出现应终止我方保证责任的其它情形的，我方在本保函项下的保证责任亦终止。</w:t>
      </w:r>
    </w:p>
    <w:p w14:paraId="40F1BF44">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4．你方与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修改主合同，加重我方保证责任的，我方对加重部分不承担保证责任，但该等修改事先经我方书面同意的除外；你方与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修改主合同履行期限，我方保证期间仍依修改前的履行期限计算，但该等修改事先经我方书面同意的除外。</w:t>
      </w:r>
    </w:p>
    <w:p w14:paraId="57D1DF57">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五、免责条款</w:t>
      </w:r>
    </w:p>
    <w:p w14:paraId="531AC0EB">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1．因你方违反主合同约定致使</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不能履行义务的，我方不承担保证责任。</w:t>
      </w:r>
    </w:p>
    <w:p w14:paraId="38D458A5">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2．依照法律法规的规定或你方与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的另行约定，全部或者部分免除</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应缴纳的保证金义务的，我方亦免除相应的保证责任。</w:t>
      </w:r>
    </w:p>
    <w:p w14:paraId="3106F5C9">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3．因不可抗力造成</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不能履行供货义务的，我方不承担保证责任。</w:t>
      </w:r>
    </w:p>
    <w:p w14:paraId="56A255B4">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六、争议的解决</w:t>
      </w:r>
    </w:p>
    <w:p w14:paraId="67FDC5E5">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因本保函发生的纠纷，由你我双方协商解决，协商不成的，通过诉讼程序解决，诉讼管辖地法院为</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法院。</w:t>
      </w:r>
    </w:p>
    <w:p w14:paraId="7545E198">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七、保函的生效</w:t>
      </w:r>
    </w:p>
    <w:p w14:paraId="4963FEF3">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本保函自我方加盖公章之日起生效。</w:t>
      </w:r>
    </w:p>
    <w:p w14:paraId="16F87F2D">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p>
    <w:p w14:paraId="3ACEAB2C">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 xml:space="preserve">                                      </w:t>
      </w:r>
    </w:p>
    <w:p w14:paraId="4442EB43">
      <w:pPr>
        <w:pageBreakBefore w:val="0"/>
        <w:kinsoku/>
        <w:overflowPunct/>
        <w:bidi w:val="0"/>
        <w:snapToGrid w:val="0"/>
        <w:spacing w:line="240" w:lineRule="auto"/>
        <w:ind w:firstLine="5400" w:firstLineChars="225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保证人：（公章）</w:t>
      </w:r>
    </w:p>
    <w:p w14:paraId="488AEA35">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 xml:space="preserve">                   </w:t>
      </w:r>
    </w:p>
    <w:p w14:paraId="1E57AA19">
      <w:pPr>
        <w:pStyle w:val="54"/>
        <w:pageBreakBefore w:val="0"/>
        <w:kinsoku/>
        <w:overflowPunct/>
        <w:bidi w:val="0"/>
        <w:snapToGrid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i w:val="0"/>
          <w:iCs w:val="0"/>
          <w:color w:val="auto"/>
          <w:sz w:val="24"/>
          <w:highlight w:val="none"/>
        </w:rPr>
        <w:t xml:space="preserve">                                                   年     月      日</w:t>
      </w:r>
    </w:p>
    <w:p w14:paraId="2FA1CB95">
      <w:pPr>
        <w:pStyle w:val="8"/>
        <w:pageBreakBefore w:val="0"/>
        <w:kinsoku/>
        <w:overflowPunct/>
        <w:bidi w:val="0"/>
        <w:snapToGrid w:val="0"/>
        <w:spacing w:line="312" w:lineRule="auto"/>
        <w:ind w:firstLine="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highlight w:val="none"/>
        </w:rPr>
        <w:br w:type="page"/>
      </w:r>
    </w:p>
    <w:p w14:paraId="2CE0ED6D">
      <w:pPr>
        <w:pStyle w:val="3"/>
        <w:pageBreakBefore w:val="0"/>
        <w:kinsoku/>
        <w:overflowPunct/>
        <w:bidi w:val="0"/>
        <w:snapToGrid w:val="0"/>
        <w:spacing w:before="0" w:after="0" w:line="312" w:lineRule="auto"/>
        <w:rPr>
          <w:rFonts w:hint="eastAsia" w:ascii="微软雅黑" w:hAnsi="微软雅黑" w:eastAsia="微软雅黑" w:cs="微软雅黑"/>
          <w:color w:val="auto"/>
          <w:sz w:val="28"/>
          <w:szCs w:val="28"/>
          <w:highlight w:val="none"/>
        </w:rPr>
      </w:pPr>
      <w:bookmarkStart w:id="298" w:name="_Toc6923"/>
      <w:bookmarkStart w:id="299" w:name="_Toc2331"/>
      <w:bookmarkStart w:id="300" w:name="_Toc518923106"/>
      <w:bookmarkStart w:id="301" w:name="_Toc20351"/>
      <w:bookmarkStart w:id="302" w:name="_Toc14639"/>
      <w:bookmarkStart w:id="303" w:name="_Toc216582812"/>
      <w:bookmarkStart w:id="304" w:name="_Toc22577_WPSOffice_Level1"/>
      <w:r>
        <w:rPr>
          <w:rFonts w:hint="eastAsia" w:ascii="微软雅黑" w:hAnsi="微软雅黑" w:eastAsia="微软雅黑" w:cs="微软雅黑"/>
          <w:color w:val="auto"/>
          <w:sz w:val="32"/>
          <w:szCs w:val="32"/>
          <w:highlight w:val="none"/>
        </w:rPr>
        <w:t>第二章</w:t>
      </w:r>
      <w:r>
        <w:rPr>
          <w:rFonts w:hint="eastAsia" w:ascii="微软雅黑" w:hAnsi="微软雅黑" w:eastAsia="微软雅黑" w:cs="微软雅黑"/>
          <w:color w:val="auto"/>
          <w:sz w:val="32"/>
          <w:szCs w:val="32"/>
          <w:highlight w:val="none"/>
          <w:lang w:val="en-US" w:eastAsia="zh-CN"/>
        </w:rPr>
        <w:t xml:space="preserve">  </w:t>
      </w:r>
      <w:r>
        <w:rPr>
          <w:rFonts w:hint="eastAsia" w:ascii="微软雅黑" w:hAnsi="微软雅黑" w:eastAsia="微软雅黑" w:cs="微软雅黑"/>
          <w:color w:val="auto"/>
          <w:sz w:val="32"/>
          <w:szCs w:val="32"/>
          <w:highlight w:val="none"/>
        </w:rPr>
        <w:t>响应文件格式</w:t>
      </w:r>
      <w:bookmarkEnd w:id="298"/>
      <w:bookmarkEnd w:id="299"/>
      <w:bookmarkEnd w:id="300"/>
      <w:bookmarkEnd w:id="301"/>
      <w:bookmarkEnd w:id="302"/>
      <w:bookmarkEnd w:id="303"/>
      <w:bookmarkEnd w:id="304"/>
    </w:p>
    <w:p w14:paraId="665C443C">
      <w:pPr>
        <w:pageBreakBefore w:val="0"/>
        <w:kinsoku/>
        <w:overflowPunct/>
        <w:bidi w:val="0"/>
        <w:snapToGrid w:val="0"/>
        <w:spacing w:line="312" w:lineRule="auto"/>
        <w:jc w:val="center"/>
        <w:outlineLvl w:val="9"/>
        <w:rPr>
          <w:rFonts w:hint="eastAsia" w:ascii="微软雅黑" w:hAnsi="微软雅黑" w:eastAsia="微软雅黑" w:cs="微软雅黑"/>
          <w:b/>
          <w:color w:val="auto"/>
          <w:kern w:val="0"/>
          <w:sz w:val="24"/>
          <w:szCs w:val="20"/>
          <w:highlight w:val="none"/>
          <w:lang w:eastAsia="zh-CN"/>
        </w:rPr>
      </w:pPr>
      <w:bookmarkStart w:id="305" w:name="_Toc18694"/>
      <w:bookmarkStart w:id="306" w:name="_Toc10732"/>
      <w:bookmarkStart w:id="307" w:name="_Toc32549"/>
      <w:bookmarkStart w:id="308" w:name="_Toc14751"/>
      <w:bookmarkStart w:id="309" w:name="_Toc18974"/>
      <w:bookmarkStart w:id="310" w:name="_Toc515647803"/>
      <w:bookmarkStart w:id="311" w:name="_Toc11180"/>
      <w:bookmarkStart w:id="312" w:name="_Toc515647816"/>
      <w:bookmarkStart w:id="313" w:name="_Toc480942349"/>
      <w:bookmarkStart w:id="314" w:name="_Ref467988698"/>
      <w:bookmarkStart w:id="315" w:name="_Toc520356217"/>
      <w:bookmarkStart w:id="316" w:name="_Toc216582813"/>
      <w:r>
        <w:rPr>
          <w:rFonts w:hint="eastAsia" w:ascii="微软雅黑" w:hAnsi="微软雅黑" w:eastAsia="微软雅黑" w:cs="微软雅黑"/>
          <w:b/>
          <w:color w:val="auto"/>
          <w:kern w:val="0"/>
          <w:sz w:val="28"/>
          <w:szCs w:val="21"/>
          <w:highlight w:val="none"/>
          <w:lang w:eastAsia="zh-CN"/>
        </w:rPr>
        <w:t>响应文件封皮范本</w:t>
      </w:r>
    </w:p>
    <w:tbl>
      <w:tblPr>
        <w:tblStyle w:val="38"/>
        <w:tblpPr w:leftFromText="180" w:rightFromText="180" w:vertAnchor="text" w:horzAnchor="page" w:tblpXSpec="center" w:tblpY="275"/>
        <w:tblOverlap w:val="never"/>
        <w:tblW w:w="856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560"/>
      </w:tblGrid>
      <w:tr w14:paraId="39828931">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906" w:hRule="atLeast"/>
          <w:jc w:val="center"/>
        </w:trPr>
        <w:tc>
          <w:tcPr>
            <w:tcW w:w="8560" w:type="dxa"/>
            <w:shd w:val="clear" w:color="auto" w:fill="FCFEEA"/>
          </w:tcPr>
          <w:p w14:paraId="4A3AC23E">
            <w:pPr>
              <w:pStyle w:val="2"/>
              <w:pageBreakBefore w:val="0"/>
              <w:kinsoku/>
              <w:overflowPunct/>
              <w:bidi w:val="0"/>
              <w:snapToGrid w:val="0"/>
              <w:spacing w:line="312" w:lineRule="auto"/>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lang w:val="en-US" w:eastAsia="zh-CN"/>
              </w:rPr>
              <w:t xml:space="preserve">                                          </w:t>
            </w:r>
            <w:r>
              <w:rPr>
                <w:rFonts w:hint="eastAsia" w:ascii="微软雅黑" w:hAnsi="微软雅黑" w:eastAsia="微软雅黑" w:cs="微软雅黑"/>
                <w:b/>
                <w:bCs/>
                <w:color w:val="auto"/>
                <w:sz w:val="28"/>
                <w:szCs w:val="28"/>
                <w:highlight w:val="none"/>
              </w:rPr>
              <w:t>（正本/副本）</w:t>
            </w:r>
          </w:p>
          <w:p w14:paraId="60F7F146">
            <w:pPr>
              <w:pStyle w:val="2"/>
              <w:pageBreakBefore w:val="0"/>
              <w:kinsoku/>
              <w:overflowPunct/>
              <w:bidi w:val="0"/>
              <w:snapToGrid w:val="0"/>
              <w:spacing w:line="312" w:lineRule="auto"/>
              <w:ind w:firstLine="4200" w:firstLineChars="1500"/>
              <w:rPr>
                <w:rFonts w:hint="eastAsia" w:ascii="微软雅黑" w:hAnsi="微软雅黑" w:eastAsia="微软雅黑" w:cs="微软雅黑"/>
                <w:b/>
                <w:bCs/>
                <w:color w:val="auto"/>
                <w:sz w:val="28"/>
                <w:szCs w:val="28"/>
                <w:highlight w:val="none"/>
              </w:rPr>
            </w:pPr>
          </w:p>
          <w:p w14:paraId="5177BBF9">
            <w:pPr>
              <w:pStyle w:val="2"/>
              <w:pageBreakBefore w:val="0"/>
              <w:kinsoku/>
              <w:overflowPunct/>
              <w:bidi w:val="0"/>
              <w:snapToGrid w:val="0"/>
              <w:spacing w:line="312" w:lineRule="auto"/>
              <w:ind w:firstLine="4200" w:firstLineChars="1500"/>
              <w:rPr>
                <w:rFonts w:hint="eastAsia" w:ascii="微软雅黑" w:hAnsi="微软雅黑" w:eastAsia="微软雅黑" w:cs="微软雅黑"/>
                <w:b/>
                <w:bCs/>
                <w:color w:val="auto"/>
                <w:sz w:val="28"/>
                <w:szCs w:val="28"/>
                <w:highlight w:val="none"/>
              </w:rPr>
            </w:pPr>
          </w:p>
          <w:p w14:paraId="7E44A2E2">
            <w:pPr>
              <w:pStyle w:val="2"/>
              <w:pageBreakBefore w:val="0"/>
              <w:kinsoku/>
              <w:overflowPunct/>
              <w:bidi w:val="0"/>
              <w:snapToGrid w:val="0"/>
              <w:spacing w:line="312" w:lineRule="auto"/>
              <w:rPr>
                <w:rFonts w:hint="eastAsia" w:ascii="微软雅黑" w:hAnsi="微软雅黑" w:eastAsia="微软雅黑" w:cs="微软雅黑"/>
                <w:b/>
                <w:bCs/>
                <w:color w:val="auto"/>
                <w:sz w:val="28"/>
                <w:szCs w:val="28"/>
                <w:highlight w:val="none"/>
              </w:rPr>
            </w:pPr>
          </w:p>
          <w:p w14:paraId="1264AC55">
            <w:pPr>
              <w:pStyle w:val="2"/>
              <w:pageBreakBefore w:val="0"/>
              <w:kinsoku/>
              <w:overflowPunct/>
              <w:bidi w:val="0"/>
              <w:snapToGrid w:val="0"/>
              <w:spacing w:line="312" w:lineRule="auto"/>
              <w:ind w:firstLine="2520" w:firstLineChars="90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14:paraId="2616A39E">
            <w:pPr>
              <w:pStyle w:val="2"/>
              <w:pageBreakBefore w:val="0"/>
              <w:kinsoku/>
              <w:overflowPunct/>
              <w:bidi w:val="0"/>
              <w:snapToGrid w:val="0"/>
              <w:spacing w:line="312" w:lineRule="auto"/>
              <w:jc w:val="center"/>
              <w:rPr>
                <w:rFonts w:hint="eastAsia" w:ascii="微软雅黑" w:hAnsi="微软雅黑" w:eastAsia="微软雅黑" w:cs="微软雅黑"/>
                <w:b/>
                <w:bCs/>
                <w:color w:val="auto"/>
                <w:sz w:val="21"/>
                <w:szCs w:val="21"/>
                <w:highlight w:val="none"/>
              </w:rPr>
            </w:pPr>
          </w:p>
          <w:p w14:paraId="7C8C0A7D">
            <w:pPr>
              <w:pStyle w:val="2"/>
              <w:pageBreakBefore w:val="0"/>
              <w:kinsoku/>
              <w:overflowPunct/>
              <w:bidi w:val="0"/>
              <w:snapToGrid w:val="0"/>
              <w:spacing w:line="312" w:lineRule="auto"/>
              <w:ind w:firstLine="3150" w:firstLineChars="1500"/>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编号＊＊＊＊＊＊</w:t>
            </w:r>
          </w:p>
          <w:p w14:paraId="1D2E5D71">
            <w:pPr>
              <w:pStyle w:val="2"/>
              <w:pageBreakBefore w:val="0"/>
              <w:kinsoku/>
              <w:overflowPunct/>
              <w:bidi w:val="0"/>
              <w:snapToGrid w:val="0"/>
              <w:spacing w:line="312" w:lineRule="auto"/>
              <w:jc w:val="center"/>
              <w:rPr>
                <w:rFonts w:hint="eastAsia" w:ascii="微软雅黑" w:hAnsi="微软雅黑" w:eastAsia="微软雅黑" w:cs="微软雅黑"/>
                <w:b/>
                <w:bCs/>
                <w:color w:val="auto"/>
                <w:sz w:val="48"/>
                <w:highlight w:val="none"/>
              </w:rPr>
            </w:pPr>
          </w:p>
          <w:p w14:paraId="31B6B0E0">
            <w:pPr>
              <w:pStyle w:val="2"/>
              <w:pageBreakBefore w:val="0"/>
              <w:kinsoku/>
              <w:overflowPunct/>
              <w:bidi w:val="0"/>
              <w:snapToGrid w:val="0"/>
              <w:spacing w:line="312" w:lineRule="auto"/>
              <w:jc w:val="center"/>
              <w:rPr>
                <w:rFonts w:hint="eastAsia" w:ascii="微软雅黑" w:hAnsi="微软雅黑" w:eastAsia="微软雅黑" w:cs="微软雅黑"/>
                <w:b/>
                <w:bCs/>
                <w:color w:val="auto"/>
                <w:sz w:val="48"/>
                <w:highlight w:val="none"/>
              </w:rPr>
            </w:pPr>
            <w:r>
              <w:rPr>
                <w:rFonts w:hint="eastAsia" w:ascii="微软雅黑" w:hAnsi="微软雅黑" w:eastAsia="微软雅黑" w:cs="微软雅黑"/>
                <w:b/>
                <w:bCs/>
                <w:color w:val="auto"/>
                <w:sz w:val="48"/>
                <w:highlight w:val="none"/>
              </w:rPr>
              <w:t>响应文件</w:t>
            </w:r>
          </w:p>
          <w:p w14:paraId="4CC5A78E">
            <w:pPr>
              <w:pStyle w:val="8"/>
              <w:pageBreakBefore w:val="0"/>
              <w:kinsoku/>
              <w:overflowPunct/>
              <w:bidi w:val="0"/>
              <w:snapToGrid w:val="0"/>
              <w:spacing w:line="312" w:lineRule="auto"/>
              <w:ind w:left="0" w:leftChars="0" w:firstLine="0" w:firstLineChars="0"/>
              <w:rPr>
                <w:rFonts w:hint="eastAsia" w:ascii="微软雅黑" w:hAnsi="微软雅黑" w:eastAsia="微软雅黑" w:cs="微软雅黑"/>
                <w:b/>
                <w:color w:val="auto"/>
                <w:sz w:val="32"/>
                <w:highlight w:val="none"/>
              </w:rPr>
            </w:pPr>
          </w:p>
          <w:p w14:paraId="3B8FB9F2">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供应商</w:t>
            </w:r>
            <w:r>
              <w:rPr>
                <w:rFonts w:hint="eastAsia" w:ascii="微软雅黑" w:hAnsi="微软雅黑" w:eastAsia="微软雅黑" w:cs="微软雅黑"/>
                <w:color w:val="auto"/>
                <w:szCs w:val="21"/>
                <w:highlight w:val="none"/>
              </w:rPr>
              <w:t>：（公章）</w:t>
            </w:r>
          </w:p>
          <w:p w14:paraId="40759C75">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项目名称：</w:t>
            </w:r>
          </w:p>
          <w:p w14:paraId="0A6479CD">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项目编号：</w:t>
            </w:r>
          </w:p>
          <w:p w14:paraId="551C1D24">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联系人：</w:t>
            </w:r>
          </w:p>
          <w:p w14:paraId="5DB798C9">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电话：</w:t>
            </w:r>
          </w:p>
          <w:p w14:paraId="00046C00">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地址：</w:t>
            </w:r>
          </w:p>
          <w:p w14:paraId="5BC17328">
            <w:pPr>
              <w:pageBreakBefore w:val="0"/>
              <w:kinsoku/>
              <w:overflowPunct/>
              <w:bidi w:val="0"/>
              <w:snapToGrid w:val="0"/>
              <w:spacing w:line="312" w:lineRule="auto"/>
              <w:jc w:val="both"/>
              <w:rPr>
                <w:rFonts w:hint="eastAsia" w:ascii="微软雅黑" w:hAnsi="微软雅黑" w:eastAsia="微软雅黑" w:cs="微软雅黑"/>
                <w:b/>
                <w:bCs/>
                <w:color w:val="auto"/>
                <w:highlight w:val="none"/>
              </w:rPr>
            </w:pPr>
          </w:p>
          <w:p w14:paraId="6AE4ECB7">
            <w:pPr>
              <w:pageBreakBefore w:val="0"/>
              <w:kinsoku/>
              <w:overflowPunct/>
              <w:bidi w:val="0"/>
              <w:snapToGrid w:val="0"/>
              <w:spacing w:line="312" w:lineRule="auto"/>
              <w:jc w:val="center"/>
              <w:rPr>
                <w:rFonts w:hint="eastAsia" w:ascii="微软雅黑" w:hAnsi="微软雅黑" w:eastAsia="微软雅黑" w:cs="微软雅黑"/>
                <w:b/>
                <w:bCs/>
                <w:color w:val="auto"/>
                <w:highlight w:val="none"/>
              </w:rPr>
            </w:pPr>
          </w:p>
          <w:p w14:paraId="325E8AF8">
            <w:pPr>
              <w:pageBreakBefore w:val="0"/>
              <w:kinsoku/>
              <w:overflowPunct/>
              <w:bidi w:val="0"/>
              <w:snapToGrid w:val="0"/>
              <w:spacing w:line="312" w:lineRule="auto"/>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注：在xxx年xx月xx日之前不得启封</w:t>
            </w:r>
          </w:p>
        </w:tc>
      </w:tr>
    </w:tbl>
    <w:p w14:paraId="544A625A">
      <w:pPr>
        <w:pStyle w:val="4"/>
        <w:pageBreakBefore w:val="0"/>
        <w:numPr>
          <w:ilvl w:val="0"/>
          <w:numId w:val="0"/>
        </w:numPr>
        <w:kinsoku/>
        <w:overflowPunct/>
        <w:bidi w:val="0"/>
        <w:snapToGrid w:val="0"/>
        <w:spacing w:before="0" w:line="312" w:lineRule="auto"/>
        <w:ind w:leftChars="257"/>
        <w:jc w:val="center"/>
        <w:outlineLvl w:val="9"/>
        <w:rPr>
          <w:rFonts w:hint="eastAsia" w:ascii="微软雅黑" w:hAnsi="微软雅黑" w:eastAsia="微软雅黑" w:cs="微软雅黑"/>
          <w:color w:val="auto"/>
          <w:sz w:val="28"/>
          <w:szCs w:val="28"/>
          <w:highlight w:val="none"/>
          <w:lang w:eastAsia="zh-CN"/>
        </w:rPr>
      </w:pPr>
    </w:p>
    <w:p w14:paraId="717660C2">
      <w:pPr>
        <w:pageBreakBefore w:val="0"/>
        <w:kinsoku/>
        <w:overflowPunct/>
        <w:bidi w:val="0"/>
        <w:snapToGrid w:val="0"/>
        <w:spacing w:line="312" w:lineRule="auto"/>
        <w:rPr>
          <w:rFonts w:hint="eastAsia" w:ascii="微软雅黑" w:hAnsi="微软雅黑" w:eastAsia="微软雅黑" w:cs="微软雅黑"/>
          <w:color w:val="auto"/>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E817CBF">
      <w:pPr>
        <w:pStyle w:val="4"/>
        <w:pageBreakBefore w:val="0"/>
        <w:numPr>
          <w:ilvl w:val="0"/>
          <w:numId w:val="0"/>
        </w:numPr>
        <w:kinsoku/>
        <w:overflowPunct/>
        <w:bidi w:val="0"/>
        <w:snapToGrid w:val="0"/>
        <w:spacing w:before="0" w:line="312" w:lineRule="auto"/>
        <w:ind w:leftChars="257"/>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第一部分</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lang w:eastAsia="zh-CN"/>
        </w:rPr>
        <w:t>报价</w:t>
      </w:r>
      <w:r>
        <w:rPr>
          <w:rFonts w:hint="eastAsia" w:ascii="微软雅黑" w:hAnsi="微软雅黑" w:eastAsia="微软雅黑" w:cs="微软雅黑"/>
          <w:color w:val="auto"/>
          <w:sz w:val="28"/>
          <w:szCs w:val="28"/>
          <w:highlight w:val="none"/>
        </w:rPr>
        <w:t>一览表及资格证明文件</w:t>
      </w:r>
      <w:bookmarkEnd w:id="305"/>
      <w:bookmarkEnd w:id="306"/>
      <w:bookmarkEnd w:id="307"/>
      <w:bookmarkEnd w:id="308"/>
      <w:bookmarkEnd w:id="309"/>
      <w:bookmarkEnd w:id="310"/>
    </w:p>
    <w:p w14:paraId="793AAD38">
      <w:pPr>
        <w:keepNext w:val="0"/>
        <w:keepLines w:val="0"/>
        <w:pageBreakBefore w:val="0"/>
        <w:widowControl w:val="0"/>
        <w:numPr>
          <w:ilvl w:val="0"/>
          <w:numId w:val="0"/>
        </w:numPr>
        <w:tabs>
          <w:tab w:val="left" w:pos="5580"/>
        </w:tabs>
        <w:kinsoku/>
        <w:wordWrap/>
        <w:overflowPunct/>
        <w:topLinePunct w:val="0"/>
        <w:bidi w:val="0"/>
        <w:snapToGrid w:val="0"/>
        <w:spacing w:line="312" w:lineRule="auto"/>
        <w:jc w:val="center"/>
        <w:textAlignment w:val="auto"/>
        <w:outlineLvl w:val="9"/>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资格证明文件</w:t>
      </w:r>
      <w:r>
        <w:rPr>
          <w:rFonts w:hint="eastAsia" w:ascii="微软雅黑" w:hAnsi="微软雅黑" w:eastAsia="微软雅黑" w:cs="微软雅黑"/>
          <w:b/>
          <w:bCs/>
          <w:color w:val="auto"/>
          <w:sz w:val="24"/>
          <w:szCs w:val="24"/>
          <w:highlight w:val="none"/>
          <w:lang w:eastAsia="zh-CN"/>
        </w:rPr>
        <w:t>复印件均加盖供应商公章）</w:t>
      </w:r>
    </w:p>
    <w:p w14:paraId="7ACA14AB">
      <w:pPr>
        <w:pageBreakBefore w:val="0"/>
        <w:kinsoku/>
        <w:overflowPunct/>
        <w:bidi w:val="0"/>
        <w:snapToGrid w:val="0"/>
        <w:spacing w:line="312" w:lineRule="auto"/>
        <w:ind w:left="826" w:hanging="708" w:hangingChars="295"/>
        <w:jc w:val="center"/>
        <w:rPr>
          <w:rFonts w:hint="eastAsia" w:ascii="微软雅黑" w:hAnsi="微软雅黑" w:eastAsia="微软雅黑" w:cs="微软雅黑"/>
          <w:color w:val="auto"/>
          <w:sz w:val="24"/>
          <w:szCs w:val="24"/>
          <w:highlight w:val="none"/>
        </w:rPr>
      </w:pPr>
    </w:p>
    <w:p w14:paraId="150104DA">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报价</w:t>
      </w:r>
      <w:r>
        <w:rPr>
          <w:rFonts w:hint="eastAsia" w:ascii="微软雅黑" w:hAnsi="微软雅黑" w:eastAsia="微软雅黑" w:cs="微软雅黑"/>
          <w:color w:val="auto"/>
          <w:sz w:val="24"/>
          <w:szCs w:val="24"/>
          <w:highlight w:val="none"/>
        </w:rPr>
        <w:t>一览表</w:t>
      </w:r>
      <w:r>
        <w:rPr>
          <w:rFonts w:hint="eastAsia" w:ascii="微软雅黑" w:hAnsi="微软雅黑" w:eastAsia="微软雅黑" w:cs="微软雅黑"/>
          <w:color w:val="auto"/>
          <w:sz w:val="24"/>
          <w:szCs w:val="24"/>
          <w:highlight w:val="none"/>
          <w:lang w:eastAsia="zh-CN"/>
        </w:rPr>
        <w:t>；</w:t>
      </w:r>
    </w:p>
    <w:p w14:paraId="5DBF8D91">
      <w:pPr>
        <w:keepNext w:val="0"/>
        <w:keepLines w:val="0"/>
        <w:pageBreakBefore w:val="0"/>
        <w:widowControl w:val="0"/>
        <w:numPr>
          <w:ilvl w:val="0"/>
          <w:numId w:val="0"/>
        </w:numPr>
        <w:tabs>
          <w:tab w:val="left" w:pos="5580"/>
        </w:tabs>
        <w:kinsoku/>
        <w:wordWrap/>
        <w:overflowPunct/>
        <w:topLinePunct w:val="0"/>
        <w:bidi w:val="0"/>
        <w:snapToGrid w:val="0"/>
        <w:spacing w:line="312" w:lineRule="auto"/>
        <w:ind w:left="718" w:leftChars="228" w:hanging="240" w:hangingChars="1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2、依法在民政部门登记成立或经国务院批准免予登记的社会组织；依法在工商管理或行业主管部门登记成立的企业、机构等社会力量的身份证明；</w:t>
      </w:r>
    </w:p>
    <w:p w14:paraId="4FA8353A">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3、法定代表人身份证明；法定代表人授权委托书；</w:t>
      </w:r>
    </w:p>
    <w:p w14:paraId="6A2E51D6">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4、社保缴纳记录及纳税证明；</w:t>
      </w:r>
    </w:p>
    <w:p w14:paraId="615D856A">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5、具有良好的商业信誉和健全的财务会计制度的证明文件；</w:t>
      </w:r>
    </w:p>
    <w:p w14:paraId="3F146348">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6、网站查询截图；</w:t>
      </w:r>
    </w:p>
    <w:p w14:paraId="3FC66296">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7、针对本次项目的《反商业贿赂承诺书》；</w:t>
      </w:r>
    </w:p>
    <w:p w14:paraId="3C258344">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8、参加政府采购活动前3年内在经营活动中没有重大违法违规记录的书面声明；</w:t>
      </w:r>
    </w:p>
    <w:p w14:paraId="7C143555">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9、磋商保证金有效缴纳凭证；</w:t>
      </w:r>
    </w:p>
    <w:p w14:paraId="66EBD891">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10、供应商可提供有利于投标的其他证明材料</w:t>
      </w:r>
    </w:p>
    <w:p w14:paraId="7B0E9F5A">
      <w:pPr>
        <w:pageBreakBefore w:val="0"/>
        <w:tabs>
          <w:tab w:val="left" w:pos="5580"/>
        </w:tabs>
        <w:kinsoku/>
        <w:overflowPunct/>
        <w:bidi w:val="0"/>
        <w:snapToGrid w:val="0"/>
        <w:spacing w:line="312" w:lineRule="auto"/>
        <w:ind w:left="1" w:firstLine="564" w:firstLineChars="235"/>
        <w:rPr>
          <w:rFonts w:hint="eastAsia" w:ascii="微软雅黑" w:hAnsi="微软雅黑" w:eastAsia="微软雅黑" w:cs="微软雅黑"/>
          <w:color w:val="auto"/>
          <w:sz w:val="24"/>
          <w:highlight w:val="none"/>
        </w:rPr>
      </w:pPr>
    </w:p>
    <w:p w14:paraId="1DC2F4E7">
      <w:pPr>
        <w:pStyle w:val="4"/>
        <w:pageBreakBefore w:val="0"/>
        <w:kinsoku/>
        <w:overflowPunct/>
        <w:bidi w:val="0"/>
        <w:snapToGrid w:val="0"/>
        <w:spacing w:before="0" w:line="312" w:lineRule="auto"/>
        <w:jc w:val="center"/>
        <w:outlineLvl w:val="9"/>
        <w:rPr>
          <w:rFonts w:hint="eastAsia" w:ascii="微软雅黑" w:hAnsi="微软雅黑" w:eastAsia="微软雅黑" w:cs="微软雅黑"/>
          <w:color w:val="auto"/>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317" w:name="_Toc8683"/>
    </w:p>
    <w:p w14:paraId="47697340">
      <w:pPr>
        <w:pStyle w:val="4"/>
        <w:pageBreakBefore w:val="0"/>
        <w:kinsoku/>
        <w:overflowPunct/>
        <w:bidi w:val="0"/>
        <w:snapToGrid w:val="0"/>
        <w:spacing w:before="0" w:line="312" w:lineRule="auto"/>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w:t>
      </w:r>
      <w:r>
        <w:rPr>
          <w:rFonts w:hint="eastAsia" w:ascii="微软雅黑" w:hAnsi="微软雅黑" w:eastAsia="微软雅黑" w:cs="微软雅黑"/>
          <w:color w:val="auto"/>
          <w:sz w:val="28"/>
          <w:szCs w:val="28"/>
          <w:highlight w:val="none"/>
          <w:lang w:eastAsia="zh-CN"/>
        </w:rPr>
        <w:t>、</w:t>
      </w:r>
      <w:bookmarkEnd w:id="317"/>
      <w:r>
        <w:rPr>
          <w:rFonts w:hint="eastAsia" w:ascii="微软雅黑" w:hAnsi="微软雅黑" w:eastAsia="微软雅黑" w:cs="微软雅黑"/>
          <w:color w:val="auto"/>
          <w:sz w:val="28"/>
          <w:szCs w:val="28"/>
          <w:highlight w:val="none"/>
          <w:lang w:eastAsia="zh-CN"/>
        </w:rPr>
        <w:t>磋商</w:t>
      </w:r>
      <w:r>
        <w:rPr>
          <w:rFonts w:hint="eastAsia" w:ascii="微软雅黑" w:hAnsi="微软雅黑" w:eastAsia="微软雅黑" w:cs="微软雅黑"/>
          <w:color w:val="auto"/>
          <w:sz w:val="28"/>
          <w:szCs w:val="28"/>
          <w:highlight w:val="none"/>
        </w:rPr>
        <w:t>报价一览表</w:t>
      </w:r>
    </w:p>
    <w:p w14:paraId="05722C20">
      <w:pPr>
        <w:pageBreakBefore w:val="0"/>
        <w:kinsoku/>
        <w:overflowPunct/>
        <w:bidi w:val="0"/>
        <w:snapToGrid w:val="0"/>
        <w:spacing w:before="219" w:line="312" w:lineRule="auto"/>
        <w:jc w:val="both"/>
        <w:rPr>
          <w:rFonts w:hint="eastAsia" w:ascii="微软雅黑" w:hAnsi="微软雅黑" w:eastAsia="微软雅黑" w:cs="微软雅黑"/>
          <w:color w:val="auto"/>
          <w:highlight w:val="none"/>
        </w:rPr>
      </w:pPr>
      <w:bookmarkStart w:id="318" w:name="_Hlt520356241"/>
      <w:bookmarkEnd w:id="318"/>
      <w:r>
        <w:rPr>
          <w:rFonts w:hint="eastAsia" w:ascii="微软雅黑" w:hAnsi="微软雅黑" w:eastAsia="微软雅黑" w:cs="微软雅黑"/>
          <w:color w:val="auto"/>
          <w:spacing w:val="-2"/>
          <w:sz w:val="24"/>
          <w:szCs w:val="24"/>
          <w:highlight w:val="none"/>
        </w:rPr>
        <w:t>项目名称：                         项目编号：</w:t>
      </w:r>
      <w:r>
        <w:rPr>
          <w:rFonts w:hint="eastAsia" w:ascii="微软雅黑" w:hAnsi="微软雅黑" w:eastAsia="微软雅黑" w:cs="微软雅黑"/>
          <w:color w:val="auto"/>
          <w:spacing w:val="-2"/>
          <w:sz w:val="24"/>
          <w:szCs w:val="24"/>
          <w:highlight w:val="none"/>
          <w:lang w:val="en-US" w:eastAsia="zh-CN"/>
        </w:rPr>
        <w:t xml:space="preserve">                       </w:t>
      </w:r>
      <w:r>
        <w:rPr>
          <w:rFonts w:hint="eastAsia" w:ascii="微软雅黑" w:hAnsi="微软雅黑" w:eastAsia="微软雅黑" w:cs="微软雅黑"/>
          <w:color w:val="auto"/>
          <w:spacing w:val="-2"/>
          <w:sz w:val="24"/>
          <w:szCs w:val="24"/>
          <w:highlight w:val="none"/>
        </w:rPr>
        <w:t>报价单位：元</w:t>
      </w:r>
    </w:p>
    <w:tbl>
      <w:tblPr>
        <w:tblStyle w:val="116"/>
        <w:tblW w:w="973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46"/>
      </w:tblGrid>
      <w:tr w14:paraId="0C52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2792" w:type="dxa"/>
            <w:tcBorders>
              <w:left w:val="single" w:color="000000" w:sz="2" w:space="0"/>
            </w:tcBorders>
            <w:vAlign w:val="center"/>
          </w:tcPr>
          <w:p w14:paraId="0FC89E32">
            <w:pPr>
              <w:pageBreakBefore w:val="0"/>
              <w:kinsoku/>
              <w:overflowPunct/>
              <w:bidi w:val="0"/>
              <w:snapToGrid w:val="0"/>
              <w:spacing w:before="216"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4"/>
                <w:sz w:val="24"/>
                <w:szCs w:val="24"/>
                <w:highlight w:val="none"/>
              </w:rPr>
              <w:t>项目名称</w:t>
            </w:r>
          </w:p>
        </w:tc>
        <w:tc>
          <w:tcPr>
            <w:tcW w:w="6946" w:type="dxa"/>
            <w:tcBorders>
              <w:right w:val="single" w:color="000000" w:sz="2" w:space="0"/>
            </w:tcBorders>
            <w:vAlign w:val="top"/>
          </w:tcPr>
          <w:p w14:paraId="52296EBE">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r w14:paraId="09BAE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2792" w:type="dxa"/>
            <w:tcBorders>
              <w:left w:val="single" w:color="000000" w:sz="2" w:space="0"/>
            </w:tcBorders>
            <w:vAlign w:val="center"/>
          </w:tcPr>
          <w:p w14:paraId="298153B3">
            <w:pPr>
              <w:pageBreakBefore w:val="0"/>
              <w:kinsoku/>
              <w:overflowPunct/>
              <w:bidi w:val="0"/>
              <w:snapToGrid w:val="0"/>
              <w:spacing w:before="216" w:line="312" w:lineRule="auto"/>
              <w:jc w:val="center"/>
              <w:rPr>
                <w:rFonts w:hint="eastAsia" w:ascii="微软雅黑" w:hAnsi="微软雅黑" w:eastAsia="微软雅黑" w:cs="微软雅黑"/>
                <w:color w:val="auto"/>
                <w:spacing w:val="-4"/>
                <w:sz w:val="24"/>
                <w:szCs w:val="24"/>
                <w:highlight w:val="none"/>
                <w:lang w:eastAsia="zh-CN"/>
              </w:rPr>
            </w:pPr>
            <w:r>
              <w:rPr>
                <w:rFonts w:hint="eastAsia" w:ascii="微软雅黑" w:hAnsi="微软雅黑" w:eastAsia="微软雅黑" w:cs="微软雅黑"/>
                <w:color w:val="auto"/>
                <w:spacing w:val="-4"/>
                <w:sz w:val="24"/>
                <w:szCs w:val="24"/>
                <w:highlight w:val="none"/>
                <w:lang w:eastAsia="zh-CN"/>
              </w:rPr>
              <w:t>项目编号</w:t>
            </w:r>
          </w:p>
        </w:tc>
        <w:tc>
          <w:tcPr>
            <w:tcW w:w="6946" w:type="dxa"/>
            <w:tcBorders>
              <w:right w:val="single" w:color="000000" w:sz="2" w:space="0"/>
            </w:tcBorders>
            <w:vAlign w:val="top"/>
          </w:tcPr>
          <w:p w14:paraId="53B1875D">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r w14:paraId="0FBE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2792" w:type="dxa"/>
            <w:tcBorders>
              <w:left w:val="single" w:color="000000" w:sz="2" w:space="0"/>
            </w:tcBorders>
            <w:vAlign w:val="center"/>
          </w:tcPr>
          <w:p w14:paraId="7FA9B658">
            <w:pPr>
              <w:pageBreakBefore w:val="0"/>
              <w:kinsoku/>
              <w:overflowPunct/>
              <w:bidi w:val="0"/>
              <w:snapToGrid w:val="0"/>
              <w:spacing w:before="78" w:line="312"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pacing w:val="-4"/>
                <w:sz w:val="24"/>
                <w:szCs w:val="24"/>
                <w:highlight w:val="none"/>
                <w:lang w:eastAsia="zh-CN"/>
              </w:rPr>
              <w:t>总</w:t>
            </w:r>
            <w:r>
              <w:rPr>
                <w:rFonts w:hint="eastAsia" w:ascii="微软雅黑" w:hAnsi="微软雅黑" w:eastAsia="微软雅黑" w:cs="微软雅黑"/>
                <w:color w:val="auto"/>
                <w:spacing w:val="-4"/>
                <w:sz w:val="24"/>
                <w:szCs w:val="24"/>
                <w:highlight w:val="none"/>
              </w:rPr>
              <w:t>报价</w:t>
            </w:r>
            <w:r>
              <w:rPr>
                <w:rFonts w:hint="eastAsia" w:ascii="微软雅黑" w:hAnsi="微软雅黑" w:eastAsia="微软雅黑" w:cs="微软雅黑"/>
                <w:color w:val="auto"/>
                <w:spacing w:val="-4"/>
                <w:sz w:val="24"/>
                <w:szCs w:val="24"/>
                <w:highlight w:val="none"/>
                <w:lang w:eastAsia="zh-CN"/>
              </w:rPr>
              <w:t>（元）</w:t>
            </w:r>
          </w:p>
        </w:tc>
        <w:tc>
          <w:tcPr>
            <w:tcW w:w="6946" w:type="dxa"/>
            <w:tcBorders>
              <w:right w:val="single" w:color="000000" w:sz="2" w:space="0"/>
            </w:tcBorders>
            <w:vAlign w:val="top"/>
          </w:tcPr>
          <w:p w14:paraId="18678F5E">
            <w:pPr>
              <w:pageBreakBefore w:val="0"/>
              <w:kinsoku/>
              <w:overflowPunct/>
              <w:bidi w:val="0"/>
              <w:snapToGrid w:val="0"/>
              <w:spacing w:before="78"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6"/>
                <w:position w:val="29"/>
                <w:sz w:val="24"/>
                <w:szCs w:val="24"/>
                <w:highlight w:val="none"/>
              </w:rPr>
              <w:t>小写：</w:t>
            </w:r>
          </w:p>
          <w:p w14:paraId="7CAB9C24">
            <w:pPr>
              <w:pageBreakBefore w:val="0"/>
              <w:kinsoku/>
              <w:overflowPunct/>
              <w:bidi w:val="0"/>
              <w:snapToGrid w:val="0"/>
              <w:spacing w:line="312" w:lineRule="auto"/>
              <w:ind w:firstLine="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大写：</w:t>
            </w:r>
          </w:p>
        </w:tc>
      </w:tr>
      <w:tr w14:paraId="5AAF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vAlign w:val="center"/>
          </w:tcPr>
          <w:p w14:paraId="1ADE42F5">
            <w:pPr>
              <w:pageBreakBefore w:val="0"/>
              <w:kinsoku/>
              <w:overflowPunct/>
              <w:bidi w:val="0"/>
              <w:snapToGrid w:val="0"/>
              <w:spacing w:before="269"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磋商保证金</w:t>
            </w:r>
          </w:p>
        </w:tc>
        <w:tc>
          <w:tcPr>
            <w:tcW w:w="6946" w:type="dxa"/>
            <w:tcBorders>
              <w:right w:val="single" w:color="000000" w:sz="2" w:space="0"/>
            </w:tcBorders>
            <w:vAlign w:val="top"/>
          </w:tcPr>
          <w:p w14:paraId="23619243">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r w14:paraId="1548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792" w:type="dxa"/>
            <w:tcBorders>
              <w:left w:val="single" w:color="000000" w:sz="2" w:space="0"/>
            </w:tcBorders>
            <w:vAlign w:val="center"/>
          </w:tcPr>
          <w:p w14:paraId="0A262D24">
            <w:pPr>
              <w:pageBreakBefore w:val="0"/>
              <w:kinsoku/>
              <w:overflowPunct/>
              <w:bidi w:val="0"/>
              <w:snapToGrid w:val="0"/>
              <w:spacing w:before="331"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
                <w:sz w:val="24"/>
                <w:szCs w:val="24"/>
                <w:highlight w:val="none"/>
              </w:rPr>
              <w:t>服务期限</w:t>
            </w:r>
          </w:p>
        </w:tc>
        <w:tc>
          <w:tcPr>
            <w:tcW w:w="6946" w:type="dxa"/>
            <w:tcBorders>
              <w:right w:val="single" w:color="000000" w:sz="2" w:space="0"/>
            </w:tcBorders>
            <w:vAlign w:val="top"/>
          </w:tcPr>
          <w:p w14:paraId="1D17B58F">
            <w:pPr>
              <w:pageBreakBefore w:val="0"/>
              <w:kinsoku/>
              <w:overflowPunct/>
              <w:bidi w:val="0"/>
              <w:snapToGrid w:val="0"/>
              <w:spacing w:line="312" w:lineRule="auto"/>
              <w:jc w:val="center"/>
              <w:rPr>
                <w:rFonts w:hint="eastAsia" w:ascii="微软雅黑" w:hAnsi="微软雅黑" w:eastAsia="微软雅黑" w:cs="微软雅黑"/>
                <w:color w:val="auto"/>
                <w:sz w:val="21"/>
                <w:highlight w:val="none"/>
              </w:rPr>
            </w:pPr>
          </w:p>
        </w:tc>
      </w:tr>
      <w:tr w14:paraId="1AC0B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2792" w:type="dxa"/>
            <w:tcBorders>
              <w:left w:val="single" w:color="000000" w:sz="2" w:space="0"/>
            </w:tcBorders>
            <w:vAlign w:val="center"/>
          </w:tcPr>
          <w:p w14:paraId="79680D8C">
            <w:pPr>
              <w:pageBreakBefore w:val="0"/>
              <w:kinsoku/>
              <w:overflowPunct/>
              <w:bidi w:val="0"/>
              <w:snapToGrid w:val="0"/>
              <w:spacing w:before="280"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rPr>
              <w:t>服务地点</w:t>
            </w:r>
          </w:p>
        </w:tc>
        <w:tc>
          <w:tcPr>
            <w:tcW w:w="6946" w:type="dxa"/>
            <w:tcBorders>
              <w:right w:val="single" w:color="000000" w:sz="2" w:space="0"/>
            </w:tcBorders>
            <w:vAlign w:val="center"/>
          </w:tcPr>
          <w:p w14:paraId="71851CAC">
            <w:pPr>
              <w:pageBreakBefore w:val="0"/>
              <w:kinsoku/>
              <w:overflowPunct/>
              <w:bidi w:val="0"/>
              <w:snapToGrid w:val="0"/>
              <w:spacing w:line="312" w:lineRule="auto"/>
              <w:jc w:val="center"/>
              <w:rPr>
                <w:rFonts w:hint="eastAsia" w:ascii="微软雅黑" w:hAnsi="微软雅黑" w:eastAsia="微软雅黑" w:cs="微软雅黑"/>
                <w:color w:val="auto"/>
                <w:sz w:val="21"/>
                <w:highlight w:val="none"/>
                <w:lang w:eastAsia="zh-CN"/>
              </w:rPr>
            </w:pPr>
          </w:p>
        </w:tc>
      </w:tr>
      <w:tr w14:paraId="6031F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2792" w:type="dxa"/>
            <w:tcBorders>
              <w:left w:val="single" w:color="000000" w:sz="2" w:space="0"/>
            </w:tcBorders>
            <w:vAlign w:val="center"/>
          </w:tcPr>
          <w:p w14:paraId="6E96A3ED">
            <w:pPr>
              <w:pageBreakBefore w:val="0"/>
              <w:kinsoku/>
              <w:overflowPunct/>
              <w:bidi w:val="0"/>
              <w:snapToGrid w:val="0"/>
              <w:spacing w:before="283"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7"/>
                <w:sz w:val="24"/>
                <w:szCs w:val="24"/>
                <w:highlight w:val="none"/>
              </w:rPr>
              <w:t>备注</w:t>
            </w:r>
          </w:p>
        </w:tc>
        <w:tc>
          <w:tcPr>
            <w:tcW w:w="6946" w:type="dxa"/>
            <w:tcBorders>
              <w:right w:val="single" w:color="000000" w:sz="2" w:space="0"/>
            </w:tcBorders>
            <w:vAlign w:val="top"/>
          </w:tcPr>
          <w:p w14:paraId="5AB51489">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bl>
    <w:p w14:paraId="23147B79">
      <w:pPr>
        <w:pageBreakBefore w:val="0"/>
        <w:kinsoku/>
        <w:overflowPunct/>
        <w:bidi w:val="0"/>
        <w:snapToGrid w:val="0"/>
        <w:spacing w:line="312" w:lineRule="auto"/>
        <w:rPr>
          <w:rFonts w:hint="eastAsia" w:ascii="微软雅黑" w:hAnsi="微软雅黑" w:eastAsia="微软雅黑" w:cs="微软雅黑"/>
          <w:color w:val="auto"/>
          <w:sz w:val="21"/>
          <w:highlight w:val="none"/>
        </w:rPr>
      </w:pPr>
    </w:p>
    <w:p w14:paraId="4C78AC82">
      <w:pPr>
        <w:pageBreakBefore w:val="0"/>
        <w:kinsoku/>
        <w:overflowPunct/>
        <w:bidi w:val="0"/>
        <w:snapToGrid w:val="0"/>
        <w:spacing w:before="78" w:line="312" w:lineRule="auto"/>
        <w:ind w:right="1183"/>
        <w:rPr>
          <w:rFonts w:hint="eastAsia" w:ascii="微软雅黑" w:hAnsi="微软雅黑" w:eastAsia="微软雅黑" w:cs="微软雅黑"/>
          <w:color w:val="auto"/>
          <w:spacing w:val="18"/>
          <w:sz w:val="24"/>
          <w:szCs w:val="24"/>
          <w:highlight w:val="none"/>
        </w:rPr>
      </w:pPr>
      <w:r>
        <w:rPr>
          <w:rFonts w:hint="eastAsia" w:ascii="微软雅黑" w:hAnsi="微软雅黑" w:eastAsia="微软雅黑" w:cs="微软雅黑"/>
          <w:color w:val="auto"/>
          <w:spacing w:val="3"/>
          <w:sz w:val="24"/>
          <w:szCs w:val="24"/>
          <w:highlight w:val="none"/>
        </w:rPr>
        <w:t>供应商名称（单位盖章</w:t>
      </w:r>
      <w:r>
        <w:rPr>
          <w:rFonts w:hint="eastAsia" w:ascii="微软雅黑" w:hAnsi="微软雅黑" w:eastAsia="微软雅黑" w:cs="微软雅黑"/>
          <w:color w:val="auto"/>
          <w:spacing w:val="-83"/>
          <w:sz w:val="24"/>
          <w:szCs w:val="24"/>
          <w:highlight w:val="none"/>
        </w:rPr>
        <w:t>）</w:t>
      </w:r>
      <w:r>
        <w:rPr>
          <w:rFonts w:hint="eastAsia" w:ascii="微软雅黑" w:hAnsi="微软雅黑" w:eastAsia="微软雅黑" w:cs="微软雅黑"/>
          <w:color w:val="auto"/>
          <w:spacing w:val="12"/>
          <w:sz w:val="24"/>
          <w:szCs w:val="24"/>
          <w:highlight w:val="none"/>
        </w:rPr>
        <w:t xml:space="preserve"> </w:t>
      </w:r>
      <w:r>
        <w:rPr>
          <w:rFonts w:hint="eastAsia" w:ascii="微软雅黑" w:hAnsi="微软雅黑" w:eastAsia="微软雅黑" w:cs="微软雅黑"/>
          <w:color w:val="auto"/>
          <w:spacing w:val="-83"/>
          <w:sz w:val="24"/>
          <w:szCs w:val="24"/>
          <w:highlight w:val="none"/>
        </w:rPr>
        <w:t>：</w:t>
      </w:r>
      <w:r>
        <w:rPr>
          <w:rFonts w:hint="eastAsia" w:ascii="微软雅黑" w:hAnsi="微软雅黑" w:eastAsia="微软雅黑" w:cs="微软雅黑"/>
          <w:color w:val="auto"/>
          <w:spacing w:val="3"/>
          <w:sz w:val="24"/>
          <w:szCs w:val="24"/>
          <w:highlight w:val="none"/>
          <w:u w:val="single" w:color="auto"/>
        </w:rPr>
        <w:t xml:space="preserve">                               </w:t>
      </w:r>
    </w:p>
    <w:p w14:paraId="54DA752E">
      <w:pPr>
        <w:pageBreakBefore w:val="0"/>
        <w:kinsoku/>
        <w:overflowPunct/>
        <w:bidi w:val="0"/>
        <w:snapToGrid w:val="0"/>
        <w:spacing w:before="78" w:line="312" w:lineRule="auto"/>
        <w:ind w:right="1183"/>
        <w:rPr>
          <w:rFonts w:hint="eastAsia" w:ascii="微软雅黑" w:hAnsi="微软雅黑" w:eastAsia="微软雅黑" w:cs="微软雅黑"/>
          <w:color w:val="auto"/>
          <w:sz w:val="24"/>
          <w:szCs w:val="24"/>
          <w:highlight w:val="none"/>
          <w:u w:val="single" w:color="auto"/>
        </w:rPr>
      </w:pPr>
      <w:r>
        <w:rPr>
          <w:rFonts w:hint="eastAsia" w:ascii="微软雅黑" w:hAnsi="微软雅黑" w:eastAsia="微软雅黑" w:cs="微软雅黑"/>
          <w:color w:val="auto"/>
          <w:spacing w:val="-1"/>
          <w:sz w:val="24"/>
          <w:szCs w:val="24"/>
          <w:highlight w:val="none"/>
        </w:rPr>
        <w:t>法定代表人或委托代理</w:t>
      </w:r>
      <w:r>
        <w:rPr>
          <w:rFonts w:hint="eastAsia" w:ascii="微软雅黑" w:hAnsi="微软雅黑" w:eastAsia="微软雅黑" w:cs="微软雅黑"/>
          <w:color w:val="auto"/>
          <w:spacing w:val="-1"/>
          <w:sz w:val="24"/>
          <w:szCs w:val="24"/>
          <w:highlight w:val="none"/>
          <w:lang w:eastAsia="zh-CN"/>
        </w:rPr>
        <w:t>人</w:t>
      </w:r>
      <w:r>
        <w:rPr>
          <w:rFonts w:hint="eastAsia" w:ascii="微软雅黑" w:hAnsi="微软雅黑" w:eastAsia="微软雅黑" w:cs="微软雅黑"/>
          <w:color w:val="auto"/>
          <w:spacing w:val="-1"/>
          <w:sz w:val="24"/>
          <w:szCs w:val="24"/>
          <w:highlight w:val="none"/>
        </w:rPr>
        <w:t>(签字或盖章):</w:t>
      </w:r>
      <w:r>
        <w:rPr>
          <w:rFonts w:hint="eastAsia" w:ascii="微软雅黑" w:hAnsi="微软雅黑" w:eastAsia="微软雅黑" w:cs="微软雅黑"/>
          <w:color w:val="auto"/>
          <w:sz w:val="24"/>
          <w:szCs w:val="24"/>
          <w:highlight w:val="none"/>
          <w:u w:val="single" w:color="auto"/>
        </w:rPr>
        <w:t xml:space="preserve">                      </w:t>
      </w:r>
    </w:p>
    <w:p w14:paraId="2F76ACE3">
      <w:pPr>
        <w:pageBreakBefore w:val="0"/>
        <w:kinsoku/>
        <w:overflowPunct/>
        <w:bidi w:val="0"/>
        <w:snapToGrid w:val="0"/>
        <w:spacing w:before="78" w:line="312" w:lineRule="auto"/>
        <w:ind w:right="1183"/>
        <w:rPr>
          <w:rFonts w:hint="eastAsia" w:ascii="仿宋" w:hAnsi="仿宋" w:eastAsia="仿宋" w:cs="仿宋"/>
          <w:color w:val="auto"/>
          <w:sz w:val="28"/>
          <w:szCs w:val="28"/>
          <w:highlight w:val="none"/>
          <w:lang w:val="en-US" w:eastAsia="zh-CN"/>
        </w:rPr>
      </w:pPr>
      <w:r>
        <w:rPr>
          <w:rFonts w:hint="eastAsia" w:ascii="微软雅黑" w:hAnsi="微软雅黑" w:eastAsia="微软雅黑" w:cs="微软雅黑"/>
          <w:color w:val="auto"/>
          <w:spacing w:val="-1"/>
          <w:sz w:val="24"/>
          <w:szCs w:val="24"/>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5657EBB4">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rPr>
      </w:pPr>
    </w:p>
    <w:p w14:paraId="1EBFE5B3">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注:</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1、如投标报价超过本项目最高限价，其报价无效。不能进入下一阶段评审。</w:t>
      </w:r>
    </w:p>
    <w:p w14:paraId="409627A6">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2、此表中，报价总价应和投标分项报价表的总价相一致。</w:t>
      </w:r>
    </w:p>
    <w:p w14:paraId="6D22C348">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此报价包含本项目相关所有费用。</w:t>
      </w:r>
    </w:p>
    <w:p w14:paraId="221A1D78">
      <w:pPr>
        <w:pStyle w:val="16"/>
        <w:rPr>
          <w:rFonts w:hint="eastAsia"/>
          <w:color w:val="auto"/>
          <w:highlight w:val="none"/>
        </w:rPr>
      </w:pPr>
    </w:p>
    <w:p w14:paraId="355AE897">
      <w:pPr>
        <w:pStyle w:val="15"/>
        <w:pageBreakBefore w:val="0"/>
        <w:tabs>
          <w:tab w:val="left" w:pos="5580"/>
        </w:tabs>
        <w:kinsoku/>
        <w:overflowPunct/>
        <w:bidi w:val="0"/>
        <w:snapToGrid w:val="0"/>
        <w:spacing w:line="312" w:lineRule="auto"/>
        <w:ind w:firstLine="960" w:firstLineChars="400"/>
        <w:rPr>
          <w:rFonts w:hint="eastAsia" w:ascii="微软雅黑" w:hAnsi="微软雅黑" w:eastAsia="微软雅黑" w:cs="微软雅黑"/>
          <w:color w:val="auto"/>
          <w:sz w:val="24"/>
          <w:szCs w:val="24"/>
          <w:highlight w:val="none"/>
          <w:lang w:val="en-US" w:eastAsia="zh-CN"/>
        </w:rPr>
      </w:pPr>
    </w:p>
    <w:p w14:paraId="3956956E">
      <w:pPr>
        <w:pStyle w:val="8"/>
        <w:pageBreakBefore w:val="0"/>
        <w:tabs>
          <w:tab w:val="left" w:pos="5580"/>
        </w:tabs>
        <w:kinsoku/>
        <w:overflowPunct/>
        <w:bidi w:val="0"/>
        <w:snapToGrid w:val="0"/>
        <w:spacing w:line="312" w:lineRule="auto"/>
        <w:ind w:firstLine="0"/>
        <w:jc w:val="center"/>
        <w:outlineLvl w:val="9"/>
        <w:rPr>
          <w:rFonts w:hint="eastAsia" w:ascii="微软雅黑" w:hAnsi="微软雅黑" w:eastAsia="微软雅黑" w:cs="微软雅黑"/>
          <w:b/>
          <w:bCs/>
          <w:color w:val="auto"/>
          <w:sz w:val="28"/>
          <w:szCs w:val="24"/>
          <w:highlight w:val="none"/>
        </w:rPr>
      </w:pPr>
    </w:p>
    <w:bookmarkEnd w:id="311"/>
    <w:bookmarkEnd w:id="312"/>
    <w:p w14:paraId="279F55F4">
      <w:pPr>
        <w:pStyle w:val="4"/>
        <w:pageBreakBefore w:val="0"/>
        <w:kinsoku/>
        <w:overflowPunct/>
        <w:bidi w:val="0"/>
        <w:snapToGrid w:val="0"/>
        <w:spacing w:before="0" w:line="312" w:lineRule="auto"/>
        <w:jc w:val="center"/>
        <w:rPr>
          <w:rFonts w:hint="eastAsia" w:ascii="微软雅黑" w:hAnsi="微软雅黑" w:eastAsia="微软雅黑" w:cs="微软雅黑"/>
          <w:b/>
          <w:bCs/>
          <w:color w:val="auto"/>
          <w:sz w:val="24"/>
          <w:szCs w:val="24"/>
          <w:highlight w:val="none"/>
          <w:lang w:eastAsia="zh-CN"/>
        </w:rPr>
      </w:pPr>
      <w:bookmarkStart w:id="319" w:name="_Toc6295"/>
      <w:bookmarkStart w:id="320" w:name="_Toc9513_WPSOffice_Level2"/>
      <w:bookmarkStart w:id="321" w:name="_Toc10345"/>
      <w:bookmarkStart w:id="322" w:name="_Toc23485"/>
      <w:bookmarkStart w:id="323" w:name="_Toc5279"/>
      <w:bookmarkStart w:id="324" w:name="_Toc24267_WPSOffice_Level2"/>
      <w:bookmarkStart w:id="325" w:name="_Toc14915"/>
      <w:bookmarkStart w:id="326" w:name="_Toc515647817"/>
      <w:bookmarkStart w:id="327" w:name="_Toc5068"/>
      <w:bookmarkStart w:id="328" w:name="_Toc2041"/>
      <w:bookmarkStart w:id="329" w:name="_Toc23960"/>
      <w:bookmarkStart w:id="330" w:name="_Toc26170"/>
      <w:r>
        <w:rPr>
          <w:rFonts w:hint="eastAsia" w:ascii="微软雅黑" w:hAnsi="微软雅黑" w:eastAsia="微软雅黑" w:cs="微软雅黑"/>
          <w:color w:val="auto"/>
          <w:sz w:val="28"/>
          <w:szCs w:val="28"/>
          <w:highlight w:val="none"/>
          <w:lang w:eastAsia="zh-CN"/>
        </w:rPr>
        <w:t>2、依法在民政部门登记成立或经国务院批准免予登记的社会组织；依法在工商管理或行业主管部门登记成立的企业、机构等社会力量的身份证明；</w:t>
      </w:r>
    </w:p>
    <w:p w14:paraId="16D736DD">
      <w:pPr>
        <w:pStyle w:val="4"/>
        <w:pageBreakBefore w:val="0"/>
        <w:kinsoku/>
        <w:overflowPunct/>
        <w:bidi w:val="0"/>
        <w:snapToGrid w:val="0"/>
        <w:spacing w:before="0" w:line="312" w:lineRule="auto"/>
        <w:ind w:left="1079" w:leftChars="257" w:hanging="540"/>
        <w:jc w:val="center"/>
        <w:rPr>
          <w:rFonts w:hint="eastAsia" w:ascii="微软雅黑" w:hAnsi="微软雅黑" w:eastAsia="微软雅黑" w:cs="微软雅黑"/>
          <w:b/>
          <w:color w:val="auto"/>
          <w:sz w:val="28"/>
          <w:szCs w:val="28"/>
          <w:highlight w:val="none"/>
          <w:lang w:val="en-US" w:eastAsia="zh-CN"/>
        </w:rPr>
      </w:pPr>
      <w:bookmarkStart w:id="331" w:name="_Toc29452"/>
      <w:bookmarkStart w:id="332" w:name="_Toc16191"/>
      <w:bookmarkStart w:id="333" w:name="_Toc1083"/>
      <w:bookmarkStart w:id="334" w:name="_Toc22472"/>
      <w:bookmarkStart w:id="335" w:name="_Toc515647807"/>
    </w:p>
    <w:p w14:paraId="674ED6A1">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64CF6028">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39A410EE">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1F22D1B2">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0034AD15">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04E98C08">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368D7CDB">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7B478802">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2D10B7BB">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30DA25D0">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7E235C2E">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116FA6E9">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0BE1F600">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5CBF6F41">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73A318D1">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0F6EA4FC">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182BC841">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0242B20C">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23DB0404">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19980F52">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p>
    <w:p w14:paraId="688E75E5">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r>
        <w:rPr>
          <w:rFonts w:hint="eastAsia" w:ascii="微软雅黑" w:hAnsi="微软雅黑" w:eastAsia="微软雅黑" w:cs="微软雅黑"/>
          <w:b/>
          <w:color w:val="auto"/>
          <w:sz w:val="28"/>
          <w:szCs w:val="28"/>
          <w:highlight w:val="none"/>
          <w:lang w:val="en-US" w:eastAsia="zh-CN"/>
        </w:rPr>
        <w:t>3、法定代表人身份证明</w:t>
      </w:r>
      <w:bookmarkEnd w:id="331"/>
      <w:bookmarkEnd w:id="332"/>
    </w:p>
    <w:bookmarkEnd w:id="333"/>
    <w:bookmarkEnd w:id="334"/>
    <w:bookmarkEnd w:id="335"/>
    <w:p w14:paraId="7BD50AB2">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 xml:space="preserve">名称： </w:t>
      </w:r>
      <w:r>
        <w:rPr>
          <w:rFonts w:hint="eastAsia" w:ascii="微软雅黑" w:hAnsi="微软雅黑" w:eastAsia="微软雅黑" w:cs="微软雅黑"/>
          <w:color w:val="auto"/>
          <w:sz w:val="24"/>
          <w:szCs w:val="24"/>
          <w:highlight w:val="none"/>
        </w:rPr>
        <w:tab/>
      </w:r>
    </w:p>
    <w:p w14:paraId="561F6770">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78301AA9">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姓名：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性别：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年龄：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职务： </w:t>
      </w:r>
      <w:r>
        <w:rPr>
          <w:rFonts w:hint="eastAsia" w:ascii="微软雅黑" w:hAnsi="微软雅黑" w:eastAsia="微软雅黑" w:cs="微软雅黑"/>
          <w:color w:val="auto"/>
          <w:sz w:val="24"/>
          <w:szCs w:val="24"/>
          <w:highlight w:val="none"/>
        </w:rPr>
        <w:tab/>
      </w:r>
    </w:p>
    <w:p w14:paraId="1F00B0BD">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44A32924">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系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名称）的法定代表人（单位负责人）。</w:t>
      </w:r>
    </w:p>
    <w:p w14:paraId="3821130F">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21EDA797">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04E18E5D">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266E1371">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690E4700">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附：法定代表人（单位负责人）身份证正反面复印件。 </w:t>
      </w:r>
    </w:p>
    <w:p w14:paraId="5944662E">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1FEF2023">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注：本身份证明需由</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加盖单位公章。</w:t>
      </w:r>
    </w:p>
    <w:p w14:paraId="38F9D090">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109DC8DF">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2A32727F">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名称（单位盖章）：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75F622F6">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21DAC512">
      <w:pPr>
        <w:pageBreakBefore w:val="0"/>
        <w:kinsoku/>
        <w:overflowPunct/>
        <w:bidi w:val="0"/>
        <w:snapToGrid w:val="0"/>
        <w:spacing w:line="312" w:lineRule="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法定代表人（签字或盖章）：</w:t>
      </w:r>
      <w:r>
        <w:rPr>
          <w:rFonts w:hint="eastAsia" w:ascii="微软雅黑" w:hAnsi="微软雅黑" w:eastAsia="微软雅黑" w:cs="微软雅黑"/>
          <w:color w:val="auto"/>
          <w:sz w:val="24"/>
          <w:szCs w:val="24"/>
          <w:highlight w:val="none"/>
          <w:u w:val="single"/>
        </w:rPr>
        <w:t xml:space="preserve">                    </w:t>
      </w:r>
    </w:p>
    <w:p w14:paraId="4D83727B">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64ACD972">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2"/>
          <w:sz w:val="24"/>
          <w:szCs w:val="24"/>
          <w:highlight w:val="none"/>
          <w:lang w:val="en-US" w:eastAsia="zh-CN" w:bidi="ar-SA"/>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6A0FA2D0">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8"/>
          <w:szCs w:val="28"/>
          <w:highlight w:val="none"/>
        </w:rPr>
        <w:sectPr>
          <w:footerReference r:id="rId9" w:type="default"/>
          <w:pgSz w:w="11906" w:h="16838"/>
          <w:pgMar w:top="850" w:right="1134" w:bottom="850" w:left="1134"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微软雅黑" w:hAnsi="微软雅黑" w:eastAsia="微软雅黑" w:cs="微软雅黑"/>
          <w:color w:val="auto"/>
          <w:sz w:val="28"/>
          <w:szCs w:val="28"/>
          <w:highlight w:val="none"/>
        </w:rPr>
        <w:t xml:space="preserve">   </w:t>
      </w:r>
    </w:p>
    <w:p w14:paraId="3DCA885B">
      <w:pPr>
        <w:pStyle w:val="15"/>
        <w:pageBreakBefore w:val="0"/>
        <w:tabs>
          <w:tab w:val="left" w:pos="5580"/>
        </w:tabs>
        <w:kinsoku/>
        <w:overflowPunct/>
        <w:bidi w:val="0"/>
        <w:snapToGrid w:val="0"/>
        <w:spacing w:line="312" w:lineRule="auto"/>
        <w:jc w:val="center"/>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法定代表人授权委托书</w:t>
      </w:r>
    </w:p>
    <w:p w14:paraId="52276C3C">
      <w:pPr>
        <w:pStyle w:val="2"/>
        <w:keepNext w:val="0"/>
        <w:keepLines w:val="0"/>
        <w:pageBreakBefore w:val="0"/>
        <w:widowControl w:val="0"/>
        <w:tabs>
          <w:tab w:val="left" w:pos="2119"/>
          <w:tab w:val="clear" w:pos="567"/>
        </w:tabs>
        <w:kinsoku/>
        <w:wordWrap/>
        <w:overflowPunct/>
        <w:topLinePunct w:val="0"/>
        <w:autoSpaceDE/>
        <w:autoSpaceDN/>
        <w:bidi w:val="0"/>
        <w:adjustRightInd/>
        <w:snapToGrid w:val="0"/>
        <w:spacing w:before="181" w:line="312" w:lineRule="auto"/>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(采购人)</w:t>
      </w:r>
    </w:p>
    <w:p w14:paraId="07F2B011">
      <w:pPr>
        <w:pStyle w:val="15"/>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本授权书声明：注册于</w:t>
      </w:r>
      <w:r>
        <w:rPr>
          <w:rFonts w:hint="eastAsia" w:ascii="微软雅黑" w:hAnsi="微软雅黑" w:eastAsia="微软雅黑" w:cs="微软雅黑"/>
          <w:i w:val="0"/>
          <w:iCs w:val="0"/>
          <w:color w:val="auto"/>
          <w:sz w:val="24"/>
          <w:szCs w:val="24"/>
          <w:highlight w:val="none"/>
          <w:u w:val="single"/>
        </w:rPr>
        <w:t>（国家或地区的名称）</w:t>
      </w:r>
      <w:r>
        <w:rPr>
          <w:rFonts w:hint="eastAsia" w:ascii="微软雅黑" w:hAnsi="微软雅黑" w:eastAsia="微软雅黑" w:cs="微软雅黑"/>
          <w:i w:val="0"/>
          <w:iCs w:val="0"/>
          <w:color w:val="auto"/>
          <w:sz w:val="24"/>
          <w:szCs w:val="24"/>
          <w:highlight w:val="none"/>
        </w:rPr>
        <w:t>的（</w:t>
      </w:r>
      <w:r>
        <w:rPr>
          <w:rFonts w:hint="eastAsia" w:ascii="微软雅黑" w:hAnsi="微软雅黑" w:eastAsia="微软雅黑" w:cs="微软雅黑"/>
          <w:i w:val="0"/>
          <w:iCs w:val="0"/>
          <w:color w:val="auto"/>
          <w:sz w:val="24"/>
          <w:szCs w:val="24"/>
          <w:highlight w:val="none"/>
          <w:u w:val="single"/>
          <w:lang w:eastAsia="zh-CN"/>
        </w:rPr>
        <w:t>供应商</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rPr>
        <w:t>法人代表姓名、职务</w:t>
      </w:r>
      <w:r>
        <w:rPr>
          <w:rFonts w:hint="eastAsia" w:ascii="微软雅黑" w:hAnsi="微软雅黑" w:eastAsia="微软雅黑" w:cs="微软雅黑"/>
          <w:i w:val="0"/>
          <w:iCs w:val="0"/>
          <w:color w:val="auto"/>
          <w:sz w:val="24"/>
          <w:szCs w:val="24"/>
          <w:highlight w:val="none"/>
        </w:rPr>
        <w:t>）代表我单位授权（</w:t>
      </w:r>
      <w:r>
        <w:rPr>
          <w:rFonts w:hint="eastAsia" w:ascii="微软雅黑" w:hAnsi="微软雅黑" w:eastAsia="微软雅黑" w:cs="微软雅黑"/>
          <w:i w:val="0"/>
          <w:iCs w:val="0"/>
          <w:color w:val="auto"/>
          <w:sz w:val="24"/>
          <w:szCs w:val="24"/>
          <w:highlight w:val="none"/>
          <w:u w:val="single"/>
        </w:rPr>
        <w:t>单位名称</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rPr>
        <w:t>被授权人的姓名、职务</w:t>
      </w:r>
      <w:r>
        <w:rPr>
          <w:rFonts w:hint="eastAsia" w:ascii="微软雅黑" w:hAnsi="微软雅黑" w:eastAsia="微软雅黑" w:cs="微软雅黑"/>
          <w:i w:val="0"/>
          <w:iCs w:val="0"/>
          <w:color w:val="auto"/>
          <w:sz w:val="24"/>
          <w:szCs w:val="24"/>
          <w:highlight w:val="none"/>
        </w:rPr>
        <w:t>）为我单位的合法代理人，就（</w:t>
      </w:r>
      <w:r>
        <w:rPr>
          <w:rFonts w:hint="eastAsia" w:ascii="微软雅黑" w:hAnsi="微软雅黑" w:eastAsia="微软雅黑" w:cs="微软雅黑"/>
          <w:i w:val="0"/>
          <w:iCs w:val="0"/>
          <w:color w:val="auto"/>
          <w:sz w:val="24"/>
          <w:szCs w:val="24"/>
          <w:highlight w:val="none"/>
          <w:u w:val="single"/>
        </w:rPr>
        <w:t>项目名称</w:t>
      </w:r>
      <w:r>
        <w:rPr>
          <w:rFonts w:hint="eastAsia" w:ascii="微软雅黑" w:hAnsi="微软雅黑" w:eastAsia="微软雅黑" w:cs="微软雅黑"/>
          <w:i w:val="0"/>
          <w:iCs w:val="0"/>
          <w:color w:val="auto"/>
          <w:sz w:val="24"/>
          <w:szCs w:val="24"/>
          <w:highlight w:val="none"/>
        </w:rPr>
        <w:t>）的（</w:t>
      </w:r>
      <w:r>
        <w:rPr>
          <w:rFonts w:hint="eastAsia" w:ascii="微软雅黑" w:hAnsi="微软雅黑" w:eastAsia="微软雅黑" w:cs="微软雅黑"/>
          <w:i w:val="0"/>
          <w:iCs w:val="0"/>
          <w:color w:val="auto"/>
          <w:sz w:val="24"/>
          <w:szCs w:val="24"/>
          <w:highlight w:val="none"/>
          <w:u w:val="single"/>
        </w:rPr>
        <w:t>合同名称</w:t>
      </w:r>
      <w:r>
        <w:rPr>
          <w:rFonts w:hint="eastAsia" w:ascii="微软雅黑" w:hAnsi="微软雅黑" w:eastAsia="微软雅黑" w:cs="微软雅黑"/>
          <w:i w:val="0"/>
          <w:iCs w:val="0"/>
          <w:color w:val="auto"/>
          <w:sz w:val="24"/>
          <w:szCs w:val="24"/>
          <w:highlight w:val="none"/>
        </w:rPr>
        <w:t>）投标，以我单位名义处理一切与之有关的事务。</w:t>
      </w:r>
    </w:p>
    <w:p w14:paraId="36A71A50">
      <w:pPr>
        <w:pStyle w:val="2"/>
        <w:keepNext w:val="0"/>
        <w:keepLines w:val="0"/>
        <w:pageBreakBefore w:val="0"/>
        <w:widowControl w:val="0"/>
        <w:tabs>
          <w:tab w:val="left" w:pos="4008"/>
          <w:tab w:val="clear" w:pos="567"/>
        </w:tabs>
        <w:kinsoku/>
        <w:wordWrap/>
        <w:overflowPunct/>
        <w:topLinePunct w:val="0"/>
        <w:autoSpaceDE/>
        <w:autoSpaceDN/>
        <w:bidi w:val="0"/>
        <w:adjustRightInd/>
        <w:snapToGrid w:val="0"/>
        <w:spacing w:before="148" w:line="312" w:lineRule="auto"/>
        <w:ind w:left="860" w:right="-35" w:rightChars="-17"/>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日签字生效，代理人无转委托权</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特此声明。</w:t>
      </w:r>
    </w:p>
    <w:p w14:paraId="034409D9">
      <w:pPr>
        <w:pStyle w:val="8"/>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12B751CD">
      <w:pPr>
        <w:pStyle w:val="8"/>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w:t>
      </w:r>
      <w:r>
        <w:rPr>
          <w:rFonts w:hint="eastAsia" w:ascii="微软雅黑" w:hAnsi="微软雅黑" w:eastAsia="微软雅黑" w:cs="微软雅黑"/>
          <w:color w:val="auto"/>
          <w:sz w:val="24"/>
          <w:szCs w:val="24"/>
          <w:highlight w:val="none"/>
          <w:lang w:eastAsia="zh-CN"/>
        </w:rPr>
        <w:t xml:space="preserve">委托人和被委托人身份证正反面复印件 </w:t>
      </w:r>
      <w:r>
        <w:rPr>
          <w:rFonts w:hint="eastAsia" w:ascii="微软雅黑" w:hAnsi="微软雅黑" w:eastAsia="微软雅黑" w:cs="微软雅黑"/>
          <w:color w:val="auto"/>
          <w:sz w:val="24"/>
          <w:szCs w:val="24"/>
          <w:highlight w:val="none"/>
        </w:rPr>
        <w:t>。</w:t>
      </w:r>
    </w:p>
    <w:p w14:paraId="378A8376">
      <w:pPr>
        <w:pStyle w:val="15"/>
        <w:pageBreakBefore w:val="0"/>
        <w:tabs>
          <w:tab w:val="left" w:pos="5580"/>
        </w:tabs>
        <w:kinsoku/>
        <w:overflowPunct/>
        <w:bidi w:val="0"/>
        <w:snapToGrid w:val="0"/>
        <w:spacing w:line="312" w:lineRule="auto"/>
        <w:ind w:left="-539" w:leftChars="-257" w:firstLine="900" w:firstLineChars="375"/>
        <w:rPr>
          <w:rFonts w:hint="eastAsia" w:ascii="微软雅黑" w:hAnsi="微软雅黑" w:eastAsia="微软雅黑" w:cs="微软雅黑"/>
          <w:color w:val="auto"/>
          <w:sz w:val="24"/>
          <w:szCs w:val="24"/>
          <w:highlight w:val="none"/>
        </w:rPr>
      </w:pPr>
    </w:p>
    <w:p w14:paraId="2C5F9832">
      <w:pPr>
        <w:pStyle w:val="15"/>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供应商名称</w:t>
      </w:r>
      <w:r>
        <w:rPr>
          <w:rFonts w:hint="eastAsia" w:ascii="微软雅黑" w:hAnsi="微软雅黑" w:eastAsia="微软雅黑" w:cs="微软雅黑"/>
          <w:color w:val="auto"/>
          <w:sz w:val="24"/>
          <w:szCs w:val="24"/>
          <w:highlight w:val="none"/>
        </w:rPr>
        <w:t>（单位盖章）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rPr>
        <w:t xml:space="preserve">                      </w:t>
      </w:r>
    </w:p>
    <w:p w14:paraId="68A60024">
      <w:pPr>
        <w:pStyle w:val="15"/>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法定代表人（签字或盖章）：</w:t>
      </w:r>
      <w:r>
        <w:rPr>
          <w:rFonts w:hint="eastAsia" w:ascii="微软雅黑" w:hAnsi="微软雅黑" w:eastAsia="微软雅黑" w:cs="微软雅黑"/>
          <w:color w:val="auto"/>
          <w:sz w:val="24"/>
          <w:szCs w:val="24"/>
          <w:highlight w:val="none"/>
          <w:u w:val="single"/>
          <w:lang w:val="en-US" w:eastAsia="zh-CN"/>
        </w:rPr>
        <w:t xml:space="preserve">                    </w:t>
      </w:r>
    </w:p>
    <w:p w14:paraId="27F58E11">
      <w:pPr>
        <w:pStyle w:val="15"/>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7976C6C5">
      <w:pPr>
        <w:pStyle w:val="15"/>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委托代理人（签字或盖章）：</w:t>
      </w:r>
      <w:r>
        <w:rPr>
          <w:rFonts w:hint="eastAsia" w:ascii="微软雅黑" w:hAnsi="微软雅黑" w:eastAsia="微软雅黑" w:cs="微软雅黑"/>
          <w:color w:val="auto"/>
          <w:sz w:val="24"/>
          <w:szCs w:val="24"/>
          <w:highlight w:val="none"/>
          <w:u w:val="single"/>
          <w:lang w:val="en-US" w:eastAsia="zh-CN"/>
        </w:rPr>
        <w:t xml:space="preserve">                    </w:t>
      </w:r>
    </w:p>
    <w:p w14:paraId="2FF9BF25">
      <w:pPr>
        <w:pStyle w:val="15"/>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10EC00B0">
      <w:pPr>
        <w:pStyle w:val="15"/>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详细通讯地址：</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23A6A6C0">
      <w:pPr>
        <w:pStyle w:val="15"/>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6E4E9629">
      <w:pPr>
        <w:pStyle w:val="15"/>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lang w:val="en-US" w:eastAsia="zh-CN"/>
        </w:rPr>
        <w:t xml:space="preserve">                                    </w:t>
      </w:r>
    </w:p>
    <w:p w14:paraId="782BA865">
      <w:pPr>
        <w:pStyle w:val="15"/>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b/>
          <w:color w:val="auto"/>
          <w:kern w:val="0"/>
          <w:sz w:val="24"/>
          <w:szCs w:val="24"/>
          <w:highlight w:val="none"/>
          <w:lang w:val="en-US" w:eastAsia="zh-CN"/>
        </w:rPr>
      </w:pPr>
      <w:r>
        <w:rPr>
          <w:rFonts w:hint="eastAsia" w:ascii="微软雅黑" w:hAnsi="微软雅黑" w:eastAsia="微软雅黑" w:cs="微软雅黑"/>
          <w:color w:val="auto"/>
          <w:sz w:val="24"/>
          <w:szCs w:val="24"/>
          <w:highlight w:val="none"/>
        </w:rPr>
        <w:t>电　　话：</w:t>
      </w:r>
      <w:bookmarkStart w:id="336" w:name="_Toc10290"/>
      <w:bookmarkStart w:id="337" w:name="_Toc15480"/>
      <w:bookmarkStart w:id="338" w:name="_Toc4923"/>
      <w:bookmarkStart w:id="339" w:name="_Toc8410"/>
      <w:bookmarkStart w:id="340" w:name="_Toc22138"/>
      <w:r>
        <w:rPr>
          <w:rFonts w:hint="eastAsia" w:ascii="微软雅黑" w:hAnsi="微软雅黑" w:eastAsia="微软雅黑" w:cs="微软雅黑"/>
          <w:color w:val="auto"/>
          <w:sz w:val="24"/>
          <w:szCs w:val="24"/>
          <w:highlight w:val="none"/>
          <w:u w:val="single"/>
          <w:lang w:val="en-US" w:eastAsia="zh-CN"/>
        </w:rPr>
        <w:t xml:space="preserve">                                    </w:t>
      </w:r>
    </w:p>
    <w:bookmarkEnd w:id="336"/>
    <w:bookmarkEnd w:id="337"/>
    <w:bookmarkEnd w:id="338"/>
    <w:bookmarkEnd w:id="339"/>
    <w:bookmarkEnd w:id="340"/>
    <w:p w14:paraId="4FDE87EA">
      <w:pPr>
        <w:pStyle w:val="15"/>
        <w:pageBreakBefore w:val="0"/>
        <w:tabs>
          <w:tab w:val="left" w:pos="5580"/>
        </w:tabs>
        <w:kinsoku/>
        <w:overflowPunct/>
        <w:bidi w:val="0"/>
        <w:snapToGrid w:val="0"/>
        <w:spacing w:line="312" w:lineRule="auto"/>
        <w:ind w:left="-539" w:leftChars="-257" w:firstLine="1050" w:firstLineChars="375"/>
        <w:jc w:val="center"/>
        <w:outlineLvl w:val="9"/>
        <w:rPr>
          <w:rFonts w:hint="eastAsia" w:ascii="微软雅黑" w:hAnsi="微软雅黑" w:eastAsia="微软雅黑" w:cs="微软雅黑"/>
          <w:b/>
          <w:color w:val="auto"/>
          <w:kern w:val="0"/>
          <w:sz w:val="28"/>
          <w:szCs w:val="28"/>
          <w:highlight w:val="none"/>
        </w:rPr>
        <w:sectPr>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14:paraId="28A81A7A">
      <w:pPr>
        <w:pStyle w:val="15"/>
        <w:pageBreakBefore w:val="0"/>
        <w:tabs>
          <w:tab w:val="left" w:pos="5580"/>
        </w:tabs>
        <w:kinsoku/>
        <w:overflowPunct/>
        <w:bidi w:val="0"/>
        <w:snapToGrid w:val="0"/>
        <w:spacing w:line="312" w:lineRule="auto"/>
        <w:ind w:left="-540" w:leftChars="-257" w:firstLine="1051" w:firstLineChars="375"/>
        <w:jc w:val="center"/>
        <w:outlineLvl w:val="1"/>
        <w:rPr>
          <w:rFonts w:hint="eastAsia" w:ascii="微软雅黑" w:hAnsi="微软雅黑" w:eastAsia="微软雅黑" w:cs="微软雅黑"/>
          <w:b/>
          <w:color w:val="auto"/>
          <w:kern w:val="0"/>
          <w:sz w:val="28"/>
          <w:szCs w:val="28"/>
          <w:highlight w:val="none"/>
        </w:rPr>
      </w:pPr>
      <w:bookmarkStart w:id="341" w:name="_Toc31961"/>
      <w:r>
        <w:rPr>
          <w:rFonts w:hint="eastAsia" w:ascii="微软雅黑" w:hAnsi="微软雅黑" w:eastAsia="微软雅黑" w:cs="微软雅黑"/>
          <w:b/>
          <w:color w:val="auto"/>
          <w:kern w:val="0"/>
          <w:sz w:val="28"/>
          <w:szCs w:val="28"/>
          <w:highlight w:val="none"/>
        </w:rPr>
        <w:t>4</w:t>
      </w:r>
      <w:bookmarkEnd w:id="341"/>
      <w:r>
        <w:rPr>
          <w:rFonts w:hint="eastAsia" w:ascii="微软雅黑" w:hAnsi="微软雅黑" w:eastAsia="微软雅黑" w:cs="微软雅黑"/>
          <w:b/>
          <w:color w:val="auto"/>
          <w:kern w:val="0"/>
          <w:sz w:val="28"/>
          <w:szCs w:val="28"/>
          <w:highlight w:val="none"/>
          <w:lang w:eastAsia="zh-CN"/>
        </w:rPr>
        <w:t>、</w:t>
      </w:r>
      <w:r>
        <w:rPr>
          <w:rFonts w:hint="eastAsia" w:ascii="微软雅黑" w:hAnsi="微软雅黑" w:eastAsia="微软雅黑" w:cs="微软雅黑"/>
          <w:b/>
          <w:color w:val="auto"/>
          <w:kern w:val="0"/>
          <w:sz w:val="28"/>
          <w:szCs w:val="28"/>
          <w:highlight w:val="none"/>
        </w:rPr>
        <w:t>社保缴纳记录及纳税证明；</w:t>
      </w:r>
    </w:p>
    <w:p w14:paraId="587DB92C">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14:paraId="3DE8C9FA">
      <w:pPr>
        <w:pageBreakBefore w:val="0"/>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bookmarkStart w:id="342" w:name="_Toc515647809"/>
      <w:bookmarkStart w:id="343" w:name="_Toc28913"/>
      <w:bookmarkStart w:id="344" w:name="_Toc879"/>
      <w:bookmarkStart w:id="345" w:name="_Toc11047"/>
      <w:r>
        <w:rPr>
          <w:rFonts w:hint="eastAsia" w:ascii="微软雅黑" w:hAnsi="微软雅黑" w:eastAsia="微软雅黑" w:cs="微软雅黑"/>
          <w:color w:val="auto"/>
          <w:sz w:val="24"/>
          <w:szCs w:val="24"/>
          <w:highlight w:val="none"/>
        </w:rPr>
        <w:t>说明：</w:t>
      </w:r>
      <w:r>
        <w:rPr>
          <w:rFonts w:hint="eastAsia" w:ascii="微软雅黑" w:hAnsi="微软雅黑" w:eastAsia="微软雅黑" w:cs="微软雅黑"/>
          <w:color w:val="auto"/>
          <w:sz w:val="24"/>
          <w:szCs w:val="24"/>
          <w:highlight w:val="none"/>
          <w:lang w:val="en-US" w:eastAsia="zh-CN"/>
        </w:rPr>
        <w:t>1.提供供应商依法缴纳近 6 个月任意一个月社会保险的凭据；复印件上应加盖本单位公章。</w:t>
      </w:r>
    </w:p>
    <w:p w14:paraId="2FE29009">
      <w:pPr>
        <w:pageBreakBefore w:val="0"/>
        <w:kinsoku/>
        <w:overflowPunct/>
        <w:bidi w:val="0"/>
        <w:snapToGrid w:val="0"/>
        <w:spacing w:line="312" w:lineRule="auto"/>
        <w:ind w:firstLine="720" w:firstLineChars="3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2.提供供应商由税务部门出具的近 6 个月任意一个月的完税证明；复印件上应加盖本单位公章。</w:t>
      </w:r>
    </w:p>
    <w:p w14:paraId="4B4E3F8F">
      <w:pPr>
        <w:pageBreakBefore w:val="0"/>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p>
    <w:p w14:paraId="7F4D55DB">
      <w:pPr>
        <w:pageBreakBefore w:val="0"/>
        <w:kinsoku/>
        <w:overflowPunct/>
        <w:bidi w:val="0"/>
        <w:snapToGrid w:val="0"/>
        <w:spacing w:line="312" w:lineRule="auto"/>
        <w:ind w:firstLine="720" w:firstLineChars="300"/>
        <w:rPr>
          <w:rFonts w:hint="eastAsia" w:ascii="微软雅黑" w:hAnsi="微软雅黑" w:eastAsia="微软雅黑" w:cs="微软雅黑"/>
          <w:color w:val="auto"/>
          <w:sz w:val="24"/>
          <w:szCs w:val="24"/>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微软雅黑" w:hAnsi="微软雅黑" w:eastAsia="微软雅黑" w:cs="微软雅黑"/>
          <w:color w:val="auto"/>
          <w:sz w:val="24"/>
          <w:szCs w:val="24"/>
          <w:highlight w:val="none"/>
          <w:lang w:val="en-US" w:eastAsia="zh-CN"/>
        </w:rPr>
        <w:t>注：1、“提供税务部门出具的近 6 个月内任意 1 个月的完税证明”：  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”的申报结果查询截图。②完税证明中“税种”非养老保险、医疗保险、失业保险、工伤保险和生育保险。请各供应商注意！</w:t>
      </w:r>
    </w:p>
    <w:p w14:paraId="3F3E662A">
      <w:pPr>
        <w:pStyle w:val="4"/>
        <w:pageBreakBefore w:val="0"/>
        <w:numPr>
          <w:ilvl w:val="0"/>
          <w:numId w:val="0"/>
        </w:numPr>
        <w:kinsoku/>
        <w:overflowPunct/>
        <w:bidi w:val="0"/>
        <w:snapToGrid w:val="0"/>
        <w:spacing w:before="0" w:line="312" w:lineRule="auto"/>
        <w:ind w:leftChars="353"/>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5、</w:t>
      </w:r>
      <w:bookmarkEnd w:id="342"/>
      <w:bookmarkEnd w:id="343"/>
      <w:bookmarkEnd w:id="344"/>
      <w:bookmarkEnd w:id="345"/>
      <w:r>
        <w:rPr>
          <w:rFonts w:hint="eastAsia" w:ascii="微软雅黑" w:hAnsi="微软雅黑" w:eastAsia="微软雅黑" w:cs="微软雅黑"/>
          <w:b/>
          <w:color w:val="auto"/>
          <w:kern w:val="0"/>
          <w:sz w:val="28"/>
          <w:szCs w:val="28"/>
          <w:highlight w:val="none"/>
          <w:lang w:val="en-US" w:eastAsia="zh-CN" w:bidi="ar-SA"/>
        </w:rPr>
        <w:t>具有良好的商业信誉和健全的财务会计制度的证明文件；</w:t>
      </w:r>
    </w:p>
    <w:p w14:paraId="2455D63E">
      <w:pPr>
        <w:pageBreakBefore w:val="0"/>
        <w:numPr>
          <w:ilvl w:val="0"/>
          <w:numId w:val="0"/>
        </w:numPr>
        <w:kinsoku/>
        <w:overflowPunct/>
        <w:bidi w:val="0"/>
        <w:snapToGrid w:val="0"/>
        <w:spacing w:line="312" w:lineRule="auto"/>
        <w:rPr>
          <w:rFonts w:hint="eastAsia" w:ascii="微软雅黑" w:hAnsi="微软雅黑" w:eastAsia="微软雅黑" w:cs="微软雅黑"/>
          <w:color w:val="auto"/>
          <w:sz w:val="28"/>
          <w:szCs w:val="28"/>
          <w:highlight w:val="none"/>
        </w:rPr>
      </w:pPr>
    </w:p>
    <w:p w14:paraId="3701E5EA">
      <w:pPr>
        <w:pageBreakBefore w:val="0"/>
        <w:kinsoku/>
        <w:overflowPunct/>
        <w:bidi w:val="0"/>
        <w:snapToGrid w:val="0"/>
        <w:spacing w:line="312" w:lineRule="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eastAsia="zh-CN"/>
        </w:rPr>
        <w:t>说明：</w:t>
      </w:r>
      <w:r>
        <w:rPr>
          <w:rFonts w:hint="eastAsia" w:ascii="微软雅黑" w:hAnsi="微软雅黑" w:eastAsia="微软雅黑" w:cs="微软雅黑"/>
          <w:b w:val="0"/>
          <w:bCs w:val="0"/>
          <w:color w:val="auto"/>
          <w:sz w:val="24"/>
          <w:szCs w:val="24"/>
          <w:highlight w:val="none"/>
        </w:rPr>
        <w:t>近两年</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lang w:val="en-US" w:eastAsia="zh-CN"/>
        </w:rPr>
        <w:t>2023年或2024年</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任意一年的财务审计报告（新成立</w:t>
      </w:r>
      <w:r>
        <w:rPr>
          <w:rFonts w:hint="eastAsia" w:ascii="微软雅黑" w:hAnsi="微软雅黑" w:eastAsia="微软雅黑" w:cs="微软雅黑"/>
          <w:b w:val="0"/>
          <w:bCs w:val="0"/>
          <w:color w:val="auto"/>
          <w:sz w:val="24"/>
          <w:szCs w:val="24"/>
          <w:highlight w:val="none"/>
          <w:lang w:val="en-US" w:eastAsia="zh-CN"/>
        </w:rPr>
        <w:t>不满一年公司</w:t>
      </w:r>
      <w:r>
        <w:rPr>
          <w:rFonts w:hint="eastAsia" w:ascii="微软雅黑" w:hAnsi="微软雅黑" w:eastAsia="微软雅黑" w:cs="微软雅黑"/>
          <w:b w:val="0"/>
          <w:bCs w:val="0"/>
          <w:color w:val="auto"/>
          <w:sz w:val="24"/>
          <w:szCs w:val="24"/>
          <w:highlight w:val="none"/>
        </w:rPr>
        <w:t>提供有效银行资信证明）；复印件上应加盖本单位章。</w:t>
      </w:r>
    </w:p>
    <w:p w14:paraId="22B0540E">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rPr>
        <w:sectPr>
          <w:footerReference r:id="rId11"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346" w:name="_Toc13428"/>
      <w:bookmarkStart w:id="347" w:name="_Toc7379"/>
      <w:bookmarkStart w:id="348" w:name="_Toc18754"/>
      <w:bookmarkStart w:id="349" w:name="_Toc515647810"/>
      <w:bookmarkStart w:id="350" w:name="_Toc5710"/>
    </w:p>
    <w:p w14:paraId="16F151D8">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color w:val="auto"/>
          <w:sz w:val="28"/>
          <w:szCs w:val="28"/>
          <w:highlight w:val="none"/>
        </w:rPr>
        <w:t>6</w:t>
      </w:r>
      <w:r>
        <w:rPr>
          <w:rFonts w:hint="eastAsia" w:ascii="微软雅黑" w:hAnsi="微软雅黑" w:eastAsia="微软雅黑" w:cs="微软雅黑"/>
          <w:color w:val="auto"/>
          <w:sz w:val="28"/>
          <w:szCs w:val="28"/>
          <w:highlight w:val="none"/>
          <w:lang w:eastAsia="zh-CN"/>
        </w:rPr>
        <w:t>、</w:t>
      </w:r>
      <w:bookmarkEnd w:id="346"/>
      <w:bookmarkEnd w:id="347"/>
      <w:bookmarkEnd w:id="348"/>
      <w:bookmarkEnd w:id="349"/>
      <w:bookmarkEnd w:id="350"/>
      <w:r>
        <w:rPr>
          <w:rFonts w:hint="eastAsia" w:ascii="微软雅黑" w:hAnsi="微软雅黑" w:eastAsia="微软雅黑" w:cs="微软雅黑"/>
          <w:color w:val="auto"/>
          <w:sz w:val="28"/>
          <w:szCs w:val="28"/>
          <w:highlight w:val="none"/>
        </w:rPr>
        <w:t>网站查询截图；</w:t>
      </w:r>
    </w:p>
    <w:p w14:paraId="30C3CCB8">
      <w:pPr>
        <w:pageBreakBefore w:val="0"/>
        <w:tabs>
          <w:tab w:val="left" w:pos="5580"/>
        </w:tabs>
        <w:kinsoku/>
        <w:overflowPunct/>
        <w:bidi w:val="0"/>
        <w:snapToGrid w:val="0"/>
        <w:spacing w:line="312" w:lineRule="auto"/>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color w:val="auto"/>
          <w:sz w:val="24"/>
          <w:szCs w:val="24"/>
          <w:highlight w:val="none"/>
          <w:lang w:eastAsia="zh-CN"/>
        </w:rPr>
        <w:t>说明：</w:t>
      </w:r>
      <w:r>
        <w:rPr>
          <w:rFonts w:hint="eastAsia" w:ascii="微软雅黑" w:hAnsi="微软雅黑" w:eastAsia="微软雅黑" w:cs="微软雅黑"/>
          <w:b w:val="0"/>
          <w:bCs w:val="0"/>
          <w:color w:val="auto"/>
          <w:sz w:val="24"/>
          <w:szCs w:val="24"/>
          <w:highlight w:val="none"/>
          <w:lang w:val="en-US" w:eastAsia="zh-CN"/>
        </w:rPr>
        <w:t>1.</w:t>
      </w:r>
      <w:r>
        <w:rPr>
          <w:rFonts w:hint="eastAsia" w:ascii="微软雅黑" w:hAnsi="微软雅黑" w:eastAsia="微软雅黑" w:cs="微软雅黑"/>
          <w:b w:val="0"/>
          <w:bCs w:val="0"/>
          <w:color w:val="auto"/>
          <w:sz w:val="24"/>
          <w:szCs w:val="24"/>
          <w:highlight w:val="none"/>
        </w:rPr>
        <w:t>根据《财政部关于在政府采购活动中查询及使用信用记录有关问题的通知》（财库﹝2016﹞125号）的要求，凡拟参加本次招标项目的供应商，如在“信用中国”网站（www.creditchina.gov.cn）被列入失信被执行人、重大税收违法失信主体(信用中国首页-点击信用服务-查询、网页打印)、中国政府采购网（http://www.ccgp.gov.cn/search/cr/）严重违法失信行为记录名单的（尚在处罚期内的），将拒绝其参加本次招标活动（现场查询核实</w:t>
      </w:r>
      <w:r>
        <w:rPr>
          <w:rFonts w:hint="eastAsia" w:ascii="微软雅黑" w:hAnsi="微软雅黑" w:eastAsia="微软雅黑" w:cs="微软雅黑"/>
          <w:b w:val="0"/>
          <w:bCs w:val="0"/>
          <w:color w:val="auto"/>
          <w:sz w:val="24"/>
          <w:szCs w:val="24"/>
          <w:highlight w:val="none"/>
          <w:lang w:val="en-US" w:eastAsia="zh-CN"/>
        </w:rPr>
        <w:t>为准</w:t>
      </w:r>
      <w:r>
        <w:rPr>
          <w:rFonts w:hint="eastAsia" w:ascii="微软雅黑" w:hAnsi="微软雅黑" w:eastAsia="微软雅黑" w:cs="微软雅黑"/>
          <w:b w:val="0"/>
          <w:bCs w:val="0"/>
          <w:color w:val="auto"/>
          <w:sz w:val="24"/>
          <w:szCs w:val="24"/>
          <w:highlight w:val="none"/>
        </w:rPr>
        <w:t>）；</w:t>
      </w:r>
    </w:p>
    <w:p w14:paraId="1ACDC18B">
      <w:pPr>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2.</w:t>
      </w:r>
      <w:r>
        <w:rPr>
          <w:rFonts w:hint="eastAsia" w:ascii="微软雅黑" w:hAnsi="微软雅黑" w:eastAsia="微软雅黑" w:cs="微软雅黑"/>
          <w:b w:val="0"/>
          <w:bCs w:val="0"/>
          <w:color w:val="auto"/>
          <w:sz w:val="24"/>
          <w:szCs w:val="24"/>
          <w:highlight w:val="none"/>
        </w:rPr>
        <w:t>查询时间为：自公告发布之日起至响应文件递交截止时间止（该时间段内任一时间）。附查询后的网页截图。</w:t>
      </w:r>
    </w:p>
    <w:p w14:paraId="0362A4D9">
      <w:pPr>
        <w:pStyle w:val="4"/>
        <w:pageBreakBefore w:val="0"/>
        <w:widowControl w:val="0"/>
        <w:tabs>
          <w:tab w:val="left" w:pos="0"/>
        </w:tabs>
        <w:kinsoku/>
        <w:wordWrap/>
        <w:overflowPunct/>
        <w:topLinePunct w:val="0"/>
        <w:bidi w:val="0"/>
        <w:adjustRightInd/>
        <w:snapToGrid w:val="0"/>
        <w:spacing w:before="0" w:line="312" w:lineRule="auto"/>
        <w:ind w:left="-2" w:leftChars="-257" w:hanging="537" w:hangingChars="192"/>
        <w:textAlignment w:val="auto"/>
        <w:outlineLvl w:val="9"/>
        <w:rPr>
          <w:rFonts w:hint="eastAsia" w:ascii="微软雅黑" w:hAnsi="微软雅黑" w:eastAsia="微软雅黑" w:cs="微软雅黑"/>
          <w:b/>
          <w:bCs/>
          <w:color w:val="auto"/>
          <w:sz w:val="28"/>
          <w:szCs w:val="28"/>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微软雅黑" w:hAnsi="微软雅黑" w:eastAsia="微软雅黑" w:cs="微软雅黑"/>
          <w:b/>
          <w:bCs/>
          <w:color w:val="auto"/>
          <w:sz w:val="28"/>
          <w:szCs w:val="28"/>
          <w:highlight w:val="none"/>
        </w:rPr>
        <w:t xml:space="preserve">     </w:t>
      </w:r>
      <w:r>
        <w:rPr>
          <w:rFonts w:hint="eastAsia" w:ascii="微软雅黑" w:hAnsi="微软雅黑" w:eastAsia="微软雅黑" w:cs="微软雅黑"/>
          <w:b/>
          <w:bCs/>
          <w:color w:val="auto"/>
          <w:sz w:val="28"/>
          <w:szCs w:val="28"/>
          <w:highlight w:val="none"/>
          <w:lang w:val="en-US" w:eastAsia="zh-CN"/>
        </w:rPr>
        <w:t xml:space="preserve"> </w:t>
      </w:r>
      <w:bookmarkStart w:id="351" w:name="_Toc12631"/>
      <w:bookmarkStart w:id="352" w:name="_Toc3740"/>
      <w:bookmarkStart w:id="353" w:name="_Toc5644"/>
    </w:p>
    <w:p w14:paraId="77668D03">
      <w:pPr>
        <w:pStyle w:val="4"/>
        <w:pageBreakBefore w:val="0"/>
        <w:widowControl w:val="0"/>
        <w:tabs>
          <w:tab w:val="left" w:pos="0"/>
        </w:tabs>
        <w:kinsoku/>
        <w:wordWrap/>
        <w:overflowPunct/>
        <w:topLinePunct w:val="0"/>
        <w:bidi w:val="0"/>
        <w:adjustRightInd/>
        <w:snapToGrid w:val="0"/>
        <w:spacing w:before="0" w:line="312" w:lineRule="auto"/>
        <w:ind w:left="-2" w:leftChars="-257" w:hanging="537" w:hangingChars="192"/>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val="en-US" w:eastAsia="zh-CN"/>
        </w:rPr>
        <w:t>7</w:t>
      </w:r>
      <w:bookmarkEnd w:id="351"/>
      <w:r>
        <w:rPr>
          <w:rFonts w:hint="eastAsia" w:ascii="微软雅黑" w:hAnsi="微软雅黑" w:eastAsia="微软雅黑" w:cs="微软雅黑"/>
          <w:color w:val="auto"/>
          <w:sz w:val="28"/>
          <w:szCs w:val="28"/>
          <w:highlight w:val="none"/>
          <w:lang w:eastAsia="zh-CN"/>
        </w:rPr>
        <w:t>、</w:t>
      </w:r>
      <w:bookmarkEnd w:id="352"/>
      <w:bookmarkEnd w:id="353"/>
      <w:r>
        <w:rPr>
          <w:rFonts w:hint="eastAsia" w:ascii="微软雅黑" w:hAnsi="微软雅黑" w:eastAsia="微软雅黑" w:cs="微软雅黑"/>
          <w:color w:val="auto"/>
          <w:sz w:val="28"/>
          <w:szCs w:val="28"/>
          <w:highlight w:val="none"/>
          <w:lang w:eastAsia="zh-CN"/>
        </w:rPr>
        <w:t>针对本次项目的《反商业贿赂承诺书》；</w:t>
      </w:r>
    </w:p>
    <w:p w14:paraId="10C73274">
      <w:pPr>
        <w:pageBreakBefore w:val="0"/>
        <w:kinsoku/>
        <w:overflowPunct/>
        <w:bidi w:val="0"/>
        <w:snapToGrid w:val="0"/>
        <w:spacing w:line="312" w:lineRule="auto"/>
        <w:ind w:firstLine="560" w:firstLineChars="200"/>
        <w:rPr>
          <w:rFonts w:hint="eastAsia" w:ascii="微软雅黑" w:hAnsi="微软雅黑" w:eastAsia="微软雅黑" w:cs="微软雅黑"/>
          <w:color w:val="auto"/>
          <w:sz w:val="28"/>
          <w:szCs w:val="28"/>
          <w:highlight w:val="none"/>
        </w:rPr>
      </w:pPr>
    </w:p>
    <w:p w14:paraId="72686EB1">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我公司承诺在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项目</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公开采购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6BD9CEFC">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15752CE6">
      <w:pPr>
        <w:pStyle w:val="15"/>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名称（单位盖章）：</w:t>
      </w:r>
      <w:r>
        <w:rPr>
          <w:rFonts w:hint="eastAsia" w:ascii="微软雅黑" w:hAnsi="微软雅黑" w:eastAsia="微软雅黑" w:cs="微软雅黑"/>
          <w:color w:val="auto"/>
          <w:sz w:val="24"/>
          <w:szCs w:val="24"/>
          <w:highlight w:val="none"/>
          <w:u w:val="single"/>
        </w:rPr>
        <w:t xml:space="preserve">                       </w:t>
      </w:r>
    </w:p>
    <w:p w14:paraId="261070B3">
      <w:pPr>
        <w:pStyle w:val="15"/>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p>
    <w:p w14:paraId="789EB040">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  年  月  日</w:t>
      </w:r>
    </w:p>
    <w:p w14:paraId="283023A3">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lang w:eastAsia="zh-CN"/>
        </w:rPr>
      </w:pPr>
    </w:p>
    <w:p w14:paraId="4C96F7B1">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lang w:eastAsia="zh-CN"/>
        </w:rPr>
      </w:pPr>
    </w:p>
    <w:p w14:paraId="299B64F0">
      <w:pPr>
        <w:pStyle w:val="4"/>
        <w:pageBreakBefore w:val="0"/>
        <w:kinsoku/>
        <w:overflowPunct/>
        <w:bidi w:val="0"/>
        <w:snapToGrid w:val="0"/>
        <w:spacing w:before="0" w:line="312" w:lineRule="auto"/>
        <w:jc w:val="both"/>
        <w:outlineLvl w:val="9"/>
        <w:rPr>
          <w:rFonts w:hint="eastAsia" w:ascii="微软雅黑" w:hAnsi="微软雅黑" w:eastAsia="微软雅黑" w:cs="微软雅黑"/>
          <w:color w:val="auto"/>
          <w:sz w:val="28"/>
          <w:szCs w:val="28"/>
          <w:highlight w:val="none"/>
          <w:lang w:eastAsia="zh-CN"/>
        </w:rPr>
      </w:pPr>
    </w:p>
    <w:p w14:paraId="10AD9C4F">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354" w:name="_Toc15105"/>
    </w:p>
    <w:p w14:paraId="3045538F">
      <w:pPr>
        <w:pStyle w:val="4"/>
        <w:pageBreakBefore w:val="0"/>
        <w:kinsoku/>
        <w:overflowPunct/>
        <w:bidi w:val="0"/>
        <w:snapToGrid w:val="0"/>
        <w:spacing w:before="0" w:line="312" w:lineRule="auto"/>
        <w:jc w:val="center"/>
        <w:rPr>
          <w:rFonts w:hint="eastAsia" w:ascii="微软雅黑" w:hAnsi="微软雅黑" w:eastAsia="微软雅黑" w:cs="微软雅黑"/>
          <w:color w:val="auto"/>
          <w:sz w:val="28"/>
          <w:szCs w:val="28"/>
          <w:highlight w:val="none"/>
          <w:lang w:val="en-US" w:eastAsia="zh-CN"/>
        </w:rPr>
      </w:pPr>
      <w:bookmarkStart w:id="355" w:name="_Toc28449"/>
      <w:r>
        <w:rPr>
          <w:rFonts w:hint="eastAsia" w:ascii="微软雅黑" w:hAnsi="微软雅黑" w:eastAsia="微软雅黑" w:cs="微软雅黑"/>
          <w:color w:val="auto"/>
          <w:sz w:val="28"/>
          <w:szCs w:val="28"/>
          <w:highlight w:val="none"/>
          <w:lang w:val="en-US" w:eastAsia="zh-CN"/>
        </w:rPr>
        <w:t>8、</w:t>
      </w:r>
      <w:bookmarkEnd w:id="354"/>
      <w:bookmarkEnd w:id="355"/>
      <w:r>
        <w:rPr>
          <w:rFonts w:hint="eastAsia" w:ascii="微软雅黑" w:hAnsi="微软雅黑" w:eastAsia="微软雅黑" w:cs="微软雅黑"/>
          <w:color w:val="auto"/>
          <w:sz w:val="28"/>
          <w:szCs w:val="28"/>
          <w:highlight w:val="none"/>
          <w:lang w:val="en-US" w:eastAsia="zh-CN"/>
        </w:rPr>
        <w:t>参加政府采购活动前3年内在经营活动中没有重大违法违规记录的书面声明；</w:t>
      </w:r>
    </w:p>
    <w:p w14:paraId="367D7BD9">
      <w:pPr>
        <w:pStyle w:val="4"/>
        <w:pageBreakBefore w:val="0"/>
        <w:kinsoku/>
        <w:overflowPunct/>
        <w:bidi w:val="0"/>
        <w:snapToGrid w:val="0"/>
        <w:spacing w:before="0"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8"/>
          <w:szCs w:val="28"/>
          <w:highlight w:val="none"/>
          <w:lang w:val="en-US" w:eastAsia="zh-CN"/>
        </w:rPr>
        <w:t>（格式自拟）</w:t>
      </w:r>
    </w:p>
    <w:p w14:paraId="611151D4">
      <w:pPr>
        <w:pStyle w:val="15"/>
        <w:pageBreakBefore w:val="0"/>
        <w:tabs>
          <w:tab w:val="left" w:pos="5580"/>
        </w:tabs>
        <w:kinsoku/>
        <w:overflowPunct/>
        <w:bidi w:val="0"/>
        <w:snapToGrid w:val="0"/>
        <w:spacing w:line="312" w:lineRule="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说明：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应按照相关法规规定如实作出说明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按照</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的规定加盖单位章。</w:t>
      </w:r>
    </w:p>
    <w:p w14:paraId="53D90BB2">
      <w:pPr>
        <w:pageBreakBefore w:val="0"/>
        <w:kinsoku/>
        <w:overflowPunct/>
        <w:bidi w:val="0"/>
        <w:snapToGrid w:val="0"/>
        <w:spacing w:line="312" w:lineRule="auto"/>
        <w:rPr>
          <w:rFonts w:hint="eastAsia" w:ascii="微软雅黑" w:hAnsi="微软雅黑" w:eastAsia="微软雅黑" w:cs="微软雅黑"/>
          <w:color w:val="auto"/>
          <w:sz w:val="28"/>
          <w:szCs w:val="28"/>
          <w:highlight w:val="none"/>
        </w:rPr>
      </w:pPr>
    </w:p>
    <w:p w14:paraId="08B768A5">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356" w:name="_Toc10594"/>
      <w:bookmarkStart w:id="357" w:name="_Toc515647813"/>
      <w:bookmarkStart w:id="358" w:name="_Toc17207"/>
      <w:bookmarkStart w:id="359" w:name="_Toc29703"/>
      <w:bookmarkStart w:id="360" w:name="_Toc14296"/>
    </w:p>
    <w:p w14:paraId="1C07A529">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color w:val="auto"/>
          <w:sz w:val="28"/>
          <w:szCs w:val="28"/>
          <w:highlight w:val="none"/>
          <w:lang w:val="en-US" w:eastAsia="zh-CN"/>
        </w:rPr>
        <w:t>9、</w:t>
      </w:r>
      <w:r>
        <w:rPr>
          <w:rFonts w:hint="eastAsia" w:ascii="微软雅黑" w:hAnsi="微软雅黑" w:eastAsia="微软雅黑" w:cs="微软雅黑"/>
          <w:color w:val="auto"/>
          <w:sz w:val="28"/>
          <w:szCs w:val="28"/>
          <w:highlight w:val="none"/>
        </w:rPr>
        <w:t xml:space="preserve"> </w:t>
      </w:r>
      <w:bookmarkEnd w:id="356"/>
      <w:bookmarkEnd w:id="357"/>
      <w:bookmarkEnd w:id="358"/>
      <w:bookmarkEnd w:id="359"/>
      <w:bookmarkEnd w:id="360"/>
      <w:r>
        <w:rPr>
          <w:rFonts w:hint="eastAsia" w:ascii="微软雅黑" w:hAnsi="微软雅黑" w:eastAsia="微软雅黑" w:cs="微软雅黑"/>
          <w:color w:val="auto"/>
          <w:sz w:val="28"/>
          <w:szCs w:val="28"/>
          <w:highlight w:val="none"/>
          <w:lang w:eastAsia="zh-CN"/>
        </w:rPr>
        <w:t>磋商</w:t>
      </w:r>
      <w:r>
        <w:rPr>
          <w:rFonts w:hint="eastAsia" w:ascii="微软雅黑" w:hAnsi="微软雅黑" w:eastAsia="微软雅黑" w:cs="微软雅黑"/>
          <w:color w:val="auto"/>
          <w:sz w:val="28"/>
          <w:szCs w:val="28"/>
          <w:highlight w:val="none"/>
        </w:rPr>
        <w:t>保证金有</w:t>
      </w:r>
      <w:r>
        <w:rPr>
          <w:rFonts w:hint="eastAsia" w:ascii="微软雅黑" w:hAnsi="微软雅黑" w:eastAsia="微软雅黑" w:cs="微软雅黑"/>
          <w:b/>
          <w:color w:val="auto"/>
          <w:kern w:val="2"/>
          <w:sz w:val="28"/>
          <w:szCs w:val="28"/>
          <w:highlight w:val="none"/>
          <w:lang w:val="en-US" w:eastAsia="zh-CN" w:bidi="ar-SA"/>
        </w:rPr>
        <w:t>效缴纳凭</w:t>
      </w:r>
      <w:r>
        <w:rPr>
          <w:rFonts w:hint="eastAsia" w:ascii="微软雅黑" w:hAnsi="微软雅黑" w:eastAsia="微软雅黑" w:cs="微软雅黑"/>
          <w:color w:val="auto"/>
          <w:sz w:val="28"/>
          <w:szCs w:val="28"/>
          <w:highlight w:val="none"/>
        </w:rPr>
        <w:t>证；</w:t>
      </w:r>
    </w:p>
    <w:p w14:paraId="082179BE">
      <w:pPr>
        <w:pStyle w:val="15"/>
        <w:tabs>
          <w:tab w:val="left" w:pos="5580"/>
        </w:tabs>
        <w:spacing w:line="240" w:lineRule="atLeast"/>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说明：</w:t>
      </w:r>
    </w:p>
    <w:p w14:paraId="40CE4120">
      <w:pPr>
        <w:pStyle w:val="8"/>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1.供应商可将本项目磋商保证金支付的汇款凭证、支票、汇票或保证金收据（如有）的复印件作为缴纳凭证装订在本部分，复印件上应加盖本单位章；</w:t>
      </w:r>
    </w:p>
    <w:p w14:paraId="73A9F447">
      <w:pPr>
        <w:pStyle w:val="8"/>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2.使用银行保函等其他投标担保函的，应将保函正本复印件，装订在本部分；复印件上应加盖本单位章；</w:t>
      </w:r>
    </w:p>
    <w:p w14:paraId="1A65CBB1">
      <w:pPr>
        <w:pStyle w:val="8"/>
        <w:ind w:left="0" w:leftChars="0" w:firstLine="0" w:firstLineChars="0"/>
        <w:rPr>
          <w:rFonts w:hint="eastAsia" w:ascii="微软雅黑" w:hAnsi="微软雅黑" w:eastAsia="微软雅黑" w:cs="微软雅黑"/>
          <w:color w:val="auto"/>
          <w:sz w:val="24"/>
          <w:szCs w:val="24"/>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微软雅黑" w:hAnsi="微软雅黑" w:eastAsia="微软雅黑" w:cs="微软雅黑"/>
          <w:color w:val="auto"/>
          <w:sz w:val="24"/>
          <w:szCs w:val="24"/>
          <w:highlight w:val="none"/>
          <w:lang w:val="en-US" w:eastAsia="zh-CN"/>
        </w:rPr>
        <w:t>3.须附《银行开户许可证》或《基本存款账户信息》复印件；复印件上应加盖本单位章</w:t>
      </w:r>
    </w:p>
    <w:p w14:paraId="058B548A">
      <w:pPr>
        <w:pStyle w:val="16"/>
        <w:pageBreakBefore w:val="0"/>
        <w:kinsoku/>
        <w:overflowPunct/>
        <w:bidi w:val="0"/>
        <w:snapToGrid w:val="0"/>
        <w:spacing w:line="312" w:lineRule="auto"/>
        <w:jc w:val="center"/>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10.供应商可提供有利于投标的其他证明材料</w:t>
      </w:r>
    </w:p>
    <w:p w14:paraId="58D0ABBE">
      <w:pPr>
        <w:pStyle w:val="15"/>
        <w:pageBreakBefore w:val="0"/>
        <w:tabs>
          <w:tab w:val="left" w:pos="5580"/>
        </w:tabs>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说明：提供有利于投标的其他证明材料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复印件上应加盖</w:t>
      </w:r>
      <w:r>
        <w:rPr>
          <w:rFonts w:hint="eastAsia" w:ascii="微软雅黑" w:hAnsi="微软雅黑" w:eastAsia="微软雅黑" w:cs="微软雅黑"/>
          <w:color w:val="auto"/>
          <w:sz w:val="24"/>
          <w:szCs w:val="24"/>
          <w:highlight w:val="none"/>
          <w:lang w:eastAsia="zh-CN"/>
        </w:rPr>
        <w:t>供应商公</w:t>
      </w:r>
      <w:r>
        <w:rPr>
          <w:rFonts w:hint="eastAsia" w:ascii="微软雅黑" w:hAnsi="微软雅黑" w:eastAsia="微软雅黑" w:cs="微软雅黑"/>
          <w:color w:val="auto"/>
          <w:sz w:val="24"/>
          <w:szCs w:val="24"/>
          <w:highlight w:val="none"/>
        </w:rPr>
        <w:t>章。</w:t>
      </w:r>
    </w:p>
    <w:p w14:paraId="25FE6CCE">
      <w:pPr>
        <w:pStyle w:val="15"/>
        <w:pageBreakBefore w:val="0"/>
        <w:tabs>
          <w:tab w:val="left" w:pos="5580"/>
        </w:tabs>
        <w:kinsoku/>
        <w:overflowPunct/>
        <w:bidi w:val="0"/>
        <w:snapToGrid w:val="0"/>
        <w:spacing w:line="312" w:lineRule="auto"/>
        <w:ind w:left="1079" w:leftChars="257" w:hanging="540"/>
        <w:jc w:val="center"/>
        <w:outlineLvl w:val="9"/>
        <w:rPr>
          <w:rFonts w:hint="eastAsia" w:ascii="微软雅黑" w:hAnsi="微软雅黑" w:eastAsia="微软雅黑" w:cs="微软雅黑"/>
          <w:b/>
          <w:color w:val="auto"/>
          <w:kern w:val="0"/>
          <w:sz w:val="28"/>
          <w:szCs w:val="24"/>
          <w:highlight w:val="none"/>
        </w:rPr>
        <w:sectPr>
          <w:footerReference r:id="rId12"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264586F5">
      <w:pPr>
        <w:pStyle w:val="15"/>
        <w:pageBreakBefore w:val="0"/>
        <w:tabs>
          <w:tab w:val="left" w:pos="5580"/>
        </w:tabs>
        <w:kinsoku/>
        <w:overflowPunct/>
        <w:bidi w:val="0"/>
        <w:snapToGrid w:val="0"/>
        <w:spacing w:line="312" w:lineRule="auto"/>
        <w:ind w:left="1079" w:leftChars="257" w:hanging="540"/>
        <w:jc w:val="center"/>
        <w:outlineLvl w:val="1"/>
        <w:rPr>
          <w:rFonts w:hint="eastAsia" w:ascii="微软雅黑" w:hAnsi="微软雅黑" w:eastAsia="微软雅黑" w:cs="微软雅黑"/>
          <w:color w:val="auto"/>
          <w:sz w:val="28"/>
          <w:szCs w:val="24"/>
          <w:highlight w:val="none"/>
        </w:rPr>
      </w:pPr>
      <w:r>
        <w:rPr>
          <w:rFonts w:hint="eastAsia" w:ascii="微软雅黑" w:hAnsi="微软雅黑" w:eastAsia="微软雅黑" w:cs="微软雅黑"/>
          <w:b/>
          <w:color w:val="auto"/>
          <w:kern w:val="0"/>
          <w:sz w:val="28"/>
          <w:szCs w:val="24"/>
          <w:highlight w:val="none"/>
        </w:rPr>
        <w:t>第二部分商务及技术文件</w:t>
      </w:r>
      <w:bookmarkEnd w:id="319"/>
      <w:bookmarkEnd w:id="320"/>
      <w:bookmarkEnd w:id="321"/>
      <w:bookmarkEnd w:id="322"/>
      <w:bookmarkEnd w:id="323"/>
      <w:bookmarkEnd w:id="324"/>
    </w:p>
    <w:p w14:paraId="7FA02A51">
      <w:pPr>
        <w:pStyle w:val="15"/>
        <w:pageBreakBefore w:val="0"/>
        <w:numPr>
          <w:ilvl w:val="0"/>
          <w:numId w:val="0"/>
        </w:numPr>
        <w:kinsoku/>
        <w:overflowPunct/>
        <w:bidi w:val="0"/>
        <w:snapToGrid w:val="0"/>
        <w:spacing w:line="312" w:lineRule="auto"/>
        <w:ind w:firstLine="720" w:firstLineChars="3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1、</w:t>
      </w:r>
      <w:r>
        <w:rPr>
          <w:rFonts w:hint="eastAsia" w:ascii="微软雅黑" w:hAnsi="微软雅黑" w:eastAsia="微软雅黑" w:cs="微软雅黑"/>
          <w:color w:val="auto"/>
          <w:sz w:val="24"/>
          <w:szCs w:val="22"/>
          <w:highlight w:val="none"/>
        </w:rPr>
        <w:t>磋商响应函</w:t>
      </w:r>
    </w:p>
    <w:p w14:paraId="3B0DCBB8">
      <w:pPr>
        <w:pStyle w:val="15"/>
        <w:pageBreakBefore w:val="0"/>
        <w:numPr>
          <w:ilvl w:val="0"/>
          <w:numId w:val="0"/>
        </w:numPr>
        <w:kinsoku/>
        <w:overflowPunct/>
        <w:bidi w:val="0"/>
        <w:snapToGrid w:val="0"/>
        <w:spacing w:line="312" w:lineRule="auto"/>
        <w:ind w:firstLine="720" w:firstLineChars="300"/>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2、</w:t>
      </w:r>
      <w:r>
        <w:rPr>
          <w:rFonts w:hint="eastAsia" w:ascii="微软雅黑" w:hAnsi="微软雅黑" w:eastAsia="微软雅黑" w:cs="微软雅黑"/>
          <w:color w:val="auto"/>
          <w:sz w:val="24"/>
          <w:szCs w:val="22"/>
          <w:highlight w:val="none"/>
        </w:rPr>
        <w:t>分项报价表</w:t>
      </w:r>
    </w:p>
    <w:p w14:paraId="538F6510">
      <w:pPr>
        <w:pStyle w:val="15"/>
        <w:pageBreakBefore w:val="0"/>
        <w:numPr>
          <w:ilvl w:val="0"/>
          <w:numId w:val="0"/>
        </w:numPr>
        <w:kinsoku/>
        <w:overflowPunct/>
        <w:bidi w:val="0"/>
        <w:snapToGrid w:val="0"/>
        <w:spacing w:line="312" w:lineRule="auto"/>
        <w:ind w:firstLine="720" w:firstLineChars="300"/>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3、</w:t>
      </w:r>
      <w:r>
        <w:rPr>
          <w:rFonts w:hint="eastAsia" w:ascii="微软雅黑" w:hAnsi="微软雅黑" w:eastAsia="微软雅黑" w:cs="微软雅黑"/>
          <w:color w:val="auto"/>
          <w:sz w:val="24"/>
          <w:szCs w:val="22"/>
          <w:highlight w:val="none"/>
        </w:rPr>
        <w:t>服务说明一览表</w:t>
      </w:r>
    </w:p>
    <w:p w14:paraId="3AA9FA0D">
      <w:pPr>
        <w:pStyle w:val="15"/>
        <w:pageBreakBefore w:val="0"/>
        <w:kinsoku/>
        <w:overflowPunct/>
        <w:bidi w:val="0"/>
        <w:snapToGrid w:val="0"/>
        <w:spacing w:line="312" w:lineRule="auto"/>
        <w:ind w:firstLine="720" w:firstLineChars="300"/>
        <w:rPr>
          <w:rFonts w:hint="eastAsia" w:ascii="微软雅黑" w:hAnsi="微软雅黑" w:eastAsia="微软雅黑" w:cs="微软雅黑"/>
          <w:b w:val="0"/>
          <w:color w:val="auto"/>
          <w:kern w:val="2"/>
          <w:sz w:val="24"/>
          <w:szCs w:val="22"/>
          <w:highlight w:val="none"/>
          <w:lang w:val="en-US" w:eastAsia="zh-CN" w:bidi="ar-SA"/>
        </w:rPr>
      </w:pPr>
      <w:r>
        <w:rPr>
          <w:rFonts w:hint="eastAsia" w:ascii="微软雅黑" w:hAnsi="微软雅黑" w:eastAsia="微软雅黑" w:cs="微软雅黑"/>
          <w:b w:val="0"/>
          <w:color w:val="auto"/>
          <w:kern w:val="2"/>
          <w:sz w:val="24"/>
          <w:szCs w:val="22"/>
          <w:highlight w:val="none"/>
          <w:lang w:val="en-US" w:eastAsia="zh-CN" w:bidi="ar-SA"/>
        </w:rPr>
        <w:t>4、技术规格偏离表</w:t>
      </w:r>
    </w:p>
    <w:p w14:paraId="56F17563">
      <w:pPr>
        <w:pStyle w:val="15"/>
        <w:pageBreakBefore w:val="0"/>
        <w:kinsoku/>
        <w:overflowPunct/>
        <w:bidi w:val="0"/>
        <w:snapToGrid w:val="0"/>
        <w:spacing w:line="312" w:lineRule="auto"/>
        <w:ind w:firstLine="720" w:firstLineChars="300"/>
        <w:outlineLvl w:val="1"/>
        <w:rPr>
          <w:rFonts w:hint="eastAsia" w:ascii="微软雅黑" w:hAnsi="微软雅黑" w:eastAsia="微软雅黑" w:cs="微软雅黑"/>
          <w:b w:val="0"/>
          <w:color w:val="auto"/>
          <w:kern w:val="2"/>
          <w:sz w:val="24"/>
          <w:szCs w:val="22"/>
          <w:highlight w:val="none"/>
          <w:lang w:val="en-US" w:eastAsia="zh-CN" w:bidi="ar-SA"/>
        </w:rPr>
      </w:pPr>
      <w:r>
        <w:rPr>
          <w:rFonts w:hint="eastAsia" w:ascii="微软雅黑" w:hAnsi="微软雅黑" w:eastAsia="微软雅黑" w:cs="微软雅黑"/>
          <w:b w:val="0"/>
          <w:color w:val="auto"/>
          <w:kern w:val="2"/>
          <w:sz w:val="24"/>
          <w:szCs w:val="22"/>
          <w:highlight w:val="none"/>
          <w:lang w:val="en-US" w:eastAsia="zh-CN" w:bidi="ar-SA"/>
        </w:rPr>
        <w:t>5、商务条款偏离表</w:t>
      </w:r>
    </w:p>
    <w:p w14:paraId="51E164C7">
      <w:pPr>
        <w:pStyle w:val="15"/>
        <w:pageBreakBefore w:val="0"/>
        <w:kinsoku/>
        <w:overflowPunct/>
        <w:bidi w:val="0"/>
        <w:snapToGrid w:val="0"/>
        <w:spacing w:line="312" w:lineRule="auto"/>
        <w:ind w:left="958" w:leftChars="342" w:hanging="240" w:hangingChars="1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6</w:t>
      </w:r>
      <w:r>
        <w:rPr>
          <w:rFonts w:hint="eastAsia" w:ascii="微软雅黑" w:hAnsi="微软雅黑" w:eastAsia="微软雅黑" w:cs="微软雅黑"/>
          <w:color w:val="auto"/>
          <w:sz w:val="24"/>
          <w:szCs w:val="22"/>
          <w:highlight w:val="none"/>
        </w:rPr>
        <w:t>、符合《政府采购促进中小企业发展暂行办法》、《关于政府采购支持监狱企业发展有关问题的通知》和《三部门联合发布关于促进残疾人就业政府采购政策的通知》价格扣减条件的</w:t>
      </w:r>
      <w:r>
        <w:rPr>
          <w:rFonts w:hint="eastAsia" w:ascii="微软雅黑" w:hAnsi="微软雅黑" w:eastAsia="微软雅黑" w:cs="微软雅黑"/>
          <w:color w:val="auto"/>
          <w:sz w:val="24"/>
          <w:szCs w:val="22"/>
          <w:highlight w:val="none"/>
          <w:lang w:eastAsia="zh-CN"/>
        </w:rPr>
        <w:t>供应商</w:t>
      </w:r>
      <w:r>
        <w:rPr>
          <w:rFonts w:hint="eastAsia" w:ascii="微软雅黑" w:hAnsi="微软雅黑" w:eastAsia="微软雅黑" w:cs="微软雅黑"/>
          <w:color w:val="auto"/>
          <w:sz w:val="24"/>
          <w:szCs w:val="22"/>
          <w:highlight w:val="none"/>
        </w:rPr>
        <w:t>须提交）价格扣减条件的</w:t>
      </w:r>
      <w:r>
        <w:rPr>
          <w:rFonts w:hint="eastAsia" w:ascii="微软雅黑" w:hAnsi="微软雅黑" w:eastAsia="微软雅黑" w:cs="微软雅黑"/>
          <w:color w:val="auto"/>
          <w:sz w:val="24"/>
          <w:szCs w:val="22"/>
          <w:highlight w:val="none"/>
          <w:lang w:eastAsia="zh-CN"/>
        </w:rPr>
        <w:t>供应商</w:t>
      </w:r>
      <w:r>
        <w:rPr>
          <w:rFonts w:hint="eastAsia" w:ascii="微软雅黑" w:hAnsi="微软雅黑" w:eastAsia="微软雅黑" w:cs="微软雅黑"/>
          <w:color w:val="auto"/>
          <w:sz w:val="24"/>
          <w:szCs w:val="22"/>
          <w:highlight w:val="none"/>
        </w:rPr>
        <w:t>须提交</w:t>
      </w:r>
    </w:p>
    <w:p w14:paraId="473C6541">
      <w:pPr>
        <w:pStyle w:val="15"/>
        <w:pageBreakBefore w:val="0"/>
        <w:kinsoku/>
        <w:overflowPunct/>
        <w:bidi w:val="0"/>
        <w:snapToGrid w:val="0"/>
        <w:spacing w:line="312" w:lineRule="auto"/>
        <w:ind w:firstLine="960" w:firstLineChars="400"/>
        <w:outlineLvl w:val="1"/>
        <w:rPr>
          <w:rFonts w:hint="eastAsia" w:ascii="微软雅黑" w:hAnsi="微软雅黑" w:eastAsia="微软雅黑" w:cs="微软雅黑"/>
          <w:color w:val="auto"/>
          <w:sz w:val="24"/>
          <w:szCs w:val="22"/>
          <w:highlight w:val="none"/>
        </w:rPr>
      </w:pPr>
      <w:bookmarkStart w:id="361" w:name="_Toc30351"/>
      <w:bookmarkStart w:id="362" w:name="_Toc31905_WPSOffice_Level2"/>
      <w:bookmarkStart w:id="363" w:name="_Toc10232_WPSOffice_Level2"/>
      <w:r>
        <w:rPr>
          <w:rFonts w:hint="eastAsia" w:ascii="微软雅黑" w:hAnsi="微软雅黑" w:eastAsia="微软雅黑" w:cs="微软雅黑"/>
          <w:color w:val="auto"/>
          <w:sz w:val="24"/>
          <w:szCs w:val="22"/>
          <w:highlight w:val="none"/>
          <w:lang w:val="en-US" w:eastAsia="zh-CN"/>
        </w:rPr>
        <w:t>6</w:t>
      </w:r>
      <w:r>
        <w:rPr>
          <w:rFonts w:hint="eastAsia" w:ascii="微软雅黑" w:hAnsi="微软雅黑" w:eastAsia="微软雅黑" w:cs="微软雅黑"/>
          <w:color w:val="auto"/>
          <w:sz w:val="24"/>
          <w:szCs w:val="22"/>
          <w:highlight w:val="none"/>
        </w:rPr>
        <w:t>-1</w:t>
      </w:r>
      <w:bookmarkEnd w:id="361"/>
      <w:bookmarkEnd w:id="362"/>
      <w:bookmarkEnd w:id="363"/>
      <w:r>
        <w:rPr>
          <w:rFonts w:hint="eastAsia" w:ascii="微软雅黑" w:hAnsi="微软雅黑" w:eastAsia="微软雅黑" w:cs="微软雅黑"/>
          <w:color w:val="auto"/>
          <w:sz w:val="24"/>
          <w:szCs w:val="22"/>
          <w:highlight w:val="none"/>
        </w:rPr>
        <w:t>《中小企业声明函》</w:t>
      </w:r>
    </w:p>
    <w:p w14:paraId="7DD133ED">
      <w:pPr>
        <w:pStyle w:val="15"/>
        <w:pageBreakBefore w:val="0"/>
        <w:kinsoku/>
        <w:overflowPunct/>
        <w:bidi w:val="0"/>
        <w:snapToGrid w:val="0"/>
        <w:spacing w:line="312" w:lineRule="auto"/>
        <w:ind w:firstLine="960" w:firstLineChars="400"/>
        <w:outlineLvl w:val="2"/>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6-2《残疾人福利性单位声明函》</w:t>
      </w:r>
    </w:p>
    <w:p w14:paraId="640E20D4">
      <w:pPr>
        <w:pStyle w:val="15"/>
        <w:pageBreakBefore w:val="0"/>
        <w:kinsoku/>
        <w:overflowPunct/>
        <w:bidi w:val="0"/>
        <w:snapToGrid w:val="0"/>
        <w:spacing w:line="312" w:lineRule="auto"/>
        <w:ind w:firstLine="960" w:firstLineChars="400"/>
        <w:outlineLvl w:val="2"/>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6-3《监狱企业声明函》</w:t>
      </w:r>
    </w:p>
    <w:p w14:paraId="67D95DC9">
      <w:pPr>
        <w:pStyle w:val="15"/>
        <w:pageBreakBefore w:val="0"/>
        <w:kinsoku/>
        <w:overflowPunct/>
        <w:bidi w:val="0"/>
        <w:snapToGrid w:val="0"/>
        <w:spacing w:line="312" w:lineRule="auto"/>
        <w:ind w:firstLine="720" w:firstLineChars="300"/>
        <w:outlineLvl w:val="2"/>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7</w:t>
      </w:r>
      <w:r>
        <w:rPr>
          <w:rFonts w:hint="eastAsia" w:ascii="微软雅黑" w:hAnsi="微软雅黑" w:eastAsia="微软雅黑" w:cs="微软雅黑"/>
          <w:color w:val="auto"/>
          <w:sz w:val="24"/>
          <w:szCs w:val="22"/>
          <w:highlight w:val="none"/>
        </w:rPr>
        <w:t>、供应商关联单位的说明</w:t>
      </w:r>
    </w:p>
    <w:p w14:paraId="14860B57">
      <w:pPr>
        <w:pStyle w:val="15"/>
        <w:pageBreakBefore w:val="0"/>
        <w:kinsoku/>
        <w:overflowPunct/>
        <w:bidi w:val="0"/>
        <w:snapToGrid w:val="0"/>
        <w:spacing w:line="312" w:lineRule="auto"/>
        <w:ind w:firstLine="720" w:firstLineChars="300"/>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2"/>
          <w:highlight w:val="none"/>
          <w:lang w:val="en-US" w:eastAsia="zh-CN"/>
        </w:rPr>
        <w:t>8</w:t>
      </w:r>
      <w:r>
        <w:rPr>
          <w:rFonts w:hint="eastAsia" w:ascii="微软雅黑" w:hAnsi="微软雅黑" w:eastAsia="微软雅黑" w:cs="微软雅黑"/>
          <w:color w:val="auto"/>
          <w:sz w:val="24"/>
          <w:szCs w:val="22"/>
          <w:highlight w:val="none"/>
        </w:rPr>
        <w:t>、其他有利于投标人的资料</w:t>
      </w:r>
    </w:p>
    <w:p w14:paraId="159E0634">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0D36E7AD">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0EC5397A">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51E161B6">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12696E5F">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51912E47">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6100A676">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0FE1A50A">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35F5F944">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14:paraId="78FDA8F7">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364" w:name="_Toc21919"/>
    </w:p>
    <w:p w14:paraId="7F2DA5D9">
      <w:pPr>
        <w:pStyle w:val="4"/>
        <w:pageBreakBefore w:val="0"/>
        <w:kinsoku/>
        <w:overflowPunct/>
        <w:bidi w:val="0"/>
        <w:snapToGrid w:val="0"/>
        <w:spacing w:before="0"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8"/>
          <w:szCs w:val="21"/>
          <w:highlight w:val="none"/>
        </w:rPr>
        <w:t>1</w:t>
      </w:r>
      <w:bookmarkEnd w:id="313"/>
      <w:bookmarkEnd w:id="314"/>
      <w:bookmarkEnd w:id="315"/>
      <w:bookmarkStart w:id="365" w:name="_Hlt520355504"/>
      <w:bookmarkEnd w:id="365"/>
      <w:r>
        <w:rPr>
          <w:rFonts w:hint="eastAsia" w:ascii="微软雅黑" w:hAnsi="微软雅黑" w:eastAsia="微软雅黑" w:cs="微软雅黑"/>
          <w:color w:val="auto"/>
          <w:sz w:val="28"/>
          <w:szCs w:val="21"/>
          <w:highlight w:val="none"/>
          <w:lang w:eastAsia="zh-CN"/>
        </w:rPr>
        <w:t>、</w:t>
      </w:r>
      <w:r>
        <w:rPr>
          <w:rFonts w:hint="eastAsia" w:ascii="微软雅黑" w:hAnsi="微软雅黑" w:eastAsia="微软雅黑" w:cs="微软雅黑"/>
          <w:color w:val="auto"/>
          <w:sz w:val="28"/>
          <w:szCs w:val="21"/>
          <w:highlight w:val="none"/>
        </w:rPr>
        <w:t>磋商响应函</w:t>
      </w:r>
      <w:bookmarkEnd w:id="316"/>
      <w:bookmarkEnd w:id="325"/>
      <w:bookmarkEnd w:id="326"/>
      <w:bookmarkEnd w:id="327"/>
      <w:bookmarkEnd w:id="328"/>
      <w:bookmarkEnd w:id="329"/>
      <w:bookmarkEnd w:id="330"/>
      <w:bookmarkEnd w:id="364"/>
    </w:p>
    <w:p w14:paraId="2BD66774">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微软雅黑" w:hAnsi="微软雅黑" w:eastAsia="微软雅黑" w:cs="微软雅黑"/>
          <w:color w:val="auto"/>
          <w:sz w:val="24"/>
          <w:szCs w:val="32"/>
          <w:highlight w:val="none"/>
          <w:u w:val="single"/>
          <w:lang w:val="en-US" w:eastAsia="zh-CN"/>
        </w:rPr>
      </w:pPr>
      <w:bookmarkStart w:id="366" w:name="_Hlt520356243"/>
      <w:bookmarkEnd w:id="366"/>
      <w:bookmarkStart w:id="367" w:name="_Hlt520355938"/>
      <w:bookmarkEnd w:id="367"/>
      <w:bookmarkStart w:id="368" w:name="_Toc13833"/>
      <w:bookmarkStart w:id="369" w:name="_Toc28959"/>
      <w:bookmarkStart w:id="370" w:name="_Toc18052"/>
      <w:bookmarkStart w:id="371" w:name="_Toc24837"/>
      <w:bookmarkStart w:id="372" w:name="_Toc515647820"/>
      <w:bookmarkStart w:id="373" w:name="_Toc216582817"/>
      <w:bookmarkStart w:id="374" w:name="_Toc23925"/>
      <w:bookmarkStart w:id="375" w:name="_Toc22563"/>
      <w:r>
        <w:rPr>
          <w:rFonts w:hint="eastAsia" w:ascii="微软雅黑" w:hAnsi="微软雅黑" w:eastAsia="微软雅黑" w:cs="微软雅黑"/>
          <w:color w:val="auto"/>
          <w:sz w:val="24"/>
          <w:szCs w:val="32"/>
          <w:highlight w:val="none"/>
        </w:rPr>
        <w:t>致：</w:t>
      </w:r>
      <w:r>
        <w:rPr>
          <w:rFonts w:hint="eastAsia" w:ascii="微软雅黑" w:hAnsi="微软雅黑" w:eastAsia="微软雅黑" w:cs="微软雅黑"/>
          <w:color w:val="auto"/>
          <w:sz w:val="24"/>
          <w:szCs w:val="32"/>
          <w:highlight w:val="none"/>
          <w:u w:val="single"/>
          <w:lang w:val="en-US" w:eastAsia="zh-CN"/>
        </w:rPr>
        <w:t xml:space="preserve">                 （采购人）</w:t>
      </w:r>
    </w:p>
    <w:p w14:paraId="6AD2F9D3">
      <w:pPr>
        <w:keepNext w:val="0"/>
        <w:keepLines w:val="0"/>
        <w:pageBreakBefore w:val="0"/>
        <w:widowControl w:val="0"/>
        <w:kinsoku/>
        <w:wordWrap/>
        <w:overflowPunct/>
        <w:topLinePunct w:val="0"/>
        <w:autoSpaceDE/>
        <w:autoSpaceDN/>
        <w:bidi w:val="0"/>
        <w:adjustRightInd/>
        <w:snapToGrid w:val="0"/>
        <w:spacing w:line="312" w:lineRule="auto"/>
        <w:ind w:firstLine="56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rPr>
        <w:t>根据贵方项目编号为</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u w:val="single"/>
          <w:lang w:val="en-US" w:eastAsia="zh-CN"/>
        </w:rPr>
        <w:t xml:space="preserve">             </w:t>
      </w:r>
      <w:r>
        <w:rPr>
          <w:rFonts w:hint="eastAsia" w:ascii="微软雅黑" w:hAnsi="微软雅黑" w:eastAsia="微软雅黑" w:cs="微软雅黑"/>
          <w:color w:val="auto"/>
          <w:sz w:val="24"/>
          <w:szCs w:val="32"/>
          <w:highlight w:val="none"/>
        </w:rPr>
        <w:t>的</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u w:val="single"/>
          <w:lang w:val="en-US" w:eastAsia="zh-CN"/>
        </w:rPr>
        <w:t xml:space="preserve">               </w:t>
      </w:r>
      <w:r>
        <w:rPr>
          <w:rFonts w:hint="eastAsia" w:ascii="微软雅黑" w:hAnsi="微软雅黑" w:eastAsia="微软雅黑" w:cs="微软雅黑"/>
          <w:color w:val="auto"/>
          <w:sz w:val="24"/>
          <w:szCs w:val="32"/>
          <w:highlight w:val="none"/>
        </w:rPr>
        <w:t>项目的</w:t>
      </w:r>
      <w:r>
        <w:rPr>
          <w:rFonts w:hint="eastAsia" w:ascii="微软雅黑" w:hAnsi="微软雅黑" w:eastAsia="微软雅黑" w:cs="微软雅黑"/>
          <w:color w:val="auto"/>
          <w:sz w:val="24"/>
          <w:szCs w:val="32"/>
          <w:highlight w:val="none"/>
          <w:lang w:eastAsia="zh-CN"/>
        </w:rPr>
        <w:t>磋商</w:t>
      </w:r>
      <w:r>
        <w:rPr>
          <w:rFonts w:hint="eastAsia" w:ascii="微软雅黑" w:hAnsi="微软雅黑" w:eastAsia="微软雅黑" w:cs="微软雅黑"/>
          <w:color w:val="auto"/>
          <w:sz w:val="24"/>
          <w:szCs w:val="32"/>
          <w:highlight w:val="none"/>
        </w:rPr>
        <w:t>文件，本</w:t>
      </w:r>
      <w:r>
        <w:rPr>
          <w:rFonts w:hint="eastAsia" w:ascii="微软雅黑" w:hAnsi="微软雅黑" w:eastAsia="微软雅黑" w:cs="微软雅黑"/>
          <w:color w:val="auto"/>
          <w:sz w:val="24"/>
          <w:szCs w:val="32"/>
          <w:highlight w:val="none"/>
          <w:lang w:eastAsia="zh-CN"/>
        </w:rPr>
        <w:t>供应商</w:t>
      </w:r>
      <w:r>
        <w:rPr>
          <w:rFonts w:hint="eastAsia" w:ascii="微软雅黑" w:hAnsi="微软雅黑" w:eastAsia="微软雅黑" w:cs="微软雅黑"/>
          <w:color w:val="auto"/>
          <w:sz w:val="24"/>
          <w:szCs w:val="32"/>
          <w:highlight w:val="none"/>
        </w:rPr>
        <w:t>宣布同意如下：</w:t>
      </w:r>
    </w:p>
    <w:p w14:paraId="58454A55">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lang w:val="en-US" w:eastAsia="zh-CN"/>
        </w:rPr>
        <w:t>1.</w:t>
      </w:r>
      <w:r>
        <w:rPr>
          <w:rFonts w:hint="eastAsia" w:ascii="微软雅黑" w:hAnsi="微软雅黑" w:eastAsia="微软雅黑" w:cs="微软雅黑"/>
          <w:color w:val="auto"/>
          <w:sz w:val="24"/>
          <w:szCs w:val="32"/>
          <w:highlight w:val="none"/>
          <w:lang w:eastAsia="zh-CN"/>
        </w:rPr>
        <w:t>供应商</w:t>
      </w:r>
      <w:r>
        <w:rPr>
          <w:rFonts w:hint="eastAsia" w:ascii="微软雅黑" w:hAnsi="微软雅黑" w:eastAsia="微软雅黑" w:cs="微软雅黑"/>
          <w:color w:val="auto"/>
          <w:sz w:val="24"/>
          <w:szCs w:val="32"/>
          <w:highlight w:val="none"/>
        </w:rPr>
        <w:t>将按</w:t>
      </w:r>
      <w:r>
        <w:rPr>
          <w:rFonts w:hint="eastAsia" w:ascii="微软雅黑" w:hAnsi="微软雅黑" w:eastAsia="微软雅黑" w:cs="微软雅黑"/>
          <w:color w:val="auto"/>
          <w:sz w:val="24"/>
          <w:szCs w:val="32"/>
          <w:highlight w:val="none"/>
          <w:lang w:eastAsia="zh-CN"/>
        </w:rPr>
        <w:t>磋商文件</w:t>
      </w:r>
      <w:r>
        <w:rPr>
          <w:rFonts w:hint="eastAsia" w:ascii="微软雅黑" w:hAnsi="微软雅黑" w:eastAsia="微软雅黑" w:cs="微软雅黑"/>
          <w:color w:val="auto"/>
          <w:sz w:val="24"/>
          <w:szCs w:val="32"/>
          <w:highlight w:val="none"/>
        </w:rPr>
        <w:t>的规定履行合同责任和义务。除非另外达成协议并生效，贵单位的</w:t>
      </w:r>
      <w:r>
        <w:rPr>
          <w:rFonts w:hint="eastAsia" w:ascii="微软雅黑" w:hAnsi="微软雅黑" w:eastAsia="微软雅黑" w:cs="微软雅黑"/>
          <w:color w:val="auto"/>
          <w:sz w:val="24"/>
          <w:szCs w:val="32"/>
          <w:highlight w:val="none"/>
          <w:lang w:eastAsia="zh-CN"/>
        </w:rPr>
        <w:t>成交通知书</w:t>
      </w:r>
      <w:r>
        <w:rPr>
          <w:rFonts w:hint="eastAsia" w:ascii="微软雅黑" w:hAnsi="微软雅黑" w:eastAsia="微软雅黑" w:cs="微软雅黑"/>
          <w:color w:val="auto"/>
          <w:sz w:val="24"/>
          <w:szCs w:val="32"/>
          <w:highlight w:val="none"/>
        </w:rPr>
        <w:t>和本</w:t>
      </w:r>
      <w:r>
        <w:rPr>
          <w:rFonts w:hint="eastAsia" w:ascii="微软雅黑" w:hAnsi="微软雅黑" w:eastAsia="微软雅黑" w:cs="微软雅黑"/>
          <w:color w:val="auto"/>
          <w:sz w:val="24"/>
          <w:szCs w:val="32"/>
          <w:highlight w:val="none"/>
          <w:lang w:eastAsia="zh-CN"/>
        </w:rPr>
        <w:t>响应文件</w:t>
      </w:r>
      <w:r>
        <w:rPr>
          <w:rFonts w:hint="eastAsia" w:ascii="微软雅黑" w:hAnsi="微软雅黑" w:eastAsia="微软雅黑" w:cs="微软雅黑"/>
          <w:color w:val="auto"/>
          <w:sz w:val="24"/>
          <w:szCs w:val="32"/>
          <w:highlight w:val="none"/>
        </w:rPr>
        <w:t>将构成合同的重要内容。</w:t>
      </w:r>
    </w:p>
    <w:p w14:paraId="191FF8A4">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lang w:val="en-US" w:eastAsia="zh-CN"/>
        </w:rPr>
        <w:t>2.</w:t>
      </w:r>
      <w:r>
        <w:rPr>
          <w:rFonts w:hint="eastAsia" w:ascii="微软雅黑" w:hAnsi="微软雅黑" w:eastAsia="微软雅黑" w:cs="微软雅黑"/>
          <w:color w:val="auto"/>
          <w:sz w:val="24"/>
          <w:szCs w:val="32"/>
          <w:highlight w:val="none"/>
          <w:lang w:eastAsia="zh-CN"/>
        </w:rPr>
        <w:t>供应商</w:t>
      </w:r>
      <w:r>
        <w:rPr>
          <w:rFonts w:hint="eastAsia" w:ascii="微软雅黑" w:hAnsi="微软雅黑" w:eastAsia="微软雅黑" w:cs="微软雅黑"/>
          <w:color w:val="auto"/>
          <w:sz w:val="24"/>
          <w:szCs w:val="32"/>
          <w:highlight w:val="none"/>
        </w:rPr>
        <w:t>已详细审查全部</w:t>
      </w:r>
      <w:r>
        <w:rPr>
          <w:rFonts w:hint="eastAsia" w:ascii="微软雅黑" w:hAnsi="微软雅黑" w:eastAsia="微软雅黑" w:cs="微软雅黑"/>
          <w:color w:val="auto"/>
          <w:sz w:val="24"/>
          <w:szCs w:val="32"/>
          <w:highlight w:val="none"/>
          <w:lang w:eastAsia="zh-CN"/>
        </w:rPr>
        <w:t>磋商文件</w:t>
      </w:r>
      <w:r>
        <w:rPr>
          <w:rFonts w:hint="eastAsia" w:ascii="微软雅黑" w:hAnsi="微软雅黑" w:eastAsia="微软雅黑" w:cs="微软雅黑"/>
          <w:color w:val="auto"/>
          <w:sz w:val="24"/>
          <w:szCs w:val="32"/>
          <w:highlight w:val="none"/>
        </w:rPr>
        <w:t>，包括答疑、补充、修改等公告。我们完全理解并同意放弃对这方面有不明及误解的权利。</w:t>
      </w:r>
    </w:p>
    <w:p w14:paraId="41A2062E">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lang w:val="en-US" w:eastAsia="zh-CN"/>
        </w:rPr>
        <w:t>3.</w:t>
      </w:r>
      <w:r>
        <w:rPr>
          <w:rFonts w:hint="eastAsia" w:ascii="微软雅黑" w:hAnsi="微软雅黑" w:eastAsia="微软雅黑" w:cs="微软雅黑"/>
          <w:color w:val="auto"/>
          <w:sz w:val="24"/>
          <w:szCs w:val="32"/>
          <w:highlight w:val="none"/>
        </w:rPr>
        <w:t>我方同意在磋商有效期内遵守本响应文件，在此期限期满前的任何时间，本响应文件一直对我们具有约束力，本项目磋商有效期为响应文件递交截止时间后</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u w:val="single"/>
          <w:lang w:val="en-US" w:eastAsia="zh-CN"/>
        </w:rPr>
        <w:t>90</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rPr>
        <w:t>天。</w:t>
      </w:r>
    </w:p>
    <w:p w14:paraId="23B580B3">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lang w:eastAsia="zh-CN"/>
        </w:rPr>
      </w:pPr>
      <w:r>
        <w:rPr>
          <w:rFonts w:hint="eastAsia" w:ascii="微软雅黑" w:hAnsi="微软雅黑" w:eastAsia="微软雅黑" w:cs="微软雅黑"/>
          <w:color w:val="auto"/>
          <w:sz w:val="24"/>
          <w:szCs w:val="32"/>
          <w:highlight w:val="none"/>
          <w:lang w:val="en-US" w:eastAsia="zh-CN"/>
        </w:rPr>
        <w:t>4.</w:t>
      </w:r>
      <w:r>
        <w:rPr>
          <w:rFonts w:hint="eastAsia" w:ascii="微软雅黑" w:hAnsi="微软雅黑" w:eastAsia="微软雅黑" w:cs="微软雅黑"/>
          <w:color w:val="auto"/>
          <w:sz w:val="24"/>
          <w:szCs w:val="32"/>
          <w:highlight w:val="none"/>
          <w:lang w:eastAsia="zh-CN"/>
        </w:rPr>
        <w:t>供应商同意提供按照贵方可能要求的与其磋商有关的一切数据或资料，完全理解贵方不一定接受最低价的磋商或收到的任何磋商。</w:t>
      </w:r>
    </w:p>
    <w:p w14:paraId="5306B376">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lang w:val="en-US" w:eastAsia="zh-CN"/>
        </w:rPr>
      </w:pPr>
      <w:r>
        <w:rPr>
          <w:rFonts w:hint="eastAsia" w:ascii="微软雅黑" w:hAnsi="微软雅黑" w:eastAsia="微软雅黑" w:cs="微软雅黑"/>
          <w:color w:val="auto"/>
          <w:sz w:val="24"/>
          <w:szCs w:val="32"/>
          <w:highlight w:val="none"/>
          <w:lang w:val="en-US" w:eastAsia="zh-CN"/>
        </w:rPr>
        <w:t>5.</w:t>
      </w:r>
      <w:r>
        <w:rPr>
          <w:rFonts w:hint="eastAsia" w:ascii="微软雅黑" w:hAnsi="微软雅黑" w:eastAsia="微软雅黑" w:cs="微软雅黑"/>
          <w:color w:val="auto"/>
          <w:sz w:val="24"/>
          <w:szCs w:val="32"/>
          <w:highlight w:val="none"/>
          <w:lang w:eastAsia="zh-CN"/>
        </w:rPr>
        <w:t>供应商同意与采购方签署安全协议书，并按合同法履行自己的全部责任。</w:t>
      </w:r>
    </w:p>
    <w:p w14:paraId="3421E187">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default" w:ascii="微软雅黑" w:hAnsi="微软雅黑" w:eastAsia="微软雅黑" w:cs="微软雅黑"/>
          <w:color w:val="auto"/>
          <w:sz w:val="24"/>
          <w:szCs w:val="32"/>
          <w:highlight w:val="none"/>
          <w:lang w:val="en-US" w:eastAsia="zh-CN"/>
        </w:rPr>
      </w:pPr>
      <w:r>
        <w:rPr>
          <w:rFonts w:hint="eastAsia" w:ascii="微软雅黑" w:hAnsi="微软雅黑" w:eastAsia="微软雅黑" w:cs="微软雅黑"/>
          <w:color w:val="auto"/>
          <w:sz w:val="24"/>
          <w:szCs w:val="32"/>
          <w:highlight w:val="none"/>
          <w:lang w:val="en-US" w:eastAsia="zh-CN"/>
        </w:rPr>
        <w:t>6.</w:t>
      </w:r>
      <w:r>
        <w:rPr>
          <w:rFonts w:hint="eastAsia" w:ascii="微软雅黑" w:hAnsi="微软雅黑" w:eastAsia="微软雅黑" w:cs="微软雅黑"/>
          <w:color w:val="auto"/>
          <w:sz w:val="24"/>
          <w:szCs w:val="32"/>
          <w:highlight w:val="none"/>
          <w:lang w:eastAsia="zh-CN"/>
        </w:rPr>
        <w:t>如果我方成交，我方将在磋商文件规定的时间内签订委托合同并按采购要求提供履约保证金。如果我方违约，除磋商保证金不予退还外，贵方有权终止我方成交并选择其它成交供应商。</w:t>
      </w:r>
    </w:p>
    <w:p w14:paraId="63D34011">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default" w:ascii="微软雅黑" w:hAnsi="微软雅黑" w:eastAsia="微软雅黑" w:cs="微软雅黑"/>
          <w:color w:val="auto"/>
          <w:sz w:val="24"/>
          <w:szCs w:val="32"/>
          <w:highlight w:val="none"/>
          <w:lang w:val="en-US" w:eastAsia="zh-CN"/>
        </w:rPr>
      </w:pPr>
      <w:r>
        <w:rPr>
          <w:rFonts w:hint="eastAsia" w:ascii="微软雅黑" w:hAnsi="微软雅黑" w:eastAsia="微软雅黑" w:cs="微软雅黑"/>
          <w:color w:val="auto"/>
          <w:sz w:val="24"/>
          <w:szCs w:val="32"/>
          <w:highlight w:val="none"/>
          <w:lang w:val="en-US" w:eastAsia="zh-CN"/>
        </w:rPr>
        <w:t>7.在领取成交通知书的同时按磋商文件规定的形式，向代理机构一次性支付成交服务费。</w:t>
      </w:r>
    </w:p>
    <w:p w14:paraId="175C887D">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lang w:val="en-US" w:eastAsia="zh-CN"/>
        </w:rPr>
      </w:pPr>
      <w:r>
        <w:rPr>
          <w:rFonts w:hint="eastAsia" w:ascii="微软雅黑" w:hAnsi="微软雅黑" w:eastAsia="微软雅黑" w:cs="微软雅黑"/>
          <w:color w:val="auto"/>
          <w:sz w:val="24"/>
          <w:szCs w:val="32"/>
          <w:highlight w:val="none"/>
          <w:lang w:eastAsia="zh-CN"/>
        </w:rPr>
        <w:t>供应商</w:t>
      </w:r>
      <w:r>
        <w:rPr>
          <w:rFonts w:hint="eastAsia" w:ascii="微软雅黑" w:hAnsi="微软雅黑" w:eastAsia="微软雅黑" w:cs="微软雅黑"/>
          <w:color w:val="auto"/>
          <w:sz w:val="24"/>
          <w:szCs w:val="32"/>
          <w:highlight w:val="none"/>
        </w:rPr>
        <w:t>名称（单位盖章）：</w:t>
      </w:r>
      <w:r>
        <w:rPr>
          <w:rFonts w:hint="eastAsia" w:ascii="微软雅黑" w:hAnsi="微软雅黑" w:eastAsia="微软雅黑" w:cs="微软雅黑"/>
          <w:color w:val="auto"/>
          <w:sz w:val="24"/>
          <w:szCs w:val="32"/>
          <w:highlight w:val="none"/>
          <w:u w:val="single"/>
          <w:lang w:val="en-US" w:eastAsia="zh-CN"/>
        </w:rPr>
        <w:t xml:space="preserve">                           </w:t>
      </w:r>
    </w:p>
    <w:p w14:paraId="6ABBD607">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rPr>
        <w:t>办公地址：</w:t>
      </w:r>
      <w:r>
        <w:rPr>
          <w:rFonts w:hint="eastAsia" w:ascii="微软雅黑" w:hAnsi="微软雅黑" w:eastAsia="微软雅黑" w:cs="微软雅黑"/>
          <w:color w:val="auto"/>
          <w:sz w:val="24"/>
          <w:szCs w:val="32"/>
          <w:highlight w:val="none"/>
          <w:u w:val="single"/>
          <w:lang w:val="en-US" w:eastAsia="zh-CN"/>
        </w:rPr>
        <w:t xml:space="preserve">                           </w:t>
      </w:r>
    </w:p>
    <w:p w14:paraId="65C0FAFA">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rPr>
      </w:pPr>
      <w:r>
        <w:rPr>
          <w:rFonts w:hint="eastAsia" w:ascii="微软雅黑" w:hAnsi="微软雅黑" w:eastAsia="微软雅黑" w:cs="微软雅黑"/>
          <w:color w:val="auto"/>
          <w:sz w:val="24"/>
          <w:szCs w:val="32"/>
          <w:highlight w:val="none"/>
        </w:rPr>
        <w:t>办公电话：</w:t>
      </w:r>
      <w:r>
        <w:rPr>
          <w:rFonts w:hint="eastAsia" w:ascii="微软雅黑" w:hAnsi="微软雅黑" w:eastAsia="微软雅黑" w:cs="微软雅黑"/>
          <w:color w:val="auto"/>
          <w:sz w:val="24"/>
          <w:szCs w:val="32"/>
          <w:highlight w:val="none"/>
          <w:u w:val="single"/>
          <w:lang w:val="en-US" w:eastAsia="zh-CN"/>
        </w:rPr>
        <w:t xml:space="preserve">                           </w:t>
      </w:r>
    </w:p>
    <w:p w14:paraId="73C25F31">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rPr>
      </w:pPr>
      <w:r>
        <w:rPr>
          <w:rFonts w:hint="eastAsia" w:ascii="微软雅黑" w:hAnsi="微软雅黑" w:eastAsia="微软雅黑" w:cs="微软雅黑"/>
          <w:color w:val="auto"/>
          <w:sz w:val="24"/>
          <w:szCs w:val="32"/>
          <w:highlight w:val="none"/>
        </w:rPr>
        <w:t>办公传真：</w:t>
      </w:r>
      <w:r>
        <w:rPr>
          <w:rFonts w:hint="eastAsia" w:ascii="微软雅黑" w:hAnsi="微软雅黑" w:eastAsia="微软雅黑" w:cs="微软雅黑"/>
          <w:color w:val="auto"/>
          <w:sz w:val="24"/>
          <w:szCs w:val="32"/>
          <w:highlight w:val="none"/>
          <w:u w:val="single"/>
          <w:lang w:val="en-US" w:eastAsia="zh-CN"/>
        </w:rPr>
        <w:t xml:space="preserve">                           </w:t>
      </w:r>
    </w:p>
    <w:p w14:paraId="3A2CD8C3">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b w:val="0"/>
          <w:bCs/>
          <w:color w:val="auto"/>
          <w:sz w:val="24"/>
          <w:szCs w:val="32"/>
          <w:highlight w:val="none"/>
        </w:rPr>
        <w:t>电子邮箱：</w:t>
      </w:r>
      <w:r>
        <w:rPr>
          <w:rFonts w:hint="eastAsia" w:ascii="微软雅黑" w:hAnsi="微软雅黑" w:eastAsia="微软雅黑" w:cs="微软雅黑"/>
          <w:color w:val="auto"/>
          <w:sz w:val="24"/>
          <w:szCs w:val="32"/>
          <w:highlight w:val="none"/>
          <w:u w:val="single"/>
          <w:lang w:val="en-US" w:eastAsia="zh-CN"/>
        </w:rPr>
        <w:t xml:space="preserve">                           </w:t>
      </w:r>
    </w:p>
    <w:p w14:paraId="53B0579B">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rPr>
      </w:pPr>
      <w:r>
        <w:rPr>
          <w:rFonts w:hint="eastAsia" w:ascii="微软雅黑" w:hAnsi="微软雅黑" w:eastAsia="微软雅黑" w:cs="微软雅黑"/>
          <w:color w:val="auto"/>
          <w:sz w:val="24"/>
          <w:szCs w:val="32"/>
          <w:highlight w:val="none"/>
        </w:rPr>
        <w:t>法定代表人或其委托代理人(签字或盖章)：</w:t>
      </w:r>
      <w:r>
        <w:rPr>
          <w:rFonts w:hint="eastAsia" w:ascii="微软雅黑" w:hAnsi="微软雅黑" w:eastAsia="微软雅黑" w:cs="微软雅黑"/>
          <w:color w:val="auto"/>
          <w:sz w:val="24"/>
          <w:szCs w:val="32"/>
          <w:highlight w:val="none"/>
          <w:u w:val="single"/>
          <w:lang w:val="en-US" w:eastAsia="zh-CN"/>
        </w:rPr>
        <w:t xml:space="preserve">                           </w:t>
      </w:r>
    </w:p>
    <w:p w14:paraId="536E3289">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rPr>
        <w:t>联系电话：</w:t>
      </w:r>
      <w:r>
        <w:rPr>
          <w:rFonts w:hint="eastAsia" w:ascii="微软雅黑" w:hAnsi="微软雅黑" w:eastAsia="微软雅黑" w:cs="微软雅黑"/>
          <w:color w:val="auto"/>
          <w:sz w:val="24"/>
          <w:szCs w:val="32"/>
          <w:highlight w:val="none"/>
          <w:u w:val="single"/>
          <w:lang w:val="en-US" w:eastAsia="zh-CN"/>
        </w:rPr>
        <w:t xml:space="preserve">                           </w:t>
      </w:r>
    </w:p>
    <w:p w14:paraId="660E1879">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rPr>
      </w:pPr>
      <w:r>
        <w:rPr>
          <w:rFonts w:hint="eastAsia" w:ascii="微软雅黑" w:hAnsi="微软雅黑" w:eastAsia="微软雅黑" w:cs="微软雅黑"/>
          <w:color w:val="auto"/>
          <w:sz w:val="24"/>
          <w:szCs w:val="32"/>
          <w:highlight w:val="none"/>
        </w:rPr>
        <w:t>日期：</w:t>
      </w:r>
      <w:r>
        <w:rPr>
          <w:rFonts w:hint="eastAsia" w:ascii="微软雅黑" w:hAnsi="微软雅黑" w:eastAsia="微软雅黑" w:cs="微软雅黑"/>
          <w:color w:val="auto"/>
          <w:sz w:val="24"/>
          <w:szCs w:val="32"/>
          <w:highlight w:val="none"/>
          <w:u w:val="single"/>
          <w:lang w:val="en-US" w:eastAsia="zh-CN"/>
        </w:rPr>
        <w:t xml:space="preserve">                           </w:t>
      </w:r>
    </w:p>
    <w:p w14:paraId="07AD1760">
      <w:pPr>
        <w:pStyle w:val="15"/>
        <w:pageBreakBefore w:val="0"/>
        <w:numPr>
          <w:ilvl w:val="0"/>
          <w:numId w:val="0"/>
        </w:numPr>
        <w:kinsoku/>
        <w:overflowPunct/>
        <w:bidi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sectPr>
          <w:headerReference r:id="rId13" w:type="default"/>
          <w:footerReference r:id="rId15" w:type="default"/>
          <w:headerReference r:id="rId14" w:type="even"/>
          <w:footerReference r:id="rId16" w:type="even"/>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14:paraId="71C1C76F">
      <w:pPr>
        <w:pStyle w:val="15"/>
        <w:pageBreakBefore w:val="0"/>
        <w:numPr>
          <w:ilvl w:val="0"/>
          <w:numId w:val="0"/>
        </w:numPr>
        <w:kinsoku/>
        <w:overflowPunct/>
        <w:bidi w:val="0"/>
        <w:snapToGrid w:val="0"/>
        <w:spacing w:line="312" w:lineRule="auto"/>
        <w:jc w:val="center"/>
        <w:rPr>
          <w:rFonts w:hint="eastAsia" w:ascii="微软雅黑" w:hAnsi="微软雅黑" w:eastAsia="微软雅黑" w:cs="微软雅黑"/>
          <w:color w:val="auto"/>
          <w:sz w:val="28"/>
          <w:szCs w:val="21"/>
          <w:highlight w:val="none"/>
          <w:lang w:val="en-US" w:eastAsia="zh-CN"/>
        </w:rPr>
      </w:pPr>
      <w:r>
        <w:rPr>
          <w:rFonts w:hint="eastAsia" w:ascii="微软雅黑" w:hAnsi="微软雅黑" w:eastAsia="微软雅黑" w:cs="微软雅黑"/>
          <w:b/>
          <w:color w:val="auto"/>
          <w:kern w:val="0"/>
          <w:sz w:val="28"/>
          <w:szCs w:val="21"/>
          <w:highlight w:val="none"/>
          <w:lang w:val="en-US" w:eastAsia="zh-CN" w:bidi="ar-SA"/>
        </w:rPr>
        <w:t>2、分项报价表</w:t>
      </w:r>
    </w:p>
    <w:p w14:paraId="002EE9A7">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eastAsia="zh-CN"/>
        </w:rPr>
        <w:t>项目编号</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报价单位：人民币  元              　</w:t>
      </w:r>
    </w:p>
    <w:tbl>
      <w:tblPr>
        <w:tblStyle w:val="38"/>
        <w:tblpPr w:leftFromText="180" w:rightFromText="180" w:vertAnchor="text" w:horzAnchor="page" w:tblpX="1219" w:tblpY="167"/>
        <w:tblOverlap w:val="never"/>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2"/>
        <w:gridCol w:w="2141"/>
        <w:gridCol w:w="1527"/>
        <w:gridCol w:w="1426"/>
        <w:gridCol w:w="843"/>
        <w:gridCol w:w="1062"/>
      </w:tblGrid>
      <w:tr w14:paraId="1CF6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00" w:type="dxa"/>
            <w:noWrap/>
            <w:vAlign w:val="center"/>
          </w:tcPr>
          <w:p w14:paraId="02EE9B11">
            <w:pPr>
              <w:pStyle w:val="15"/>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802" w:type="dxa"/>
            <w:noWrap/>
            <w:vAlign w:val="center"/>
          </w:tcPr>
          <w:p w14:paraId="7E71A29F">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服务名称</w:t>
            </w:r>
          </w:p>
        </w:tc>
        <w:tc>
          <w:tcPr>
            <w:tcW w:w="2141" w:type="dxa"/>
            <w:noWrap/>
            <w:vAlign w:val="center"/>
          </w:tcPr>
          <w:p w14:paraId="68AC9D35">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服务内容</w:t>
            </w:r>
          </w:p>
        </w:tc>
        <w:tc>
          <w:tcPr>
            <w:tcW w:w="1527" w:type="dxa"/>
            <w:noWrap/>
            <w:vAlign w:val="center"/>
          </w:tcPr>
          <w:p w14:paraId="707E8F42">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426" w:type="dxa"/>
            <w:noWrap/>
            <w:vAlign w:val="center"/>
          </w:tcPr>
          <w:p w14:paraId="596E7A97">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843" w:type="dxa"/>
            <w:noWrap/>
            <w:vAlign w:val="center"/>
          </w:tcPr>
          <w:p w14:paraId="013A82B4">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1062" w:type="dxa"/>
            <w:noWrap/>
            <w:vAlign w:val="center"/>
          </w:tcPr>
          <w:p w14:paraId="381FCC7C">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11D8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0" w:type="dxa"/>
            <w:noWrap/>
            <w:vAlign w:val="center"/>
          </w:tcPr>
          <w:p w14:paraId="05C9991E">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802" w:type="dxa"/>
            <w:noWrap/>
            <w:vAlign w:val="center"/>
          </w:tcPr>
          <w:p w14:paraId="462E0BAE">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14:paraId="6E801C9A">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14:paraId="272ECB28">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14:paraId="0D573F05">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42D55780">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14:paraId="36DE07E9">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14:paraId="1FBB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0" w:type="dxa"/>
            <w:noWrap/>
            <w:vAlign w:val="center"/>
          </w:tcPr>
          <w:p w14:paraId="629D8433">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802" w:type="dxa"/>
            <w:noWrap/>
            <w:vAlign w:val="center"/>
          </w:tcPr>
          <w:p w14:paraId="2C7CBAF1">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14:paraId="17449350">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14:paraId="32D63A5B">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14:paraId="45EB50F0">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6AE07173">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14:paraId="75ABF245">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14:paraId="20B9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00" w:type="dxa"/>
            <w:noWrap/>
            <w:vAlign w:val="center"/>
          </w:tcPr>
          <w:p w14:paraId="7D30F1CF">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802" w:type="dxa"/>
            <w:noWrap/>
            <w:vAlign w:val="center"/>
          </w:tcPr>
          <w:p w14:paraId="49B74A24">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14:paraId="5A0D1D26">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14:paraId="547A31E4">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14:paraId="0E285912">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4D4EFBFB">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14:paraId="3C55FC0B">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14:paraId="18EC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0" w:type="dxa"/>
            <w:noWrap/>
            <w:vAlign w:val="center"/>
          </w:tcPr>
          <w:p w14:paraId="36CEC507">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1802" w:type="dxa"/>
            <w:noWrap/>
            <w:vAlign w:val="center"/>
          </w:tcPr>
          <w:p w14:paraId="4E32EF0C">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14:paraId="4AF29BA6">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14:paraId="295C312F">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14:paraId="0B2A5F97">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29600C88">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14:paraId="35442E61">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14:paraId="240D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00" w:type="dxa"/>
            <w:noWrap/>
            <w:vAlign w:val="center"/>
          </w:tcPr>
          <w:p w14:paraId="7322A53C">
            <w:pPr>
              <w:pStyle w:val="15"/>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p>
        </w:tc>
        <w:tc>
          <w:tcPr>
            <w:tcW w:w="1802" w:type="dxa"/>
            <w:noWrap/>
            <w:vAlign w:val="center"/>
          </w:tcPr>
          <w:p w14:paraId="19A5FC90">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14:paraId="5D9FD6AE">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14:paraId="547B4094">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14:paraId="66E86EC8">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4CF704C6">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14:paraId="3CA1C137">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14:paraId="30C0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701" w:type="dxa"/>
            <w:gridSpan w:val="7"/>
            <w:noWrap/>
            <w:vAlign w:val="center"/>
          </w:tcPr>
          <w:p w14:paraId="0CBEC9BA">
            <w:pPr>
              <w:pStyle w:val="15"/>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r>
    </w:tbl>
    <w:p w14:paraId="02C8313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p w14:paraId="53183552">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50E36EC7">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11B9877A">
      <w:pPr>
        <w:pStyle w:val="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3ADDB3B2">
      <w:pPr>
        <w:pStyle w:val="16"/>
        <w:pageBreakBefore w:val="0"/>
        <w:kinsoku/>
        <w:overflowPunct/>
        <w:bidi w:val="0"/>
        <w:snapToGrid w:val="0"/>
        <w:spacing w:line="312" w:lineRule="auto"/>
        <w:rPr>
          <w:rFonts w:hint="eastAsia" w:ascii="微软雅黑" w:hAnsi="微软雅黑" w:eastAsia="微软雅黑" w:cs="微软雅黑"/>
          <w:color w:val="auto"/>
          <w:highlight w:val="none"/>
        </w:rPr>
      </w:pPr>
    </w:p>
    <w:p w14:paraId="3AAD90A3">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注:1.  如果磋商报价一览表（报价表）内容与响应文件中明细表内容不一致的，以磋商报价一览表（报价表）内容为准。</w:t>
      </w:r>
    </w:p>
    <w:p w14:paraId="41CBDDCA">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 上述各项的详细分项报价，可另页描述。  </w:t>
      </w:r>
    </w:p>
    <w:p w14:paraId="4CE65FB7">
      <w:pPr>
        <w:pageBreakBefore w:val="0"/>
        <w:kinsoku/>
        <w:overflowPunct/>
        <w:bidi w:val="0"/>
        <w:snapToGrid w:val="0"/>
        <w:spacing w:line="312" w:lineRule="auto"/>
        <w:rPr>
          <w:rFonts w:hint="eastAsia" w:ascii="微软雅黑" w:hAnsi="微软雅黑" w:eastAsia="微软雅黑" w:cs="微软雅黑"/>
          <w:color w:val="auto"/>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14:paraId="15920A75">
      <w:pPr>
        <w:pStyle w:val="15"/>
        <w:pageBreakBefore w:val="0"/>
        <w:numPr>
          <w:ilvl w:val="0"/>
          <w:numId w:val="0"/>
        </w:numPr>
        <w:kinsoku/>
        <w:overflowPunct/>
        <w:bidi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r>
        <w:rPr>
          <w:rFonts w:hint="eastAsia" w:ascii="微软雅黑" w:hAnsi="微软雅黑" w:eastAsia="微软雅黑" w:cs="微软雅黑"/>
          <w:b/>
          <w:color w:val="auto"/>
          <w:kern w:val="0"/>
          <w:sz w:val="28"/>
          <w:szCs w:val="21"/>
          <w:highlight w:val="none"/>
          <w:lang w:val="en-US" w:eastAsia="zh-CN" w:bidi="ar-SA"/>
        </w:rPr>
        <w:t>3、服务说明一览表</w:t>
      </w:r>
    </w:p>
    <w:p w14:paraId="244E243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项目编号:                                         </w:t>
      </w:r>
    </w:p>
    <w:tbl>
      <w:tblPr>
        <w:tblStyle w:val="38"/>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640"/>
        <w:gridCol w:w="1452"/>
        <w:gridCol w:w="1428"/>
        <w:gridCol w:w="1584"/>
        <w:gridCol w:w="2278"/>
      </w:tblGrid>
      <w:tr w14:paraId="1BC7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vAlign w:val="center"/>
          </w:tcPr>
          <w:p w14:paraId="5B288DA4">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640" w:type="dxa"/>
            <w:vAlign w:val="center"/>
          </w:tcPr>
          <w:p w14:paraId="6A4D9213">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服务名称</w:t>
            </w:r>
          </w:p>
        </w:tc>
        <w:tc>
          <w:tcPr>
            <w:tcW w:w="1452" w:type="dxa"/>
            <w:vAlign w:val="center"/>
          </w:tcPr>
          <w:p w14:paraId="1A41BCE5">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服务内容</w:t>
            </w:r>
          </w:p>
        </w:tc>
        <w:tc>
          <w:tcPr>
            <w:tcW w:w="1428" w:type="dxa"/>
            <w:vAlign w:val="center"/>
          </w:tcPr>
          <w:p w14:paraId="1BA79A23">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服务期</w:t>
            </w:r>
          </w:p>
        </w:tc>
        <w:tc>
          <w:tcPr>
            <w:tcW w:w="1584" w:type="dxa"/>
            <w:vAlign w:val="center"/>
          </w:tcPr>
          <w:p w14:paraId="17CAA23E">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服务地点</w:t>
            </w:r>
          </w:p>
        </w:tc>
        <w:tc>
          <w:tcPr>
            <w:tcW w:w="2278" w:type="dxa"/>
            <w:vAlign w:val="center"/>
          </w:tcPr>
          <w:p w14:paraId="356C4312">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其它</w:t>
            </w:r>
          </w:p>
        </w:tc>
      </w:tr>
      <w:tr w14:paraId="137B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52" w:type="dxa"/>
          </w:tcPr>
          <w:p w14:paraId="577BA5D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14:paraId="74A5E5E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14:paraId="3B3469F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14:paraId="32C9B80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14:paraId="6203BF8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14:paraId="07C9595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6E6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tcPr>
          <w:p w14:paraId="504A57B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14:paraId="3D756DF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14:paraId="3CB02D7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14:paraId="3FE2370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14:paraId="2631460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14:paraId="4050BA5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87F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52" w:type="dxa"/>
          </w:tcPr>
          <w:p w14:paraId="3676178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14:paraId="3D232CB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14:paraId="622044D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14:paraId="1CE8993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14:paraId="250282D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14:paraId="790F4E7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109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tcPr>
          <w:p w14:paraId="2AA3B88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14:paraId="7D5043E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14:paraId="7D992AD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14:paraId="6046A7E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14:paraId="319DA99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14:paraId="74AD6B5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63E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52" w:type="dxa"/>
          </w:tcPr>
          <w:p w14:paraId="357AEB0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14:paraId="032F0A9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14:paraId="666F463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14:paraId="3712732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14:paraId="6C1DDC7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14:paraId="6F60F44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077F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tcPr>
          <w:p w14:paraId="5D1AF2D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14:paraId="03C143A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14:paraId="31B60DB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14:paraId="4EF08B2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14:paraId="4AC2B25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14:paraId="0FAE872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61F2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tcPr>
          <w:p w14:paraId="781EC23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14:paraId="0A9F7D7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14:paraId="73CA131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14:paraId="5D575D3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14:paraId="02D264B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14:paraId="14BED9C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3B2A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52" w:type="dxa"/>
          </w:tcPr>
          <w:p w14:paraId="38309C7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14:paraId="3CF9715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14:paraId="1717BCE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14:paraId="1B3902D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14:paraId="389682C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14:paraId="24D4BFC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bl>
    <w:p w14:paraId="3805973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p w14:paraId="022AA277">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6F053FBD">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0637787E">
      <w:pPr>
        <w:pStyle w:val="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77566EF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p w14:paraId="4E5B319D">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 各项服务详细技术性能应另页描述。</w:t>
      </w:r>
    </w:p>
    <w:p w14:paraId="0B3015C8">
      <w:pPr>
        <w:pStyle w:val="4"/>
        <w:pageBreakBefore w:val="0"/>
        <w:kinsoku/>
        <w:overflowPunct/>
        <w:bidi w:val="0"/>
        <w:snapToGrid w:val="0"/>
        <w:spacing w:before="0" w:line="312" w:lineRule="auto"/>
        <w:ind w:left="1080" w:leftChars="257" w:hanging="540"/>
        <w:outlineLvl w:val="9"/>
        <w:rPr>
          <w:rFonts w:hint="eastAsia" w:ascii="微软雅黑" w:hAnsi="微软雅黑" w:eastAsia="微软雅黑" w:cs="微软雅黑"/>
          <w:color w:val="auto"/>
          <w:sz w:val="28"/>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14:paraId="545E8149">
      <w:pPr>
        <w:pStyle w:val="4"/>
        <w:pageBreakBefore w:val="0"/>
        <w:kinsoku/>
        <w:overflowPunct/>
        <w:bidi w:val="0"/>
        <w:snapToGrid w:val="0"/>
        <w:spacing w:before="0"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8"/>
          <w:szCs w:val="21"/>
          <w:highlight w:val="none"/>
          <w:lang w:val="en-US" w:eastAsia="zh-CN"/>
        </w:rPr>
        <w:t>4、</w:t>
      </w:r>
      <w:r>
        <w:rPr>
          <w:rFonts w:hint="eastAsia" w:ascii="微软雅黑" w:hAnsi="微软雅黑" w:eastAsia="微软雅黑" w:cs="微软雅黑"/>
          <w:color w:val="auto"/>
          <w:sz w:val="28"/>
          <w:szCs w:val="21"/>
          <w:highlight w:val="none"/>
        </w:rPr>
        <w:t>技术规格偏离表</w:t>
      </w:r>
      <w:bookmarkEnd w:id="368"/>
      <w:bookmarkEnd w:id="369"/>
      <w:bookmarkEnd w:id="370"/>
      <w:bookmarkEnd w:id="371"/>
      <w:bookmarkEnd w:id="372"/>
      <w:bookmarkEnd w:id="373"/>
      <w:bookmarkEnd w:id="374"/>
      <w:bookmarkEnd w:id="375"/>
    </w:p>
    <w:p w14:paraId="7F7FD960">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 xml:space="preserve">编号:                 </w:t>
      </w:r>
    </w:p>
    <w:tbl>
      <w:tblPr>
        <w:tblStyle w:val="38"/>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30"/>
        <w:gridCol w:w="1941"/>
        <w:gridCol w:w="1899"/>
        <w:gridCol w:w="1890"/>
        <w:gridCol w:w="1324"/>
        <w:gridCol w:w="995"/>
      </w:tblGrid>
      <w:tr w14:paraId="3C2E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vAlign w:val="center"/>
          </w:tcPr>
          <w:p w14:paraId="60535771">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230" w:type="dxa"/>
            <w:vAlign w:val="center"/>
          </w:tcPr>
          <w:p w14:paraId="28ACFB46">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服务名称</w:t>
            </w:r>
          </w:p>
        </w:tc>
        <w:tc>
          <w:tcPr>
            <w:tcW w:w="1941" w:type="dxa"/>
            <w:vAlign w:val="center"/>
          </w:tcPr>
          <w:p w14:paraId="1ADBD22D">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文件条款号</w:t>
            </w:r>
          </w:p>
        </w:tc>
        <w:tc>
          <w:tcPr>
            <w:tcW w:w="1899" w:type="dxa"/>
            <w:vAlign w:val="center"/>
          </w:tcPr>
          <w:p w14:paraId="0C4E599B">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磋商文件</w:t>
            </w:r>
            <w:r>
              <w:rPr>
                <w:rFonts w:hint="eastAsia" w:ascii="微软雅黑" w:hAnsi="微软雅黑" w:eastAsia="微软雅黑" w:cs="微软雅黑"/>
                <w:color w:val="auto"/>
                <w:sz w:val="24"/>
                <w:highlight w:val="none"/>
                <w:lang w:eastAsia="zh-CN"/>
              </w:rPr>
              <w:t>条款</w:t>
            </w:r>
          </w:p>
        </w:tc>
        <w:tc>
          <w:tcPr>
            <w:tcW w:w="1890" w:type="dxa"/>
            <w:vAlign w:val="center"/>
          </w:tcPr>
          <w:p w14:paraId="2920E921">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响应文件</w:t>
            </w:r>
            <w:r>
              <w:rPr>
                <w:rFonts w:hint="eastAsia" w:ascii="微软雅黑" w:hAnsi="微软雅黑" w:eastAsia="微软雅黑" w:cs="微软雅黑"/>
                <w:color w:val="auto"/>
                <w:sz w:val="24"/>
                <w:highlight w:val="none"/>
                <w:lang w:eastAsia="zh-CN"/>
              </w:rPr>
              <w:t>条款</w:t>
            </w:r>
          </w:p>
        </w:tc>
        <w:tc>
          <w:tcPr>
            <w:tcW w:w="1324" w:type="dxa"/>
            <w:vAlign w:val="center"/>
          </w:tcPr>
          <w:p w14:paraId="3735FA89">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偏离</w:t>
            </w:r>
            <w:r>
              <w:rPr>
                <w:rFonts w:hint="eastAsia" w:ascii="微软雅黑" w:hAnsi="微软雅黑" w:eastAsia="微软雅黑" w:cs="微软雅黑"/>
                <w:color w:val="auto"/>
                <w:sz w:val="24"/>
                <w:highlight w:val="none"/>
                <w:lang w:eastAsia="zh-CN"/>
              </w:rPr>
              <w:t>情况</w:t>
            </w:r>
          </w:p>
        </w:tc>
        <w:tc>
          <w:tcPr>
            <w:tcW w:w="995" w:type="dxa"/>
            <w:vAlign w:val="center"/>
          </w:tcPr>
          <w:p w14:paraId="5CBA9BF5">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tc>
      </w:tr>
      <w:tr w14:paraId="0000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059DC2E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019B020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26C2FB7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74AD616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73A77BA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2E08BAF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5558801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579F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3371152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32D0DED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674F727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3A37866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11CCC6F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5B49E8A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2E5ABDD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6C9C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0E0FC9F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02925EE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6BE81A9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4CFC9BA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4BEF955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77DBA35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4BBB8B5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08AA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4813830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0610CDF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7FE09C9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038B230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5175101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16C44F0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0E0AD05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6E12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787F7FD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586FE67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246FC70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4DDEA7F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66171E3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627436D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411854A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2443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66CEA98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488779B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108BD09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4DEAF52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3CB6D12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7313F54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37F9CFE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0A4E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6F84889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50FFC45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7E99CCC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6544B04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6B3522A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3E4E9CB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3C99D41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0B50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6DA465F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352A1D2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04329DF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7B8E4CA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6BF10C0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27F39B4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2FDDCB6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308A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38A2E3B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4A63824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609681E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30992C4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3FBA0B1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03A7215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11C4D05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0E0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670CD0B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0095445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419AF67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42C9C35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441232E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597CF8B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4284A31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7C02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6FB8879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532ABDB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75BC1FB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3F83112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1397E88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706A755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5D54BC0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375C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11A14BB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30D0844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059B15A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0A7797A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691E4D5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6CB16F4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1123386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5469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2ABA581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548885F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1C4B310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6D1DCDD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70F4C93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6DF3872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4DB84D1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1B2A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2305852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5403C0C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06A6C6B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08A5908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73FEEE5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202159C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24DB2F5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12BE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14:paraId="2807FEB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1BE506A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771820C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65AA890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0AB2009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54F80BC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6E35E12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6C8C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tcPr>
          <w:p w14:paraId="5AF2C64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14:paraId="005B3EA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14:paraId="0FA7490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14:paraId="234091D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14:paraId="02590DF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14:paraId="22E16CB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14:paraId="04226F9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bl>
    <w:p w14:paraId="7AEA9E98">
      <w:pPr>
        <w:pStyle w:val="15"/>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注：</w:t>
      </w:r>
      <w:r>
        <w:rPr>
          <w:rFonts w:hint="eastAsia" w:ascii="微软雅黑" w:hAnsi="微软雅黑" w:eastAsia="微软雅黑" w:cs="微软雅黑"/>
          <w:b/>
          <w:bCs/>
          <w:color w:val="auto"/>
          <w:sz w:val="24"/>
          <w:szCs w:val="24"/>
          <w:highlight w:val="none"/>
          <w:lang w:eastAsia="zh-CN"/>
        </w:rPr>
        <w:t>供应商须</w:t>
      </w:r>
      <w:r>
        <w:rPr>
          <w:rFonts w:hint="eastAsia" w:ascii="微软雅黑" w:hAnsi="微软雅黑" w:eastAsia="微软雅黑" w:cs="微软雅黑"/>
          <w:b/>
          <w:bCs/>
          <w:color w:val="auto"/>
          <w:sz w:val="24"/>
          <w:szCs w:val="24"/>
          <w:highlight w:val="none"/>
        </w:rPr>
        <w:t>将</w:t>
      </w:r>
      <w:r>
        <w:rPr>
          <w:rFonts w:hint="eastAsia" w:ascii="微软雅黑" w:hAnsi="微软雅黑" w:eastAsia="微软雅黑" w:cs="微软雅黑"/>
          <w:b/>
          <w:bCs/>
          <w:color w:val="auto"/>
          <w:sz w:val="24"/>
          <w:szCs w:val="24"/>
          <w:highlight w:val="none"/>
          <w:lang w:eastAsia="zh-CN"/>
        </w:rPr>
        <w:t>响应文件</w:t>
      </w:r>
      <w:r>
        <w:rPr>
          <w:rFonts w:hint="eastAsia" w:ascii="微软雅黑" w:hAnsi="微软雅黑" w:eastAsia="微软雅黑" w:cs="微软雅黑"/>
          <w:b/>
          <w:bCs/>
          <w:color w:val="auto"/>
          <w:sz w:val="24"/>
          <w:szCs w:val="24"/>
          <w:highlight w:val="none"/>
        </w:rPr>
        <w:t>和</w:t>
      </w:r>
      <w:r>
        <w:rPr>
          <w:rFonts w:hint="eastAsia" w:ascii="微软雅黑" w:hAnsi="微软雅黑" w:eastAsia="微软雅黑" w:cs="微软雅黑"/>
          <w:b/>
          <w:bCs/>
          <w:color w:val="auto"/>
          <w:sz w:val="24"/>
          <w:szCs w:val="24"/>
          <w:highlight w:val="none"/>
          <w:lang w:eastAsia="zh-CN"/>
        </w:rPr>
        <w:t>磋商文件</w:t>
      </w:r>
      <w:r>
        <w:rPr>
          <w:rFonts w:hint="eastAsia" w:ascii="微软雅黑" w:hAnsi="微软雅黑" w:eastAsia="微软雅黑" w:cs="微软雅黑"/>
          <w:b/>
          <w:bCs/>
          <w:color w:val="auto"/>
          <w:sz w:val="24"/>
          <w:szCs w:val="24"/>
          <w:highlight w:val="none"/>
        </w:rPr>
        <w:t>在</w:t>
      </w:r>
      <w:r>
        <w:rPr>
          <w:rFonts w:hint="eastAsia" w:ascii="微软雅黑" w:hAnsi="微软雅黑" w:eastAsia="微软雅黑" w:cs="微软雅黑"/>
          <w:b/>
          <w:bCs/>
          <w:color w:val="auto"/>
          <w:sz w:val="24"/>
          <w:szCs w:val="24"/>
          <w:highlight w:val="none"/>
          <w:lang w:eastAsia="zh-CN"/>
        </w:rPr>
        <w:t>技术要求</w:t>
      </w:r>
      <w:r>
        <w:rPr>
          <w:rFonts w:hint="eastAsia" w:ascii="微软雅黑" w:hAnsi="微软雅黑" w:eastAsia="微软雅黑" w:cs="微软雅黑"/>
          <w:b/>
          <w:bCs/>
          <w:color w:val="auto"/>
          <w:sz w:val="24"/>
          <w:szCs w:val="24"/>
          <w:highlight w:val="none"/>
        </w:rPr>
        <w:t>部分汇集成表。</w:t>
      </w:r>
    </w:p>
    <w:p w14:paraId="78455DA2">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rPr>
      </w:pPr>
    </w:p>
    <w:p w14:paraId="3FE17C10">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653EC66A">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1F27F309">
      <w:pPr>
        <w:pStyle w:val="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bookmarkStart w:id="376" w:name="_Toc1195"/>
      <w:bookmarkStart w:id="377" w:name="_Toc21009"/>
      <w:bookmarkStart w:id="378" w:name="_Toc4280"/>
      <w:bookmarkStart w:id="379" w:name="_Toc1980"/>
      <w:bookmarkStart w:id="380" w:name="_Toc216582818"/>
      <w:bookmarkStart w:id="381" w:name="_Toc515647821"/>
      <w:bookmarkStart w:id="382" w:name="_Toc23"/>
      <w:bookmarkStart w:id="383" w:name="_Toc4342"/>
    </w:p>
    <w:p w14:paraId="035E6F36">
      <w:pPr>
        <w:pStyle w:val="4"/>
        <w:pageBreakBefore w:val="0"/>
        <w:kinsoku/>
        <w:overflowPunct/>
        <w:bidi w:val="0"/>
        <w:snapToGrid w:val="0"/>
        <w:spacing w:before="0"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8"/>
          <w:szCs w:val="21"/>
          <w:highlight w:val="none"/>
          <w:lang w:val="en-US" w:eastAsia="zh-CN"/>
        </w:rPr>
        <w:t>5</w:t>
      </w:r>
      <w:r>
        <w:rPr>
          <w:rFonts w:hint="eastAsia" w:ascii="微软雅黑" w:hAnsi="微软雅黑" w:eastAsia="微软雅黑" w:cs="微软雅黑"/>
          <w:color w:val="auto"/>
          <w:sz w:val="28"/>
          <w:szCs w:val="21"/>
          <w:highlight w:val="none"/>
          <w:lang w:eastAsia="zh-CN"/>
        </w:rPr>
        <w:t>、</w:t>
      </w:r>
      <w:r>
        <w:rPr>
          <w:rFonts w:hint="eastAsia" w:ascii="微软雅黑" w:hAnsi="微软雅黑" w:eastAsia="微软雅黑" w:cs="微软雅黑"/>
          <w:color w:val="auto"/>
          <w:sz w:val="28"/>
          <w:szCs w:val="21"/>
          <w:highlight w:val="none"/>
        </w:rPr>
        <w:t>商务条款偏离表</w:t>
      </w:r>
      <w:bookmarkEnd w:id="376"/>
      <w:bookmarkEnd w:id="377"/>
      <w:bookmarkEnd w:id="378"/>
      <w:bookmarkEnd w:id="379"/>
      <w:bookmarkEnd w:id="380"/>
      <w:bookmarkEnd w:id="381"/>
      <w:bookmarkEnd w:id="382"/>
      <w:bookmarkEnd w:id="383"/>
    </w:p>
    <w:p w14:paraId="505E82B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 xml:space="preserve">编号:         </w:t>
      </w:r>
    </w:p>
    <w:tbl>
      <w:tblPr>
        <w:tblStyle w:val="3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2513"/>
        <w:gridCol w:w="2439"/>
        <w:gridCol w:w="1653"/>
        <w:gridCol w:w="1904"/>
      </w:tblGrid>
      <w:tr w14:paraId="50BF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8" w:type="dxa"/>
          </w:tcPr>
          <w:p w14:paraId="0834B71B">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2513" w:type="dxa"/>
          </w:tcPr>
          <w:p w14:paraId="7CBA2239">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磋商文件的商务条款</w:t>
            </w:r>
          </w:p>
        </w:tc>
        <w:tc>
          <w:tcPr>
            <w:tcW w:w="2439" w:type="dxa"/>
          </w:tcPr>
          <w:p w14:paraId="4E9FD3AB">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响应文件的商务条款</w:t>
            </w:r>
          </w:p>
        </w:tc>
        <w:tc>
          <w:tcPr>
            <w:tcW w:w="1653" w:type="dxa"/>
          </w:tcPr>
          <w:p w14:paraId="3DA105CA">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偏离情况</w:t>
            </w:r>
          </w:p>
        </w:tc>
        <w:tc>
          <w:tcPr>
            <w:tcW w:w="1904" w:type="dxa"/>
          </w:tcPr>
          <w:p w14:paraId="186F707E">
            <w:pPr>
              <w:pStyle w:val="15"/>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tc>
      </w:tr>
      <w:tr w14:paraId="3C4D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320CCDA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6D4266ED">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highlight w:val="none"/>
              </w:rPr>
            </w:pPr>
          </w:p>
        </w:tc>
        <w:tc>
          <w:tcPr>
            <w:tcW w:w="2439" w:type="dxa"/>
          </w:tcPr>
          <w:p w14:paraId="4C089CD7">
            <w:pPr>
              <w:pStyle w:val="15"/>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highlight w:val="none"/>
              </w:rPr>
            </w:pPr>
          </w:p>
        </w:tc>
        <w:tc>
          <w:tcPr>
            <w:tcW w:w="1653" w:type="dxa"/>
          </w:tcPr>
          <w:p w14:paraId="33464DF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24FC963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2028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3FA8451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50BC7202">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0D220AC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18E826F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351D898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55F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5B2CAD6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712832B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62A732C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7E77410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752860E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021F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277CFAC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1EC9A88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3A9C4D3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4318845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6A3FA3E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15DF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05B955D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4D969EF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4DAD58F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5D902EB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65D06C4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5164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7704F06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35ECC09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5A6AE48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4D3F0A77">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1F14ECA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18F7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0CFF790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7B74FE6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47DF6A2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7529F92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7330584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08EA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2B06B7E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773635B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5B6A2D9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63D2279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3333587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3F78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49ADDE6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3FD815D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41A1B67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79C4AAB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5647DA9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4A22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62D633A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5573A59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5D4EFE0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317BB3D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41ECBF5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0DBF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207872D3">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542A139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1537F41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18D5AA9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2DA1B39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6A42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779CD53B">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072F0EF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3EFBE235">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4803C37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72CD3A0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215B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6F1B91C1">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34AB6B6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7A677E8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6318F0C0">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7BE7947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5E79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22D7DD4E">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21127004">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515A67F6">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72EF5C2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38A99F88">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14:paraId="69F0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14:paraId="34C09829">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14:paraId="3922791D">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14:paraId="2C06E37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14:paraId="738A141C">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14:paraId="581B7F4F">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bl>
    <w:p w14:paraId="56E243B9">
      <w:pPr>
        <w:pStyle w:val="15"/>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注：</w:t>
      </w:r>
      <w:r>
        <w:rPr>
          <w:rFonts w:hint="eastAsia" w:ascii="微软雅黑" w:hAnsi="微软雅黑" w:eastAsia="微软雅黑" w:cs="微软雅黑"/>
          <w:b/>
          <w:bCs/>
          <w:color w:val="auto"/>
          <w:sz w:val="24"/>
          <w:szCs w:val="24"/>
          <w:highlight w:val="none"/>
          <w:lang w:eastAsia="zh-CN"/>
        </w:rPr>
        <w:t>供应商须</w:t>
      </w:r>
      <w:r>
        <w:rPr>
          <w:rFonts w:hint="eastAsia" w:ascii="微软雅黑" w:hAnsi="微软雅黑" w:eastAsia="微软雅黑" w:cs="微软雅黑"/>
          <w:b/>
          <w:bCs/>
          <w:color w:val="auto"/>
          <w:sz w:val="24"/>
          <w:szCs w:val="24"/>
          <w:highlight w:val="none"/>
        </w:rPr>
        <w:t>将</w:t>
      </w:r>
      <w:r>
        <w:rPr>
          <w:rFonts w:hint="eastAsia" w:ascii="微软雅黑" w:hAnsi="微软雅黑" w:eastAsia="微软雅黑" w:cs="微软雅黑"/>
          <w:b/>
          <w:bCs/>
          <w:color w:val="auto"/>
          <w:sz w:val="24"/>
          <w:szCs w:val="24"/>
          <w:highlight w:val="none"/>
          <w:lang w:eastAsia="zh-CN"/>
        </w:rPr>
        <w:t>响应文件</w:t>
      </w:r>
      <w:r>
        <w:rPr>
          <w:rFonts w:hint="eastAsia" w:ascii="微软雅黑" w:hAnsi="微软雅黑" w:eastAsia="微软雅黑" w:cs="微软雅黑"/>
          <w:b/>
          <w:bCs/>
          <w:color w:val="auto"/>
          <w:sz w:val="24"/>
          <w:szCs w:val="24"/>
          <w:highlight w:val="none"/>
        </w:rPr>
        <w:t>和</w:t>
      </w:r>
      <w:r>
        <w:rPr>
          <w:rFonts w:hint="eastAsia" w:ascii="微软雅黑" w:hAnsi="微软雅黑" w:eastAsia="微软雅黑" w:cs="微软雅黑"/>
          <w:b/>
          <w:bCs/>
          <w:color w:val="auto"/>
          <w:sz w:val="24"/>
          <w:szCs w:val="24"/>
          <w:highlight w:val="none"/>
          <w:lang w:eastAsia="zh-CN"/>
        </w:rPr>
        <w:t>磋商文件</w:t>
      </w:r>
      <w:r>
        <w:rPr>
          <w:rFonts w:hint="eastAsia" w:ascii="微软雅黑" w:hAnsi="微软雅黑" w:eastAsia="微软雅黑" w:cs="微软雅黑"/>
          <w:b/>
          <w:bCs/>
          <w:color w:val="auto"/>
          <w:sz w:val="24"/>
          <w:szCs w:val="24"/>
          <w:highlight w:val="none"/>
        </w:rPr>
        <w:t>在</w:t>
      </w:r>
      <w:r>
        <w:rPr>
          <w:rFonts w:hint="eastAsia" w:ascii="微软雅黑" w:hAnsi="微软雅黑" w:eastAsia="微软雅黑" w:cs="微软雅黑"/>
          <w:b/>
          <w:bCs/>
          <w:color w:val="auto"/>
          <w:sz w:val="24"/>
          <w:szCs w:val="24"/>
          <w:highlight w:val="none"/>
          <w:lang w:eastAsia="zh-CN"/>
        </w:rPr>
        <w:t>技术要求</w:t>
      </w:r>
      <w:r>
        <w:rPr>
          <w:rFonts w:hint="eastAsia" w:ascii="微软雅黑" w:hAnsi="微软雅黑" w:eastAsia="微软雅黑" w:cs="微软雅黑"/>
          <w:b/>
          <w:bCs/>
          <w:color w:val="auto"/>
          <w:sz w:val="24"/>
          <w:szCs w:val="24"/>
          <w:highlight w:val="none"/>
        </w:rPr>
        <w:t>部分汇集成表。</w:t>
      </w:r>
    </w:p>
    <w:p w14:paraId="630C81AA">
      <w:pPr>
        <w:pStyle w:val="15"/>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p w14:paraId="4F7BC1E1">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bookmarkStart w:id="384" w:name="_Hlt520350918"/>
      <w:bookmarkEnd w:id="384"/>
      <w:bookmarkStart w:id="385" w:name="_Hlt520350957"/>
      <w:bookmarkEnd w:id="385"/>
      <w:bookmarkStart w:id="386" w:name="_Hlt520343000"/>
      <w:bookmarkEnd w:id="386"/>
      <w:bookmarkStart w:id="387" w:name="_Hlt520274065"/>
      <w:bookmarkEnd w:id="387"/>
      <w:bookmarkStart w:id="388" w:name="_Hlt520274407"/>
      <w:bookmarkEnd w:id="388"/>
      <w:bookmarkStart w:id="389" w:name="_Hlt520271212"/>
      <w:bookmarkEnd w:id="389"/>
      <w:bookmarkStart w:id="390" w:name="_Hlt520343392"/>
      <w:bookmarkEnd w:id="390"/>
      <w:bookmarkStart w:id="391" w:name="_Hlt520273711"/>
      <w:bookmarkEnd w:id="391"/>
      <w:bookmarkStart w:id="392" w:name="_Hlt520274393"/>
      <w:bookmarkEnd w:id="392"/>
      <w:bookmarkStart w:id="393" w:name="_Hlt520273973"/>
      <w:bookmarkEnd w:id="393"/>
      <w:bookmarkStart w:id="394" w:name="_Hlt520274911"/>
      <w:bookmarkEnd w:id="394"/>
      <w:bookmarkStart w:id="395" w:name="_Toc21312"/>
      <w:bookmarkStart w:id="396" w:name="_Toc10725"/>
      <w:bookmarkStart w:id="397" w:name="_Toc515647823"/>
      <w:bookmarkStart w:id="398" w:name="_Toc26282"/>
      <w:bookmarkStart w:id="399" w:name="_Toc17036"/>
      <w:bookmarkStart w:id="400" w:name="_Toc281"/>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332543FD">
      <w:pPr>
        <w:pStyle w:val="15"/>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14:paraId="1AF0F00B">
      <w:pPr>
        <w:pStyle w:val="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03C8C86B">
      <w:pPr>
        <w:pStyle w:val="4"/>
        <w:pageBreakBefore w:val="0"/>
        <w:kinsoku/>
        <w:overflowPunct/>
        <w:bidi w:val="0"/>
        <w:snapToGrid w:val="0"/>
        <w:spacing w:before="0" w:line="312" w:lineRule="auto"/>
        <w:jc w:val="both"/>
        <w:outlineLvl w:val="9"/>
        <w:rPr>
          <w:rFonts w:hint="eastAsia" w:ascii="微软雅黑" w:hAnsi="微软雅黑" w:eastAsia="微软雅黑" w:cs="微软雅黑"/>
          <w:color w:val="auto"/>
          <w:sz w:val="24"/>
          <w:highlight w:val="none"/>
          <w:lang w:val="en-US" w:eastAsia="zh-CN"/>
        </w:rPr>
      </w:pPr>
    </w:p>
    <w:p w14:paraId="57337E5A">
      <w:pPr>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p>
    <w:bookmarkEnd w:id="395"/>
    <w:bookmarkEnd w:id="396"/>
    <w:bookmarkEnd w:id="397"/>
    <w:bookmarkEnd w:id="398"/>
    <w:bookmarkEnd w:id="399"/>
    <w:bookmarkEnd w:id="400"/>
    <w:p w14:paraId="600BCED0">
      <w:pPr>
        <w:pageBreakBefore w:val="0"/>
        <w:kinsoku/>
        <w:overflowPunct/>
        <w:bidi w:val="0"/>
        <w:snapToGrid w:val="0"/>
        <w:spacing w:before="0" w:line="312" w:lineRule="auto"/>
        <w:jc w:val="center"/>
        <w:outlineLvl w:val="9"/>
        <w:rPr>
          <w:rFonts w:hint="eastAsia" w:ascii="微软雅黑" w:hAnsi="微软雅黑" w:eastAsia="微软雅黑" w:cs="微软雅黑"/>
          <w:b/>
          <w:color w:val="auto"/>
          <w:kern w:val="0"/>
          <w:sz w:val="28"/>
          <w:szCs w:val="21"/>
          <w:highlight w:val="none"/>
          <w:lang w:val="en-US" w:eastAsia="zh-CN" w:bidi="ar-SA"/>
        </w:rPr>
      </w:pPr>
      <w:bookmarkStart w:id="401" w:name="_Toc14951"/>
      <w:bookmarkStart w:id="402" w:name="_Toc518923120"/>
      <w:bookmarkStart w:id="403" w:name="_Toc29836"/>
      <w:bookmarkStart w:id="404" w:name="_Toc480"/>
      <w:bookmarkStart w:id="405" w:name="_Toc8032"/>
      <w:bookmarkStart w:id="406" w:name="_Toc26921"/>
      <w:bookmarkStart w:id="407" w:name="_Toc4312"/>
      <w:bookmarkStart w:id="408" w:name="_Toc6216"/>
      <w:bookmarkStart w:id="409" w:name="_Toc10073"/>
      <w:r>
        <w:rPr>
          <w:rFonts w:hint="eastAsia" w:ascii="微软雅黑" w:hAnsi="微软雅黑" w:eastAsia="微软雅黑" w:cs="微软雅黑"/>
          <w:b/>
          <w:color w:val="auto"/>
          <w:kern w:val="0"/>
          <w:sz w:val="28"/>
          <w:szCs w:val="21"/>
          <w:highlight w:val="none"/>
          <w:lang w:val="en-US" w:eastAsia="zh-CN" w:bidi="ar-SA"/>
        </w:rPr>
        <w:t>6-1、</w:t>
      </w:r>
      <w:bookmarkEnd w:id="401"/>
      <w:bookmarkEnd w:id="402"/>
      <w:bookmarkEnd w:id="403"/>
      <w:bookmarkEnd w:id="404"/>
      <w:bookmarkEnd w:id="405"/>
      <w:bookmarkEnd w:id="406"/>
      <w:bookmarkEnd w:id="407"/>
      <w:bookmarkEnd w:id="408"/>
      <w:bookmarkEnd w:id="409"/>
      <w:r>
        <w:rPr>
          <w:rFonts w:hint="eastAsia" w:ascii="微软雅黑" w:hAnsi="微软雅黑" w:eastAsia="微软雅黑" w:cs="微软雅黑"/>
          <w:b/>
          <w:color w:val="auto"/>
          <w:kern w:val="0"/>
          <w:sz w:val="28"/>
          <w:szCs w:val="21"/>
          <w:highlight w:val="none"/>
          <w:lang w:val="en-US" w:eastAsia="zh-CN" w:bidi="ar-SA"/>
        </w:rPr>
        <w:t>中小企业声明函（工程、服务）</w:t>
      </w:r>
    </w:p>
    <w:p w14:paraId="36AE571D">
      <w:pPr>
        <w:snapToGrid w:val="0"/>
        <w:spacing w:line="360" w:lineRule="auto"/>
        <w:ind w:firstLine="480" w:firstLineChars="200"/>
        <w:textAlignment w:val="baseline"/>
        <w:rPr>
          <w:rFonts w:hint="eastAsia" w:ascii="微软雅黑" w:hAnsi="微软雅黑" w:eastAsia="微软雅黑" w:cs="微软雅黑"/>
          <w:color w:val="auto"/>
          <w:kern w:val="2"/>
          <w:sz w:val="24"/>
          <w:szCs w:val="22"/>
          <w:highlight w:val="none"/>
          <w:lang w:val="en-US" w:eastAsia="zh-CN" w:bidi="ar-SA"/>
        </w:rPr>
      </w:pPr>
    </w:p>
    <w:p w14:paraId="0FB7DD58">
      <w:pPr>
        <w:snapToGrid w:val="0"/>
        <w:spacing w:line="360" w:lineRule="auto"/>
        <w:ind w:firstLine="480" w:firstLineChars="200"/>
        <w:textAlignment w:val="baseline"/>
        <w:rPr>
          <w:rFonts w:hint="eastAsia"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本公司（联合体）郑重声明，根据《政府采购促进中小企业发展管理办法》（财库﹝2020﹞46 号）的规定，本公司（联合体）参（单位名称 ）的（项目名称 ）采购活动，工程的施工单位全部为符合政策要求的中小企业（或者：服务全部由符合政策要求的中小企业承接）。相关企业（含联合体中的中小企业、签订分包意向协议的中小企业）的具体情况如下：</w:t>
      </w:r>
    </w:p>
    <w:p w14:paraId="42C357DE">
      <w:pPr>
        <w:snapToGrid w:val="0"/>
        <w:spacing w:line="360" w:lineRule="auto"/>
        <w:ind w:firstLine="480" w:firstLineChars="200"/>
        <w:textAlignment w:val="baseline"/>
        <w:rPr>
          <w:rFonts w:hint="eastAsia"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 xml:space="preserve">1. </w:t>
      </w:r>
      <w:r>
        <w:rPr>
          <w:rFonts w:hint="eastAsia" w:ascii="微软雅黑" w:hAnsi="微软雅黑" w:eastAsia="微软雅黑" w:cs="微软雅黑"/>
          <w:color w:val="auto"/>
          <w:kern w:val="2"/>
          <w:sz w:val="24"/>
          <w:szCs w:val="22"/>
          <w:highlight w:val="none"/>
          <w:u w:val="single"/>
          <w:lang w:val="en-US" w:eastAsia="zh-CN" w:bidi="ar-SA"/>
        </w:rPr>
        <w:t>（标的名称）</w:t>
      </w:r>
      <w:r>
        <w:rPr>
          <w:rFonts w:hint="eastAsia" w:ascii="微软雅黑" w:hAnsi="微软雅黑" w:eastAsia="微软雅黑" w:cs="微软雅黑"/>
          <w:color w:val="auto"/>
          <w:kern w:val="2"/>
          <w:sz w:val="24"/>
          <w:szCs w:val="22"/>
          <w:highlight w:val="none"/>
          <w:lang w:val="en-US" w:eastAsia="zh-CN" w:bidi="ar-SA"/>
        </w:rPr>
        <w:t xml:space="preserve"> ，属于</w:t>
      </w:r>
      <w:r>
        <w:rPr>
          <w:rFonts w:hint="eastAsia" w:ascii="微软雅黑" w:hAnsi="微软雅黑" w:eastAsia="微软雅黑" w:cs="微软雅黑"/>
          <w:color w:val="auto"/>
          <w:kern w:val="2"/>
          <w:sz w:val="24"/>
          <w:szCs w:val="22"/>
          <w:highlight w:val="none"/>
          <w:u w:val="single"/>
          <w:lang w:val="en-US" w:eastAsia="zh-CN" w:bidi="ar-SA"/>
        </w:rPr>
        <w:t xml:space="preserve">     </w:t>
      </w:r>
      <w:r>
        <w:rPr>
          <w:rFonts w:hint="eastAsia" w:ascii="微软雅黑" w:hAnsi="微软雅黑" w:eastAsia="微软雅黑" w:cs="微软雅黑"/>
          <w:color w:val="auto"/>
          <w:kern w:val="2"/>
          <w:sz w:val="24"/>
          <w:szCs w:val="22"/>
          <w:highlight w:val="none"/>
          <w:lang w:val="en-US" w:eastAsia="zh-CN" w:bidi="ar-SA"/>
        </w:rPr>
        <w:t xml:space="preserve">（采购文件中明确的所属行业）行业 ；承建（承接）为 </w:t>
      </w:r>
      <w:r>
        <w:rPr>
          <w:rFonts w:hint="eastAsia" w:ascii="微软雅黑" w:hAnsi="微软雅黑" w:eastAsia="微软雅黑" w:cs="微软雅黑"/>
          <w:color w:val="auto"/>
          <w:kern w:val="2"/>
          <w:sz w:val="24"/>
          <w:szCs w:val="22"/>
          <w:highlight w:val="none"/>
          <w:u w:val="single"/>
          <w:lang w:val="en-US" w:eastAsia="zh-CN" w:bidi="ar-SA"/>
        </w:rPr>
        <w:t>（企业名称）</w:t>
      </w:r>
      <w:r>
        <w:rPr>
          <w:rFonts w:hint="eastAsia" w:ascii="微软雅黑" w:hAnsi="微软雅黑" w:eastAsia="微软雅黑" w:cs="微软雅黑"/>
          <w:color w:val="auto"/>
          <w:kern w:val="2"/>
          <w:sz w:val="24"/>
          <w:szCs w:val="22"/>
          <w:highlight w:val="none"/>
          <w:lang w:val="en-US" w:eastAsia="zh-CN" w:bidi="ar-SA"/>
        </w:rPr>
        <w:t xml:space="preserve"> ，从业人员</w:t>
      </w:r>
      <w:r>
        <w:rPr>
          <w:rFonts w:hint="eastAsia" w:ascii="微软雅黑" w:hAnsi="微软雅黑" w:eastAsia="微软雅黑" w:cs="微软雅黑"/>
          <w:color w:val="auto"/>
          <w:kern w:val="2"/>
          <w:sz w:val="24"/>
          <w:szCs w:val="22"/>
          <w:highlight w:val="none"/>
          <w:u w:val="single"/>
          <w:lang w:val="en-US" w:eastAsia="zh-CN" w:bidi="ar-SA"/>
        </w:rPr>
        <w:t xml:space="preserve">    </w:t>
      </w:r>
      <w:r>
        <w:rPr>
          <w:rFonts w:hint="eastAsia" w:ascii="微软雅黑" w:hAnsi="微软雅黑" w:eastAsia="微软雅黑" w:cs="微软雅黑"/>
          <w:color w:val="auto"/>
          <w:kern w:val="2"/>
          <w:sz w:val="24"/>
          <w:szCs w:val="22"/>
          <w:highlight w:val="none"/>
          <w:lang w:val="en-US" w:eastAsia="zh-CN" w:bidi="ar-SA"/>
        </w:rPr>
        <w:t>人，营业收入为</w:t>
      </w:r>
      <w:r>
        <w:rPr>
          <w:rFonts w:hint="eastAsia" w:ascii="微软雅黑" w:hAnsi="微软雅黑" w:eastAsia="微软雅黑" w:cs="微软雅黑"/>
          <w:color w:val="auto"/>
          <w:kern w:val="2"/>
          <w:sz w:val="24"/>
          <w:szCs w:val="22"/>
          <w:highlight w:val="none"/>
          <w:u w:val="single"/>
          <w:lang w:val="en-US" w:eastAsia="zh-CN" w:bidi="ar-SA"/>
        </w:rPr>
        <w:t xml:space="preserve">    </w:t>
      </w:r>
      <w:r>
        <w:rPr>
          <w:rFonts w:hint="eastAsia" w:ascii="微软雅黑" w:hAnsi="微软雅黑" w:eastAsia="微软雅黑" w:cs="微软雅黑"/>
          <w:color w:val="auto"/>
          <w:kern w:val="2"/>
          <w:sz w:val="24"/>
          <w:szCs w:val="22"/>
          <w:highlight w:val="none"/>
          <w:lang w:val="en-US" w:eastAsia="zh-CN" w:bidi="ar-SA"/>
        </w:rPr>
        <w:t>万元，资产总额为</w:t>
      </w:r>
      <w:r>
        <w:rPr>
          <w:rFonts w:hint="eastAsia" w:ascii="微软雅黑" w:hAnsi="微软雅黑" w:eastAsia="微软雅黑" w:cs="微软雅黑"/>
          <w:color w:val="auto"/>
          <w:kern w:val="2"/>
          <w:sz w:val="24"/>
          <w:szCs w:val="22"/>
          <w:highlight w:val="none"/>
          <w:u w:val="single"/>
          <w:lang w:val="en-US" w:eastAsia="zh-CN" w:bidi="ar-SA"/>
        </w:rPr>
        <w:t xml:space="preserve">    </w:t>
      </w:r>
      <w:r>
        <w:rPr>
          <w:rFonts w:hint="eastAsia" w:ascii="微软雅黑" w:hAnsi="微软雅黑" w:eastAsia="微软雅黑" w:cs="微软雅黑"/>
          <w:color w:val="auto"/>
          <w:kern w:val="2"/>
          <w:sz w:val="24"/>
          <w:szCs w:val="22"/>
          <w:highlight w:val="none"/>
          <w:lang w:val="en-US" w:eastAsia="zh-CN" w:bidi="ar-SA"/>
        </w:rPr>
        <w:t>万元，属于</w:t>
      </w:r>
      <w:r>
        <w:rPr>
          <w:rFonts w:hint="eastAsia" w:ascii="微软雅黑" w:hAnsi="微软雅黑" w:eastAsia="微软雅黑" w:cs="微软雅黑"/>
          <w:color w:val="auto"/>
          <w:kern w:val="2"/>
          <w:sz w:val="24"/>
          <w:szCs w:val="22"/>
          <w:highlight w:val="none"/>
          <w:u w:val="single"/>
          <w:lang w:val="en-US" w:eastAsia="zh-CN" w:bidi="ar-SA"/>
        </w:rPr>
        <w:t xml:space="preserve">     </w:t>
      </w:r>
      <w:r>
        <w:rPr>
          <w:rFonts w:hint="eastAsia" w:ascii="微软雅黑" w:hAnsi="微软雅黑" w:eastAsia="微软雅黑" w:cs="微软雅黑"/>
          <w:color w:val="auto"/>
          <w:kern w:val="2"/>
          <w:sz w:val="24"/>
          <w:szCs w:val="22"/>
          <w:highlight w:val="none"/>
          <w:lang w:val="en-US" w:eastAsia="zh-CN" w:bidi="ar-SA"/>
        </w:rPr>
        <w:t>（中型企业、小型企业、微型企业） ；</w:t>
      </w:r>
    </w:p>
    <w:p w14:paraId="6D61337D">
      <w:pPr>
        <w:snapToGrid w:val="0"/>
        <w:spacing w:line="360" w:lineRule="auto"/>
        <w:ind w:firstLine="480" w:firstLineChars="200"/>
        <w:textAlignment w:val="baseline"/>
        <w:rPr>
          <w:rFonts w:hint="eastAsia"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 xml:space="preserve">2. </w:t>
      </w:r>
      <w:r>
        <w:rPr>
          <w:rFonts w:hint="eastAsia" w:ascii="微软雅黑" w:hAnsi="微软雅黑" w:eastAsia="微软雅黑" w:cs="微软雅黑"/>
          <w:color w:val="auto"/>
          <w:kern w:val="2"/>
          <w:sz w:val="24"/>
          <w:szCs w:val="22"/>
          <w:highlight w:val="none"/>
          <w:u w:val="single"/>
          <w:lang w:val="en-US" w:eastAsia="zh-CN" w:bidi="ar-SA"/>
        </w:rPr>
        <w:t>（标的名称）</w:t>
      </w:r>
      <w:r>
        <w:rPr>
          <w:rFonts w:hint="eastAsia" w:ascii="微软雅黑" w:hAnsi="微软雅黑" w:eastAsia="微软雅黑" w:cs="微软雅黑"/>
          <w:color w:val="auto"/>
          <w:kern w:val="2"/>
          <w:sz w:val="24"/>
          <w:szCs w:val="22"/>
          <w:highlight w:val="none"/>
          <w:lang w:val="en-US" w:eastAsia="zh-CN" w:bidi="ar-SA"/>
        </w:rPr>
        <w:t xml:space="preserve"> ，属于</w:t>
      </w:r>
      <w:r>
        <w:rPr>
          <w:rFonts w:hint="eastAsia" w:ascii="微软雅黑" w:hAnsi="微软雅黑" w:eastAsia="微软雅黑" w:cs="微软雅黑"/>
          <w:color w:val="auto"/>
          <w:kern w:val="2"/>
          <w:sz w:val="24"/>
          <w:szCs w:val="22"/>
          <w:highlight w:val="none"/>
          <w:u w:val="single"/>
          <w:lang w:val="en-US" w:eastAsia="zh-CN" w:bidi="ar-SA"/>
        </w:rPr>
        <w:t xml:space="preserve">     </w:t>
      </w:r>
      <w:r>
        <w:rPr>
          <w:rFonts w:hint="eastAsia" w:ascii="微软雅黑" w:hAnsi="微软雅黑" w:eastAsia="微软雅黑" w:cs="微软雅黑"/>
          <w:color w:val="auto"/>
          <w:kern w:val="2"/>
          <w:sz w:val="24"/>
          <w:szCs w:val="22"/>
          <w:highlight w:val="none"/>
          <w:lang w:val="en-US" w:eastAsia="zh-CN" w:bidi="ar-SA"/>
        </w:rPr>
        <w:t xml:space="preserve">（采购文件中明确的所属行业）行业 ；承建（承接）为  </w:t>
      </w:r>
      <w:r>
        <w:rPr>
          <w:rFonts w:hint="eastAsia" w:ascii="微软雅黑" w:hAnsi="微软雅黑" w:eastAsia="微软雅黑" w:cs="微软雅黑"/>
          <w:color w:val="auto"/>
          <w:kern w:val="2"/>
          <w:sz w:val="24"/>
          <w:szCs w:val="22"/>
          <w:highlight w:val="none"/>
          <w:u w:val="single"/>
          <w:lang w:val="en-US" w:eastAsia="zh-CN" w:bidi="ar-SA"/>
        </w:rPr>
        <w:t>（企业名称）</w:t>
      </w:r>
      <w:r>
        <w:rPr>
          <w:rFonts w:hint="eastAsia" w:ascii="微软雅黑" w:hAnsi="微软雅黑" w:eastAsia="微软雅黑" w:cs="微软雅黑"/>
          <w:color w:val="auto"/>
          <w:kern w:val="2"/>
          <w:sz w:val="24"/>
          <w:szCs w:val="22"/>
          <w:highlight w:val="none"/>
          <w:lang w:val="en-US" w:eastAsia="zh-CN" w:bidi="ar-SA"/>
        </w:rPr>
        <w:t xml:space="preserve"> ，从业人员</w:t>
      </w:r>
      <w:r>
        <w:rPr>
          <w:rFonts w:hint="eastAsia" w:ascii="微软雅黑" w:hAnsi="微软雅黑" w:eastAsia="微软雅黑" w:cs="微软雅黑"/>
          <w:color w:val="auto"/>
          <w:kern w:val="2"/>
          <w:sz w:val="24"/>
          <w:szCs w:val="22"/>
          <w:highlight w:val="none"/>
          <w:u w:val="single"/>
          <w:lang w:val="en-US" w:eastAsia="zh-CN" w:bidi="ar-SA"/>
        </w:rPr>
        <w:t xml:space="preserve">     </w:t>
      </w:r>
      <w:r>
        <w:rPr>
          <w:rFonts w:hint="eastAsia" w:ascii="微软雅黑" w:hAnsi="微软雅黑" w:eastAsia="微软雅黑" w:cs="微软雅黑"/>
          <w:color w:val="auto"/>
          <w:kern w:val="2"/>
          <w:sz w:val="24"/>
          <w:szCs w:val="22"/>
          <w:highlight w:val="none"/>
          <w:lang w:val="en-US" w:eastAsia="zh-CN" w:bidi="ar-SA"/>
        </w:rPr>
        <w:t>人，营业收入为</w:t>
      </w:r>
      <w:r>
        <w:rPr>
          <w:rFonts w:hint="eastAsia" w:ascii="微软雅黑" w:hAnsi="微软雅黑" w:eastAsia="微软雅黑" w:cs="微软雅黑"/>
          <w:color w:val="auto"/>
          <w:kern w:val="2"/>
          <w:sz w:val="24"/>
          <w:szCs w:val="22"/>
          <w:highlight w:val="none"/>
          <w:u w:val="single"/>
          <w:lang w:val="en-US" w:eastAsia="zh-CN" w:bidi="ar-SA"/>
        </w:rPr>
        <w:t xml:space="preserve">     </w:t>
      </w:r>
      <w:r>
        <w:rPr>
          <w:rFonts w:hint="eastAsia" w:ascii="微软雅黑" w:hAnsi="微软雅黑" w:eastAsia="微软雅黑" w:cs="微软雅黑"/>
          <w:color w:val="auto"/>
          <w:kern w:val="2"/>
          <w:sz w:val="24"/>
          <w:szCs w:val="22"/>
          <w:highlight w:val="none"/>
          <w:lang w:val="en-US" w:eastAsia="zh-CN" w:bidi="ar-SA"/>
        </w:rPr>
        <w:t>万元，资产总额为</w:t>
      </w:r>
      <w:r>
        <w:rPr>
          <w:rFonts w:hint="eastAsia" w:ascii="微软雅黑" w:hAnsi="微软雅黑" w:eastAsia="微软雅黑" w:cs="微软雅黑"/>
          <w:color w:val="auto"/>
          <w:kern w:val="2"/>
          <w:sz w:val="24"/>
          <w:szCs w:val="22"/>
          <w:highlight w:val="none"/>
          <w:u w:val="single"/>
          <w:lang w:val="en-US" w:eastAsia="zh-CN" w:bidi="ar-SA"/>
        </w:rPr>
        <w:t xml:space="preserve">     </w:t>
      </w:r>
      <w:r>
        <w:rPr>
          <w:rFonts w:hint="eastAsia" w:ascii="微软雅黑" w:hAnsi="微软雅黑" w:eastAsia="微软雅黑" w:cs="微软雅黑"/>
          <w:color w:val="auto"/>
          <w:kern w:val="2"/>
          <w:sz w:val="24"/>
          <w:szCs w:val="22"/>
          <w:highlight w:val="none"/>
          <w:lang w:val="en-US" w:eastAsia="zh-CN" w:bidi="ar-SA"/>
        </w:rPr>
        <w:t>万元，属于      （中型企业、小型企业、微型企业） ；</w:t>
      </w:r>
    </w:p>
    <w:p w14:paraId="303A875E">
      <w:pPr>
        <w:pStyle w:val="52"/>
        <w:ind w:firstLine="480" w:firstLineChars="200"/>
        <w:rPr>
          <w:rFonts w:hint="default"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w:t>
      </w:r>
    </w:p>
    <w:p w14:paraId="4E1B6B23">
      <w:pPr>
        <w:snapToGrid w:val="0"/>
        <w:spacing w:line="360" w:lineRule="auto"/>
        <w:ind w:firstLine="480" w:firstLineChars="200"/>
        <w:textAlignment w:val="baseline"/>
        <w:rPr>
          <w:rFonts w:hint="eastAsia"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以上企业，不属于大企业的分支机构，不存在控股股东为大企业的情形，也不存在与大企业的负责人为同一人的情形。</w:t>
      </w:r>
    </w:p>
    <w:p w14:paraId="4C907565">
      <w:pPr>
        <w:snapToGrid w:val="0"/>
        <w:spacing w:line="360" w:lineRule="auto"/>
        <w:ind w:firstLine="480" w:firstLineChars="200"/>
        <w:textAlignment w:val="baseline"/>
        <w:rPr>
          <w:rFonts w:hint="eastAsia"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本企业对上述声明内容的真实性负责。如有虚假，将依法承担相应责任。　</w:t>
      </w:r>
    </w:p>
    <w:p w14:paraId="515E91C5">
      <w:pPr>
        <w:widowControl/>
        <w:spacing w:before="100" w:beforeAutospacing="1" w:after="100" w:afterAutospacing="1" w:line="330" w:lineRule="atLeast"/>
        <w:ind w:firstLine="3960" w:firstLineChars="1650"/>
        <w:jc w:val="left"/>
        <w:rPr>
          <w:rFonts w:hint="eastAsia" w:ascii="微软雅黑" w:hAnsi="微软雅黑" w:eastAsia="微软雅黑" w:cs="微软雅黑"/>
          <w:color w:val="auto"/>
          <w:kern w:val="2"/>
          <w:sz w:val="24"/>
          <w:szCs w:val="22"/>
          <w:highlight w:val="none"/>
          <w:u w:val="single"/>
          <w:lang w:val="en-US" w:eastAsia="zh-CN" w:bidi="ar-SA"/>
        </w:rPr>
      </w:pPr>
      <w:r>
        <w:rPr>
          <w:rFonts w:hint="eastAsia" w:ascii="微软雅黑" w:hAnsi="微软雅黑" w:eastAsia="微软雅黑" w:cs="微软雅黑"/>
          <w:color w:val="auto"/>
          <w:kern w:val="2"/>
          <w:sz w:val="24"/>
          <w:szCs w:val="22"/>
          <w:highlight w:val="none"/>
          <w:lang w:val="en-US" w:eastAsia="zh-CN" w:bidi="ar-SA"/>
        </w:rPr>
        <w:t>投标人名称（单位盖章）：</w:t>
      </w:r>
      <w:r>
        <w:rPr>
          <w:rFonts w:hint="eastAsia" w:ascii="微软雅黑" w:hAnsi="微软雅黑" w:eastAsia="微软雅黑" w:cs="微软雅黑"/>
          <w:color w:val="auto"/>
          <w:kern w:val="2"/>
          <w:sz w:val="24"/>
          <w:szCs w:val="22"/>
          <w:highlight w:val="none"/>
          <w:u w:val="single"/>
          <w:lang w:val="en-US" w:eastAsia="zh-CN" w:bidi="ar-SA"/>
        </w:rPr>
        <w:t xml:space="preserve">             </w:t>
      </w:r>
    </w:p>
    <w:p w14:paraId="14C1EAEE">
      <w:pPr>
        <w:widowControl/>
        <w:spacing w:before="100" w:beforeAutospacing="1" w:after="100" w:afterAutospacing="1" w:line="330" w:lineRule="atLeast"/>
        <w:ind w:firstLine="3720" w:firstLineChars="1550"/>
        <w:jc w:val="left"/>
        <w:rPr>
          <w:rFonts w:hint="eastAsia" w:ascii="微软雅黑" w:hAnsi="微软雅黑" w:eastAsia="微软雅黑" w:cs="微软雅黑"/>
          <w:color w:val="auto"/>
          <w:kern w:val="2"/>
          <w:sz w:val="24"/>
          <w:szCs w:val="22"/>
          <w:highlight w:val="none"/>
          <w:u w:val="single"/>
          <w:lang w:val="en-US" w:eastAsia="zh-CN" w:bidi="ar-SA"/>
        </w:rPr>
      </w:pPr>
      <w:r>
        <w:rPr>
          <w:rFonts w:hint="eastAsia" w:ascii="微软雅黑" w:hAnsi="微软雅黑" w:eastAsia="微软雅黑" w:cs="微软雅黑"/>
          <w:color w:val="auto"/>
          <w:kern w:val="2"/>
          <w:sz w:val="24"/>
          <w:szCs w:val="22"/>
          <w:highlight w:val="none"/>
          <w:lang w:val="en-US" w:eastAsia="zh-CN" w:bidi="ar-SA"/>
        </w:rPr>
        <w:t>　日　期：</w:t>
      </w:r>
      <w:r>
        <w:rPr>
          <w:rFonts w:hint="eastAsia" w:ascii="微软雅黑" w:hAnsi="微软雅黑" w:eastAsia="微软雅黑" w:cs="微软雅黑"/>
          <w:color w:val="auto"/>
          <w:kern w:val="2"/>
          <w:sz w:val="24"/>
          <w:szCs w:val="22"/>
          <w:highlight w:val="none"/>
          <w:u w:val="single"/>
          <w:lang w:val="en-US" w:eastAsia="zh-CN" w:bidi="ar-SA"/>
        </w:rPr>
        <w:t xml:space="preserve">             </w:t>
      </w:r>
    </w:p>
    <w:p w14:paraId="31FAC89A">
      <w:pPr>
        <w:snapToGrid w:val="0"/>
        <w:spacing w:line="360" w:lineRule="auto"/>
        <w:ind w:firstLine="567"/>
        <w:jc w:val="left"/>
        <w:textAlignment w:val="baseline"/>
        <w:rPr>
          <w:rFonts w:hint="eastAsia" w:ascii="微软雅黑" w:hAnsi="微软雅黑" w:eastAsia="微软雅黑" w:cs="微软雅黑"/>
          <w:color w:val="auto"/>
          <w:kern w:val="2"/>
          <w:sz w:val="24"/>
          <w:szCs w:val="22"/>
          <w:highlight w:val="none"/>
          <w:lang w:val="en-US" w:eastAsia="zh-CN" w:bidi="ar-SA"/>
        </w:rPr>
      </w:pPr>
      <w:r>
        <w:rPr>
          <w:rFonts w:hint="eastAsia" w:ascii="微软雅黑" w:hAnsi="微软雅黑" w:eastAsia="微软雅黑" w:cs="微软雅黑"/>
          <w:color w:val="auto"/>
          <w:kern w:val="2"/>
          <w:sz w:val="24"/>
          <w:szCs w:val="22"/>
          <w:highlight w:val="none"/>
          <w:lang w:val="en-US" w:eastAsia="zh-CN" w:bidi="ar-SA"/>
        </w:rPr>
        <w:t>注：1、从业人员、营业收入、资产总额填报上一年度数据，无上一年度数据的新成立企业可不填报。</w:t>
      </w:r>
    </w:p>
    <w:p w14:paraId="6FF2FE5D">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single"/>
        </w:rPr>
      </w:pPr>
      <w:r>
        <w:rPr>
          <w:rFonts w:hint="eastAsia" w:ascii="微软雅黑" w:hAnsi="微软雅黑" w:eastAsia="微软雅黑" w:cs="微软雅黑"/>
          <w:color w:val="auto"/>
          <w:kern w:val="0"/>
          <w:sz w:val="24"/>
          <w:highlight w:val="none"/>
          <w:u w:val="single"/>
        </w:rPr>
        <w:br w:type="page"/>
      </w:r>
      <w:r>
        <w:rPr>
          <w:rFonts w:hint="eastAsia" w:ascii="微软雅黑" w:hAnsi="微软雅黑" w:eastAsia="微软雅黑" w:cs="微软雅黑"/>
          <w:b/>
          <w:color w:val="auto"/>
          <w:kern w:val="0"/>
          <w:sz w:val="28"/>
          <w:szCs w:val="21"/>
          <w:highlight w:val="none"/>
          <w:lang w:val="en-US" w:eastAsia="zh-CN" w:bidi="ar-SA"/>
        </w:rPr>
        <w:t>中小微企业划型标准</w:t>
      </w:r>
    </w:p>
    <w:tbl>
      <w:tblPr>
        <w:tblStyle w:val="38"/>
        <w:tblW w:w="9412" w:type="dxa"/>
        <w:jc w:val="center"/>
        <w:tblLayout w:type="fixed"/>
        <w:tblCellMar>
          <w:top w:w="0" w:type="dxa"/>
          <w:left w:w="108" w:type="dxa"/>
          <w:bottom w:w="0" w:type="dxa"/>
          <w:right w:w="108" w:type="dxa"/>
        </w:tblCellMar>
      </w:tblPr>
      <w:tblGrid>
        <w:gridCol w:w="1883"/>
        <w:gridCol w:w="1604"/>
        <w:gridCol w:w="1290"/>
        <w:gridCol w:w="1646"/>
        <w:gridCol w:w="1785"/>
        <w:gridCol w:w="1204"/>
      </w:tblGrid>
      <w:tr w14:paraId="18AB4BF8">
        <w:tblPrEx>
          <w:tblCellMar>
            <w:top w:w="0" w:type="dxa"/>
            <w:left w:w="108" w:type="dxa"/>
            <w:bottom w:w="0" w:type="dxa"/>
            <w:right w:w="108" w:type="dxa"/>
          </w:tblCellMar>
        </w:tblPrEx>
        <w:trPr>
          <w:trHeight w:val="285" w:hRule="atLeast"/>
          <w:jc w:val="center"/>
        </w:trPr>
        <w:tc>
          <w:tcPr>
            <w:tcW w:w="1883" w:type="dxa"/>
            <w:tcBorders>
              <w:top w:val="single" w:color="auto" w:sz="4" w:space="0"/>
              <w:left w:val="single" w:color="auto" w:sz="4" w:space="0"/>
              <w:bottom w:val="single" w:color="auto" w:sz="4" w:space="0"/>
              <w:right w:val="single" w:color="auto" w:sz="4" w:space="0"/>
            </w:tcBorders>
            <w:noWrap w:val="0"/>
            <w:vAlign w:val="center"/>
          </w:tcPr>
          <w:p w14:paraId="6D7AA64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行业名称</w:t>
            </w:r>
          </w:p>
        </w:tc>
        <w:tc>
          <w:tcPr>
            <w:tcW w:w="1604" w:type="dxa"/>
            <w:tcBorders>
              <w:top w:val="single" w:color="auto" w:sz="4" w:space="0"/>
              <w:left w:val="nil"/>
              <w:bottom w:val="single" w:color="auto" w:sz="4" w:space="0"/>
              <w:right w:val="single" w:color="auto" w:sz="4" w:space="0"/>
            </w:tcBorders>
            <w:noWrap w:val="0"/>
            <w:vAlign w:val="center"/>
          </w:tcPr>
          <w:p w14:paraId="503EFF5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指标名称</w:t>
            </w:r>
          </w:p>
        </w:tc>
        <w:tc>
          <w:tcPr>
            <w:tcW w:w="1290" w:type="dxa"/>
            <w:tcBorders>
              <w:top w:val="single" w:color="auto" w:sz="4" w:space="0"/>
              <w:left w:val="nil"/>
              <w:bottom w:val="single" w:color="auto" w:sz="4" w:space="0"/>
              <w:right w:val="single" w:color="auto" w:sz="4" w:space="0"/>
            </w:tcBorders>
            <w:noWrap w:val="0"/>
            <w:vAlign w:val="center"/>
          </w:tcPr>
          <w:p w14:paraId="3DFC3A7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计量单位</w:t>
            </w:r>
          </w:p>
        </w:tc>
        <w:tc>
          <w:tcPr>
            <w:tcW w:w="1646" w:type="dxa"/>
            <w:tcBorders>
              <w:top w:val="single" w:color="auto" w:sz="4" w:space="0"/>
              <w:left w:val="nil"/>
              <w:bottom w:val="single" w:color="auto" w:sz="4" w:space="0"/>
              <w:right w:val="single" w:color="auto" w:sz="4" w:space="0"/>
            </w:tcBorders>
            <w:noWrap w:val="0"/>
            <w:vAlign w:val="center"/>
          </w:tcPr>
          <w:p w14:paraId="082298E2">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中型</w:t>
            </w:r>
          </w:p>
        </w:tc>
        <w:tc>
          <w:tcPr>
            <w:tcW w:w="1785" w:type="dxa"/>
            <w:tcBorders>
              <w:top w:val="single" w:color="auto" w:sz="4" w:space="0"/>
              <w:left w:val="nil"/>
              <w:bottom w:val="single" w:color="auto" w:sz="4" w:space="0"/>
              <w:right w:val="single" w:color="auto" w:sz="4" w:space="0"/>
            </w:tcBorders>
            <w:noWrap w:val="0"/>
            <w:vAlign w:val="center"/>
          </w:tcPr>
          <w:p w14:paraId="0CB6B96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小型</w:t>
            </w:r>
          </w:p>
        </w:tc>
        <w:tc>
          <w:tcPr>
            <w:tcW w:w="1204" w:type="dxa"/>
            <w:tcBorders>
              <w:top w:val="single" w:color="auto" w:sz="4" w:space="0"/>
              <w:left w:val="nil"/>
              <w:bottom w:val="single" w:color="auto" w:sz="4" w:space="0"/>
              <w:right w:val="single" w:color="auto" w:sz="4" w:space="0"/>
            </w:tcBorders>
            <w:noWrap w:val="0"/>
            <w:vAlign w:val="center"/>
          </w:tcPr>
          <w:p w14:paraId="09F8546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微型</w:t>
            </w:r>
          </w:p>
        </w:tc>
      </w:tr>
      <w:tr w14:paraId="249D02D2">
        <w:tblPrEx>
          <w:tblCellMar>
            <w:top w:w="0" w:type="dxa"/>
            <w:left w:w="108" w:type="dxa"/>
            <w:bottom w:w="0" w:type="dxa"/>
            <w:right w:w="108" w:type="dxa"/>
          </w:tblCellMar>
        </w:tblPrEx>
        <w:trPr>
          <w:trHeight w:val="225" w:hRule="atLeast"/>
          <w:jc w:val="center"/>
        </w:trPr>
        <w:tc>
          <w:tcPr>
            <w:tcW w:w="1883" w:type="dxa"/>
            <w:tcBorders>
              <w:top w:val="nil"/>
              <w:left w:val="single" w:color="auto" w:sz="4" w:space="0"/>
              <w:bottom w:val="single" w:color="auto" w:sz="4" w:space="0"/>
              <w:right w:val="single" w:color="auto" w:sz="4" w:space="0"/>
            </w:tcBorders>
            <w:noWrap w:val="0"/>
            <w:vAlign w:val="bottom"/>
          </w:tcPr>
          <w:p w14:paraId="284375F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农、林、牧、渔</w:t>
            </w:r>
          </w:p>
        </w:tc>
        <w:tc>
          <w:tcPr>
            <w:tcW w:w="1604" w:type="dxa"/>
            <w:tcBorders>
              <w:top w:val="nil"/>
              <w:left w:val="nil"/>
              <w:bottom w:val="single" w:color="auto" w:sz="4" w:space="0"/>
              <w:right w:val="single" w:color="auto" w:sz="4" w:space="0"/>
            </w:tcBorders>
            <w:noWrap w:val="0"/>
            <w:vAlign w:val="center"/>
          </w:tcPr>
          <w:p w14:paraId="7DB355C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73198C6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1479AB4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500≤Y＜20000</w:t>
            </w:r>
          </w:p>
        </w:tc>
        <w:tc>
          <w:tcPr>
            <w:tcW w:w="1785" w:type="dxa"/>
            <w:tcBorders>
              <w:top w:val="nil"/>
              <w:left w:val="nil"/>
              <w:bottom w:val="single" w:color="auto" w:sz="4" w:space="0"/>
              <w:right w:val="single" w:color="auto" w:sz="4" w:space="0"/>
            </w:tcBorders>
            <w:noWrap w:val="0"/>
            <w:vAlign w:val="center"/>
          </w:tcPr>
          <w:p w14:paraId="5EA41783">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50≤Y＜500</w:t>
            </w:r>
          </w:p>
        </w:tc>
        <w:tc>
          <w:tcPr>
            <w:tcW w:w="1204" w:type="dxa"/>
            <w:tcBorders>
              <w:top w:val="nil"/>
              <w:left w:val="nil"/>
              <w:bottom w:val="single" w:color="auto" w:sz="4" w:space="0"/>
              <w:right w:val="single" w:color="auto" w:sz="4" w:space="0"/>
            </w:tcBorders>
            <w:noWrap w:val="0"/>
            <w:vAlign w:val="center"/>
          </w:tcPr>
          <w:p w14:paraId="794DEB92">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Y＜50</w:t>
            </w:r>
          </w:p>
        </w:tc>
      </w:tr>
      <w:tr w14:paraId="15301A96">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5580DE0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工业</w:t>
            </w:r>
          </w:p>
        </w:tc>
        <w:tc>
          <w:tcPr>
            <w:tcW w:w="1604" w:type="dxa"/>
            <w:tcBorders>
              <w:top w:val="nil"/>
              <w:left w:val="nil"/>
              <w:bottom w:val="single" w:color="auto" w:sz="4" w:space="0"/>
              <w:right w:val="single" w:color="auto" w:sz="4" w:space="0"/>
            </w:tcBorders>
            <w:noWrap w:val="0"/>
            <w:vAlign w:val="center"/>
          </w:tcPr>
          <w:p w14:paraId="2FBAC13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6FE4F67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495DC91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300≤X＜1000</w:t>
            </w:r>
          </w:p>
        </w:tc>
        <w:tc>
          <w:tcPr>
            <w:tcW w:w="1785" w:type="dxa"/>
            <w:tcBorders>
              <w:top w:val="nil"/>
              <w:left w:val="nil"/>
              <w:bottom w:val="single" w:color="auto" w:sz="4" w:space="0"/>
              <w:right w:val="single" w:color="auto" w:sz="4" w:space="0"/>
            </w:tcBorders>
            <w:noWrap w:val="0"/>
            <w:vAlign w:val="center"/>
          </w:tcPr>
          <w:p w14:paraId="130B3BB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20≤X＜300</w:t>
            </w:r>
          </w:p>
        </w:tc>
        <w:tc>
          <w:tcPr>
            <w:tcW w:w="1204" w:type="dxa"/>
            <w:tcBorders>
              <w:top w:val="nil"/>
              <w:left w:val="nil"/>
              <w:bottom w:val="single" w:color="auto" w:sz="4" w:space="0"/>
              <w:right w:val="single" w:color="auto" w:sz="4" w:space="0"/>
            </w:tcBorders>
            <w:noWrap w:val="0"/>
            <w:vAlign w:val="center"/>
          </w:tcPr>
          <w:p w14:paraId="7826ED7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X＜20</w:t>
            </w:r>
          </w:p>
        </w:tc>
      </w:tr>
      <w:tr w14:paraId="6377A37D">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72EB4F43">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3CC0548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567487E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290C8A3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2000≤Y＜40000</w:t>
            </w:r>
          </w:p>
        </w:tc>
        <w:tc>
          <w:tcPr>
            <w:tcW w:w="1785" w:type="dxa"/>
            <w:tcBorders>
              <w:top w:val="nil"/>
              <w:left w:val="nil"/>
              <w:bottom w:val="single" w:color="auto" w:sz="4" w:space="0"/>
              <w:right w:val="single" w:color="auto" w:sz="4" w:space="0"/>
            </w:tcBorders>
            <w:noWrap w:val="0"/>
            <w:vAlign w:val="center"/>
          </w:tcPr>
          <w:p w14:paraId="7FEB014A">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300≤Y＜2000</w:t>
            </w:r>
          </w:p>
        </w:tc>
        <w:tc>
          <w:tcPr>
            <w:tcW w:w="1204" w:type="dxa"/>
            <w:tcBorders>
              <w:top w:val="nil"/>
              <w:left w:val="nil"/>
              <w:bottom w:val="single" w:color="auto" w:sz="4" w:space="0"/>
              <w:right w:val="single" w:color="auto" w:sz="4" w:space="0"/>
            </w:tcBorders>
            <w:noWrap w:val="0"/>
            <w:vAlign w:val="center"/>
          </w:tcPr>
          <w:p w14:paraId="4C865EBA">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Y＜300</w:t>
            </w:r>
          </w:p>
        </w:tc>
      </w:tr>
      <w:tr w14:paraId="6199D516">
        <w:tblPrEx>
          <w:tblCellMar>
            <w:top w:w="0" w:type="dxa"/>
            <w:left w:w="108" w:type="dxa"/>
            <w:bottom w:w="0" w:type="dxa"/>
            <w:right w:w="108" w:type="dxa"/>
          </w:tblCellMar>
        </w:tblPrEx>
        <w:trPr>
          <w:trHeight w:val="544"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7E41B7DB">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建筑业</w:t>
            </w:r>
          </w:p>
        </w:tc>
        <w:tc>
          <w:tcPr>
            <w:tcW w:w="1604" w:type="dxa"/>
            <w:tcBorders>
              <w:top w:val="nil"/>
              <w:left w:val="nil"/>
              <w:bottom w:val="single" w:color="auto" w:sz="4" w:space="0"/>
              <w:right w:val="single" w:color="auto" w:sz="4" w:space="0"/>
            </w:tcBorders>
            <w:noWrap w:val="0"/>
            <w:vAlign w:val="center"/>
          </w:tcPr>
          <w:p w14:paraId="363E458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55278BBB">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01A05B9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6000≤Y＜80000</w:t>
            </w:r>
          </w:p>
        </w:tc>
        <w:tc>
          <w:tcPr>
            <w:tcW w:w="1785" w:type="dxa"/>
            <w:tcBorders>
              <w:top w:val="nil"/>
              <w:left w:val="nil"/>
              <w:bottom w:val="single" w:color="auto" w:sz="4" w:space="0"/>
              <w:right w:val="single" w:color="auto" w:sz="4" w:space="0"/>
            </w:tcBorders>
            <w:noWrap w:val="0"/>
            <w:vAlign w:val="center"/>
          </w:tcPr>
          <w:p w14:paraId="7C864CC8">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300≤Y＜6000</w:t>
            </w:r>
          </w:p>
        </w:tc>
        <w:tc>
          <w:tcPr>
            <w:tcW w:w="1204" w:type="dxa"/>
            <w:tcBorders>
              <w:top w:val="nil"/>
              <w:left w:val="nil"/>
              <w:bottom w:val="single" w:color="auto" w:sz="4" w:space="0"/>
              <w:right w:val="single" w:color="auto" w:sz="4" w:space="0"/>
            </w:tcBorders>
            <w:noWrap w:val="0"/>
            <w:vAlign w:val="center"/>
          </w:tcPr>
          <w:p w14:paraId="44EAA26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Y＜300</w:t>
            </w:r>
          </w:p>
        </w:tc>
      </w:tr>
      <w:tr w14:paraId="1E9E87BD">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0C62B94D">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259F159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资产总额（Z）</w:t>
            </w:r>
          </w:p>
        </w:tc>
        <w:tc>
          <w:tcPr>
            <w:tcW w:w="1290" w:type="dxa"/>
            <w:tcBorders>
              <w:top w:val="nil"/>
              <w:left w:val="nil"/>
              <w:bottom w:val="single" w:color="auto" w:sz="4" w:space="0"/>
              <w:right w:val="single" w:color="auto" w:sz="4" w:space="0"/>
            </w:tcBorders>
            <w:noWrap w:val="0"/>
            <w:vAlign w:val="center"/>
          </w:tcPr>
          <w:p w14:paraId="1F95DCB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5FF36B5D">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5000≤Z＜80000</w:t>
            </w:r>
          </w:p>
        </w:tc>
        <w:tc>
          <w:tcPr>
            <w:tcW w:w="1785" w:type="dxa"/>
            <w:tcBorders>
              <w:top w:val="nil"/>
              <w:left w:val="nil"/>
              <w:bottom w:val="single" w:color="auto" w:sz="4" w:space="0"/>
              <w:right w:val="single" w:color="auto" w:sz="4" w:space="0"/>
            </w:tcBorders>
            <w:noWrap w:val="0"/>
            <w:vAlign w:val="center"/>
          </w:tcPr>
          <w:p w14:paraId="598BFD9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300≤Z＜5000</w:t>
            </w:r>
          </w:p>
        </w:tc>
        <w:tc>
          <w:tcPr>
            <w:tcW w:w="1204" w:type="dxa"/>
            <w:tcBorders>
              <w:top w:val="nil"/>
              <w:left w:val="nil"/>
              <w:bottom w:val="single" w:color="auto" w:sz="4" w:space="0"/>
              <w:right w:val="single" w:color="auto" w:sz="4" w:space="0"/>
            </w:tcBorders>
            <w:noWrap w:val="0"/>
            <w:vAlign w:val="center"/>
          </w:tcPr>
          <w:p w14:paraId="35F8B3B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Z＜300</w:t>
            </w:r>
          </w:p>
        </w:tc>
      </w:tr>
      <w:tr w14:paraId="14975D36">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573BEF6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批发业</w:t>
            </w:r>
          </w:p>
        </w:tc>
        <w:tc>
          <w:tcPr>
            <w:tcW w:w="1604" w:type="dxa"/>
            <w:tcBorders>
              <w:top w:val="nil"/>
              <w:left w:val="nil"/>
              <w:bottom w:val="single" w:color="auto" w:sz="4" w:space="0"/>
              <w:right w:val="single" w:color="auto" w:sz="4" w:space="0"/>
            </w:tcBorders>
            <w:noWrap w:val="0"/>
            <w:vAlign w:val="center"/>
          </w:tcPr>
          <w:p w14:paraId="1374463D">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5EE420B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572B026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20≤X＜200</w:t>
            </w:r>
          </w:p>
        </w:tc>
        <w:tc>
          <w:tcPr>
            <w:tcW w:w="1785" w:type="dxa"/>
            <w:tcBorders>
              <w:top w:val="nil"/>
              <w:left w:val="nil"/>
              <w:bottom w:val="single" w:color="auto" w:sz="4" w:space="0"/>
              <w:right w:val="single" w:color="auto" w:sz="4" w:space="0"/>
            </w:tcBorders>
            <w:noWrap w:val="0"/>
            <w:vAlign w:val="center"/>
          </w:tcPr>
          <w:p w14:paraId="6C68FF4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5≤X＜20</w:t>
            </w:r>
          </w:p>
        </w:tc>
        <w:tc>
          <w:tcPr>
            <w:tcW w:w="1204" w:type="dxa"/>
            <w:tcBorders>
              <w:top w:val="nil"/>
              <w:left w:val="nil"/>
              <w:bottom w:val="single" w:color="auto" w:sz="4" w:space="0"/>
              <w:right w:val="single" w:color="auto" w:sz="4" w:space="0"/>
            </w:tcBorders>
            <w:noWrap w:val="0"/>
            <w:vAlign w:val="center"/>
          </w:tcPr>
          <w:p w14:paraId="49C7C1B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X＜5</w:t>
            </w:r>
          </w:p>
        </w:tc>
      </w:tr>
      <w:tr w14:paraId="2E3D9877">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268BE72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58E0BFF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13E9B91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5E5FA7F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5000≤Y＜40000</w:t>
            </w:r>
          </w:p>
        </w:tc>
        <w:tc>
          <w:tcPr>
            <w:tcW w:w="1785" w:type="dxa"/>
            <w:tcBorders>
              <w:top w:val="nil"/>
              <w:left w:val="nil"/>
              <w:bottom w:val="single" w:color="auto" w:sz="4" w:space="0"/>
              <w:right w:val="single" w:color="auto" w:sz="4" w:space="0"/>
            </w:tcBorders>
            <w:noWrap w:val="0"/>
            <w:vAlign w:val="center"/>
          </w:tcPr>
          <w:p w14:paraId="1FC08F9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1000≤Y＜5000</w:t>
            </w:r>
          </w:p>
        </w:tc>
        <w:tc>
          <w:tcPr>
            <w:tcW w:w="1204" w:type="dxa"/>
            <w:tcBorders>
              <w:top w:val="nil"/>
              <w:left w:val="nil"/>
              <w:bottom w:val="single" w:color="auto" w:sz="4" w:space="0"/>
              <w:right w:val="single" w:color="auto" w:sz="4" w:space="0"/>
            </w:tcBorders>
            <w:noWrap w:val="0"/>
            <w:vAlign w:val="center"/>
          </w:tcPr>
          <w:p w14:paraId="5FE50AF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Y＜1000</w:t>
            </w:r>
          </w:p>
        </w:tc>
      </w:tr>
      <w:tr w14:paraId="417FDACF">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69C23F2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零售业</w:t>
            </w:r>
          </w:p>
        </w:tc>
        <w:tc>
          <w:tcPr>
            <w:tcW w:w="1604" w:type="dxa"/>
            <w:tcBorders>
              <w:top w:val="nil"/>
              <w:left w:val="nil"/>
              <w:bottom w:val="single" w:color="auto" w:sz="4" w:space="0"/>
              <w:right w:val="single" w:color="auto" w:sz="4" w:space="0"/>
            </w:tcBorders>
            <w:noWrap w:val="0"/>
            <w:vAlign w:val="center"/>
          </w:tcPr>
          <w:p w14:paraId="3B945D9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585019B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66E7A17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50≤X＜300</w:t>
            </w:r>
          </w:p>
        </w:tc>
        <w:tc>
          <w:tcPr>
            <w:tcW w:w="1785" w:type="dxa"/>
            <w:tcBorders>
              <w:top w:val="nil"/>
              <w:left w:val="nil"/>
              <w:bottom w:val="single" w:color="auto" w:sz="4" w:space="0"/>
              <w:right w:val="single" w:color="auto" w:sz="4" w:space="0"/>
            </w:tcBorders>
            <w:noWrap w:val="0"/>
            <w:vAlign w:val="center"/>
          </w:tcPr>
          <w:p w14:paraId="5AAE7C0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10≤X＜50</w:t>
            </w:r>
          </w:p>
        </w:tc>
        <w:tc>
          <w:tcPr>
            <w:tcW w:w="1204" w:type="dxa"/>
            <w:tcBorders>
              <w:top w:val="nil"/>
              <w:left w:val="nil"/>
              <w:bottom w:val="single" w:color="auto" w:sz="4" w:space="0"/>
              <w:right w:val="single" w:color="auto" w:sz="4" w:space="0"/>
            </w:tcBorders>
            <w:noWrap w:val="0"/>
            <w:vAlign w:val="center"/>
          </w:tcPr>
          <w:p w14:paraId="796CF573">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X＜10</w:t>
            </w:r>
          </w:p>
        </w:tc>
      </w:tr>
      <w:tr w14:paraId="1E0A9FF6">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78DF95D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2A110AA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76104B23">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79927CB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500≤Y＜20000</w:t>
            </w:r>
          </w:p>
        </w:tc>
        <w:tc>
          <w:tcPr>
            <w:tcW w:w="1785" w:type="dxa"/>
            <w:tcBorders>
              <w:top w:val="nil"/>
              <w:left w:val="nil"/>
              <w:bottom w:val="single" w:color="auto" w:sz="4" w:space="0"/>
              <w:right w:val="single" w:color="auto" w:sz="4" w:space="0"/>
            </w:tcBorders>
            <w:noWrap w:val="0"/>
            <w:vAlign w:val="center"/>
          </w:tcPr>
          <w:p w14:paraId="19D85C9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100≤Y＜500</w:t>
            </w:r>
          </w:p>
        </w:tc>
        <w:tc>
          <w:tcPr>
            <w:tcW w:w="1204" w:type="dxa"/>
            <w:tcBorders>
              <w:top w:val="nil"/>
              <w:left w:val="nil"/>
              <w:bottom w:val="single" w:color="auto" w:sz="4" w:space="0"/>
              <w:right w:val="single" w:color="auto" w:sz="4" w:space="0"/>
            </w:tcBorders>
            <w:noWrap w:val="0"/>
            <w:vAlign w:val="center"/>
          </w:tcPr>
          <w:p w14:paraId="4492BFD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Y＜100</w:t>
            </w:r>
          </w:p>
        </w:tc>
      </w:tr>
      <w:tr w14:paraId="2A26A624">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10F929D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交通运输业</w:t>
            </w:r>
          </w:p>
        </w:tc>
        <w:tc>
          <w:tcPr>
            <w:tcW w:w="1604" w:type="dxa"/>
            <w:tcBorders>
              <w:top w:val="nil"/>
              <w:left w:val="nil"/>
              <w:bottom w:val="single" w:color="auto" w:sz="4" w:space="0"/>
              <w:right w:val="single" w:color="auto" w:sz="4" w:space="0"/>
            </w:tcBorders>
            <w:noWrap w:val="0"/>
            <w:vAlign w:val="center"/>
          </w:tcPr>
          <w:p w14:paraId="21048D5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649AE31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15C11F2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300≤X＜1000</w:t>
            </w:r>
          </w:p>
        </w:tc>
        <w:tc>
          <w:tcPr>
            <w:tcW w:w="1785" w:type="dxa"/>
            <w:tcBorders>
              <w:top w:val="nil"/>
              <w:left w:val="nil"/>
              <w:bottom w:val="single" w:color="auto" w:sz="4" w:space="0"/>
              <w:right w:val="single" w:color="auto" w:sz="4" w:space="0"/>
            </w:tcBorders>
            <w:noWrap w:val="0"/>
            <w:vAlign w:val="center"/>
          </w:tcPr>
          <w:p w14:paraId="19A60C48">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20≤X＜300</w:t>
            </w:r>
          </w:p>
        </w:tc>
        <w:tc>
          <w:tcPr>
            <w:tcW w:w="1204" w:type="dxa"/>
            <w:tcBorders>
              <w:top w:val="nil"/>
              <w:left w:val="nil"/>
              <w:bottom w:val="single" w:color="auto" w:sz="4" w:space="0"/>
              <w:right w:val="single" w:color="auto" w:sz="4" w:space="0"/>
            </w:tcBorders>
            <w:noWrap w:val="0"/>
            <w:vAlign w:val="center"/>
          </w:tcPr>
          <w:p w14:paraId="0F90D398">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X＜20</w:t>
            </w:r>
          </w:p>
        </w:tc>
      </w:tr>
      <w:tr w14:paraId="5AC65598">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27BF1C43">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71CC987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3425AAF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5CD6A81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3000≤Y＜30000</w:t>
            </w:r>
          </w:p>
        </w:tc>
        <w:tc>
          <w:tcPr>
            <w:tcW w:w="1785" w:type="dxa"/>
            <w:tcBorders>
              <w:top w:val="nil"/>
              <w:left w:val="nil"/>
              <w:bottom w:val="single" w:color="auto" w:sz="4" w:space="0"/>
              <w:right w:val="single" w:color="auto" w:sz="4" w:space="0"/>
            </w:tcBorders>
            <w:noWrap w:val="0"/>
            <w:vAlign w:val="center"/>
          </w:tcPr>
          <w:p w14:paraId="51EBBC3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200≤Y＜3000</w:t>
            </w:r>
          </w:p>
        </w:tc>
        <w:tc>
          <w:tcPr>
            <w:tcW w:w="1204" w:type="dxa"/>
            <w:tcBorders>
              <w:top w:val="nil"/>
              <w:left w:val="nil"/>
              <w:bottom w:val="single" w:color="auto" w:sz="4" w:space="0"/>
              <w:right w:val="single" w:color="auto" w:sz="4" w:space="0"/>
            </w:tcBorders>
            <w:noWrap w:val="0"/>
            <w:vAlign w:val="center"/>
          </w:tcPr>
          <w:p w14:paraId="34BDB992">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Y＜200</w:t>
            </w:r>
          </w:p>
        </w:tc>
      </w:tr>
      <w:tr w14:paraId="1DCCC3AB">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71E17E3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仓储业</w:t>
            </w:r>
          </w:p>
        </w:tc>
        <w:tc>
          <w:tcPr>
            <w:tcW w:w="1604" w:type="dxa"/>
            <w:tcBorders>
              <w:top w:val="nil"/>
              <w:left w:val="nil"/>
              <w:bottom w:val="single" w:color="auto" w:sz="4" w:space="0"/>
              <w:right w:val="single" w:color="auto" w:sz="4" w:space="0"/>
            </w:tcBorders>
            <w:noWrap w:val="0"/>
            <w:vAlign w:val="center"/>
          </w:tcPr>
          <w:p w14:paraId="0EC4AC18">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7E86321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0D8FE3C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100≤X＜200</w:t>
            </w:r>
          </w:p>
        </w:tc>
        <w:tc>
          <w:tcPr>
            <w:tcW w:w="1785" w:type="dxa"/>
            <w:tcBorders>
              <w:top w:val="nil"/>
              <w:left w:val="nil"/>
              <w:bottom w:val="single" w:color="auto" w:sz="4" w:space="0"/>
              <w:right w:val="single" w:color="auto" w:sz="4" w:space="0"/>
            </w:tcBorders>
            <w:noWrap w:val="0"/>
            <w:vAlign w:val="center"/>
          </w:tcPr>
          <w:p w14:paraId="6367F65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20≤X＜100</w:t>
            </w:r>
          </w:p>
        </w:tc>
        <w:tc>
          <w:tcPr>
            <w:tcW w:w="1204" w:type="dxa"/>
            <w:tcBorders>
              <w:top w:val="nil"/>
              <w:left w:val="nil"/>
              <w:bottom w:val="single" w:color="auto" w:sz="4" w:space="0"/>
              <w:right w:val="single" w:color="auto" w:sz="4" w:space="0"/>
            </w:tcBorders>
            <w:noWrap w:val="0"/>
            <w:vAlign w:val="center"/>
          </w:tcPr>
          <w:p w14:paraId="4DCC6B9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X＜20</w:t>
            </w:r>
          </w:p>
        </w:tc>
      </w:tr>
      <w:tr w14:paraId="078DBCE3">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39212A4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3F1D355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13CC268D">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5B4E9EA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1000≤Y＜30000</w:t>
            </w:r>
          </w:p>
        </w:tc>
        <w:tc>
          <w:tcPr>
            <w:tcW w:w="1785" w:type="dxa"/>
            <w:tcBorders>
              <w:top w:val="nil"/>
              <w:left w:val="nil"/>
              <w:bottom w:val="single" w:color="auto" w:sz="4" w:space="0"/>
              <w:right w:val="single" w:color="auto" w:sz="4" w:space="0"/>
            </w:tcBorders>
            <w:noWrap w:val="0"/>
            <w:vAlign w:val="center"/>
          </w:tcPr>
          <w:p w14:paraId="04D08E0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100≤Y＜1000</w:t>
            </w:r>
          </w:p>
        </w:tc>
        <w:tc>
          <w:tcPr>
            <w:tcW w:w="1204" w:type="dxa"/>
            <w:tcBorders>
              <w:top w:val="nil"/>
              <w:left w:val="nil"/>
              <w:bottom w:val="single" w:color="auto" w:sz="4" w:space="0"/>
              <w:right w:val="single" w:color="auto" w:sz="4" w:space="0"/>
            </w:tcBorders>
            <w:noWrap w:val="0"/>
            <w:vAlign w:val="center"/>
          </w:tcPr>
          <w:p w14:paraId="748F208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Y＜100</w:t>
            </w:r>
          </w:p>
        </w:tc>
      </w:tr>
      <w:tr w14:paraId="2F4168F6">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7D34BD1D">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邮政业</w:t>
            </w:r>
          </w:p>
        </w:tc>
        <w:tc>
          <w:tcPr>
            <w:tcW w:w="1604" w:type="dxa"/>
            <w:tcBorders>
              <w:top w:val="nil"/>
              <w:left w:val="nil"/>
              <w:bottom w:val="single" w:color="auto" w:sz="4" w:space="0"/>
              <w:right w:val="single" w:color="auto" w:sz="4" w:space="0"/>
            </w:tcBorders>
            <w:noWrap w:val="0"/>
            <w:vAlign w:val="center"/>
          </w:tcPr>
          <w:p w14:paraId="3F2829E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2D0360D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7FA3325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300≤X＜1000</w:t>
            </w:r>
          </w:p>
        </w:tc>
        <w:tc>
          <w:tcPr>
            <w:tcW w:w="1785" w:type="dxa"/>
            <w:tcBorders>
              <w:top w:val="nil"/>
              <w:left w:val="nil"/>
              <w:bottom w:val="single" w:color="auto" w:sz="4" w:space="0"/>
              <w:right w:val="single" w:color="auto" w:sz="4" w:space="0"/>
            </w:tcBorders>
            <w:noWrap w:val="0"/>
            <w:vAlign w:val="center"/>
          </w:tcPr>
          <w:p w14:paraId="4A4BD8B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20≤X＜300</w:t>
            </w:r>
          </w:p>
        </w:tc>
        <w:tc>
          <w:tcPr>
            <w:tcW w:w="1204" w:type="dxa"/>
            <w:tcBorders>
              <w:top w:val="nil"/>
              <w:left w:val="nil"/>
              <w:bottom w:val="single" w:color="auto" w:sz="4" w:space="0"/>
              <w:right w:val="single" w:color="auto" w:sz="4" w:space="0"/>
            </w:tcBorders>
            <w:noWrap w:val="0"/>
            <w:vAlign w:val="center"/>
          </w:tcPr>
          <w:p w14:paraId="129E52D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X＜20</w:t>
            </w:r>
          </w:p>
        </w:tc>
      </w:tr>
      <w:tr w14:paraId="48F61214">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1E0DE16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1A22A36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67C3324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476657D8">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2000≤Y＜30000</w:t>
            </w:r>
          </w:p>
        </w:tc>
        <w:tc>
          <w:tcPr>
            <w:tcW w:w="1785" w:type="dxa"/>
            <w:tcBorders>
              <w:top w:val="nil"/>
              <w:left w:val="nil"/>
              <w:bottom w:val="single" w:color="auto" w:sz="4" w:space="0"/>
              <w:right w:val="single" w:color="auto" w:sz="4" w:space="0"/>
            </w:tcBorders>
            <w:noWrap w:val="0"/>
            <w:vAlign w:val="center"/>
          </w:tcPr>
          <w:p w14:paraId="313F6FC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100≤Y＜2000</w:t>
            </w:r>
          </w:p>
        </w:tc>
        <w:tc>
          <w:tcPr>
            <w:tcW w:w="1204" w:type="dxa"/>
            <w:tcBorders>
              <w:top w:val="nil"/>
              <w:left w:val="nil"/>
              <w:bottom w:val="single" w:color="auto" w:sz="4" w:space="0"/>
              <w:right w:val="single" w:color="auto" w:sz="4" w:space="0"/>
            </w:tcBorders>
            <w:noWrap w:val="0"/>
            <w:vAlign w:val="center"/>
          </w:tcPr>
          <w:p w14:paraId="1BC2116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Y＜100</w:t>
            </w:r>
          </w:p>
        </w:tc>
      </w:tr>
      <w:tr w14:paraId="493FC6AE">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0A3CF50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住宿业</w:t>
            </w:r>
          </w:p>
        </w:tc>
        <w:tc>
          <w:tcPr>
            <w:tcW w:w="1604" w:type="dxa"/>
            <w:tcBorders>
              <w:top w:val="nil"/>
              <w:left w:val="nil"/>
              <w:bottom w:val="single" w:color="auto" w:sz="4" w:space="0"/>
              <w:right w:val="single" w:color="auto" w:sz="4" w:space="0"/>
            </w:tcBorders>
            <w:noWrap w:val="0"/>
            <w:vAlign w:val="center"/>
          </w:tcPr>
          <w:p w14:paraId="2AF1326B">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3354BE4B">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206D591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100≤X＜300</w:t>
            </w:r>
          </w:p>
        </w:tc>
        <w:tc>
          <w:tcPr>
            <w:tcW w:w="1785" w:type="dxa"/>
            <w:tcBorders>
              <w:top w:val="nil"/>
              <w:left w:val="nil"/>
              <w:bottom w:val="single" w:color="auto" w:sz="4" w:space="0"/>
              <w:right w:val="single" w:color="auto" w:sz="4" w:space="0"/>
            </w:tcBorders>
            <w:noWrap w:val="0"/>
            <w:vAlign w:val="center"/>
          </w:tcPr>
          <w:p w14:paraId="17B61D0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10≤X＜100</w:t>
            </w:r>
          </w:p>
        </w:tc>
        <w:tc>
          <w:tcPr>
            <w:tcW w:w="1204" w:type="dxa"/>
            <w:tcBorders>
              <w:top w:val="nil"/>
              <w:left w:val="nil"/>
              <w:bottom w:val="single" w:color="auto" w:sz="4" w:space="0"/>
              <w:right w:val="single" w:color="auto" w:sz="4" w:space="0"/>
            </w:tcBorders>
            <w:noWrap w:val="0"/>
            <w:vAlign w:val="center"/>
          </w:tcPr>
          <w:p w14:paraId="3A2ED1A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X＜10</w:t>
            </w:r>
          </w:p>
        </w:tc>
      </w:tr>
      <w:tr w14:paraId="4F6690E1">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57D6AA6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4540140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38757A5B">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0519D62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2000≤Y＜10000</w:t>
            </w:r>
          </w:p>
        </w:tc>
        <w:tc>
          <w:tcPr>
            <w:tcW w:w="1785" w:type="dxa"/>
            <w:tcBorders>
              <w:top w:val="nil"/>
              <w:left w:val="nil"/>
              <w:bottom w:val="single" w:color="auto" w:sz="4" w:space="0"/>
              <w:right w:val="single" w:color="auto" w:sz="4" w:space="0"/>
            </w:tcBorders>
            <w:noWrap w:val="0"/>
            <w:vAlign w:val="center"/>
          </w:tcPr>
          <w:p w14:paraId="38037CD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100≤Y＜2000</w:t>
            </w:r>
          </w:p>
        </w:tc>
        <w:tc>
          <w:tcPr>
            <w:tcW w:w="1204" w:type="dxa"/>
            <w:tcBorders>
              <w:top w:val="nil"/>
              <w:left w:val="nil"/>
              <w:bottom w:val="single" w:color="auto" w:sz="4" w:space="0"/>
              <w:right w:val="single" w:color="auto" w:sz="4" w:space="0"/>
            </w:tcBorders>
            <w:noWrap w:val="0"/>
            <w:vAlign w:val="center"/>
          </w:tcPr>
          <w:p w14:paraId="2D87BD1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Y＜100</w:t>
            </w:r>
          </w:p>
        </w:tc>
      </w:tr>
      <w:tr w14:paraId="6D49A666">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5F4A8BEB">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餐饮业</w:t>
            </w:r>
          </w:p>
        </w:tc>
        <w:tc>
          <w:tcPr>
            <w:tcW w:w="1604" w:type="dxa"/>
            <w:tcBorders>
              <w:top w:val="nil"/>
              <w:left w:val="nil"/>
              <w:bottom w:val="single" w:color="auto" w:sz="4" w:space="0"/>
              <w:right w:val="single" w:color="auto" w:sz="4" w:space="0"/>
            </w:tcBorders>
            <w:noWrap w:val="0"/>
            <w:vAlign w:val="center"/>
          </w:tcPr>
          <w:p w14:paraId="1CF1F7E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1E901FF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5E227CFB">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100≤X＜300</w:t>
            </w:r>
          </w:p>
        </w:tc>
        <w:tc>
          <w:tcPr>
            <w:tcW w:w="1785" w:type="dxa"/>
            <w:tcBorders>
              <w:top w:val="nil"/>
              <w:left w:val="nil"/>
              <w:bottom w:val="single" w:color="auto" w:sz="4" w:space="0"/>
              <w:right w:val="single" w:color="auto" w:sz="4" w:space="0"/>
            </w:tcBorders>
            <w:noWrap w:val="0"/>
            <w:vAlign w:val="center"/>
          </w:tcPr>
          <w:p w14:paraId="418FF22D">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10≤X＜100</w:t>
            </w:r>
          </w:p>
        </w:tc>
        <w:tc>
          <w:tcPr>
            <w:tcW w:w="1204" w:type="dxa"/>
            <w:tcBorders>
              <w:top w:val="nil"/>
              <w:left w:val="nil"/>
              <w:bottom w:val="single" w:color="auto" w:sz="4" w:space="0"/>
              <w:right w:val="single" w:color="auto" w:sz="4" w:space="0"/>
            </w:tcBorders>
            <w:noWrap w:val="0"/>
            <w:vAlign w:val="center"/>
          </w:tcPr>
          <w:p w14:paraId="1F08E6C3">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X＜10</w:t>
            </w:r>
          </w:p>
        </w:tc>
      </w:tr>
      <w:tr w14:paraId="528BD01B">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2F50055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5EE1320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72FC2BE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77478E2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2000≤Y＜10000</w:t>
            </w:r>
          </w:p>
        </w:tc>
        <w:tc>
          <w:tcPr>
            <w:tcW w:w="1785" w:type="dxa"/>
            <w:tcBorders>
              <w:top w:val="nil"/>
              <w:left w:val="nil"/>
              <w:bottom w:val="single" w:color="auto" w:sz="4" w:space="0"/>
              <w:right w:val="single" w:color="auto" w:sz="4" w:space="0"/>
            </w:tcBorders>
            <w:noWrap w:val="0"/>
            <w:vAlign w:val="center"/>
          </w:tcPr>
          <w:p w14:paraId="0A28BEC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100≤Y＜2000</w:t>
            </w:r>
          </w:p>
        </w:tc>
        <w:tc>
          <w:tcPr>
            <w:tcW w:w="1204" w:type="dxa"/>
            <w:tcBorders>
              <w:top w:val="nil"/>
              <w:left w:val="nil"/>
              <w:bottom w:val="single" w:color="auto" w:sz="4" w:space="0"/>
              <w:right w:val="single" w:color="auto" w:sz="4" w:space="0"/>
            </w:tcBorders>
            <w:noWrap w:val="0"/>
            <w:vAlign w:val="center"/>
          </w:tcPr>
          <w:p w14:paraId="018CFF7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Y＜100</w:t>
            </w:r>
          </w:p>
        </w:tc>
      </w:tr>
      <w:tr w14:paraId="7D46FD49">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5E6DC4A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信息传输业</w:t>
            </w:r>
          </w:p>
        </w:tc>
        <w:tc>
          <w:tcPr>
            <w:tcW w:w="1604" w:type="dxa"/>
            <w:tcBorders>
              <w:top w:val="nil"/>
              <w:left w:val="nil"/>
              <w:bottom w:val="single" w:color="auto" w:sz="4" w:space="0"/>
              <w:right w:val="single" w:color="auto" w:sz="4" w:space="0"/>
            </w:tcBorders>
            <w:noWrap w:val="0"/>
            <w:vAlign w:val="center"/>
          </w:tcPr>
          <w:p w14:paraId="7FAF0FC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638E7EF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6EF0DE6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100≤X＜2000</w:t>
            </w:r>
          </w:p>
        </w:tc>
        <w:tc>
          <w:tcPr>
            <w:tcW w:w="1785" w:type="dxa"/>
            <w:tcBorders>
              <w:top w:val="nil"/>
              <w:left w:val="nil"/>
              <w:bottom w:val="single" w:color="auto" w:sz="4" w:space="0"/>
              <w:right w:val="single" w:color="auto" w:sz="4" w:space="0"/>
            </w:tcBorders>
            <w:noWrap w:val="0"/>
            <w:vAlign w:val="center"/>
          </w:tcPr>
          <w:p w14:paraId="4811C18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10≤X＜100</w:t>
            </w:r>
          </w:p>
        </w:tc>
        <w:tc>
          <w:tcPr>
            <w:tcW w:w="1204" w:type="dxa"/>
            <w:tcBorders>
              <w:top w:val="nil"/>
              <w:left w:val="nil"/>
              <w:bottom w:val="single" w:color="auto" w:sz="4" w:space="0"/>
              <w:right w:val="single" w:color="auto" w:sz="4" w:space="0"/>
            </w:tcBorders>
            <w:noWrap w:val="0"/>
            <w:vAlign w:val="center"/>
          </w:tcPr>
          <w:p w14:paraId="40B86CE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X＜10</w:t>
            </w:r>
          </w:p>
        </w:tc>
      </w:tr>
      <w:tr w14:paraId="1A407A63">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24C599B2">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6306521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593D5E9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6769E7CA">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1000≤Y＜100000</w:t>
            </w:r>
          </w:p>
        </w:tc>
        <w:tc>
          <w:tcPr>
            <w:tcW w:w="1785" w:type="dxa"/>
            <w:tcBorders>
              <w:top w:val="nil"/>
              <w:left w:val="nil"/>
              <w:bottom w:val="single" w:color="auto" w:sz="4" w:space="0"/>
              <w:right w:val="single" w:color="auto" w:sz="4" w:space="0"/>
            </w:tcBorders>
            <w:noWrap w:val="0"/>
            <w:vAlign w:val="center"/>
          </w:tcPr>
          <w:p w14:paraId="3B5FACC8">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100≤Y＜1000</w:t>
            </w:r>
          </w:p>
        </w:tc>
        <w:tc>
          <w:tcPr>
            <w:tcW w:w="1204" w:type="dxa"/>
            <w:tcBorders>
              <w:top w:val="nil"/>
              <w:left w:val="nil"/>
              <w:bottom w:val="single" w:color="auto" w:sz="4" w:space="0"/>
              <w:right w:val="single" w:color="auto" w:sz="4" w:space="0"/>
            </w:tcBorders>
            <w:noWrap w:val="0"/>
            <w:vAlign w:val="center"/>
          </w:tcPr>
          <w:p w14:paraId="668DE02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Y＜100</w:t>
            </w:r>
          </w:p>
        </w:tc>
      </w:tr>
      <w:tr w14:paraId="157CF846">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78A40CF3">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软件和信息技术服务业</w:t>
            </w:r>
          </w:p>
        </w:tc>
        <w:tc>
          <w:tcPr>
            <w:tcW w:w="1604" w:type="dxa"/>
            <w:tcBorders>
              <w:top w:val="nil"/>
              <w:left w:val="nil"/>
              <w:bottom w:val="single" w:color="auto" w:sz="4" w:space="0"/>
              <w:right w:val="single" w:color="auto" w:sz="4" w:space="0"/>
            </w:tcBorders>
            <w:noWrap w:val="0"/>
            <w:vAlign w:val="center"/>
          </w:tcPr>
          <w:p w14:paraId="57139E42">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44674EB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71374D5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100≤X＜300</w:t>
            </w:r>
          </w:p>
        </w:tc>
        <w:tc>
          <w:tcPr>
            <w:tcW w:w="1785" w:type="dxa"/>
            <w:tcBorders>
              <w:top w:val="nil"/>
              <w:left w:val="nil"/>
              <w:bottom w:val="single" w:color="auto" w:sz="4" w:space="0"/>
              <w:right w:val="single" w:color="auto" w:sz="4" w:space="0"/>
            </w:tcBorders>
            <w:noWrap w:val="0"/>
            <w:vAlign w:val="center"/>
          </w:tcPr>
          <w:p w14:paraId="7028D943">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10≤X＜100</w:t>
            </w:r>
          </w:p>
        </w:tc>
        <w:tc>
          <w:tcPr>
            <w:tcW w:w="1204" w:type="dxa"/>
            <w:tcBorders>
              <w:top w:val="nil"/>
              <w:left w:val="nil"/>
              <w:bottom w:val="single" w:color="auto" w:sz="4" w:space="0"/>
              <w:right w:val="single" w:color="auto" w:sz="4" w:space="0"/>
            </w:tcBorders>
            <w:noWrap w:val="0"/>
            <w:vAlign w:val="center"/>
          </w:tcPr>
          <w:p w14:paraId="7B20548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X＜10</w:t>
            </w:r>
          </w:p>
        </w:tc>
      </w:tr>
      <w:tr w14:paraId="230F73C8">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0693E1B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5ABB2C7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26A73CEA">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12D6125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1000≤Y＜10000</w:t>
            </w:r>
          </w:p>
        </w:tc>
        <w:tc>
          <w:tcPr>
            <w:tcW w:w="1785" w:type="dxa"/>
            <w:tcBorders>
              <w:top w:val="nil"/>
              <w:left w:val="nil"/>
              <w:bottom w:val="single" w:color="auto" w:sz="4" w:space="0"/>
              <w:right w:val="single" w:color="auto" w:sz="4" w:space="0"/>
            </w:tcBorders>
            <w:noWrap w:val="0"/>
            <w:vAlign w:val="center"/>
          </w:tcPr>
          <w:p w14:paraId="2CDDE73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50≤Y＜1000</w:t>
            </w:r>
          </w:p>
        </w:tc>
        <w:tc>
          <w:tcPr>
            <w:tcW w:w="1204" w:type="dxa"/>
            <w:tcBorders>
              <w:top w:val="nil"/>
              <w:left w:val="nil"/>
              <w:bottom w:val="single" w:color="auto" w:sz="4" w:space="0"/>
              <w:right w:val="single" w:color="auto" w:sz="4" w:space="0"/>
            </w:tcBorders>
            <w:noWrap w:val="0"/>
            <w:vAlign w:val="center"/>
          </w:tcPr>
          <w:p w14:paraId="47BDB9C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Y＜50</w:t>
            </w:r>
          </w:p>
        </w:tc>
      </w:tr>
      <w:tr w14:paraId="34DDD2E4">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3C3D686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房地产开发经营</w:t>
            </w:r>
          </w:p>
        </w:tc>
        <w:tc>
          <w:tcPr>
            <w:tcW w:w="1604" w:type="dxa"/>
            <w:tcBorders>
              <w:top w:val="nil"/>
              <w:left w:val="nil"/>
              <w:bottom w:val="single" w:color="auto" w:sz="4" w:space="0"/>
              <w:right w:val="single" w:color="auto" w:sz="4" w:space="0"/>
            </w:tcBorders>
            <w:noWrap w:val="0"/>
            <w:vAlign w:val="center"/>
          </w:tcPr>
          <w:p w14:paraId="3662F3E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2ED7711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29C4E14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1000≤Y＜200000</w:t>
            </w:r>
          </w:p>
        </w:tc>
        <w:tc>
          <w:tcPr>
            <w:tcW w:w="1785" w:type="dxa"/>
            <w:tcBorders>
              <w:top w:val="nil"/>
              <w:left w:val="nil"/>
              <w:bottom w:val="single" w:color="auto" w:sz="4" w:space="0"/>
              <w:right w:val="single" w:color="auto" w:sz="4" w:space="0"/>
            </w:tcBorders>
            <w:noWrap w:val="0"/>
            <w:vAlign w:val="center"/>
          </w:tcPr>
          <w:p w14:paraId="0C209F1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100≤X＜1000</w:t>
            </w:r>
          </w:p>
        </w:tc>
        <w:tc>
          <w:tcPr>
            <w:tcW w:w="1204" w:type="dxa"/>
            <w:tcBorders>
              <w:top w:val="nil"/>
              <w:left w:val="nil"/>
              <w:bottom w:val="single" w:color="auto" w:sz="4" w:space="0"/>
              <w:right w:val="single" w:color="auto" w:sz="4" w:space="0"/>
            </w:tcBorders>
            <w:noWrap w:val="0"/>
            <w:vAlign w:val="center"/>
          </w:tcPr>
          <w:p w14:paraId="4C6DAB6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X＜100</w:t>
            </w:r>
          </w:p>
        </w:tc>
      </w:tr>
      <w:tr w14:paraId="6DE5A553">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690AF9B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00D0961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资产总额（Z）</w:t>
            </w:r>
          </w:p>
        </w:tc>
        <w:tc>
          <w:tcPr>
            <w:tcW w:w="1290" w:type="dxa"/>
            <w:tcBorders>
              <w:top w:val="nil"/>
              <w:left w:val="nil"/>
              <w:bottom w:val="single" w:color="auto" w:sz="4" w:space="0"/>
              <w:right w:val="single" w:color="auto" w:sz="4" w:space="0"/>
            </w:tcBorders>
            <w:noWrap w:val="0"/>
            <w:vAlign w:val="center"/>
          </w:tcPr>
          <w:p w14:paraId="24E8B63B">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5690B802">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5000≤Z＜10000</w:t>
            </w:r>
          </w:p>
        </w:tc>
        <w:tc>
          <w:tcPr>
            <w:tcW w:w="1785" w:type="dxa"/>
            <w:tcBorders>
              <w:top w:val="nil"/>
              <w:left w:val="nil"/>
              <w:bottom w:val="single" w:color="auto" w:sz="4" w:space="0"/>
              <w:right w:val="single" w:color="auto" w:sz="4" w:space="0"/>
            </w:tcBorders>
            <w:noWrap w:val="0"/>
            <w:vAlign w:val="center"/>
          </w:tcPr>
          <w:p w14:paraId="6BAF076D">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2000≤Y＜5000</w:t>
            </w:r>
          </w:p>
        </w:tc>
        <w:tc>
          <w:tcPr>
            <w:tcW w:w="1204" w:type="dxa"/>
            <w:tcBorders>
              <w:top w:val="nil"/>
              <w:left w:val="nil"/>
              <w:bottom w:val="single" w:color="auto" w:sz="4" w:space="0"/>
              <w:right w:val="single" w:color="auto" w:sz="4" w:space="0"/>
            </w:tcBorders>
            <w:noWrap w:val="0"/>
            <w:vAlign w:val="center"/>
          </w:tcPr>
          <w:p w14:paraId="18861F3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Y＜2000</w:t>
            </w:r>
          </w:p>
        </w:tc>
      </w:tr>
      <w:tr w14:paraId="21B6A288">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7046F9B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物业管理</w:t>
            </w:r>
          </w:p>
        </w:tc>
        <w:tc>
          <w:tcPr>
            <w:tcW w:w="1604" w:type="dxa"/>
            <w:tcBorders>
              <w:top w:val="nil"/>
              <w:left w:val="nil"/>
              <w:bottom w:val="single" w:color="auto" w:sz="4" w:space="0"/>
              <w:right w:val="single" w:color="auto" w:sz="4" w:space="0"/>
            </w:tcBorders>
            <w:noWrap w:val="0"/>
            <w:vAlign w:val="center"/>
          </w:tcPr>
          <w:p w14:paraId="471265D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00BB537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091DD2B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300≤X＜1000</w:t>
            </w:r>
          </w:p>
        </w:tc>
        <w:tc>
          <w:tcPr>
            <w:tcW w:w="1785" w:type="dxa"/>
            <w:tcBorders>
              <w:top w:val="nil"/>
              <w:left w:val="nil"/>
              <w:bottom w:val="single" w:color="auto" w:sz="4" w:space="0"/>
              <w:right w:val="single" w:color="auto" w:sz="4" w:space="0"/>
            </w:tcBorders>
            <w:noWrap w:val="0"/>
            <w:vAlign w:val="center"/>
          </w:tcPr>
          <w:p w14:paraId="204D4A5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100≤X＜300</w:t>
            </w:r>
          </w:p>
        </w:tc>
        <w:tc>
          <w:tcPr>
            <w:tcW w:w="1204" w:type="dxa"/>
            <w:tcBorders>
              <w:top w:val="nil"/>
              <w:left w:val="nil"/>
              <w:bottom w:val="single" w:color="auto" w:sz="4" w:space="0"/>
              <w:right w:val="single" w:color="auto" w:sz="4" w:space="0"/>
            </w:tcBorders>
            <w:noWrap w:val="0"/>
            <w:vAlign w:val="center"/>
          </w:tcPr>
          <w:p w14:paraId="576634BA">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X＜100</w:t>
            </w:r>
          </w:p>
        </w:tc>
      </w:tr>
      <w:tr w14:paraId="6CD3E783">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269DE53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76CFED8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营业收入（Y）</w:t>
            </w:r>
          </w:p>
        </w:tc>
        <w:tc>
          <w:tcPr>
            <w:tcW w:w="1290" w:type="dxa"/>
            <w:tcBorders>
              <w:top w:val="nil"/>
              <w:left w:val="nil"/>
              <w:bottom w:val="single" w:color="auto" w:sz="4" w:space="0"/>
              <w:right w:val="single" w:color="auto" w:sz="4" w:space="0"/>
            </w:tcBorders>
            <w:noWrap w:val="0"/>
            <w:vAlign w:val="center"/>
          </w:tcPr>
          <w:p w14:paraId="5D934002">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448D729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1000≤Y＜5000</w:t>
            </w:r>
          </w:p>
        </w:tc>
        <w:tc>
          <w:tcPr>
            <w:tcW w:w="1785" w:type="dxa"/>
            <w:tcBorders>
              <w:top w:val="nil"/>
              <w:left w:val="nil"/>
              <w:bottom w:val="single" w:color="auto" w:sz="4" w:space="0"/>
              <w:right w:val="single" w:color="auto" w:sz="4" w:space="0"/>
            </w:tcBorders>
            <w:noWrap w:val="0"/>
            <w:vAlign w:val="center"/>
          </w:tcPr>
          <w:p w14:paraId="08BECDF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500≤Y＜1000</w:t>
            </w:r>
          </w:p>
        </w:tc>
        <w:tc>
          <w:tcPr>
            <w:tcW w:w="1204" w:type="dxa"/>
            <w:tcBorders>
              <w:top w:val="nil"/>
              <w:left w:val="nil"/>
              <w:bottom w:val="single" w:color="auto" w:sz="4" w:space="0"/>
              <w:right w:val="single" w:color="auto" w:sz="4" w:space="0"/>
            </w:tcBorders>
            <w:noWrap w:val="0"/>
            <w:vAlign w:val="center"/>
          </w:tcPr>
          <w:p w14:paraId="7A1DF14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Y＜500</w:t>
            </w:r>
          </w:p>
        </w:tc>
      </w:tr>
      <w:tr w14:paraId="58326BEC">
        <w:tblPrEx>
          <w:tblCellMar>
            <w:top w:w="0" w:type="dxa"/>
            <w:left w:w="108" w:type="dxa"/>
            <w:bottom w:w="0" w:type="dxa"/>
            <w:right w:w="108" w:type="dxa"/>
          </w:tblCellMar>
        </w:tblPrEx>
        <w:trPr>
          <w:trHeight w:val="227" w:hRule="atLeast"/>
          <w:jc w:val="center"/>
        </w:trPr>
        <w:tc>
          <w:tcPr>
            <w:tcW w:w="1883" w:type="dxa"/>
            <w:vMerge w:val="restart"/>
            <w:tcBorders>
              <w:top w:val="nil"/>
              <w:left w:val="single" w:color="auto" w:sz="4" w:space="0"/>
              <w:bottom w:val="single" w:color="auto" w:sz="4" w:space="0"/>
              <w:right w:val="single" w:color="auto" w:sz="4" w:space="0"/>
            </w:tcBorders>
            <w:noWrap w:val="0"/>
            <w:vAlign w:val="center"/>
          </w:tcPr>
          <w:p w14:paraId="7057051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租赁和商务服务业</w:t>
            </w:r>
          </w:p>
        </w:tc>
        <w:tc>
          <w:tcPr>
            <w:tcW w:w="1604" w:type="dxa"/>
            <w:tcBorders>
              <w:top w:val="nil"/>
              <w:left w:val="nil"/>
              <w:bottom w:val="single" w:color="auto" w:sz="4" w:space="0"/>
              <w:right w:val="single" w:color="auto" w:sz="4" w:space="0"/>
            </w:tcBorders>
            <w:noWrap w:val="0"/>
            <w:vAlign w:val="center"/>
          </w:tcPr>
          <w:p w14:paraId="7900B22C">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6F7144E5">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247C9E86">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100≤X＜300</w:t>
            </w:r>
          </w:p>
        </w:tc>
        <w:tc>
          <w:tcPr>
            <w:tcW w:w="1785" w:type="dxa"/>
            <w:tcBorders>
              <w:top w:val="nil"/>
              <w:left w:val="nil"/>
              <w:bottom w:val="single" w:color="auto" w:sz="4" w:space="0"/>
              <w:right w:val="single" w:color="auto" w:sz="4" w:space="0"/>
            </w:tcBorders>
            <w:noWrap w:val="0"/>
            <w:vAlign w:val="center"/>
          </w:tcPr>
          <w:p w14:paraId="5723ED2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10≤X＜100</w:t>
            </w:r>
          </w:p>
        </w:tc>
        <w:tc>
          <w:tcPr>
            <w:tcW w:w="1204" w:type="dxa"/>
            <w:tcBorders>
              <w:top w:val="nil"/>
              <w:left w:val="nil"/>
              <w:bottom w:val="single" w:color="auto" w:sz="4" w:space="0"/>
              <w:right w:val="single" w:color="auto" w:sz="4" w:space="0"/>
            </w:tcBorders>
            <w:noWrap w:val="0"/>
            <w:vAlign w:val="center"/>
          </w:tcPr>
          <w:p w14:paraId="653D0D22">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X＜10</w:t>
            </w:r>
          </w:p>
        </w:tc>
      </w:tr>
      <w:tr w14:paraId="4D5FA247">
        <w:tblPrEx>
          <w:tblCellMar>
            <w:top w:w="0" w:type="dxa"/>
            <w:left w:w="108" w:type="dxa"/>
            <w:bottom w:w="0" w:type="dxa"/>
            <w:right w:w="108" w:type="dxa"/>
          </w:tblCellMar>
        </w:tblPrEx>
        <w:trPr>
          <w:trHeight w:val="225" w:hRule="atLeast"/>
          <w:jc w:val="center"/>
        </w:trPr>
        <w:tc>
          <w:tcPr>
            <w:tcW w:w="1883" w:type="dxa"/>
            <w:vMerge w:val="continue"/>
            <w:tcBorders>
              <w:top w:val="nil"/>
              <w:left w:val="single" w:color="auto" w:sz="4" w:space="0"/>
              <w:bottom w:val="single" w:color="auto" w:sz="4" w:space="0"/>
              <w:right w:val="single" w:color="auto" w:sz="4" w:space="0"/>
            </w:tcBorders>
            <w:noWrap w:val="0"/>
            <w:vAlign w:val="center"/>
          </w:tcPr>
          <w:p w14:paraId="2854E34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p>
        </w:tc>
        <w:tc>
          <w:tcPr>
            <w:tcW w:w="1604" w:type="dxa"/>
            <w:tcBorders>
              <w:top w:val="nil"/>
              <w:left w:val="nil"/>
              <w:bottom w:val="single" w:color="auto" w:sz="4" w:space="0"/>
              <w:right w:val="single" w:color="auto" w:sz="4" w:space="0"/>
            </w:tcBorders>
            <w:noWrap w:val="0"/>
            <w:vAlign w:val="center"/>
          </w:tcPr>
          <w:p w14:paraId="3B52BE39">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资产总额（Z）</w:t>
            </w:r>
          </w:p>
        </w:tc>
        <w:tc>
          <w:tcPr>
            <w:tcW w:w="1290" w:type="dxa"/>
            <w:tcBorders>
              <w:top w:val="nil"/>
              <w:left w:val="nil"/>
              <w:bottom w:val="single" w:color="auto" w:sz="4" w:space="0"/>
              <w:right w:val="single" w:color="auto" w:sz="4" w:space="0"/>
            </w:tcBorders>
            <w:noWrap w:val="0"/>
            <w:vAlign w:val="center"/>
          </w:tcPr>
          <w:p w14:paraId="661D172B">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万元</w:t>
            </w:r>
          </w:p>
        </w:tc>
        <w:tc>
          <w:tcPr>
            <w:tcW w:w="1646" w:type="dxa"/>
            <w:tcBorders>
              <w:top w:val="nil"/>
              <w:left w:val="nil"/>
              <w:bottom w:val="single" w:color="auto" w:sz="4" w:space="0"/>
              <w:right w:val="single" w:color="auto" w:sz="4" w:space="0"/>
            </w:tcBorders>
            <w:noWrap w:val="0"/>
            <w:vAlign w:val="center"/>
          </w:tcPr>
          <w:p w14:paraId="609967DE">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8000≤Z＜120000</w:t>
            </w:r>
          </w:p>
        </w:tc>
        <w:tc>
          <w:tcPr>
            <w:tcW w:w="1785" w:type="dxa"/>
            <w:tcBorders>
              <w:top w:val="nil"/>
              <w:left w:val="nil"/>
              <w:bottom w:val="single" w:color="auto" w:sz="4" w:space="0"/>
              <w:right w:val="single" w:color="auto" w:sz="4" w:space="0"/>
            </w:tcBorders>
            <w:noWrap w:val="0"/>
            <w:vAlign w:val="center"/>
          </w:tcPr>
          <w:p w14:paraId="5DA35CE1">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100≤Z＜8000</w:t>
            </w:r>
          </w:p>
        </w:tc>
        <w:tc>
          <w:tcPr>
            <w:tcW w:w="1204" w:type="dxa"/>
            <w:tcBorders>
              <w:top w:val="nil"/>
              <w:left w:val="nil"/>
              <w:bottom w:val="single" w:color="auto" w:sz="4" w:space="0"/>
              <w:right w:val="single" w:color="auto" w:sz="4" w:space="0"/>
            </w:tcBorders>
            <w:noWrap w:val="0"/>
            <w:vAlign w:val="center"/>
          </w:tcPr>
          <w:p w14:paraId="16619284">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Y＜100</w:t>
            </w:r>
          </w:p>
        </w:tc>
      </w:tr>
      <w:tr w14:paraId="39290117">
        <w:tblPrEx>
          <w:tblCellMar>
            <w:top w:w="0" w:type="dxa"/>
            <w:left w:w="108" w:type="dxa"/>
            <w:bottom w:w="0" w:type="dxa"/>
            <w:right w:w="108" w:type="dxa"/>
          </w:tblCellMar>
        </w:tblPrEx>
        <w:trPr>
          <w:trHeight w:val="90" w:hRule="atLeast"/>
          <w:jc w:val="center"/>
        </w:trPr>
        <w:tc>
          <w:tcPr>
            <w:tcW w:w="1883" w:type="dxa"/>
            <w:tcBorders>
              <w:top w:val="nil"/>
              <w:left w:val="single" w:color="auto" w:sz="4" w:space="0"/>
              <w:bottom w:val="single" w:color="auto" w:sz="4" w:space="0"/>
              <w:right w:val="single" w:color="auto" w:sz="4" w:space="0"/>
            </w:tcBorders>
            <w:noWrap w:val="0"/>
            <w:vAlign w:val="center"/>
          </w:tcPr>
          <w:p w14:paraId="1DD02380">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其他未列明行业</w:t>
            </w:r>
          </w:p>
        </w:tc>
        <w:tc>
          <w:tcPr>
            <w:tcW w:w="1604" w:type="dxa"/>
            <w:tcBorders>
              <w:top w:val="nil"/>
              <w:left w:val="nil"/>
              <w:bottom w:val="single" w:color="auto" w:sz="4" w:space="0"/>
              <w:right w:val="single" w:color="auto" w:sz="4" w:space="0"/>
            </w:tcBorders>
            <w:noWrap w:val="0"/>
            <w:vAlign w:val="center"/>
          </w:tcPr>
          <w:p w14:paraId="059F3393">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从业人员（X）</w:t>
            </w:r>
          </w:p>
        </w:tc>
        <w:tc>
          <w:tcPr>
            <w:tcW w:w="1290" w:type="dxa"/>
            <w:tcBorders>
              <w:top w:val="nil"/>
              <w:left w:val="nil"/>
              <w:bottom w:val="single" w:color="auto" w:sz="4" w:space="0"/>
              <w:right w:val="single" w:color="auto" w:sz="4" w:space="0"/>
            </w:tcBorders>
            <w:noWrap w:val="0"/>
            <w:vAlign w:val="center"/>
          </w:tcPr>
          <w:p w14:paraId="3E8A24AF">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人</w:t>
            </w:r>
          </w:p>
        </w:tc>
        <w:tc>
          <w:tcPr>
            <w:tcW w:w="1646" w:type="dxa"/>
            <w:tcBorders>
              <w:top w:val="nil"/>
              <w:left w:val="nil"/>
              <w:bottom w:val="single" w:color="auto" w:sz="4" w:space="0"/>
              <w:right w:val="single" w:color="auto" w:sz="4" w:space="0"/>
            </w:tcBorders>
            <w:noWrap w:val="0"/>
            <w:vAlign w:val="center"/>
          </w:tcPr>
          <w:p w14:paraId="6371FBFD">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100≤X＜300</w:t>
            </w:r>
          </w:p>
        </w:tc>
        <w:tc>
          <w:tcPr>
            <w:tcW w:w="1785" w:type="dxa"/>
            <w:tcBorders>
              <w:top w:val="nil"/>
              <w:left w:val="nil"/>
              <w:bottom w:val="single" w:color="auto" w:sz="4" w:space="0"/>
              <w:right w:val="single" w:color="auto" w:sz="4" w:space="0"/>
            </w:tcBorders>
            <w:noWrap w:val="0"/>
            <w:vAlign w:val="center"/>
          </w:tcPr>
          <w:p w14:paraId="36E8EC32">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10≤X＜100</w:t>
            </w:r>
          </w:p>
        </w:tc>
        <w:tc>
          <w:tcPr>
            <w:tcW w:w="1204" w:type="dxa"/>
            <w:tcBorders>
              <w:top w:val="nil"/>
              <w:left w:val="nil"/>
              <w:bottom w:val="single" w:color="auto" w:sz="4" w:space="0"/>
              <w:right w:val="single" w:color="auto" w:sz="4" w:space="0"/>
            </w:tcBorders>
            <w:noWrap w:val="0"/>
            <w:vAlign w:val="center"/>
          </w:tcPr>
          <w:p w14:paraId="1254E0E7">
            <w:pPr>
              <w:pageBreakBefore w:val="0"/>
              <w:widowControl/>
              <w:kinsoku/>
              <w:overflowPunct/>
              <w:bidi w:val="0"/>
              <w:snapToGrid w:val="0"/>
              <w:spacing w:before="100" w:beforeAutospacing="1" w:after="100" w:afterAutospacing="1" w:line="240" w:lineRule="auto"/>
              <w:jc w:val="center"/>
              <w:rPr>
                <w:rFonts w:hint="eastAsia" w:ascii="微软雅黑" w:hAnsi="微软雅黑" w:eastAsia="微软雅黑" w:cs="微软雅黑"/>
                <w:color w:val="auto"/>
                <w:kern w:val="0"/>
                <w:sz w:val="24"/>
                <w:highlight w:val="none"/>
                <w:u w:val="none"/>
              </w:rPr>
            </w:pPr>
            <w:r>
              <w:rPr>
                <w:rFonts w:hint="eastAsia" w:ascii="微软雅黑" w:hAnsi="微软雅黑" w:eastAsia="微软雅黑" w:cs="微软雅黑"/>
                <w:color w:val="auto"/>
                <w:kern w:val="0"/>
                <w:sz w:val="24"/>
                <w:highlight w:val="none"/>
                <w:u w:val="none"/>
              </w:rPr>
              <w:t>X＜10</w:t>
            </w:r>
          </w:p>
        </w:tc>
      </w:tr>
    </w:tbl>
    <w:p w14:paraId="5ADA18F3">
      <w:pPr>
        <w:pageBreakBefore w:val="0"/>
        <w:widowControl/>
        <w:kinsoku/>
        <w:overflowPunct/>
        <w:bidi w:val="0"/>
        <w:snapToGrid w:val="0"/>
        <w:spacing w:before="100" w:beforeAutospacing="1" w:after="100" w:afterAutospacing="1" w:line="312" w:lineRule="auto"/>
        <w:jc w:val="left"/>
        <w:rPr>
          <w:rFonts w:hint="eastAsia" w:ascii="微软雅黑" w:hAnsi="微软雅黑" w:eastAsia="微软雅黑" w:cs="微软雅黑"/>
          <w:color w:val="auto"/>
          <w:kern w:val="0"/>
          <w:sz w:val="24"/>
          <w:highlight w:val="none"/>
          <w:u w:val="single"/>
        </w:rPr>
      </w:pPr>
    </w:p>
    <w:p w14:paraId="7BD9B726">
      <w:pPr>
        <w:pageBreakBefore w:val="0"/>
        <w:widowControl/>
        <w:kinsoku/>
        <w:overflowPunct/>
        <w:bidi w:val="0"/>
        <w:snapToGrid w:val="0"/>
        <w:spacing w:before="100" w:beforeAutospacing="1" w:after="100" w:afterAutospacing="1" w:line="312" w:lineRule="auto"/>
        <w:jc w:val="left"/>
        <w:rPr>
          <w:rFonts w:hint="eastAsia" w:ascii="微软雅黑" w:hAnsi="微软雅黑" w:eastAsia="微软雅黑" w:cs="微软雅黑"/>
          <w:color w:val="auto"/>
          <w:kern w:val="0"/>
          <w:sz w:val="24"/>
          <w:highlight w:val="none"/>
          <w:u w:val="single"/>
        </w:rPr>
      </w:pPr>
    </w:p>
    <w:p w14:paraId="625E7734">
      <w:pPr>
        <w:pageBreakBefore w:val="0"/>
        <w:widowControl/>
        <w:kinsoku/>
        <w:overflowPunct/>
        <w:bidi w:val="0"/>
        <w:snapToGrid w:val="0"/>
        <w:spacing w:before="100" w:beforeAutospacing="1" w:after="100" w:afterAutospacing="1" w:line="312" w:lineRule="auto"/>
        <w:jc w:val="left"/>
        <w:rPr>
          <w:rFonts w:hint="eastAsia" w:ascii="微软雅黑" w:hAnsi="微软雅黑" w:eastAsia="微软雅黑" w:cs="微软雅黑"/>
          <w:color w:val="auto"/>
          <w:kern w:val="0"/>
          <w:sz w:val="24"/>
          <w:highlight w:val="none"/>
          <w:u w:val="single"/>
        </w:rPr>
      </w:pPr>
    </w:p>
    <w:p w14:paraId="38BC0F9B">
      <w:pPr>
        <w:pageBreakBefore w:val="0"/>
        <w:widowControl/>
        <w:kinsoku/>
        <w:overflowPunct/>
        <w:bidi w:val="0"/>
        <w:snapToGrid w:val="0"/>
        <w:spacing w:before="100" w:beforeAutospacing="1" w:after="100" w:afterAutospacing="1" w:line="312" w:lineRule="auto"/>
        <w:jc w:val="left"/>
        <w:rPr>
          <w:rFonts w:hint="eastAsia" w:ascii="微软雅黑" w:hAnsi="微软雅黑" w:eastAsia="微软雅黑" w:cs="微软雅黑"/>
          <w:color w:val="auto"/>
          <w:kern w:val="0"/>
          <w:sz w:val="24"/>
          <w:highlight w:val="none"/>
          <w:u w:val="single"/>
        </w:rPr>
      </w:pPr>
    </w:p>
    <w:p w14:paraId="2CB37586">
      <w:pPr>
        <w:pageBreakBefore w:val="0"/>
        <w:widowControl/>
        <w:kinsoku/>
        <w:overflowPunct/>
        <w:bidi w:val="0"/>
        <w:snapToGrid w:val="0"/>
        <w:spacing w:before="100" w:beforeAutospacing="1" w:after="100" w:afterAutospacing="1" w:line="312" w:lineRule="auto"/>
        <w:jc w:val="center"/>
        <w:rPr>
          <w:rFonts w:hint="eastAsia" w:ascii="微软雅黑" w:hAnsi="微软雅黑" w:eastAsia="微软雅黑" w:cs="微软雅黑"/>
          <w:color w:val="auto"/>
          <w:kern w:val="0"/>
          <w:sz w:val="24"/>
          <w:szCs w:val="24"/>
          <w:highlight w:val="none"/>
        </w:rPr>
      </w:pPr>
      <w:bookmarkStart w:id="410" w:name="_Toc5832"/>
      <w:bookmarkStart w:id="411" w:name="_Toc14769"/>
      <w:bookmarkStart w:id="412" w:name="_Toc14527"/>
      <w:bookmarkStart w:id="413" w:name="_Toc17523"/>
      <w:bookmarkStart w:id="414" w:name="_Toc22403"/>
      <w:bookmarkStart w:id="415" w:name="_Toc4212"/>
      <w:bookmarkStart w:id="416" w:name="_Toc11844"/>
      <w:bookmarkStart w:id="417" w:name="_Toc5757"/>
      <w:bookmarkStart w:id="418" w:name="_Toc8320"/>
      <w:bookmarkStart w:id="419" w:name="OLE_LINK14"/>
      <w:bookmarkStart w:id="420" w:name="_Toc515647825"/>
      <w:bookmarkStart w:id="421" w:name="OLE_LINK13"/>
      <w:bookmarkStart w:id="422" w:name="_Toc20016"/>
      <w:bookmarkStart w:id="423" w:name="_Toc26728"/>
      <w:bookmarkStart w:id="424" w:name="_Toc23068"/>
      <w:bookmarkStart w:id="425" w:name="_Toc19284"/>
      <w:r>
        <w:rPr>
          <w:rFonts w:hint="eastAsia" w:ascii="微软雅黑" w:hAnsi="微软雅黑" w:eastAsia="微软雅黑" w:cs="微软雅黑"/>
          <w:b/>
          <w:color w:val="auto"/>
          <w:kern w:val="0"/>
          <w:sz w:val="28"/>
          <w:szCs w:val="28"/>
          <w:highlight w:val="none"/>
          <w:lang w:val="en-US" w:eastAsia="zh-CN" w:bidi="ar-SA"/>
        </w:rPr>
        <w:t>6-2、《残疾人福利性单位声明函》</w:t>
      </w:r>
      <w:bookmarkEnd w:id="410"/>
      <w:bookmarkEnd w:id="411"/>
      <w:bookmarkEnd w:id="412"/>
      <w:bookmarkEnd w:id="413"/>
      <w:bookmarkEnd w:id="414"/>
      <w:bookmarkEnd w:id="415"/>
      <w:bookmarkEnd w:id="416"/>
      <w:bookmarkEnd w:id="417"/>
    </w:p>
    <w:p w14:paraId="18C7CC59">
      <w:pPr>
        <w:pageBreakBefore w:val="0"/>
        <w:kinsoku/>
        <w:overflowPunct/>
        <w:bidi w:val="0"/>
        <w:snapToGrid w:val="0"/>
        <w:spacing w:line="312" w:lineRule="auto"/>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546F242F">
      <w:pPr>
        <w:pageBreakBefore w:val="0"/>
        <w:kinsoku/>
        <w:overflowPunct/>
        <w:bidi w:val="0"/>
        <w:snapToGrid w:val="0"/>
        <w:spacing w:line="312" w:lineRule="auto"/>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本单位对上述声明的真实性负责。如有虚假，将依法承担相应责任。</w:t>
      </w:r>
    </w:p>
    <w:p w14:paraId="4205C7DA">
      <w:pPr>
        <w:pageBreakBefore w:val="0"/>
        <w:kinsoku/>
        <w:overflowPunct/>
        <w:bidi w:val="0"/>
        <w:snapToGrid w:val="0"/>
        <w:spacing w:line="312" w:lineRule="auto"/>
        <w:jc w:val="both"/>
        <w:textAlignment w:val="baseline"/>
        <w:rPr>
          <w:rFonts w:hint="eastAsia" w:ascii="微软雅黑" w:hAnsi="微软雅黑" w:eastAsia="微软雅黑" w:cs="微软雅黑"/>
          <w:color w:val="auto"/>
          <w:kern w:val="0"/>
          <w:sz w:val="24"/>
          <w:szCs w:val="24"/>
          <w:highlight w:val="none"/>
          <w:lang w:val="en-US" w:eastAsia="zh-CN"/>
        </w:rPr>
      </w:pPr>
    </w:p>
    <w:p w14:paraId="00914287">
      <w:pPr>
        <w:pageBreakBefore w:val="0"/>
        <w:kinsoku/>
        <w:overflowPunct/>
        <w:bidi w:val="0"/>
        <w:snapToGrid w:val="0"/>
        <w:spacing w:line="312" w:lineRule="auto"/>
        <w:ind w:firstLine="2880" w:firstLineChars="1200"/>
        <w:jc w:val="both"/>
        <w:textAlignment w:val="baseline"/>
        <w:rPr>
          <w:rFonts w:hint="eastAsia" w:ascii="微软雅黑" w:hAnsi="微软雅黑" w:eastAsia="微软雅黑" w:cs="微软雅黑"/>
          <w:color w:val="auto"/>
          <w:kern w:val="0"/>
          <w:sz w:val="24"/>
          <w:szCs w:val="24"/>
          <w:highlight w:val="none"/>
          <w:u w:val="single"/>
          <w:lang w:val="en-US" w:eastAsia="zh-CN"/>
        </w:rPr>
      </w:pPr>
      <w:r>
        <w:rPr>
          <w:rFonts w:hint="eastAsia" w:ascii="微软雅黑" w:hAnsi="微软雅黑" w:eastAsia="微软雅黑" w:cs="微软雅黑"/>
          <w:color w:val="auto"/>
          <w:kern w:val="0"/>
          <w:sz w:val="24"/>
          <w:szCs w:val="24"/>
          <w:highlight w:val="none"/>
        </w:rPr>
        <w:t>残疾人福利性单位名称（公章）：</w:t>
      </w:r>
      <w:r>
        <w:rPr>
          <w:rFonts w:hint="eastAsia" w:ascii="微软雅黑" w:hAnsi="微软雅黑" w:eastAsia="微软雅黑" w:cs="微软雅黑"/>
          <w:color w:val="auto"/>
          <w:kern w:val="0"/>
          <w:sz w:val="24"/>
          <w:szCs w:val="24"/>
          <w:highlight w:val="none"/>
          <w:u w:val="single"/>
          <w:lang w:val="en-US" w:eastAsia="zh-CN"/>
        </w:rPr>
        <w:t xml:space="preserve">              </w:t>
      </w:r>
    </w:p>
    <w:p w14:paraId="72906D5D">
      <w:pPr>
        <w:pStyle w:val="8"/>
        <w:pageBreakBefore w:val="0"/>
        <w:kinsoku/>
        <w:overflowPunct/>
        <w:bidi w:val="0"/>
        <w:snapToGrid w:val="0"/>
        <w:spacing w:line="312" w:lineRule="auto"/>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日  期：</w:t>
      </w:r>
      <w:r>
        <w:rPr>
          <w:rFonts w:hint="eastAsia" w:ascii="微软雅黑" w:hAnsi="微软雅黑" w:eastAsia="微软雅黑" w:cs="微软雅黑"/>
          <w:color w:val="auto"/>
          <w:kern w:val="0"/>
          <w:sz w:val="24"/>
          <w:szCs w:val="24"/>
          <w:highlight w:val="none"/>
          <w:u w:val="single"/>
          <w:lang w:val="en-US" w:eastAsia="zh-CN"/>
        </w:rPr>
        <w:t xml:space="preserve">                   </w:t>
      </w:r>
    </w:p>
    <w:p w14:paraId="3A11D886">
      <w:pPr>
        <w:pStyle w:val="8"/>
        <w:pageBreakBefore w:val="0"/>
        <w:kinsoku/>
        <w:overflowPunct/>
        <w:bidi w:val="0"/>
        <w:snapToGrid w:val="0"/>
        <w:spacing w:line="312" w:lineRule="auto"/>
        <w:ind w:left="0" w:leftChars="0" w:firstLine="0" w:firstLineChars="0"/>
        <w:rPr>
          <w:rFonts w:hint="eastAsia" w:ascii="微软雅黑" w:hAnsi="微软雅黑" w:eastAsia="微软雅黑" w:cs="微软雅黑"/>
          <w:color w:val="auto"/>
          <w:sz w:val="28"/>
          <w:szCs w:val="28"/>
          <w:highlight w:val="none"/>
          <w:lang w:val="en-US" w:eastAsia="zh-CN"/>
        </w:rPr>
      </w:pPr>
    </w:p>
    <w:p w14:paraId="3EA22115">
      <w:pPr>
        <w:pageBreakBefore w:val="0"/>
        <w:kinsoku/>
        <w:overflowPunct/>
        <w:bidi w:val="0"/>
        <w:snapToGrid w:val="0"/>
        <w:spacing w:line="312" w:lineRule="auto"/>
        <w:rPr>
          <w:rFonts w:hint="eastAsia" w:ascii="微软雅黑" w:hAnsi="微软雅黑" w:eastAsia="微软雅黑" w:cs="微软雅黑"/>
          <w:color w:val="auto"/>
          <w:sz w:val="28"/>
          <w:szCs w:val="28"/>
          <w:highlight w:val="none"/>
          <w:lang w:val="en-US" w:eastAsia="zh-CN"/>
        </w:rPr>
      </w:pPr>
    </w:p>
    <w:p w14:paraId="4DDE2FB0">
      <w:pPr>
        <w:pageBreakBefore w:val="0"/>
        <w:kinsoku/>
        <w:overflowPunct/>
        <w:bidi w:val="0"/>
        <w:snapToGrid w:val="0"/>
        <w:spacing w:after="60" w:afterLines="25" w:line="312" w:lineRule="auto"/>
        <w:rPr>
          <w:rFonts w:hint="eastAsia" w:ascii="微软雅黑" w:hAnsi="微软雅黑" w:eastAsia="微软雅黑" w:cs="微软雅黑"/>
          <w:b/>
          <w:color w:val="auto"/>
          <w:szCs w:val="21"/>
          <w:highlight w:val="none"/>
        </w:rPr>
      </w:pPr>
    </w:p>
    <w:p w14:paraId="5FF73947">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b/>
          <w:color w:val="auto"/>
          <w:szCs w:val="21"/>
          <w:highlight w:val="none"/>
        </w:rPr>
        <w:t>说明：</w:t>
      </w:r>
      <w:r>
        <w:rPr>
          <w:rFonts w:hint="eastAsia" w:ascii="微软雅黑" w:hAnsi="微软雅黑" w:eastAsia="微软雅黑" w:cs="微软雅黑"/>
          <w:color w:val="auto"/>
          <w:szCs w:val="21"/>
          <w:highlight w:val="none"/>
        </w:rPr>
        <w:t>根据财库〔2017〕141号文件的规定,享受政府采购支持政策的残疾人福利性单位应当同时满足以下条件：</w:t>
      </w:r>
    </w:p>
    <w:p w14:paraId="3974E0AD">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（一）</w:t>
      </w:r>
      <w:r>
        <w:rPr>
          <w:rFonts w:hint="eastAsia" w:ascii="微软雅黑" w:hAnsi="微软雅黑" w:eastAsia="微软雅黑" w:cs="微软雅黑"/>
          <w:b/>
          <w:color w:val="auto"/>
          <w:szCs w:val="21"/>
          <w:highlight w:val="none"/>
        </w:rPr>
        <w:t>安置的残疾人占本单位在职职工人数的比例不低于25%（含25%），并且安置的残疾人人数不少于10人（含10人）</w:t>
      </w:r>
      <w:r>
        <w:rPr>
          <w:rFonts w:hint="eastAsia" w:ascii="微软雅黑" w:hAnsi="微软雅黑" w:eastAsia="微软雅黑" w:cs="微软雅黑"/>
          <w:color w:val="auto"/>
          <w:szCs w:val="21"/>
          <w:highlight w:val="none"/>
        </w:rPr>
        <w:t>；</w:t>
      </w:r>
    </w:p>
    <w:p w14:paraId="7D0D9D81">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（二）依法与安置的每位残疾人签订了一年以上（含一年）的劳动合同或服务协议；</w:t>
      </w:r>
    </w:p>
    <w:p w14:paraId="0E2269A7">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（三）为安置的每位残疾人按月足额缴纳了基本养老保险、基本医疗保险、失业保险、工伤保险和生育保险等社会保险费；</w:t>
      </w:r>
    </w:p>
    <w:p w14:paraId="53E88351">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（四）通过银行等金融机构向安置的每位残疾人，按月支付了不低于单位所在区县适用的经省级人民政府批准的月最低工资标准的工资；</w:t>
      </w:r>
    </w:p>
    <w:p w14:paraId="388D1019">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lang w:val="en-US" w:eastAsia="zh-CN"/>
        </w:rPr>
        <w:sectPr>
          <w:pgSz w:w="11907" w:h="16840"/>
          <w:pgMar w:top="1474" w:right="1253" w:bottom="1474" w:left="1194"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微软雅黑" w:hAnsi="微软雅黑" w:eastAsia="微软雅黑" w:cs="微软雅黑"/>
          <w:color w:val="auto"/>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3D3D0D">
      <w:pPr>
        <w:pageBreakBefore w:val="0"/>
        <w:widowControl/>
        <w:kinsoku/>
        <w:overflowPunct/>
        <w:bidi w:val="0"/>
        <w:snapToGrid w:val="0"/>
        <w:spacing w:before="100" w:beforeAutospacing="1" w:after="100" w:afterAutospacing="1" w:line="312" w:lineRule="auto"/>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color w:val="auto"/>
          <w:kern w:val="0"/>
          <w:sz w:val="28"/>
          <w:szCs w:val="28"/>
          <w:highlight w:val="none"/>
          <w:lang w:val="en-US" w:eastAsia="zh-CN" w:bidi="ar-SA"/>
        </w:rPr>
        <w:t>6-3、《监狱企业声明函》</w:t>
      </w:r>
    </w:p>
    <w:p w14:paraId="199A6330">
      <w:pPr>
        <w:pageBreakBefore w:val="0"/>
        <w:kinsoku/>
        <w:overflowPunct/>
        <w:bidi w:val="0"/>
        <w:snapToGrid w:val="0"/>
        <w:spacing w:line="312" w:lineRule="auto"/>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本单位郑重声明，根据《财政部司法部关于政府采购支持监狱企业发展有关问题的通知》（财库〔2014〕68号）的规定，本单位为符合条件的</w:t>
      </w:r>
      <w:r>
        <w:rPr>
          <w:rFonts w:hint="eastAsia" w:ascii="微软雅黑" w:hAnsi="微软雅黑" w:eastAsia="微软雅黑" w:cs="微软雅黑"/>
          <w:color w:val="auto"/>
          <w:kern w:val="0"/>
          <w:sz w:val="24"/>
          <w:szCs w:val="24"/>
          <w:highlight w:val="none"/>
          <w:lang w:eastAsia="zh-CN"/>
        </w:rPr>
        <w:t>监狱企业</w:t>
      </w:r>
      <w:r>
        <w:rPr>
          <w:rFonts w:hint="eastAsia" w:ascii="微软雅黑" w:hAnsi="微软雅黑" w:eastAsia="微软雅黑" w:cs="微软雅黑"/>
          <w:color w:val="auto"/>
          <w:kern w:val="0"/>
          <w:sz w:val="24"/>
          <w:szCs w:val="24"/>
          <w:highlight w:val="none"/>
        </w:rPr>
        <w:t>福利性单位，本单位参加</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rPr>
        <w:t>单位的</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rPr>
        <w:t>项目采购活动</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货物/施工/服务全部由符合政策要求的监狱企业承接。相关监狱企业的具体情况如下：</w:t>
      </w:r>
    </w:p>
    <w:p w14:paraId="4D263B82">
      <w:pPr>
        <w:pageBreakBefore w:val="0"/>
        <w:kinsoku/>
        <w:overflowPunct/>
        <w:bidi w:val="0"/>
        <w:snapToGrid w:val="0"/>
        <w:spacing w:after="60" w:afterLines="25"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
          <w:bCs/>
          <w:color w:val="auto"/>
          <w:sz w:val="24"/>
          <w:szCs w:val="24"/>
          <w:highlight w:val="none"/>
          <w:u w:val="single"/>
        </w:rPr>
        <w:t>（标的名称）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承接单位</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b/>
          <w:bCs/>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b/>
          <w:bCs/>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1C041512">
      <w:pPr>
        <w:pageBreakBefore w:val="0"/>
        <w:kinsoku/>
        <w:overflowPunct/>
        <w:bidi w:val="0"/>
        <w:snapToGrid w:val="0"/>
        <w:spacing w:after="60" w:afterLines="25"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szCs w:val="24"/>
          <w:highlight w:val="none"/>
          <w:u w:val="single"/>
        </w:rPr>
        <w:t>（标的名称）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承接单位</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b/>
          <w:bCs/>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b/>
          <w:bCs/>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78D7D705">
      <w:pPr>
        <w:pageBreakBefore w:val="0"/>
        <w:kinsoku/>
        <w:overflowPunct/>
        <w:bidi w:val="0"/>
        <w:snapToGrid w:val="0"/>
        <w:spacing w:after="60" w:afterLines="25" w:line="312"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 </w:t>
      </w:r>
    </w:p>
    <w:p w14:paraId="4B80BF5B">
      <w:pPr>
        <w:pageBreakBefore w:val="0"/>
        <w:kinsoku/>
        <w:overflowPunct/>
        <w:bidi w:val="0"/>
        <w:snapToGrid w:val="0"/>
        <w:spacing w:line="312" w:lineRule="auto"/>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本单位对上述声明的真实性负责。如有虚假，将依法承担相应责任。</w:t>
      </w:r>
    </w:p>
    <w:p w14:paraId="4D01D6C3">
      <w:pPr>
        <w:pageBreakBefore w:val="0"/>
        <w:kinsoku/>
        <w:overflowPunct/>
        <w:bidi w:val="0"/>
        <w:snapToGrid w:val="0"/>
        <w:spacing w:line="312" w:lineRule="auto"/>
        <w:jc w:val="both"/>
        <w:textAlignment w:val="baseline"/>
        <w:rPr>
          <w:rFonts w:hint="eastAsia" w:ascii="微软雅黑" w:hAnsi="微软雅黑" w:eastAsia="微软雅黑" w:cs="微软雅黑"/>
          <w:color w:val="auto"/>
          <w:kern w:val="0"/>
          <w:sz w:val="24"/>
          <w:szCs w:val="24"/>
          <w:highlight w:val="none"/>
          <w:lang w:val="en-US" w:eastAsia="zh-CN"/>
        </w:rPr>
      </w:pPr>
    </w:p>
    <w:p w14:paraId="696EE484">
      <w:pPr>
        <w:pageBreakBefore w:val="0"/>
        <w:kinsoku/>
        <w:overflowPunct/>
        <w:bidi w:val="0"/>
        <w:snapToGrid w:val="0"/>
        <w:spacing w:line="312" w:lineRule="auto"/>
        <w:ind w:left="1080" w:leftChars="257" w:hanging="540"/>
        <w:jc w:val="both"/>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color w:val="auto"/>
          <w:sz w:val="24"/>
          <w:szCs w:val="24"/>
          <w:highlight w:val="none"/>
        </w:rPr>
        <w:t>附：省级以上监狱管理局、戒毒管理局（含新疆生产建设兵团）出具的监狱企业证明文件。</w:t>
      </w:r>
    </w:p>
    <w:p w14:paraId="6398E366">
      <w:pPr>
        <w:pageBreakBefore w:val="0"/>
        <w:kinsoku/>
        <w:overflowPunct/>
        <w:bidi w:val="0"/>
        <w:snapToGrid w:val="0"/>
        <w:spacing w:line="312" w:lineRule="auto"/>
        <w:ind w:left="1080" w:leftChars="257" w:hanging="540"/>
        <w:jc w:val="both"/>
        <w:textAlignment w:val="baseline"/>
        <w:rPr>
          <w:rFonts w:hint="eastAsia" w:ascii="微软雅黑" w:hAnsi="微软雅黑" w:eastAsia="微软雅黑" w:cs="微软雅黑"/>
          <w:color w:val="auto"/>
          <w:kern w:val="0"/>
          <w:sz w:val="24"/>
          <w:szCs w:val="24"/>
          <w:highlight w:val="none"/>
        </w:rPr>
      </w:pPr>
    </w:p>
    <w:p w14:paraId="7119DAF6">
      <w:pPr>
        <w:pageBreakBefore w:val="0"/>
        <w:kinsoku/>
        <w:overflowPunct/>
        <w:bidi w:val="0"/>
        <w:snapToGrid w:val="0"/>
        <w:spacing w:line="312" w:lineRule="auto"/>
        <w:ind w:left="1080" w:leftChars="257" w:hanging="540"/>
        <w:jc w:val="both"/>
        <w:textAlignment w:val="baseline"/>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供应商名称(单位盖章)</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u w:val="single"/>
          <w:lang w:val="en-US" w:eastAsia="zh-CN"/>
        </w:rPr>
        <w:t xml:space="preserve">              </w:t>
      </w:r>
    </w:p>
    <w:p w14:paraId="450A81BF">
      <w:pPr>
        <w:pageBreakBefore w:val="0"/>
        <w:kinsoku/>
        <w:overflowPunct/>
        <w:bidi w:val="0"/>
        <w:snapToGrid w:val="0"/>
        <w:spacing w:line="312" w:lineRule="auto"/>
        <w:ind w:left="1080" w:leftChars="257" w:hanging="540"/>
        <w:jc w:val="both"/>
        <w:textAlignment w:val="baseline"/>
        <w:rPr>
          <w:rFonts w:hint="eastAsia" w:ascii="微软雅黑" w:hAnsi="微软雅黑" w:eastAsia="微软雅黑" w:cs="微软雅黑"/>
          <w:color w:val="auto"/>
          <w:kern w:val="0"/>
          <w:sz w:val="24"/>
          <w:szCs w:val="24"/>
          <w:highlight w:val="none"/>
          <w:u w:val="single"/>
          <w:lang w:val="en-US" w:eastAsia="zh-CN"/>
        </w:rPr>
      </w:pPr>
      <w:r>
        <w:rPr>
          <w:rFonts w:hint="eastAsia" w:ascii="微软雅黑" w:hAnsi="微软雅黑" w:eastAsia="微软雅黑" w:cs="微软雅黑"/>
          <w:color w:val="auto"/>
          <w:kern w:val="0"/>
          <w:sz w:val="24"/>
          <w:szCs w:val="24"/>
          <w:highlight w:val="none"/>
        </w:rPr>
        <w:t>日  期：</w:t>
      </w:r>
      <w:r>
        <w:rPr>
          <w:rFonts w:hint="eastAsia" w:ascii="微软雅黑" w:hAnsi="微软雅黑" w:eastAsia="微软雅黑" w:cs="微软雅黑"/>
          <w:color w:val="auto"/>
          <w:kern w:val="0"/>
          <w:sz w:val="24"/>
          <w:szCs w:val="24"/>
          <w:highlight w:val="none"/>
          <w:u w:val="single"/>
          <w:lang w:val="en-US" w:eastAsia="zh-CN"/>
        </w:rPr>
        <w:t xml:space="preserve">              </w:t>
      </w:r>
    </w:p>
    <w:p w14:paraId="138D6AA8">
      <w:pPr>
        <w:pStyle w:val="4"/>
        <w:pageBreakBefore w:val="0"/>
        <w:kinsoku/>
        <w:overflowPunct/>
        <w:bidi w:val="0"/>
        <w:snapToGrid w:val="0"/>
        <w:spacing w:before="0" w:line="312" w:lineRule="auto"/>
        <w:jc w:val="both"/>
        <w:outlineLvl w:val="9"/>
        <w:rPr>
          <w:rFonts w:hint="eastAsia" w:ascii="微软雅黑" w:hAnsi="微软雅黑" w:eastAsia="微软雅黑" w:cs="微软雅黑"/>
          <w:color w:val="auto"/>
          <w:sz w:val="22"/>
          <w:szCs w:val="22"/>
          <w:highlight w:val="none"/>
        </w:rPr>
      </w:pPr>
    </w:p>
    <w:bookmarkEnd w:id="418"/>
    <w:bookmarkEnd w:id="419"/>
    <w:bookmarkEnd w:id="420"/>
    <w:bookmarkEnd w:id="421"/>
    <w:bookmarkEnd w:id="422"/>
    <w:bookmarkEnd w:id="423"/>
    <w:bookmarkEnd w:id="424"/>
    <w:bookmarkEnd w:id="425"/>
    <w:p w14:paraId="09C3F5C7">
      <w:pPr>
        <w:pageBreakBefore w:val="0"/>
        <w:kinsoku/>
        <w:overflowPunct/>
        <w:bidi w:val="0"/>
        <w:snapToGrid w:val="0"/>
        <w:spacing w:line="312" w:lineRule="auto"/>
        <w:ind w:left="1080" w:leftChars="257" w:hanging="540"/>
        <w:rPr>
          <w:rFonts w:hint="eastAsia" w:ascii="微软雅黑" w:hAnsi="微软雅黑" w:eastAsia="微软雅黑" w:cs="微软雅黑"/>
          <w:color w:val="auto"/>
          <w:sz w:val="22"/>
          <w:szCs w:val="22"/>
          <w:highlight w:val="none"/>
        </w:rPr>
      </w:pPr>
      <w:bookmarkStart w:id="426" w:name="_Toc30795"/>
      <w:bookmarkStart w:id="427" w:name="_Toc515647827"/>
      <w:bookmarkStart w:id="428" w:name="_Toc28099"/>
    </w:p>
    <w:bookmarkEnd w:id="426"/>
    <w:bookmarkEnd w:id="427"/>
    <w:bookmarkEnd w:id="428"/>
    <w:p w14:paraId="34C07FEA">
      <w:pPr>
        <w:pStyle w:val="4"/>
        <w:pageBreakBefore w:val="0"/>
        <w:kinsoku/>
        <w:overflowPunct/>
        <w:bidi w:val="0"/>
        <w:snapToGrid w:val="0"/>
        <w:spacing w:before="0" w:line="312" w:lineRule="auto"/>
        <w:jc w:val="center"/>
        <w:outlineLvl w:val="9"/>
        <w:rPr>
          <w:rFonts w:hint="eastAsia" w:ascii="微软雅黑" w:hAnsi="微软雅黑" w:eastAsia="微软雅黑" w:cs="微软雅黑"/>
          <w:color w:val="auto"/>
          <w:sz w:val="24"/>
          <w:szCs w:val="20"/>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29" w:name="_Toc31780"/>
      <w:bookmarkStart w:id="430" w:name="_Toc29422"/>
      <w:bookmarkStart w:id="431" w:name="_Toc14172"/>
      <w:bookmarkStart w:id="432" w:name="_Toc12633"/>
    </w:p>
    <w:p w14:paraId="192FC09B">
      <w:pPr>
        <w:pStyle w:val="4"/>
        <w:pageBreakBefore w:val="0"/>
        <w:kinsoku/>
        <w:overflowPunct/>
        <w:bidi w:val="0"/>
        <w:snapToGrid w:val="0"/>
        <w:spacing w:before="0" w:line="312"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8"/>
          <w:szCs w:val="21"/>
          <w:highlight w:val="none"/>
          <w:lang w:val="en-US" w:eastAsia="zh-CN"/>
        </w:rPr>
        <w:t>7</w:t>
      </w:r>
      <w:r>
        <w:rPr>
          <w:rFonts w:hint="eastAsia" w:ascii="微软雅黑" w:hAnsi="微软雅黑" w:eastAsia="微软雅黑" w:cs="微软雅黑"/>
          <w:color w:val="auto"/>
          <w:sz w:val="28"/>
          <w:szCs w:val="21"/>
          <w:highlight w:val="none"/>
          <w:lang w:eastAsia="zh-CN"/>
        </w:rPr>
        <w:t>、</w:t>
      </w:r>
      <w:r>
        <w:rPr>
          <w:rFonts w:hint="eastAsia" w:ascii="微软雅黑" w:hAnsi="微软雅黑" w:eastAsia="微软雅黑" w:cs="微软雅黑"/>
          <w:color w:val="auto"/>
          <w:sz w:val="28"/>
          <w:szCs w:val="21"/>
          <w:highlight w:val="none"/>
        </w:rPr>
        <w:t>供应商关联单位的说明</w:t>
      </w:r>
      <w:bookmarkEnd w:id="429"/>
      <w:bookmarkEnd w:id="430"/>
      <w:bookmarkEnd w:id="431"/>
      <w:bookmarkEnd w:id="432"/>
    </w:p>
    <w:p w14:paraId="481E8685">
      <w:pPr>
        <w:pStyle w:val="8"/>
        <w:ind w:left="0" w:leftChars="0" w:firstLine="240" w:firstLineChars="100"/>
        <w:rPr>
          <w:rFonts w:hint="eastAsia" w:ascii="微软雅黑" w:hAnsi="微软雅黑" w:eastAsia="微软雅黑" w:cs="微软雅黑"/>
          <w:color w:val="auto"/>
          <w:kern w:val="0"/>
          <w:sz w:val="24"/>
          <w:szCs w:val="24"/>
          <w:highlight w:val="none"/>
          <w:lang w:val="en-US" w:eastAsia="zh-CN" w:bidi="ar-SA"/>
        </w:rPr>
      </w:pPr>
      <w:bookmarkStart w:id="433" w:name="_Toc9060"/>
      <w:bookmarkStart w:id="434" w:name="_Toc7414"/>
      <w:bookmarkStart w:id="435" w:name="_Toc28910"/>
      <w:bookmarkStart w:id="436" w:name="_Toc6536"/>
      <w:bookmarkStart w:id="437" w:name="_Toc515647828"/>
      <w:bookmarkStart w:id="438" w:name="_Toc17333"/>
      <w:bookmarkStart w:id="439" w:name="_Toc9517"/>
    </w:p>
    <w:p w14:paraId="238E59F6">
      <w:pPr>
        <w:pStyle w:val="8"/>
        <w:ind w:left="0" w:leftChars="0" w:firstLine="240" w:firstLineChars="100"/>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说明：投标人应当如实披露与本单位存在下列关联关系的单位名称：</w:t>
      </w:r>
    </w:p>
    <w:p w14:paraId="5B90B674">
      <w:pPr>
        <w:pStyle w:val="8"/>
        <w:numPr>
          <w:ilvl w:val="0"/>
          <w:numId w:val="0"/>
        </w:numPr>
        <w:ind w:left="708" w:leftChars="0"/>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（1）与投标人单位负责人为同一人的其他单位；</w:t>
      </w:r>
    </w:p>
    <w:p w14:paraId="3488C018">
      <w:pPr>
        <w:pStyle w:val="8"/>
        <w:numPr>
          <w:ilvl w:val="0"/>
          <w:numId w:val="0"/>
        </w:numPr>
        <w:ind w:firstLine="720" w:firstLineChars="300"/>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（2）与投标人存在直接控股、管理关系的其他单位。</w:t>
      </w:r>
    </w:p>
    <w:p w14:paraId="656A8549">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78139DBD">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6A1C7360">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3C7C1715">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178D2158">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24626828">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16AD922E">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5C8ABC90">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3DB79C7B">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3E9D64FE">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6A0091A0">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6883BF18">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5EDF3C37">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646BA253">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65D63220">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2084666F">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1DED443B">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177FDAF3">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64E84817">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p>
    <w:p w14:paraId="72611F45">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r>
        <w:rPr>
          <w:rFonts w:hint="eastAsia" w:ascii="微软雅黑" w:hAnsi="微软雅黑" w:eastAsia="微软雅黑" w:cs="微软雅黑"/>
          <w:b/>
          <w:color w:val="auto"/>
          <w:kern w:val="0"/>
          <w:sz w:val="28"/>
          <w:szCs w:val="21"/>
          <w:highlight w:val="none"/>
          <w:lang w:val="en-US" w:eastAsia="zh-CN" w:bidi="ar-SA"/>
        </w:rPr>
        <w:t>8、</w:t>
      </w:r>
      <w:bookmarkEnd w:id="433"/>
      <w:bookmarkEnd w:id="434"/>
      <w:bookmarkEnd w:id="435"/>
      <w:bookmarkEnd w:id="436"/>
      <w:bookmarkEnd w:id="437"/>
      <w:bookmarkEnd w:id="438"/>
      <w:bookmarkEnd w:id="439"/>
      <w:bookmarkStart w:id="440" w:name="_Toc21017"/>
      <w:bookmarkStart w:id="441" w:name="_Toc21672"/>
      <w:bookmarkStart w:id="442" w:name="_Toc19460"/>
      <w:bookmarkStart w:id="443" w:name="_Toc30129"/>
      <w:bookmarkStart w:id="444" w:name="_Toc18089"/>
      <w:r>
        <w:rPr>
          <w:rFonts w:hint="eastAsia" w:ascii="微软雅黑" w:hAnsi="微软雅黑" w:eastAsia="微软雅黑" w:cs="微软雅黑"/>
          <w:b/>
          <w:color w:val="auto"/>
          <w:kern w:val="0"/>
          <w:sz w:val="28"/>
          <w:szCs w:val="21"/>
          <w:highlight w:val="none"/>
          <w:lang w:val="en-US" w:eastAsia="zh-CN" w:bidi="ar-SA"/>
        </w:rPr>
        <w:t>其他有利于投标人的资料</w:t>
      </w:r>
    </w:p>
    <w:bookmarkEnd w:id="440"/>
    <w:bookmarkEnd w:id="441"/>
    <w:bookmarkEnd w:id="442"/>
    <w:bookmarkEnd w:id="443"/>
    <w:bookmarkEnd w:id="444"/>
    <w:p w14:paraId="088BCF65">
      <w:pPr>
        <w:pStyle w:val="5"/>
        <w:jc w:val="left"/>
        <w:rPr>
          <w:rFonts w:hint="eastAsia" w:ascii="微软雅黑" w:hAnsi="微软雅黑" w:eastAsia="微软雅黑" w:cs="微软雅黑"/>
          <w:color w:val="auto"/>
          <w:kern w:val="0"/>
          <w:sz w:val="24"/>
          <w:szCs w:val="24"/>
          <w:highlight w:val="none"/>
          <w:u w:val="none"/>
          <w:lang w:val="en-US" w:eastAsia="zh-CN" w:bidi="ar-SA"/>
        </w:rPr>
      </w:pPr>
      <w:bookmarkStart w:id="445" w:name="_Toc21156_WPSOffice_Level1"/>
      <w:bookmarkStart w:id="446" w:name="_Toc219175634"/>
      <w:bookmarkStart w:id="447" w:name="_Toc218935350"/>
      <w:bookmarkStart w:id="448" w:name="_Toc216582822"/>
      <w:bookmarkStart w:id="449" w:name="_Toc507399902"/>
      <w:bookmarkStart w:id="450" w:name="_Toc9913"/>
      <w:bookmarkStart w:id="451" w:name="_Toc518923124"/>
      <w:bookmarkStart w:id="452" w:name="_Toc3540"/>
      <w:bookmarkStart w:id="453" w:name="_Toc11726"/>
      <w:bookmarkStart w:id="454" w:name="_Toc32025"/>
      <w:r>
        <w:rPr>
          <w:rFonts w:hint="eastAsia" w:ascii="微软雅黑" w:hAnsi="微软雅黑" w:eastAsia="微软雅黑" w:cs="微软雅黑"/>
          <w:color w:val="auto"/>
          <w:kern w:val="0"/>
          <w:sz w:val="24"/>
          <w:szCs w:val="24"/>
          <w:highlight w:val="none"/>
          <w:u w:val="none"/>
          <w:lang w:val="en-US" w:eastAsia="zh-CN" w:bidi="ar-SA"/>
        </w:rPr>
        <w:t>注：参照“第六章评分方法和标准”，提供有力于投标人的其他资料。</w:t>
      </w:r>
    </w:p>
    <w:p w14:paraId="7C3ADBB2">
      <w:pPr>
        <w:rPr>
          <w:rFonts w:hint="eastAsia" w:ascii="微软雅黑" w:hAnsi="微软雅黑" w:eastAsia="微软雅黑" w:cs="微软雅黑"/>
          <w:color w:val="auto"/>
          <w:kern w:val="0"/>
          <w:sz w:val="24"/>
          <w:szCs w:val="24"/>
          <w:highlight w:val="none"/>
          <w:u w:val="none"/>
          <w:lang w:val="en-US" w:eastAsia="zh-CN" w:bidi="ar-SA"/>
        </w:rPr>
      </w:pPr>
    </w:p>
    <w:p w14:paraId="6F305F16">
      <w:pPr>
        <w:rPr>
          <w:rFonts w:hint="eastAsia" w:ascii="微软雅黑" w:hAnsi="微软雅黑" w:eastAsia="微软雅黑" w:cs="微软雅黑"/>
          <w:color w:val="auto"/>
          <w:kern w:val="0"/>
          <w:sz w:val="24"/>
          <w:szCs w:val="24"/>
          <w:highlight w:val="none"/>
          <w:u w:val="none"/>
          <w:lang w:val="en-US" w:eastAsia="zh-CN" w:bidi="ar-SA"/>
        </w:rPr>
      </w:pPr>
    </w:p>
    <w:p w14:paraId="3F671113">
      <w:pPr>
        <w:rPr>
          <w:rFonts w:hint="eastAsia" w:ascii="微软雅黑" w:hAnsi="微软雅黑" w:eastAsia="微软雅黑" w:cs="微软雅黑"/>
          <w:color w:val="auto"/>
          <w:kern w:val="0"/>
          <w:sz w:val="24"/>
          <w:szCs w:val="24"/>
          <w:highlight w:val="none"/>
          <w:u w:val="none"/>
          <w:lang w:val="en-US" w:eastAsia="zh-CN" w:bidi="ar-SA"/>
        </w:rPr>
      </w:pPr>
    </w:p>
    <w:p w14:paraId="7109760E">
      <w:pPr>
        <w:rPr>
          <w:rFonts w:hint="eastAsia" w:ascii="微软雅黑" w:hAnsi="微软雅黑" w:eastAsia="微软雅黑" w:cs="微软雅黑"/>
          <w:color w:val="auto"/>
          <w:kern w:val="0"/>
          <w:sz w:val="24"/>
          <w:szCs w:val="24"/>
          <w:highlight w:val="none"/>
          <w:u w:val="none"/>
          <w:lang w:val="en-US" w:eastAsia="zh-CN" w:bidi="ar-SA"/>
        </w:rPr>
      </w:pPr>
    </w:p>
    <w:p w14:paraId="67519012">
      <w:pPr>
        <w:rPr>
          <w:rFonts w:hint="eastAsia" w:ascii="微软雅黑" w:hAnsi="微软雅黑" w:eastAsia="微软雅黑" w:cs="微软雅黑"/>
          <w:color w:val="auto"/>
          <w:kern w:val="0"/>
          <w:sz w:val="24"/>
          <w:szCs w:val="24"/>
          <w:highlight w:val="none"/>
          <w:u w:val="none"/>
          <w:lang w:val="en-US" w:eastAsia="zh-CN" w:bidi="ar-SA"/>
        </w:rPr>
      </w:pPr>
    </w:p>
    <w:p w14:paraId="6AB79C87">
      <w:pPr>
        <w:rPr>
          <w:rFonts w:hint="eastAsia" w:ascii="微软雅黑" w:hAnsi="微软雅黑" w:eastAsia="微软雅黑" w:cs="微软雅黑"/>
          <w:color w:val="auto"/>
          <w:kern w:val="0"/>
          <w:sz w:val="24"/>
          <w:szCs w:val="24"/>
          <w:highlight w:val="none"/>
          <w:u w:val="none"/>
          <w:lang w:val="en-US" w:eastAsia="zh-CN" w:bidi="ar-SA"/>
        </w:rPr>
      </w:pPr>
    </w:p>
    <w:p w14:paraId="0A379A0C">
      <w:pPr>
        <w:rPr>
          <w:rFonts w:hint="eastAsia" w:ascii="微软雅黑" w:hAnsi="微软雅黑" w:eastAsia="微软雅黑" w:cs="微软雅黑"/>
          <w:color w:val="auto"/>
          <w:kern w:val="0"/>
          <w:sz w:val="24"/>
          <w:szCs w:val="24"/>
          <w:highlight w:val="none"/>
          <w:u w:val="none"/>
          <w:lang w:val="en-US" w:eastAsia="zh-CN" w:bidi="ar-SA"/>
        </w:rPr>
      </w:pPr>
    </w:p>
    <w:p w14:paraId="65B35A21">
      <w:pPr>
        <w:rPr>
          <w:rFonts w:hint="eastAsia" w:ascii="微软雅黑" w:hAnsi="微软雅黑" w:eastAsia="微软雅黑" w:cs="微软雅黑"/>
          <w:color w:val="auto"/>
          <w:kern w:val="0"/>
          <w:sz w:val="24"/>
          <w:szCs w:val="24"/>
          <w:highlight w:val="none"/>
          <w:u w:val="none"/>
          <w:lang w:val="en-US" w:eastAsia="zh-CN" w:bidi="ar-SA"/>
        </w:rPr>
      </w:pPr>
    </w:p>
    <w:p w14:paraId="53B981A5">
      <w:pPr>
        <w:rPr>
          <w:rFonts w:hint="eastAsia" w:ascii="微软雅黑" w:hAnsi="微软雅黑" w:eastAsia="微软雅黑" w:cs="微软雅黑"/>
          <w:color w:val="auto"/>
          <w:kern w:val="0"/>
          <w:sz w:val="24"/>
          <w:szCs w:val="24"/>
          <w:highlight w:val="none"/>
          <w:u w:val="none"/>
          <w:lang w:val="en-US" w:eastAsia="zh-CN" w:bidi="ar-SA"/>
        </w:rPr>
      </w:pPr>
    </w:p>
    <w:p w14:paraId="13CFB4F7">
      <w:pPr>
        <w:rPr>
          <w:rFonts w:hint="eastAsia" w:ascii="微软雅黑" w:hAnsi="微软雅黑" w:eastAsia="微软雅黑" w:cs="微软雅黑"/>
          <w:color w:val="auto"/>
          <w:kern w:val="0"/>
          <w:sz w:val="24"/>
          <w:szCs w:val="24"/>
          <w:highlight w:val="none"/>
          <w:u w:val="none"/>
          <w:lang w:val="en-US" w:eastAsia="zh-CN" w:bidi="ar-SA"/>
        </w:rPr>
      </w:pPr>
    </w:p>
    <w:p w14:paraId="53378152">
      <w:pPr>
        <w:rPr>
          <w:rFonts w:hint="eastAsia" w:ascii="微软雅黑" w:hAnsi="微软雅黑" w:eastAsia="微软雅黑" w:cs="微软雅黑"/>
          <w:color w:val="auto"/>
          <w:kern w:val="0"/>
          <w:sz w:val="24"/>
          <w:szCs w:val="24"/>
          <w:highlight w:val="none"/>
          <w:u w:val="none"/>
          <w:lang w:val="en-US" w:eastAsia="zh-CN" w:bidi="ar-SA"/>
        </w:rPr>
      </w:pPr>
    </w:p>
    <w:p w14:paraId="7F470ED5">
      <w:pPr>
        <w:rPr>
          <w:rFonts w:hint="eastAsia" w:ascii="微软雅黑" w:hAnsi="微软雅黑" w:eastAsia="微软雅黑" w:cs="微软雅黑"/>
          <w:color w:val="auto"/>
          <w:kern w:val="0"/>
          <w:sz w:val="24"/>
          <w:szCs w:val="24"/>
          <w:highlight w:val="none"/>
          <w:u w:val="none"/>
          <w:lang w:val="en-US" w:eastAsia="zh-CN" w:bidi="ar-SA"/>
        </w:rPr>
      </w:pPr>
    </w:p>
    <w:p w14:paraId="777431BD">
      <w:pPr>
        <w:rPr>
          <w:rFonts w:hint="eastAsia" w:ascii="微软雅黑" w:hAnsi="微软雅黑" w:eastAsia="微软雅黑" w:cs="微软雅黑"/>
          <w:color w:val="auto"/>
          <w:kern w:val="0"/>
          <w:sz w:val="24"/>
          <w:szCs w:val="24"/>
          <w:highlight w:val="none"/>
          <w:u w:val="none"/>
          <w:lang w:val="en-US" w:eastAsia="zh-CN" w:bidi="ar-SA"/>
        </w:rPr>
      </w:pPr>
    </w:p>
    <w:p w14:paraId="4837C132">
      <w:pPr>
        <w:rPr>
          <w:rFonts w:hint="eastAsia" w:ascii="微软雅黑" w:hAnsi="微软雅黑" w:eastAsia="微软雅黑" w:cs="微软雅黑"/>
          <w:color w:val="auto"/>
          <w:kern w:val="0"/>
          <w:sz w:val="24"/>
          <w:szCs w:val="24"/>
          <w:highlight w:val="none"/>
          <w:u w:val="none"/>
          <w:lang w:val="en-US" w:eastAsia="zh-CN" w:bidi="ar-SA"/>
        </w:rPr>
      </w:pPr>
    </w:p>
    <w:p w14:paraId="36B76F51">
      <w:pPr>
        <w:rPr>
          <w:rFonts w:hint="eastAsia" w:ascii="微软雅黑" w:hAnsi="微软雅黑" w:eastAsia="微软雅黑" w:cs="微软雅黑"/>
          <w:color w:val="auto"/>
          <w:kern w:val="0"/>
          <w:sz w:val="24"/>
          <w:szCs w:val="24"/>
          <w:highlight w:val="none"/>
          <w:u w:val="none"/>
          <w:lang w:val="en-US" w:eastAsia="zh-CN" w:bidi="ar-SA"/>
        </w:rPr>
      </w:pPr>
    </w:p>
    <w:p w14:paraId="5F53A773">
      <w:pPr>
        <w:rPr>
          <w:rFonts w:hint="eastAsia" w:ascii="微软雅黑" w:hAnsi="微软雅黑" w:eastAsia="微软雅黑" w:cs="微软雅黑"/>
          <w:color w:val="auto"/>
          <w:kern w:val="0"/>
          <w:sz w:val="24"/>
          <w:szCs w:val="24"/>
          <w:highlight w:val="none"/>
          <w:u w:val="none"/>
          <w:lang w:val="en-US" w:eastAsia="zh-CN" w:bidi="ar-SA"/>
        </w:rPr>
      </w:pPr>
    </w:p>
    <w:p w14:paraId="3129B6C2">
      <w:pPr>
        <w:rPr>
          <w:rFonts w:hint="eastAsia" w:ascii="微软雅黑" w:hAnsi="微软雅黑" w:eastAsia="微软雅黑" w:cs="微软雅黑"/>
          <w:color w:val="auto"/>
          <w:kern w:val="0"/>
          <w:sz w:val="24"/>
          <w:szCs w:val="24"/>
          <w:highlight w:val="none"/>
          <w:u w:val="none"/>
          <w:lang w:val="en-US" w:eastAsia="zh-CN" w:bidi="ar-SA"/>
        </w:rPr>
      </w:pPr>
    </w:p>
    <w:p w14:paraId="44A4AC4F">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伽师县民政局政府购买社会救助事务性服务示范项目</w:t>
      </w:r>
    </w:p>
    <w:p w14:paraId="06365AA6">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p>
    <w:p w14:paraId="4B2CB0D7">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竞争性磋商文件</w:t>
      </w:r>
    </w:p>
    <w:p w14:paraId="79670387">
      <w:pPr>
        <w:pStyle w:val="54"/>
        <w:pageBreakBefore w:val="0"/>
        <w:kinsoku/>
        <w:overflowPunct/>
        <w:bidi w:val="0"/>
        <w:snapToGrid w:val="0"/>
        <w:spacing w:line="312" w:lineRule="auto"/>
        <w:rPr>
          <w:rFonts w:hint="eastAsia" w:ascii="微软雅黑" w:hAnsi="微软雅黑" w:eastAsia="微软雅黑" w:cs="微软雅黑"/>
          <w:color w:val="auto"/>
          <w:sz w:val="36"/>
          <w:szCs w:val="36"/>
          <w:highlight w:val="none"/>
          <w:lang w:val="en-US" w:eastAsia="zh-CN"/>
        </w:rPr>
      </w:pPr>
    </w:p>
    <w:p w14:paraId="15D2407A">
      <w:pPr>
        <w:pStyle w:val="2"/>
        <w:pageBreakBefore w:val="0"/>
        <w:kinsoku/>
        <w:overflowPunct/>
        <w:bidi w:val="0"/>
        <w:snapToGrid w:val="0"/>
        <w:spacing w:line="312" w:lineRule="auto"/>
        <w:jc w:val="center"/>
        <w:rPr>
          <w:rFonts w:hint="default"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项目编号：XJZHZFCG-2025-01</w:t>
      </w:r>
    </w:p>
    <w:p w14:paraId="1DC02875">
      <w:pPr>
        <w:pageBreakBefore w:val="0"/>
        <w:kinsoku/>
        <w:overflowPunct/>
        <w:bidi w:val="0"/>
        <w:snapToGrid w:val="0"/>
        <w:spacing w:line="312" w:lineRule="auto"/>
        <w:ind w:left="1079" w:leftChars="257" w:hanging="540"/>
        <w:jc w:val="center"/>
        <w:rPr>
          <w:rFonts w:hint="eastAsia" w:ascii="微软雅黑" w:hAnsi="微软雅黑" w:eastAsia="微软雅黑" w:cs="微软雅黑"/>
          <w:b/>
          <w:color w:val="auto"/>
          <w:kern w:val="2"/>
          <w:sz w:val="36"/>
          <w:szCs w:val="36"/>
          <w:highlight w:val="none"/>
          <w:lang w:val="en-US" w:eastAsia="zh-CN" w:bidi="ar-SA"/>
        </w:rPr>
      </w:pPr>
    </w:p>
    <w:p w14:paraId="6D8C88AB">
      <w:pPr>
        <w:pStyle w:val="5"/>
        <w:pageBreakBefore w:val="0"/>
        <w:kinsoku/>
        <w:overflowPunct/>
        <w:bidi w:val="0"/>
        <w:snapToGrid w:val="0"/>
        <w:spacing w:line="312" w:lineRule="auto"/>
        <w:rPr>
          <w:rFonts w:hint="eastAsia" w:ascii="微软雅黑" w:hAnsi="微软雅黑" w:eastAsia="微软雅黑" w:cs="微软雅黑"/>
          <w:b/>
          <w:color w:val="auto"/>
          <w:kern w:val="2"/>
          <w:sz w:val="36"/>
          <w:szCs w:val="36"/>
          <w:highlight w:val="none"/>
          <w:lang w:val="en-US" w:eastAsia="zh-CN" w:bidi="ar-SA"/>
        </w:rPr>
      </w:pPr>
    </w:p>
    <w:p w14:paraId="4D08BB8D">
      <w:pPr>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第二册</w:t>
      </w:r>
    </w:p>
    <w:p w14:paraId="03E321D2">
      <w:pPr>
        <w:pageBreakBefore w:val="0"/>
        <w:kinsoku/>
        <w:overflowPunct/>
        <w:bidi w:val="0"/>
        <w:snapToGrid w:val="0"/>
        <w:spacing w:line="312" w:lineRule="auto"/>
        <w:jc w:val="both"/>
        <w:rPr>
          <w:rFonts w:hint="eastAsia" w:ascii="微软雅黑" w:hAnsi="微软雅黑" w:eastAsia="微软雅黑" w:cs="微软雅黑"/>
          <w:b/>
          <w:bCs/>
          <w:color w:val="auto"/>
          <w:sz w:val="32"/>
          <w:szCs w:val="32"/>
          <w:highlight w:val="none"/>
          <w:u w:val="none"/>
        </w:rPr>
      </w:pPr>
    </w:p>
    <w:p w14:paraId="3E3FF4C4">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08711E18">
      <w:pPr>
        <w:pageBreakBefore w:val="0"/>
        <w:kinsoku/>
        <w:overflowPunct/>
        <w:bidi w:val="0"/>
        <w:snapToGrid w:val="0"/>
        <w:spacing w:line="312" w:lineRule="auto"/>
        <w:jc w:val="both"/>
        <w:outlineLvl w:val="9"/>
        <w:rPr>
          <w:rFonts w:hint="eastAsia" w:ascii="微软雅黑" w:hAnsi="微软雅黑" w:eastAsia="微软雅黑" w:cs="微软雅黑"/>
          <w:b/>
          <w:color w:val="auto"/>
          <w:spacing w:val="4"/>
          <w:sz w:val="32"/>
          <w:szCs w:val="32"/>
          <w:highlight w:val="none"/>
        </w:rPr>
      </w:pPr>
    </w:p>
    <w:p w14:paraId="4F37D817">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4C5B5537">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6DE80503">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14:paraId="18AB20CD">
      <w:pPr>
        <w:pageBreakBefore w:val="0"/>
        <w:kinsoku/>
        <w:overflowPunct/>
        <w:bidi w:val="0"/>
        <w:snapToGrid w:val="0"/>
        <w:spacing w:line="312" w:lineRule="auto"/>
        <w:jc w:val="center"/>
        <w:outlineLvl w:val="0"/>
        <w:rPr>
          <w:rFonts w:hint="eastAsia" w:ascii="微软雅黑" w:hAnsi="微软雅黑" w:eastAsia="微软雅黑" w:cs="微软雅黑"/>
          <w:b/>
          <w:color w:val="auto"/>
          <w:sz w:val="30"/>
          <w:szCs w:val="30"/>
          <w:highlight w:val="none"/>
        </w:rPr>
        <w:sectPr>
          <w:headerReference r:id="rId17" w:type="default"/>
          <w:footerReference r:id="rId1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49A08C25">
      <w:pPr>
        <w:pStyle w:val="3"/>
        <w:pageBreakBefore w:val="0"/>
        <w:tabs>
          <w:tab w:val="left" w:pos="0"/>
        </w:tabs>
        <w:kinsoku/>
        <w:overflowPunct/>
        <w:bidi w:val="0"/>
        <w:snapToGrid w:val="0"/>
        <w:spacing w:before="0" w:after="0"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eastAsia="zh-CN"/>
        </w:rPr>
        <w:t>三</w:t>
      </w:r>
      <w:r>
        <w:rPr>
          <w:rFonts w:hint="eastAsia" w:ascii="微软雅黑" w:hAnsi="微软雅黑" w:eastAsia="微软雅黑" w:cs="微软雅黑"/>
          <w:color w:val="auto"/>
          <w:highlight w:val="none"/>
        </w:rPr>
        <w:t>章</w:t>
      </w:r>
      <w:bookmarkEnd w:id="445"/>
      <w:bookmarkEnd w:id="446"/>
      <w:bookmarkEnd w:id="447"/>
      <w:bookmarkEnd w:id="448"/>
      <w:bookmarkEnd w:id="449"/>
      <w:bookmarkEnd w:id="450"/>
      <w:bookmarkEnd w:id="451"/>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竞争性磋商公告</w:t>
      </w:r>
      <w:bookmarkEnd w:id="452"/>
      <w:bookmarkEnd w:id="453"/>
      <w:bookmarkEnd w:id="454"/>
    </w:p>
    <w:p w14:paraId="5A69CCC8">
      <w:pPr>
        <w:pStyle w:val="3"/>
        <w:pageBreakBefore w:val="0"/>
        <w:widowControl w:val="0"/>
        <w:tabs>
          <w:tab w:val="left" w:pos="0"/>
        </w:tabs>
        <w:kinsoku/>
        <w:wordWrap/>
        <w:overflowPunct/>
        <w:topLinePunct w:val="0"/>
        <w:autoSpaceDE w:val="0"/>
        <w:autoSpaceDN w:val="0"/>
        <w:bidi w:val="0"/>
        <w:adjustRightInd w:val="0"/>
        <w:snapToGrid w:val="0"/>
        <w:spacing w:before="0" w:after="0" w:line="312" w:lineRule="auto"/>
        <w:jc w:val="center"/>
        <w:textAlignment w:val="auto"/>
        <w:rPr>
          <w:rFonts w:hint="eastAsia" w:ascii="微软雅黑" w:hAnsi="微软雅黑" w:eastAsia="微软雅黑" w:cs="微软雅黑"/>
          <w:color w:val="auto"/>
          <w:sz w:val="32"/>
          <w:szCs w:val="32"/>
          <w:highlight w:val="none"/>
        </w:rPr>
      </w:pPr>
      <w:bookmarkStart w:id="455" w:name="_Toc21920"/>
      <w:bookmarkStart w:id="456" w:name="_Toc14011"/>
      <w:bookmarkStart w:id="457" w:name="_Toc8815"/>
      <w:bookmarkStart w:id="458" w:name="_Toc12623"/>
      <w:bookmarkStart w:id="459" w:name="_Toc25474"/>
      <w:bookmarkStart w:id="460" w:name="_Toc32760"/>
      <w:r>
        <w:rPr>
          <w:rFonts w:hint="eastAsia" w:ascii="微软雅黑" w:hAnsi="微软雅黑" w:eastAsia="微软雅黑" w:cs="微软雅黑"/>
          <w:color w:val="auto"/>
          <w:sz w:val="32"/>
          <w:szCs w:val="32"/>
          <w:highlight w:val="none"/>
          <w:lang w:val="en-US" w:eastAsia="zh-CN"/>
        </w:rPr>
        <w:t>伽师县民政局政府购买社会救助事务性服务示范项目竞争性磋商</w:t>
      </w:r>
      <w:r>
        <w:rPr>
          <w:rFonts w:hint="eastAsia" w:ascii="微软雅黑" w:hAnsi="微软雅黑" w:eastAsia="微软雅黑" w:cs="微软雅黑"/>
          <w:color w:val="auto"/>
          <w:sz w:val="32"/>
          <w:szCs w:val="32"/>
          <w:highlight w:val="none"/>
        </w:rPr>
        <w:t>公告</w:t>
      </w:r>
      <w:bookmarkEnd w:id="455"/>
      <w:bookmarkEnd w:id="456"/>
      <w:bookmarkEnd w:id="457"/>
      <w:bookmarkEnd w:id="458"/>
    </w:p>
    <w:p w14:paraId="096590E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12"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14:paraId="6FA3569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12"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 xml:space="preserve">伽师县民政局政府购买社会救助事务性服务示范项目 </w:t>
      </w:r>
      <w:r>
        <w:rPr>
          <w:rFonts w:hint="eastAsia" w:ascii="微软雅黑" w:hAnsi="微软雅黑" w:eastAsia="微软雅黑" w:cs="微软雅黑"/>
          <w:color w:val="auto"/>
          <w:sz w:val="24"/>
          <w:szCs w:val="24"/>
          <w:highlight w:val="none"/>
        </w:rPr>
        <w:t>的潜在供应商</w:t>
      </w:r>
      <w:r>
        <w:rPr>
          <w:rFonts w:hint="eastAsia" w:ascii="微软雅黑" w:hAnsi="微软雅黑" w:eastAsia="微软雅黑" w:cs="微软雅黑"/>
          <w:color w:val="auto"/>
          <w:sz w:val="24"/>
          <w:szCs w:val="24"/>
          <w:highlight w:val="none"/>
          <w:lang w:eastAsia="zh-CN"/>
        </w:rPr>
        <w:t>应在</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eastAsia="zh-CN"/>
        </w:rPr>
        <w:t>政采云平台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获取</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文件，并于</w:t>
      </w:r>
      <w:r>
        <w:rPr>
          <w:rFonts w:hint="eastAsia" w:ascii="微软雅黑" w:hAnsi="微软雅黑" w:eastAsia="微软雅黑" w:cs="微软雅黑"/>
          <w:color w:val="auto"/>
          <w:sz w:val="24"/>
          <w:szCs w:val="24"/>
          <w:highlight w:val="none"/>
          <w:u w:val="single"/>
        </w:rPr>
        <w:t>20</w:t>
      </w:r>
      <w:r>
        <w:rPr>
          <w:rFonts w:hint="eastAsia" w:ascii="微软雅黑" w:hAnsi="微软雅黑" w:eastAsia="微软雅黑" w:cs="微软雅黑"/>
          <w:color w:val="auto"/>
          <w:sz w:val="24"/>
          <w:szCs w:val="24"/>
          <w:highlight w:val="none"/>
          <w:u w:val="single"/>
          <w:lang w:val="en-US" w:eastAsia="zh-CN"/>
        </w:rPr>
        <w:t>25年03月14日16点00分（北京时间）</w:t>
      </w:r>
      <w:r>
        <w:rPr>
          <w:rFonts w:hint="eastAsia" w:ascii="微软雅黑" w:hAnsi="微软雅黑" w:eastAsia="微软雅黑" w:cs="微软雅黑"/>
          <w:color w:val="auto"/>
          <w:sz w:val="24"/>
          <w:szCs w:val="24"/>
          <w:highlight w:val="none"/>
        </w:rPr>
        <w:t>前提交响应文件。</w:t>
      </w:r>
    </w:p>
    <w:p w14:paraId="1AFAF091">
      <w:pPr>
        <w:pStyle w:val="4"/>
        <w:pageBreakBefore w:val="0"/>
        <w:widowControl w:val="0"/>
        <w:kinsoku/>
        <w:wordWrap/>
        <w:overflowPunct/>
        <w:topLinePunct w:val="0"/>
        <w:bidi w:val="0"/>
        <w:adjustRightInd w:val="0"/>
        <w:snapToGrid w:val="0"/>
        <w:spacing w:line="24" w:lineRule="atLeast"/>
        <w:jc w:val="both"/>
        <w:textAlignment w:val="auto"/>
        <w:rPr>
          <w:rFonts w:hint="eastAsia" w:ascii="微软雅黑" w:hAnsi="微软雅黑" w:eastAsia="微软雅黑" w:cs="微软雅黑"/>
          <w:b/>
          <w:bCs/>
          <w:color w:val="auto"/>
          <w:sz w:val="24"/>
          <w:szCs w:val="24"/>
          <w:highlight w:val="none"/>
        </w:rPr>
      </w:pPr>
      <w:bookmarkStart w:id="461" w:name="_Toc28359012"/>
      <w:bookmarkStart w:id="462" w:name="_Toc35393629"/>
      <w:bookmarkStart w:id="463" w:name="_Toc28359089"/>
      <w:bookmarkStart w:id="464" w:name="_Toc35393798"/>
      <w:bookmarkStart w:id="465" w:name="_Toc18745"/>
      <w:bookmarkStart w:id="466" w:name="_Toc8264"/>
      <w:bookmarkStart w:id="467" w:name="_Toc11899"/>
      <w:bookmarkStart w:id="468" w:name="_Toc29182"/>
      <w:r>
        <w:rPr>
          <w:rFonts w:hint="eastAsia" w:ascii="微软雅黑" w:hAnsi="微软雅黑" w:eastAsia="微软雅黑" w:cs="微软雅黑"/>
          <w:b/>
          <w:bCs/>
          <w:color w:val="auto"/>
          <w:sz w:val="24"/>
          <w:szCs w:val="24"/>
          <w:highlight w:val="none"/>
        </w:rPr>
        <w:t>一、项目基本情况</w:t>
      </w:r>
      <w:bookmarkEnd w:id="461"/>
      <w:bookmarkEnd w:id="462"/>
      <w:bookmarkEnd w:id="463"/>
      <w:bookmarkEnd w:id="464"/>
      <w:bookmarkEnd w:id="465"/>
      <w:bookmarkEnd w:id="466"/>
      <w:bookmarkEnd w:id="467"/>
      <w:bookmarkEnd w:id="468"/>
    </w:p>
    <w:p w14:paraId="4B9F9E35">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XJZHZFCG-202</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-0</w:t>
      </w:r>
      <w:r>
        <w:rPr>
          <w:rFonts w:hint="eastAsia" w:ascii="微软雅黑" w:hAnsi="微软雅黑" w:eastAsia="微软雅黑" w:cs="微软雅黑"/>
          <w:color w:val="auto"/>
          <w:sz w:val="24"/>
          <w:szCs w:val="24"/>
          <w:highlight w:val="none"/>
          <w:lang w:val="en-US" w:eastAsia="zh-CN"/>
        </w:rPr>
        <w:t>1</w:t>
      </w:r>
    </w:p>
    <w:p w14:paraId="58FC1D16">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项目名称：伽师县民政局政府购买社会救助事务性服务示范项目</w:t>
      </w:r>
    </w:p>
    <w:p w14:paraId="3B3BABA6">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bookmarkStart w:id="469" w:name="_Toc13908"/>
      <w:bookmarkStart w:id="470" w:name="_Toc3888"/>
      <w:bookmarkStart w:id="471" w:name="_Toc28085"/>
      <w:bookmarkStart w:id="472" w:name="_Toc35393799"/>
      <w:bookmarkStart w:id="473" w:name="_Toc28359090"/>
      <w:bookmarkStart w:id="474" w:name="_Toc35393630"/>
      <w:bookmarkStart w:id="475" w:name="_Toc30511"/>
      <w:bookmarkStart w:id="476" w:name="_Toc28359013"/>
      <w:r>
        <w:rPr>
          <w:rFonts w:hint="eastAsia" w:ascii="微软雅黑" w:hAnsi="微软雅黑" w:eastAsia="微软雅黑" w:cs="微软雅黑"/>
          <w:color w:val="auto"/>
          <w:sz w:val="24"/>
          <w:szCs w:val="24"/>
          <w:highlight w:val="none"/>
          <w:lang w:val="en-US" w:eastAsia="zh-CN"/>
        </w:rPr>
        <w:t>采购方式：竞争性磋商</w:t>
      </w:r>
    </w:p>
    <w:p w14:paraId="32994413">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预算金额（元）：690000.00</w:t>
      </w:r>
    </w:p>
    <w:p w14:paraId="6720FCC8">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最高限价（元）：690000.00</w:t>
      </w:r>
    </w:p>
    <w:p w14:paraId="2BD1BF5D">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0E5E88EF">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标项名称：伽师县民政局政府购买社会救助事务性服务示范项目   </w:t>
      </w:r>
    </w:p>
    <w:p w14:paraId="0902D134">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数量：1</w:t>
      </w:r>
    </w:p>
    <w:p w14:paraId="211A6327">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w:t>
      </w:r>
      <w:r>
        <w:rPr>
          <w:rFonts w:hint="eastAsia" w:ascii="微软雅黑" w:hAnsi="微软雅黑" w:eastAsia="微软雅黑" w:cs="微软雅黑"/>
          <w:color w:val="auto"/>
          <w:sz w:val="24"/>
          <w:szCs w:val="24"/>
          <w:highlight w:val="none"/>
          <w:lang w:val="en-US" w:eastAsia="zh-CN"/>
        </w:rPr>
        <w:t>690000.00</w:t>
      </w:r>
    </w:p>
    <w:p w14:paraId="4DE3C547">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单位：项</w:t>
      </w:r>
    </w:p>
    <w:p w14:paraId="7AC4D6AA">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为伽师县特困供养人员、最低生活保障对象、防止返贫监测对象、最低生活保障边缘家庭成员、刚性支出困难家庭成员、其他困难人员等低收入人口，及临时救助对象等进行排查、家计调查、业务培训、政策宣传、绩效评估等相关工作内容；具体详见磋商文件。</w:t>
      </w:r>
    </w:p>
    <w:p w14:paraId="199D7E2F">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合同履约期限：</w:t>
      </w:r>
      <w:r>
        <w:rPr>
          <w:rFonts w:hint="eastAsia" w:ascii="微软雅黑" w:hAnsi="微软雅黑" w:eastAsia="微软雅黑" w:cs="微软雅黑"/>
          <w:sz w:val="24"/>
          <w:szCs w:val="24"/>
          <w:lang w:val="en-US" w:eastAsia="zh-CN"/>
        </w:rPr>
        <w:t>2025年11月30日前完成本项目的相关工作（</w:t>
      </w:r>
      <w:r>
        <w:rPr>
          <w:rFonts w:hint="eastAsia" w:ascii="微软雅黑" w:hAnsi="微软雅黑" w:eastAsia="微软雅黑" w:cs="微软雅黑"/>
          <w:color w:val="auto"/>
          <w:sz w:val="24"/>
          <w:szCs w:val="24"/>
          <w:highlight w:val="none"/>
          <w:lang w:val="en-US" w:eastAsia="zh-CN"/>
        </w:rPr>
        <w:t>具体以签订合同为准）。</w:t>
      </w:r>
    </w:p>
    <w:p w14:paraId="19BF4BD5">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本项目不接受联合体。</w:t>
      </w:r>
    </w:p>
    <w:p w14:paraId="6152AFB5">
      <w:pPr>
        <w:pageBreakBefore w:val="0"/>
        <w:widowControl w:val="0"/>
        <w:kinsoku/>
        <w:wordWrap/>
        <w:overflowPunct/>
        <w:topLinePunct w:val="0"/>
        <w:bidi w:val="0"/>
        <w:adjustRightInd w:val="0"/>
        <w:snapToGrid w:val="0"/>
        <w:spacing w:line="24" w:lineRule="atLeas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二、申请人的资格要求：</w:t>
      </w:r>
      <w:bookmarkEnd w:id="469"/>
      <w:bookmarkEnd w:id="470"/>
      <w:bookmarkEnd w:id="471"/>
      <w:bookmarkEnd w:id="472"/>
      <w:bookmarkEnd w:id="473"/>
      <w:bookmarkEnd w:id="474"/>
      <w:bookmarkEnd w:id="475"/>
      <w:bookmarkEnd w:id="476"/>
    </w:p>
    <w:p w14:paraId="0602E8B4">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bookmarkStart w:id="477" w:name="_Toc35393631"/>
      <w:bookmarkStart w:id="478" w:name="_Toc28359014"/>
      <w:bookmarkStart w:id="479" w:name="_Toc28359091"/>
      <w:bookmarkStart w:id="480" w:name="_Toc35393800"/>
      <w:r>
        <w:rPr>
          <w:rFonts w:hint="eastAsia" w:ascii="微软雅黑" w:hAnsi="微软雅黑" w:eastAsia="微软雅黑" w:cs="微软雅黑"/>
          <w:color w:val="auto"/>
          <w:sz w:val="24"/>
          <w:szCs w:val="24"/>
          <w:highlight w:val="none"/>
          <w:lang w:val="en-US" w:eastAsia="zh-CN"/>
        </w:rPr>
        <w:t>1.满足《中华人民共和国政府采购法》第二十二条规定；</w:t>
      </w:r>
    </w:p>
    <w:p w14:paraId="6DB42EE0">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2.落实政府采购政策需满足的资格要求：本项目不专门面向中小企业</w:t>
      </w:r>
    </w:p>
    <w:p w14:paraId="477CEF2F">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3.本项目的特定资格要求：</w:t>
      </w:r>
    </w:p>
    <w:p w14:paraId="782100A0">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①依法在民政部门登记成立或经国务院批准免予登记的社会组织；依法在工商管理或行业主管部门登记成立的企业、机构等社会力量的身份证明；</w:t>
      </w:r>
    </w:p>
    <w:p w14:paraId="0C0D22FA">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②法定代表人(负责人)资格证明及授权书；(法定代表人投标需提供法定代表人(负责人)资格证明)；  </w:t>
      </w:r>
    </w:p>
    <w:p w14:paraId="00FB4E66">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③近两年任意一年（2023年或2024年）的财务审计报告（新成立不满一年公司提供有效银行资信证明）；</w:t>
      </w:r>
    </w:p>
    <w:p w14:paraId="44B8DEE0">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④提供供应商依法缴纳近 6 个月任意一个月社会保险的凭据；</w:t>
      </w:r>
    </w:p>
    <w:p w14:paraId="69B11493">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⑤提供供应商由税务部门出具的近 6 个月任意一个月的完税证明；</w:t>
      </w:r>
    </w:p>
    <w:p w14:paraId="50D0B15F">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根据《财政部关于在政府采购活动中查询及使用信用记录有关问题的通知》（财库﹝2016﹞125号）的要求，凡拟参加本次招标项目的供应商，如在“信用中国”网站被列入失信被执行人、重大税收违法失信主体(信用中国首页-点击信用服务-查询、网页打印)、中国政府采购网严重违法失信行为记录名单的（尚在处罚期内的），将拒绝其参加本次招标活动（现场查询核实为准）；</w:t>
      </w:r>
    </w:p>
    <w:p w14:paraId="3ECA6D61">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⑦提供针对本次项目《反商业贿赂承诺书》；</w:t>
      </w:r>
    </w:p>
    <w:p w14:paraId="13AB7BA9">
      <w:pPr>
        <w:pStyle w:val="32"/>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⑧参加政府采购活动前3年内在经营活动中没有重大违法违规记录的书面声明；</w:t>
      </w:r>
    </w:p>
    <w:p w14:paraId="60467F17">
      <w:pPr>
        <w:pStyle w:val="33"/>
        <w:ind w:left="0" w:leftChars="0" w:firstLine="0" w:firstLineChars="0"/>
        <w:rPr>
          <w:rFonts w:hint="default"/>
          <w:lang w:val="en-US" w:eastAsia="zh-CN"/>
        </w:rPr>
      </w:pPr>
      <w:r>
        <w:rPr>
          <w:rFonts w:hint="eastAsia" w:ascii="微软雅黑" w:hAnsi="微软雅黑" w:eastAsia="微软雅黑" w:cs="微软雅黑"/>
          <w:color w:val="auto"/>
          <w:sz w:val="24"/>
          <w:szCs w:val="24"/>
          <w:highlight w:val="none"/>
          <w:lang w:val="en-US" w:eastAsia="zh-CN"/>
        </w:rPr>
        <w:t xml:space="preserve">    ⑨磋商保证金缴纳凭证；</w:t>
      </w:r>
    </w:p>
    <w:p w14:paraId="6D74D746">
      <w:pPr>
        <w:pStyle w:val="4"/>
        <w:pageBreakBefore w:val="0"/>
        <w:widowControl w:val="0"/>
        <w:kinsoku/>
        <w:wordWrap/>
        <w:overflowPunct/>
        <w:topLinePunct w:val="0"/>
        <w:bidi w:val="0"/>
        <w:adjustRightInd w:val="0"/>
        <w:snapToGrid w:val="0"/>
        <w:spacing w:before="0" w:line="24" w:lineRule="atLeast"/>
        <w:jc w:val="both"/>
        <w:textAlignment w:val="auto"/>
        <w:rPr>
          <w:rFonts w:hint="eastAsia" w:ascii="微软雅黑" w:hAnsi="微软雅黑" w:eastAsia="微软雅黑" w:cs="微软雅黑"/>
          <w:b/>
          <w:bCs/>
          <w:color w:val="auto"/>
          <w:sz w:val="24"/>
          <w:szCs w:val="24"/>
          <w:highlight w:val="none"/>
        </w:rPr>
      </w:pPr>
      <w:bookmarkStart w:id="481" w:name="_Toc9223"/>
      <w:bookmarkStart w:id="482" w:name="_Toc29159"/>
      <w:bookmarkStart w:id="483" w:name="_Toc11349"/>
      <w:bookmarkStart w:id="484" w:name="_Toc29017"/>
      <w:r>
        <w:rPr>
          <w:rFonts w:hint="eastAsia" w:ascii="微软雅黑" w:hAnsi="微软雅黑" w:eastAsia="微软雅黑" w:cs="微软雅黑"/>
          <w:b/>
          <w:bCs/>
          <w:color w:val="auto"/>
          <w:sz w:val="24"/>
          <w:szCs w:val="24"/>
          <w:highlight w:val="none"/>
        </w:rPr>
        <w:t>三、获取采购文件</w:t>
      </w:r>
      <w:bookmarkEnd w:id="477"/>
      <w:bookmarkEnd w:id="478"/>
      <w:bookmarkEnd w:id="479"/>
      <w:bookmarkEnd w:id="480"/>
      <w:bookmarkEnd w:id="481"/>
      <w:bookmarkEnd w:id="482"/>
      <w:bookmarkEnd w:id="483"/>
      <w:bookmarkEnd w:id="484"/>
    </w:p>
    <w:p w14:paraId="0206D732">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u w:val="none"/>
        </w:rPr>
        <w:t>：202</w:t>
      </w:r>
      <w:r>
        <w:rPr>
          <w:rFonts w:hint="eastAsia" w:ascii="微软雅黑" w:hAnsi="微软雅黑" w:eastAsia="微软雅黑" w:cs="微软雅黑"/>
          <w:color w:val="auto"/>
          <w:sz w:val="24"/>
          <w:szCs w:val="24"/>
          <w:highlight w:val="none"/>
          <w:u w:val="none"/>
          <w:lang w:val="en-US" w:eastAsia="zh-CN"/>
        </w:rPr>
        <w:t>5</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03</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03</w:t>
      </w:r>
      <w:r>
        <w:rPr>
          <w:rFonts w:hint="eastAsia" w:ascii="微软雅黑" w:hAnsi="微软雅黑" w:eastAsia="微软雅黑" w:cs="微软雅黑"/>
          <w:color w:val="auto"/>
          <w:sz w:val="24"/>
          <w:szCs w:val="24"/>
          <w:highlight w:val="none"/>
          <w:u w:val="none"/>
        </w:rPr>
        <w:t>日至</w:t>
      </w:r>
      <w:r>
        <w:rPr>
          <w:rFonts w:hint="eastAsia" w:ascii="微软雅黑" w:hAnsi="微软雅黑" w:eastAsia="微软雅黑" w:cs="微软雅黑"/>
          <w:color w:val="auto"/>
          <w:sz w:val="24"/>
          <w:szCs w:val="24"/>
          <w:highlight w:val="none"/>
          <w:u w:val="none"/>
          <w:lang w:val="en-US" w:eastAsia="zh-CN"/>
        </w:rPr>
        <w:t>2025</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03</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10</w:t>
      </w:r>
      <w:r>
        <w:rPr>
          <w:rFonts w:hint="eastAsia" w:ascii="微软雅黑" w:hAnsi="微软雅黑" w:eastAsia="微软雅黑" w:cs="微软雅黑"/>
          <w:color w:val="auto"/>
          <w:sz w:val="24"/>
          <w:szCs w:val="24"/>
          <w:highlight w:val="none"/>
          <w:u w:val="none"/>
        </w:rPr>
        <w:t>日，</w:t>
      </w:r>
      <w:r>
        <w:rPr>
          <w:rFonts w:hint="eastAsia" w:ascii="微软雅黑" w:hAnsi="微软雅黑" w:eastAsia="微软雅黑" w:cs="微软雅黑"/>
          <w:color w:val="auto"/>
          <w:sz w:val="24"/>
          <w:szCs w:val="24"/>
          <w:highlight w:val="none"/>
        </w:rPr>
        <w:t>每天上午10:</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:00时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下午</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23</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59</w:t>
      </w:r>
      <w:r>
        <w:rPr>
          <w:rFonts w:hint="eastAsia" w:ascii="微软雅黑" w:hAnsi="微软雅黑" w:eastAsia="微软雅黑" w:cs="微软雅黑"/>
          <w:color w:val="auto"/>
          <w:sz w:val="24"/>
          <w:szCs w:val="24"/>
          <w:highlight w:val="none"/>
        </w:rPr>
        <w:t>时（北京时间，法定节假日除外 ）</w:t>
      </w:r>
    </w:p>
    <w:p w14:paraId="10993D0B">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sz w:val="24"/>
          <w:szCs w:val="24"/>
          <w:highlight w:val="none"/>
          <w:u w:val="none"/>
          <w:lang w:val="en-US" w:eastAsia="zh-CN"/>
        </w:rPr>
      </w:pPr>
      <w:bookmarkStart w:id="485" w:name="_Toc28359092"/>
      <w:bookmarkStart w:id="486" w:name="_Toc35393801"/>
      <w:bookmarkStart w:id="487" w:name="_Toc35393632"/>
      <w:bookmarkStart w:id="488" w:name="_Toc28359015"/>
      <w:bookmarkStart w:id="489" w:name="_Toc7080"/>
      <w:bookmarkStart w:id="490" w:name="_Toc7846"/>
      <w:r>
        <w:rPr>
          <w:rFonts w:hint="eastAsia" w:ascii="微软雅黑" w:hAnsi="微软雅黑" w:eastAsia="微软雅黑" w:cs="微软雅黑"/>
          <w:color w:val="auto"/>
          <w:sz w:val="24"/>
          <w:szCs w:val="24"/>
          <w:highlight w:val="none"/>
          <w:u w:val="none"/>
          <w:lang w:val="en-US" w:eastAsia="zh-CN"/>
        </w:rPr>
        <w:t>地点：政采云平台线上获取</w:t>
      </w:r>
    </w:p>
    <w:p w14:paraId="2CE3EBDB">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方式：供应商登录政采云平台https://www.zcygov.cn/在线申请获取采购文件（进入“项目采购”应用，在获取采购文件菜单中选择项目，申请获取采购文件）</w:t>
      </w:r>
    </w:p>
    <w:bookmarkEnd w:id="485"/>
    <w:bookmarkEnd w:id="486"/>
    <w:bookmarkEnd w:id="487"/>
    <w:bookmarkEnd w:id="488"/>
    <w:bookmarkEnd w:id="489"/>
    <w:bookmarkEnd w:id="490"/>
    <w:p w14:paraId="28E4129C">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 w:lineRule="atLeast"/>
        <w:ind w:left="0" w:right="0" w:firstLine="0"/>
        <w:jc w:val="both"/>
        <w:textAlignment w:val="auto"/>
        <w:rPr>
          <w:rFonts w:hint="eastAsia" w:ascii="微软雅黑" w:hAnsi="微软雅黑" w:eastAsia="微软雅黑" w:cs="微软雅黑"/>
          <w:i w:val="0"/>
          <w:iCs w:val="0"/>
          <w:caps w:val="0"/>
          <w:color w:val="auto"/>
          <w:spacing w:val="0"/>
          <w:sz w:val="24"/>
          <w:szCs w:val="24"/>
          <w:highlight w:val="none"/>
        </w:rPr>
      </w:pPr>
      <w:bookmarkStart w:id="491" w:name="_Toc4032"/>
      <w:bookmarkStart w:id="492" w:name="_Toc28359017"/>
      <w:bookmarkStart w:id="493" w:name="_Toc28359094"/>
      <w:bookmarkStart w:id="494" w:name="_Toc15459"/>
      <w:bookmarkStart w:id="495" w:name="_Toc35393634"/>
      <w:bookmarkStart w:id="496" w:name="_Toc31794"/>
      <w:bookmarkStart w:id="497" w:name="_Toc1452"/>
      <w:bookmarkStart w:id="498" w:name="_Toc35393803"/>
      <w:r>
        <w:rPr>
          <w:rFonts w:hint="eastAsia" w:ascii="微软雅黑" w:hAnsi="微软雅黑" w:eastAsia="微软雅黑" w:cs="微软雅黑"/>
          <w:b/>
          <w:bCs/>
          <w:color w:val="auto"/>
          <w:kern w:val="0"/>
          <w:sz w:val="24"/>
          <w:szCs w:val="24"/>
          <w:highlight w:val="none"/>
          <w:lang w:val="en-US" w:eastAsia="zh-CN" w:bidi="ar-SA"/>
        </w:rPr>
        <w:t>四、响应文件提交</w:t>
      </w:r>
      <w:r>
        <w:rPr>
          <w:rFonts w:hint="eastAsia" w:ascii="微软雅黑" w:hAnsi="微软雅黑" w:eastAsia="微软雅黑" w:cs="微软雅黑"/>
          <w:i w:val="0"/>
          <w:iCs w:val="0"/>
          <w:caps w:val="0"/>
          <w:color w:val="auto"/>
          <w:spacing w:val="0"/>
          <w:sz w:val="24"/>
          <w:szCs w:val="24"/>
          <w:highlight w:val="none"/>
        </w:rPr>
        <w:t> </w:t>
      </w:r>
    </w:p>
    <w:p w14:paraId="55DF19B4">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截止时间：2025年03月14日 16:00（北京时间）</w:t>
      </w:r>
    </w:p>
    <w:p w14:paraId="65D12CBE">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地点：请登录政采云投标客户端投标  </w:t>
      </w:r>
    </w:p>
    <w:p w14:paraId="1E32C775">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 w:lineRule="atLeast"/>
        <w:ind w:left="0" w:right="0"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五、响应文件开启 </w:t>
      </w:r>
    </w:p>
    <w:p w14:paraId="20362BFE">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开启时间：2025年03月14日 16:00（北京时间）</w:t>
      </w:r>
    </w:p>
    <w:p w14:paraId="0FF2514F">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地点：政采云平台（https://www.zcygov.cn/）不见面开标</w:t>
      </w:r>
    </w:p>
    <w:p w14:paraId="6BAECB65">
      <w:pPr>
        <w:pStyle w:val="4"/>
        <w:pageBreakBefore w:val="0"/>
        <w:widowControl w:val="0"/>
        <w:kinsoku/>
        <w:wordWrap/>
        <w:overflowPunct/>
        <w:topLinePunct w:val="0"/>
        <w:bidi w:val="0"/>
        <w:adjustRightInd w:val="0"/>
        <w:snapToGrid w:val="0"/>
        <w:spacing w:before="0" w:line="24" w:lineRule="atLeast"/>
        <w:jc w:val="both"/>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六</w:t>
      </w:r>
      <w:r>
        <w:rPr>
          <w:rFonts w:hint="eastAsia" w:ascii="微软雅黑" w:hAnsi="微软雅黑" w:eastAsia="微软雅黑" w:cs="微软雅黑"/>
          <w:b/>
          <w:bCs/>
          <w:color w:val="auto"/>
          <w:sz w:val="24"/>
          <w:szCs w:val="24"/>
          <w:highlight w:val="none"/>
        </w:rPr>
        <w:t>、公告期限</w:t>
      </w:r>
      <w:bookmarkEnd w:id="491"/>
      <w:bookmarkEnd w:id="492"/>
      <w:bookmarkEnd w:id="493"/>
      <w:bookmarkEnd w:id="494"/>
      <w:bookmarkEnd w:id="495"/>
      <w:bookmarkEnd w:id="496"/>
      <w:bookmarkEnd w:id="497"/>
      <w:bookmarkEnd w:id="498"/>
    </w:p>
    <w:p w14:paraId="114175AE">
      <w:pPr>
        <w:pageBreakBefore w:val="0"/>
        <w:widowControl w:val="0"/>
        <w:kinsoku/>
        <w:wordWrap/>
        <w:overflowPunct/>
        <w:topLinePunct w:val="0"/>
        <w:bidi w:val="0"/>
        <w:adjustRightInd w:val="0"/>
        <w:snapToGrid w:val="0"/>
        <w:spacing w:line="24" w:lineRule="atLeas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rPr>
        <w:t>个工作日。</w:t>
      </w:r>
    </w:p>
    <w:p w14:paraId="1C14479E">
      <w:pPr>
        <w:pageBreakBefore w:val="0"/>
        <w:widowControl w:val="0"/>
        <w:numPr>
          <w:ilvl w:val="0"/>
          <w:numId w:val="0"/>
        </w:numPr>
        <w:shd w:val="clear" w:color="auto" w:fill="auto"/>
        <w:kinsoku/>
        <w:wordWrap/>
        <w:overflowPunct/>
        <w:topLinePunct w:val="0"/>
        <w:bidi w:val="0"/>
        <w:adjustRightInd w:val="0"/>
        <w:snapToGrid w:val="0"/>
        <w:spacing w:line="24" w:lineRule="atLeas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七、其他补充事项</w:t>
      </w:r>
    </w:p>
    <w:p w14:paraId="2E167283">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Style w:val="47"/>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68DC9968">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2.本项目实行网上投标，采用电子响应文件(供应商须使用CA加密设备通过政采云电子投标客户端制作响应文件)。若供应商参与投标，自行承担投标一切费用。</w:t>
      </w:r>
    </w:p>
    <w:p w14:paraId="29725440">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0B9DA45C">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0B1FECCF">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5.供应商在开标时须使用制作加密电子响应文件所使用的CA锁及电脑，电脑须提前配置好浏览器（建议使用谷歌浏览器或360浏览器），以便开标时解锁。</w:t>
      </w:r>
    </w:p>
    <w:p w14:paraId="6E6AA832">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6.磋商保证金缴纳及确认时间：凡拟参加本次招标项目的供应商，必须在开标前将磋商保证金汇入指定账户。磋商保证金汇款凭证上用途栏应注明:招标项目名称+标项号+磋商保证金。否则，届时其投标将被拒绝。</w:t>
      </w:r>
    </w:p>
    <w:p w14:paraId="200EB592">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5E601996">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特别提示：</w:t>
      </w:r>
    </w:p>
    <w:p w14:paraId="63900FF4">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14:paraId="78979E85">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211A0527">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4EABE1B5">
      <w:pPr>
        <w:pStyle w:val="3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jc w:val="both"/>
        <w:textAlignment w:val="auto"/>
        <w:rPr>
          <w:rStyle w:val="47"/>
          <w:rFonts w:hint="eastAsia" w:ascii="微软雅黑" w:hAnsi="微软雅黑" w:eastAsia="微软雅黑" w:cs="微软雅黑"/>
          <w:color w:val="auto"/>
          <w:sz w:val="24"/>
          <w:szCs w:val="24"/>
          <w:highlight w:val="none"/>
        </w:rPr>
      </w:pPr>
      <w:r>
        <w:rPr>
          <w:rStyle w:val="47"/>
          <w:rFonts w:hint="eastAsia" w:ascii="微软雅黑" w:hAnsi="微软雅黑" w:eastAsia="微软雅黑" w:cs="微软雅黑"/>
          <w:color w:val="auto"/>
          <w:sz w:val="24"/>
          <w:szCs w:val="24"/>
          <w:highlight w:val="none"/>
          <w:lang w:eastAsia="zh-CN"/>
        </w:rPr>
        <w:t>八</w:t>
      </w:r>
      <w:r>
        <w:rPr>
          <w:rStyle w:val="47"/>
          <w:rFonts w:hint="eastAsia" w:ascii="微软雅黑" w:hAnsi="微软雅黑" w:eastAsia="微软雅黑" w:cs="微软雅黑"/>
          <w:color w:val="auto"/>
          <w:sz w:val="24"/>
          <w:szCs w:val="24"/>
          <w:highlight w:val="none"/>
        </w:rPr>
        <w:t>、对本次采购提出询问，请按以下方式联系</w:t>
      </w:r>
    </w:p>
    <w:p w14:paraId="2AA4C48C">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1.采购人信息</w:t>
      </w:r>
    </w:p>
    <w:p w14:paraId="4621A170">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名    称：伽师县民政局                 </w:t>
      </w:r>
    </w:p>
    <w:p w14:paraId="75F7C3C7">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FF0000"/>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址：伽师县北京路8号</w:t>
      </w:r>
    </w:p>
    <w:p w14:paraId="2E5450E3">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 系 人：杨城灵</w:t>
      </w:r>
    </w:p>
    <w:p w14:paraId="342D197F">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联系方式：18299693652</w:t>
      </w:r>
    </w:p>
    <w:p w14:paraId="5F0E677D">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b/>
          <w:bCs/>
          <w:color w:val="FF0000"/>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2.采购代理机构信息</w:t>
      </w:r>
    </w:p>
    <w:p w14:paraId="6FFFD4A5">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名    称：新疆卓宏项目管理有限公司　　　　　　　　</w:t>
      </w:r>
    </w:p>
    <w:p w14:paraId="770021C6">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FF0000"/>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址：喀什市夏马勒巴格镇10村明宇路1号（明宇广场）1幢3层B24号　</w:t>
      </w:r>
      <w:r>
        <w:rPr>
          <w:rFonts w:hint="eastAsia" w:ascii="微软雅黑" w:hAnsi="微软雅黑" w:eastAsia="微软雅黑" w:cs="微软雅黑"/>
          <w:color w:val="FF0000"/>
          <w:kern w:val="0"/>
          <w:sz w:val="24"/>
          <w:szCs w:val="24"/>
          <w:highlight w:val="none"/>
          <w:lang w:val="en-US" w:eastAsia="zh-CN" w:bidi="ar-SA"/>
        </w:rPr>
        <w:t>   　　　　　　　　　　　</w:t>
      </w:r>
    </w:p>
    <w:p w14:paraId="275E043D">
      <w:pPr>
        <w:pageBreakBefore w:val="0"/>
        <w:widowControl w:val="0"/>
        <w:kinsoku/>
        <w:wordWrap/>
        <w:overflowPunct/>
        <w:topLinePunct w:val="0"/>
        <w:bidi w:val="0"/>
        <w:adjustRightInd w:val="0"/>
        <w:snapToGrid w:val="0"/>
        <w:spacing w:line="24" w:lineRule="atLeast"/>
        <w:ind w:firstLine="540"/>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 系 人：陈阳</w:t>
      </w:r>
    </w:p>
    <w:p w14:paraId="3FC56419">
      <w:pPr>
        <w:pageBreakBefore w:val="0"/>
        <w:widowControl w:val="0"/>
        <w:kinsoku/>
        <w:wordWrap/>
        <w:overflowPunct/>
        <w:topLinePunct w:val="0"/>
        <w:bidi w:val="0"/>
        <w:adjustRightInd w:val="0"/>
        <w:snapToGrid w:val="0"/>
        <w:spacing w:line="24" w:lineRule="atLeast"/>
        <w:ind w:firstLine="540"/>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电    话：15739131398</w:t>
      </w:r>
    </w:p>
    <w:p w14:paraId="307A2DD6">
      <w:pPr>
        <w:pageBreakBefore w:val="0"/>
        <w:kinsoku/>
        <w:overflowPunct/>
        <w:bidi w:val="0"/>
        <w:snapToGrid w:val="0"/>
        <w:spacing w:line="312" w:lineRule="auto"/>
        <w:jc w:val="center"/>
        <w:outlineLvl w:val="9"/>
        <w:rPr>
          <w:rFonts w:hint="eastAsia" w:ascii="微软雅黑" w:hAnsi="微软雅黑" w:eastAsia="微软雅黑" w:cs="微软雅黑"/>
          <w:b/>
          <w:bCs/>
          <w:color w:val="auto"/>
          <w:sz w:val="30"/>
          <w:szCs w:val="30"/>
          <w:highlight w:val="none"/>
        </w:rPr>
        <w:sectPr>
          <w:headerReference r:id="rId19" w:type="default"/>
          <w:footerReference r:id="rId20" w:type="default"/>
          <w:pgSz w:w="11906" w:h="16838"/>
          <w:pgMar w:top="1440" w:right="1080" w:bottom="1440" w:left="1080" w:header="510" w:footer="992" w:gutter="0"/>
          <w:pgBorders>
            <w:top w:val="none" w:sz="0" w:space="0"/>
            <w:left w:val="none" w:sz="0" w:space="0"/>
            <w:bottom w:val="none" w:sz="0" w:space="0"/>
            <w:right w:val="none" w:sz="0" w:space="0"/>
          </w:pgBorders>
          <w:pgNumType w:fmt="decimal"/>
          <w:cols w:space="720" w:num="1"/>
          <w:docGrid w:linePitch="312" w:charSpace="0"/>
        </w:sectPr>
      </w:pPr>
    </w:p>
    <w:p w14:paraId="3CDC78CB">
      <w:pPr>
        <w:pageBreakBefore w:val="0"/>
        <w:kinsoku/>
        <w:overflowPunct/>
        <w:bidi w:val="0"/>
        <w:snapToGrid w:val="0"/>
        <w:spacing w:line="240" w:lineRule="auto"/>
        <w:jc w:val="center"/>
        <w:outlineLvl w:val="0"/>
        <w:rPr>
          <w:rFonts w:hint="eastAsia" w:ascii="微软雅黑" w:hAnsi="微软雅黑" w:eastAsia="微软雅黑" w:cs="微软雅黑"/>
          <w:b/>
          <w:bCs/>
          <w:color w:val="auto"/>
          <w:sz w:val="30"/>
          <w:szCs w:val="30"/>
          <w:highlight w:val="none"/>
        </w:rPr>
      </w:pPr>
      <w:bookmarkStart w:id="499" w:name="_Toc29095"/>
      <w:r>
        <w:rPr>
          <w:rFonts w:hint="eastAsia" w:ascii="微软雅黑" w:hAnsi="微软雅黑" w:eastAsia="微软雅黑" w:cs="微软雅黑"/>
          <w:b/>
          <w:bCs/>
          <w:color w:val="auto"/>
          <w:sz w:val="30"/>
          <w:szCs w:val="30"/>
          <w:highlight w:val="none"/>
        </w:rPr>
        <w:t>第</w:t>
      </w:r>
      <w:r>
        <w:rPr>
          <w:rFonts w:hint="eastAsia" w:ascii="微软雅黑" w:hAnsi="微软雅黑" w:eastAsia="微软雅黑" w:cs="微软雅黑"/>
          <w:b/>
          <w:bCs/>
          <w:color w:val="auto"/>
          <w:sz w:val="30"/>
          <w:szCs w:val="30"/>
          <w:highlight w:val="none"/>
          <w:lang w:eastAsia="zh-CN"/>
        </w:rPr>
        <w:t>四</w:t>
      </w:r>
      <w:r>
        <w:rPr>
          <w:rFonts w:hint="eastAsia" w:ascii="微软雅黑" w:hAnsi="微软雅黑" w:eastAsia="微软雅黑" w:cs="微软雅黑"/>
          <w:b/>
          <w:bCs/>
          <w:color w:val="auto"/>
          <w:sz w:val="30"/>
          <w:szCs w:val="30"/>
          <w:highlight w:val="none"/>
        </w:rPr>
        <w:t>章</w:t>
      </w:r>
      <w:r>
        <w:rPr>
          <w:rFonts w:hint="eastAsia" w:ascii="微软雅黑" w:hAnsi="微软雅黑" w:eastAsia="微软雅黑" w:cs="微软雅黑"/>
          <w:b/>
          <w:bCs/>
          <w:color w:val="auto"/>
          <w:sz w:val="30"/>
          <w:szCs w:val="30"/>
          <w:highlight w:val="none"/>
          <w:lang w:val="en-US" w:eastAsia="zh-CN"/>
        </w:rPr>
        <w:t xml:space="preserve">  </w:t>
      </w:r>
      <w:r>
        <w:rPr>
          <w:rFonts w:hint="eastAsia" w:ascii="微软雅黑" w:hAnsi="微软雅黑" w:eastAsia="微软雅黑" w:cs="微软雅黑"/>
          <w:b/>
          <w:bCs/>
          <w:color w:val="auto"/>
          <w:sz w:val="30"/>
          <w:szCs w:val="30"/>
          <w:highlight w:val="none"/>
        </w:rPr>
        <w:t>供应商须知资料表</w:t>
      </w:r>
      <w:bookmarkEnd w:id="459"/>
      <w:bookmarkEnd w:id="460"/>
      <w:bookmarkEnd w:id="499"/>
    </w:p>
    <w:p w14:paraId="321293FC">
      <w:pPr>
        <w:pageBreakBefore w:val="0"/>
        <w:kinsoku/>
        <w:overflowPunct/>
        <w:bidi w:val="0"/>
        <w:snapToGrid w:val="0"/>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本表是本项目的具体资料，是对供应商须知的具体补充和修改，如有矛盾，应以本资料表为准</w:t>
      </w:r>
      <w:r>
        <w:rPr>
          <w:rFonts w:hint="eastAsia" w:ascii="微软雅黑" w:hAnsi="微软雅黑" w:eastAsia="微软雅黑" w:cs="微软雅黑"/>
          <w:color w:val="auto"/>
          <w:sz w:val="24"/>
          <w:szCs w:val="24"/>
          <w:highlight w:val="none"/>
        </w:rPr>
        <w:t>。</w:t>
      </w:r>
    </w:p>
    <w:tbl>
      <w:tblPr>
        <w:tblStyle w:val="38"/>
        <w:tblW w:w="9726"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7"/>
        <w:gridCol w:w="8719"/>
      </w:tblGrid>
      <w:tr w14:paraId="157FA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007" w:type="dxa"/>
            <w:vAlign w:val="center"/>
          </w:tcPr>
          <w:p w14:paraId="4E7EC50F">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8719" w:type="dxa"/>
            <w:vAlign w:val="center"/>
          </w:tcPr>
          <w:p w14:paraId="677634AB">
            <w:pPr>
              <w:pageBreakBefore w:val="0"/>
              <w:kinsoku/>
              <w:overflowPunct/>
              <w:bidi w:val="0"/>
              <w:snapToGrid w:val="0"/>
              <w:spacing w:line="312" w:lineRule="auto"/>
              <w:ind w:left="1080" w:leftChars="257" w:hanging="54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内容</w:t>
            </w:r>
          </w:p>
        </w:tc>
      </w:tr>
      <w:tr w14:paraId="0F9FF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7" w:type="dxa"/>
            <w:vAlign w:val="center"/>
          </w:tcPr>
          <w:p w14:paraId="06E182EB">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8719" w:type="dxa"/>
            <w:vAlign w:val="center"/>
          </w:tcPr>
          <w:p w14:paraId="5DE792CC">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采购人：伽师县民政局</w:t>
            </w:r>
          </w:p>
          <w:p w14:paraId="48950CF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址：伽师县北京路8号</w:t>
            </w:r>
          </w:p>
          <w:p w14:paraId="6E85F803">
            <w:pPr>
              <w:pageBreakBefore w:val="0"/>
              <w:widowControl w:val="0"/>
              <w:kinsoku/>
              <w:wordWrap/>
              <w:overflowPunct/>
              <w:topLinePunct w:val="0"/>
              <w:bidi w:val="0"/>
              <w:adjustRightInd w:val="0"/>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联系人：杨城灵  </w:t>
            </w:r>
          </w:p>
          <w:p w14:paraId="357B5D2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FF000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SA"/>
              </w:rPr>
              <w:t>电  话：18299693652</w:t>
            </w:r>
          </w:p>
        </w:tc>
      </w:tr>
      <w:tr w14:paraId="4FABB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56" w:hRule="atLeast"/>
        </w:trPr>
        <w:tc>
          <w:tcPr>
            <w:tcW w:w="1007" w:type="dxa"/>
            <w:vAlign w:val="center"/>
          </w:tcPr>
          <w:p w14:paraId="7A7FB3D8">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8719" w:type="dxa"/>
            <w:vAlign w:val="center"/>
          </w:tcPr>
          <w:p w14:paraId="4F6CDCB6">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代理机构：新疆卓宏项目管理有限公司</w:t>
            </w:r>
          </w:p>
          <w:p w14:paraId="3430E8D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址：喀什市夏马勒巴格镇10村明宇路1号（明宇广场）1幢3层B24号</w:t>
            </w:r>
          </w:p>
          <w:p w14:paraId="56679FD6">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 系 人：陈阳</w:t>
            </w:r>
          </w:p>
          <w:p w14:paraId="4A4E14A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FF0000"/>
                <w:sz w:val="24"/>
                <w:szCs w:val="24"/>
                <w:highlight w:val="none"/>
                <w:lang w:val="en-US"/>
              </w:rPr>
            </w:pPr>
            <w:r>
              <w:rPr>
                <w:rFonts w:hint="eastAsia" w:ascii="微软雅黑" w:hAnsi="微软雅黑" w:eastAsia="微软雅黑" w:cs="微软雅黑"/>
                <w:color w:val="auto"/>
                <w:kern w:val="0"/>
                <w:sz w:val="24"/>
                <w:szCs w:val="24"/>
                <w:highlight w:val="none"/>
                <w:lang w:val="en-US" w:eastAsia="zh-CN" w:bidi="ar-SA"/>
              </w:rPr>
              <w:t>联系方式：15739131398</w:t>
            </w:r>
          </w:p>
        </w:tc>
      </w:tr>
      <w:tr w14:paraId="2790C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7" w:type="dxa"/>
            <w:vAlign w:val="center"/>
          </w:tcPr>
          <w:p w14:paraId="1CF244EE">
            <w:pPr>
              <w:pageBreakBefore w:val="0"/>
              <w:widowControl/>
              <w:kinsoku/>
              <w:overflowPunct/>
              <w:bidi w:val="0"/>
              <w:snapToGrid w:val="0"/>
              <w:spacing w:before="50" w:after="50" w:line="312" w:lineRule="auto"/>
              <w:jc w:val="center"/>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3</w:t>
            </w:r>
          </w:p>
        </w:tc>
        <w:tc>
          <w:tcPr>
            <w:tcW w:w="8719" w:type="dxa"/>
            <w:vAlign w:val="center"/>
          </w:tcPr>
          <w:p w14:paraId="51C44406">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rPr>
              <w:t>合格供应商资格要求：供应商必须满足《中华人民共和国政府采购法》第二十二条。</w:t>
            </w:r>
          </w:p>
          <w:p w14:paraId="02F265E5">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rPr>
              <w:t>申请人的资格要求：</w:t>
            </w:r>
          </w:p>
          <w:p w14:paraId="0FEDDB9D">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①依法在民政部门登记成立或经国务院批准免予登记的社会组织；依法在工商管理或行业主管部门登记成立的企业、机构等社会力量的身份证明；</w:t>
            </w:r>
          </w:p>
          <w:p w14:paraId="735E6936">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②</w:t>
            </w:r>
            <w:r>
              <w:rPr>
                <w:rFonts w:hint="eastAsia" w:ascii="微软雅黑" w:hAnsi="微软雅黑" w:eastAsia="微软雅黑" w:cs="微软雅黑"/>
                <w:b/>
                <w:bCs/>
                <w:color w:val="auto"/>
                <w:sz w:val="24"/>
                <w:szCs w:val="24"/>
                <w:highlight w:val="none"/>
                <w:lang w:val="en-US"/>
              </w:rPr>
              <w:t xml:space="preserve">法定代表人(负责人)资格证明及授权书；(法定代表人投标需提供法定代表人(负责人)资格证明)；  </w:t>
            </w:r>
          </w:p>
          <w:p w14:paraId="51F62C07">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③</w:t>
            </w:r>
            <w:r>
              <w:rPr>
                <w:rFonts w:hint="eastAsia" w:ascii="微软雅黑" w:hAnsi="微软雅黑" w:eastAsia="微软雅黑" w:cs="微软雅黑"/>
                <w:b/>
                <w:bCs/>
                <w:color w:val="auto"/>
                <w:sz w:val="24"/>
                <w:szCs w:val="24"/>
                <w:highlight w:val="none"/>
                <w:lang w:val="en-US"/>
              </w:rPr>
              <w:t>近两年任意一年</w:t>
            </w:r>
            <w:r>
              <w:rPr>
                <w:rFonts w:hint="eastAsia" w:ascii="微软雅黑" w:hAnsi="微软雅黑" w:eastAsia="微软雅黑" w:cs="微软雅黑"/>
                <w:b/>
                <w:bCs/>
                <w:color w:val="auto"/>
                <w:sz w:val="24"/>
                <w:szCs w:val="24"/>
                <w:highlight w:val="none"/>
                <w:lang w:val="en-US" w:eastAsia="zh-CN"/>
              </w:rPr>
              <w:t>（2023年或2024年）</w:t>
            </w:r>
            <w:r>
              <w:rPr>
                <w:rFonts w:hint="eastAsia" w:ascii="微软雅黑" w:hAnsi="微软雅黑" w:eastAsia="微软雅黑" w:cs="微软雅黑"/>
                <w:b/>
                <w:bCs/>
                <w:color w:val="auto"/>
                <w:sz w:val="24"/>
                <w:szCs w:val="24"/>
                <w:highlight w:val="none"/>
                <w:lang w:val="en-US"/>
              </w:rPr>
              <w:t>的财务审计报告（新成立</w:t>
            </w:r>
            <w:r>
              <w:rPr>
                <w:rFonts w:hint="eastAsia" w:ascii="微软雅黑" w:hAnsi="微软雅黑" w:eastAsia="微软雅黑" w:cs="微软雅黑"/>
                <w:b/>
                <w:bCs/>
                <w:color w:val="auto"/>
                <w:sz w:val="24"/>
                <w:szCs w:val="24"/>
                <w:highlight w:val="none"/>
                <w:lang w:val="en-US" w:eastAsia="zh-CN"/>
              </w:rPr>
              <w:t>不满一年</w:t>
            </w:r>
            <w:r>
              <w:rPr>
                <w:rFonts w:hint="eastAsia" w:ascii="微软雅黑" w:hAnsi="微软雅黑" w:eastAsia="微软雅黑" w:cs="微软雅黑"/>
                <w:b/>
                <w:bCs/>
                <w:color w:val="auto"/>
                <w:sz w:val="24"/>
                <w:szCs w:val="24"/>
                <w:highlight w:val="none"/>
                <w:lang w:val="en-US"/>
              </w:rPr>
              <w:t>公司提供有效银行资信证明）；</w:t>
            </w:r>
          </w:p>
          <w:p w14:paraId="1986F6C1">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④提供供应商</w:t>
            </w:r>
            <w:r>
              <w:rPr>
                <w:rFonts w:hint="eastAsia" w:ascii="微软雅黑" w:hAnsi="微软雅黑" w:eastAsia="微软雅黑" w:cs="微软雅黑"/>
                <w:b/>
                <w:bCs/>
                <w:color w:val="auto"/>
                <w:sz w:val="24"/>
                <w:szCs w:val="24"/>
                <w:highlight w:val="none"/>
                <w:lang w:val="en-US"/>
              </w:rPr>
              <w:t xml:space="preserve">依法缴纳近 </w:t>
            </w: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lang w:val="en-US"/>
              </w:rPr>
              <w:t xml:space="preserve"> 个月任意一个月社会保险的凭据；</w:t>
            </w:r>
          </w:p>
          <w:p w14:paraId="3C28C12E">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⑤</w:t>
            </w:r>
            <w:r>
              <w:rPr>
                <w:rFonts w:hint="eastAsia" w:ascii="微软雅黑" w:hAnsi="微软雅黑" w:eastAsia="微软雅黑" w:cs="微软雅黑"/>
                <w:b/>
                <w:bCs/>
                <w:color w:val="auto"/>
                <w:sz w:val="24"/>
                <w:szCs w:val="24"/>
                <w:highlight w:val="none"/>
                <w:lang w:val="en-US"/>
              </w:rPr>
              <w:t>提供</w:t>
            </w:r>
            <w:r>
              <w:rPr>
                <w:rFonts w:hint="eastAsia" w:ascii="微软雅黑" w:hAnsi="微软雅黑" w:eastAsia="微软雅黑" w:cs="微软雅黑"/>
                <w:b/>
                <w:bCs/>
                <w:color w:val="auto"/>
                <w:sz w:val="24"/>
                <w:szCs w:val="24"/>
                <w:highlight w:val="none"/>
                <w:lang w:val="en-US" w:eastAsia="zh-CN"/>
              </w:rPr>
              <w:t>供应商由</w:t>
            </w:r>
            <w:r>
              <w:rPr>
                <w:rFonts w:hint="eastAsia" w:ascii="微软雅黑" w:hAnsi="微软雅黑" w:eastAsia="微软雅黑" w:cs="微软雅黑"/>
                <w:b/>
                <w:bCs/>
                <w:color w:val="auto"/>
                <w:sz w:val="24"/>
                <w:szCs w:val="24"/>
                <w:highlight w:val="none"/>
                <w:lang w:val="en-US"/>
              </w:rPr>
              <w:t xml:space="preserve">税务部门出具的近 </w:t>
            </w: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lang w:val="en-US"/>
              </w:rPr>
              <w:t xml:space="preserve"> 个月任意一个月的完税证明；</w:t>
            </w:r>
          </w:p>
          <w:p w14:paraId="7FE3ABDB">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⑥</w:t>
            </w:r>
            <w:r>
              <w:rPr>
                <w:rFonts w:hint="eastAsia" w:ascii="微软雅黑" w:hAnsi="微软雅黑" w:eastAsia="微软雅黑" w:cs="微软雅黑"/>
                <w:b/>
                <w:bCs/>
                <w:color w:val="auto"/>
                <w:sz w:val="24"/>
                <w:szCs w:val="24"/>
                <w:highlight w:val="none"/>
                <w:lang w:val="en-US"/>
              </w:rPr>
              <w:t>根据《财政部关于在政府采购活动中查询及使用信用记录有关问题的通知》（财库﹝2016﹞125号）的要求，凡拟参加本次招标项目的供应商，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微软雅黑" w:hAnsi="微软雅黑" w:eastAsia="微软雅黑" w:cs="微软雅黑"/>
                <w:b/>
                <w:bCs/>
                <w:color w:val="auto"/>
                <w:sz w:val="24"/>
                <w:szCs w:val="24"/>
                <w:highlight w:val="none"/>
                <w:lang w:val="en-US" w:eastAsia="zh-CN"/>
              </w:rPr>
              <w:t>为准</w:t>
            </w:r>
            <w:r>
              <w:rPr>
                <w:rFonts w:hint="eastAsia" w:ascii="微软雅黑" w:hAnsi="微软雅黑" w:eastAsia="微软雅黑" w:cs="微软雅黑"/>
                <w:b/>
                <w:bCs/>
                <w:color w:val="auto"/>
                <w:sz w:val="24"/>
                <w:szCs w:val="24"/>
                <w:highlight w:val="none"/>
                <w:lang w:val="en-US"/>
              </w:rPr>
              <w:t>）；</w:t>
            </w:r>
          </w:p>
          <w:p w14:paraId="464459B8">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⑦</w:t>
            </w:r>
            <w:r>
              <w:rPr>
                <w:rFonts w:hint="eastAsia" w:ascii="微软雅黑" w:hAnsi="微软雅黑" w:eastAsia="微软雅黑" w:cs="微软雅黑"/>
                <w:b/>
                <w:bCs/>
                <w:color w:val="auto"/>
                <w:sz w:val="24"/>
                <w:szCs w:val="24"/>
                <w:highlight w:val="none"/>
                <w:lang w:val="en-US"/>
              </w:rPr>
              <w:t>提供针对本次项目《反商业贿赂承诺书》；</w:t>
            </w:r>
          </w:p>
          <w:p w14:paraId="204F8C89">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⑧</w:t>
            </w:r>
            <w:r>
              <w:rPr>
                <w:rFonts w:hint="eastAsia" w:ascii="微软雅黑" w:hAnsi="微软雅黑" w:eastAsia="微软雅黑" w:cs="微软雅黑"/>
                <w:b/>
                <w:bCs/>
                <w:color w:val="auto"/>
                <w:sz w:val="24"/>
                <w:szCs w:val="24"/>
                <w:highlight w:val="none"/>
                <w:lang w:val="en-US"/>
              </w:rPr>
              <w:t>参加政府采购活动前3年内在经营活动中没有重大违法违规记录的书面声明；</w:t>
            </w:r>
          </w:p>
          <w:p w14:paraId="0648D882">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⑨</w:t>
            </w:r>
            <w:r>
              <w:rPr>
                <w:rFonts w:hint="eastAsia" w:ascii="微软雅黑" w:hAnsi="微软雅黑" w:eastAsia="微软雅黑" w:cs="微软雅黑"/>
                <w:b/>
                <w:bCs/>
                <w:color w:val="auto"/>
                <w:sz w:val="24"/>
                <w:szCs w:val="24"/>
                <w:highlight w:val="none"/>
                <w:lang w:val="en-US"/>
              </w:rPr>
              <w:t>磋商保证金缴纳凭证；</w:t>
            </w:r>
          </w:p>
          <w:p w14:paraId="17ED5085">
            <w:pPr>
              <w:pStyle w:val="25"/>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b/>
                <w:bCs/>
                <w:color w:val="auto"/>
                <w:sz w:val="24"/>
                <w:szCs w:val="24"/>
                <w:highlight w:val="none"/>
                <w:lang w:val="en-US"/>
              </w:rPr>
              <w:t xml:space="preserve">注：1、提供税务部门出具的近 </w:t>
            </w: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lang w:val="en-US"/>
              </w:rPr>
              <w:t xml:space="preserve"> 个月内任意 1 个月的完税证明：①若供应商某月税收为零申报，须提供当月加盖税务局公章的无欠税证明或“国家税务总局电子税务局(12366.chinatax.gov.cn/bsfw/onlinetaxation/main)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”的申报结果查询截图。②完税证明中“税种”非养老保险、医疗保险、失业保险、工伤保险和生育保险。请各供应商注意！</w:t>
            </w:r>
          </w:p>
        </w:tc>
      </w:tr>
      <w:tr w14:paraId="67356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01" w:hRule="atLeast"/>
        </w:trPr>
        <w:tc>
          <w:tcPr>
            <w:tcW w:w="1007" w:type="dxa"/>
            <w:vAlign w:val="center"/>
          </w:tcPr>
          <w:p w14:paraId="3252C4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w:t>
            </w:r>
          </w:p>
        </w:tc>
        <w:tc>
          <w:tcPr>
            <w:tcW w:w="8719" w:type="dxa"/>
            <w:vAlign w:val="center"/>
          </w:tcPr>
          <w:p w14:paraId="5B33C1B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是否为专门面向中小企业采购：</w:t>
            </w:r>
            <w:r>
              <w:rPr>
                <w:rFonts w:hint="eastAsia" w:ascii="微软雅黑" w:hAnsi="微软雅黑" w:eastAsia="微软雅黑" w:cs="微软雅黑"/>
                <w:b w:val="0"/>
                <w:bCs w:val="0"/>
                <w:color w:val="auto"/>
                <w:sz w:val="24"/>
                <w:szCs w:val="24"/>
                <w:highlight w:val="none"/>
                <w:u w:val="single"/>
              </w:rPr>
              <w:t xml:space="preserve"> </w:t>
            </w:r>
            <w:r>
              <w:rPr>
                <w:rFonts w:hint="eastAsia" w:ascii="微软雅黑" w:hAnsi="微软雅黑" w:eastAsia="微软雅黑" w:cs="微软雅黑"/>
                <w:b w:val="0"/>
                <w:bCs w:val="0"/>
                <w:color w:val="auto"/>
                <w:sz w:val="24"/>
                <w:szCs w:val="24"/>
                <w:highlight w:val="none"/>
                <w:u w:val="single"/>
                <w:lang w:val="en-US" w:eastAsia="zh-CN"/>
              </w:rPr>
              <w:t>否</w:t>
            </w:r>
            <w:r>
              <w:rPr>
                <w:rFonts w:hint="eastAsia" w:ascii="微软雅黑" w:hAnsi="微软雅黑" w:eastAsia="微软雅黑" w:cs="微软雅黑"/>
                <w:b w:val="0"/>
                <w:bCs w:val="0"/>
                <w:color w:val="auto"/>
                <w:sz w:val="24"/>
                <w:szCs w:val="24"/>
                <w:highlight w:val="none"/>
                <w:u w:val="single"/>
              </w:rPr>
              <w:t xml:space="preserve"> </w:t>
            </w:r>
            <w:r>
              <w:rPr>
                <w:rFonts w:hint="eastAsia" w:ascii="微软雅黑" w:hAnsi="微软雅黑" w:eastAsia="微软雅黑" w:cs="微软雅黑"/>
                <w:b w:val="0"/>
                <w:bCs w:val="0"/>
                <w:color w:val="auto"/>
                <w:sz w:val="24"/>
                <w:szCs w:val="24"/>
                <w:highlight w:val="none"/>
              </w:rPr>
              <w:t>（是、否）</w:t>
            </w:r>
          </w:p>
          <w:p w14:paraId="35B6EDEC">
            <w:pPr>
              <w:pStyle w:val="1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sz w:val="24"/>
                <w:szCs w:val="24"/>
                <w:highlight w:val="none"/>
                <w:lang w:eastAsia="zh-CN"/>
              </w:rPr>
              <w:t>注：</w:t>
            </w:r>
            <w:r>
              <w:rPr>
                <w:rFonts w:hint="eastAsia" w:ascii="微软雅黑" w:hAnsi="微软雅黑" w:eastAsia="微软雅黑" w:cs="微软雅黑"/>
                <w:b w:val="0"/>
                <w:bCs w:val="0"/>
                <w:color w:val="auto"/>
                <w:sz w:val="24"/>
                <w:szCs w:val="24"/>
                <w:highlight w:val="none"/>
                <w:lang w:val="en-US" w:eastAsia="zh-CN"/>
              </w:rPr>
              <w:t>潜在供应商属于中小微企业的，请在响应文件中提供“中小企业声明函”，如果未提供或提供虚假的“中小企业声明函”，投标企业将承担由此造成的一切不利后果；本项目不专门面向中小企业，（本项目属于其他未列明行业</w:t>
            </w:r>
            <w:r>
              <w:rPr>
                <w:rFonts w:hint="eastAsia" w:ascii="微软雅黑" w:hAnsi="微软雅黑" w:eastAsia="微软雅黑" w:cs="微软雅黑"/>
                <w:b w:val="0"/>
                <w:bCs w:val="0"/>
                <w:color w:val="auto"/>
                <w:sz w:val="24"/>
                <w:szCs w:val="24"/>
                <w:highlight w:val="none"/>
                <w:lang w:eastAsia="zh-CN"/>
              </w:rPr>
              <w:t>）。</w:t>
            </w:r>
          </w:p>
        </w:tc>
      </w:tr>
      <w:tr w14:paraId="7636D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1" w:hRule="atLeast"/>
        </w:trPr>
        <w:tc>
          <w:tcPr>
            <w:tcW w:w="1007" w:type="dxa"/>
            <w:vAlign w:val="center"/>
          </w:tcPr>
          <w:p w14:paraId="289EA9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5</w:t>
            </w:r>
          </w:p>
        </w:tc>
        <w:tc>
          <w:tcPr>
            <w:tcW w:w="8719" w:type="dxa"/>
            <w:vAlign w:val="center"/>
          </w:tcPr>
          <w:p w14:paraId="5BFF455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否</w:t>
            </w:r>
          </w:p>
        </w:tc>
      </w:tr>
      <w:tr w14:paraId="49E03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trPr>
        <w:tc>
          <w:tcPr>
            <w:tcW w:w="1007" w:type="dxa"/>
            <w:vAlign w:val="center"/>
          </w:tcPr>
          <w:p w14:paraId="180DF4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6</w:t>
            </w:r>
          </w:p>
        </w:tc>
        <w:tc>
          <w:tcPr>
            <w:tcW w:w="8719" w:type="dxa"/>
            <w:vAlign w:val="center"/>
          </w:tcPr>
          <w:p w14:paraId="4845D05D">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联合体的其他资格要求：</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本项目不接受联合体投标</w:t>
            </w:r>
            <w:r>
              <w:rPr>
                <w:rFonts w:hint="eastAsia" w:ascii="微软雅黑" w:hAnsi="微软雅黑" w:eastAsia="微软雅黑" w:cs="微软雅黑"/>
                <w:b w:val="0"/>
                <w:bCs w:val="0"/>
                <w:color w:val="auto"/>
                <w:sz w:val="24"/>
                <w:szCs w:val="24"/>
                <w:highlight w:val="none"/>
                <w:u w:val="single"/>
                <w:lang w:val="en-US" w:eastAsia="zh-CN"/>
              </w:rPr>
              <w:t xml:space="preserve">  </w:t>
            </w:r>
          </w:p>
        </w:tc>
      </w:tr>
      <w:tr w14:paraId="2B463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7" w:type="dxa"/>
            <w:vAlign w:val="center"/>
          </w:tcPr>
          <w:p w14:paraId="2C8314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7</w:t>
            </w:r>
          </w:p>
        </w:tc>
        <w:tc>
          <w:tcPr>
            <w:tcW w:w="8719" w:type="dxa"/>
            <w:vAlign w:val="center"/>
          </w:tcPr>
          <w:p w14:paraId="735BA15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eastAsia="zh-CN"/>
              </w:rPr>
              <w:t>本项目</w:t>
            </w:r>
            <w:r>
              <w:rPr>
                <w:rFonts w:hint="eastAsia" w:ascii="微软雅黑" w:hAnsi="微软雅黑" w:eastAsia="微软雅黑" w:cs="微软雅黑"/>
                <w:color w:val="auto"/>
                <w:sz w:val="24"/>
                <w:szCs w:val="24"/>
                <w:highlight w:val="none"/>
                <w:u w:val="none"/>
              </w:rPr>
              <w:t>预算金额：</w:t>
            </w:r>
            <w:r>
              <w:rPr>
                <w:rFonts w:hint="eastAsia" w:ascii="微软雅黑" w:hAnsi="微软雅黑" w:eastAsia="微软雅黑" w:cs="微软雅黑"/>
                <w:b/>
                <w:bCs/>
                <w:color w:val="auto"/>
                <w:sz w:val="24"/>
                <w:szCs w:val="24"/>
                <w:highlight w:val="none"/>
                <w:u w:val="none"/>
                <w:lang w:val="en-US" w:eastAsia="zh-CN"/>
              </w:rPr>
              <w:t>690000.00元（陆拾玖万元整）</w:t>
            </w:r>
          </w:p>
          <w:p w14:paraId="2F13FC6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eastAsia="zh-CN"/>
              </w:rPr>
              <w:t>本项目</w:t>
            </w:r>
            <w:r>
              <w:rPr>
                <w:rFonts w:hint="eastAsia" w:ascii="微软雅黑" w:hAnsi="微软雅黑" w:eastAsia="微软雅黑" w:cs="微软雅黑"/>
                <w:color w:val="auto"/>
                <w:sz w:val="24"/>
                <w:szCs w:val="24"/>
                <w:highlight w:val="none"/>
                <w:u w:val="none"/>
              </w:rPr>
              <w:t>最高限价</w:t>
            </w:r>
            <w:r>
              <w:rPr>
                <w:rFonts w:hint="eastAsia" w:ascii="微软雅黑" w:hAnsi="微软雅黑" w:eastAsia="微软雅黑" w:cs="微软雅黑"/>
                <w:b/>
                <w:color w:val="auto"/>
                <w:sz w:val="24"/>
                <w:szCs w:val="24"/>
                <w:highlight w:val="none"/>
                <w:u w:val="none"/>
              </w:rPr>
              <w:t>：</w:t>
            </w:r>
            <w:r>
              <w:rPr>
                <w:rFonts w:hint="eastAsia" w:ascii="微软雅黑" w:hAnsi="微软雅黑" w:eastAsia="微软雅黑" w:cs="微软雅黑"/>
                <w:b/>
                <w:color w:val="auto"/>
                <w:sz w:val="24"/>
                <w:szCs w:val="24"/>
                <w:highlight w:val="none"/>
                <w:u w:val="none"/>
                <w:lang w:val="en-US" w:eastAsia="zh-CN"/>
              </w:rPr>
              <w:t>690000.00</w:t>
            </w:r>
            <w:r>
              <w:rPr>
                <w:rFonts w:hint="eastAsia" w:ascii="微软雅黑" w:hAnsi="微软雅黑" w:eastAsia="微软雅黑" w:cs="微软雅黑"/>
                <w:b/>
                <w:bCs/>
                <w:color w:val="auto"/>
                <w:sz w:val="24"/>
                <w:szCs w:val="24"/>
                <w:highlight w:val="none"/>
                <w:u w:val="none"/>
                <w:lang w:val="en-US" w:eastAsia="zh-CN"/>
              </w:rPr>
              <w:t>元（陆拾玖万元整）</w:t>
            </w:r>
          </w:p>
          <w:p w14:paraId="21117F4F">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u w:val="none"/>
                <w:lang w:val="en-US" w:eastAsia="zh-CN"/>
              </w:rPr>
              <w:t>报价不可超最高限价，否则响应无效。</w:t>
            </w:r>
          </w:p>
        </w:tc>
      </w:tr>
      <w:tr w14:paraId="3A6EF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007" w:type="dxa"/>
            <w:vAlign w:val="center"/>
          </w:tcPr>
          <w:p w14:paraId="1933A3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8</w:t>
            </w:r>
          </w:p>
        </w:tc>
        <w:tc>
          <w:tcPr>
            <w:tcW w:w="8719" w:type="dxa"/>
            <w:vAlign w:val="center"/>
          </w:tcPr>
          <w:p w14:paraId="1DD2A05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答疑与澄清：</w:t>
            </w:r>
          </w:p>
          <w:p w14:paraId="6E6D00C0">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14:paraId="2D27850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（2）采购人、采购代理机构应当在提交首次响应文件截止时间至少5日前，以书面形式通知所有获取磋商文件的供应商；不足5日的，采购人、采购代理机构应当顺延提交首次响应文件截止时间。</w:t>
            </w:r>
          </w:p>
        </w:tc>
      </w:tr>
      <w:tr w14:paraId="4733D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trPr>
        <w:tc>
          <w:tcPr>
            <w:tcW w:w="1007" w:type="dxa"/>
            <w:vAlign w:val="bottom"/>
          </w:tcPr>
          <w:p w14:paraId="74FB32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9</w:t>
            </w:r>
          </w:p>
        </w:tc>
        <w:tc>
          <w:tcPr>
            <w:tcW w:w="8719" w:type="dxa"/>
            <w:vAlign w:val="center"/>
          </w:tcPr>
          <w:p w14:paraId="57093590">
            <w:pPr>
              <w:keepNext w:val="0"/>
              <w:keepLines w:val="0"/>
              <w:pageBreakBefore w:val="0"/>
              <w:widowControl w:val="0"/>
              <w:kinsoku/>
              <w:wordWrap/>
              <w:overflowPunct/>
              <w:topLinePunct w:val="0"/>
              <w:autoSpaceDE/>
              <w:autoSpaceDN/>
              <w:bidi w:val="0"/>
              <w:adjustRightInd/>
              <w:snapToGrid w:val="0"/>
              <w:spacing w:line="24" w:lineRule="atLeast"/>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对多个包进行投标，可</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1</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包</w:t>
            </w:r>
            <w:r>
              <w:rPr>
                <w:rFonts w:hint="eastAsia" w:ascii="微软雅黑" w:hAnsi="微软雅黑" w:eastAsia="微软雅黑" w:cs="微软雅黑"/>
                <w:color w:val="auto"/>
                <w:sz w:val="24"/>
                <w:szCs w:val="24"/>
                <w:highlight w:val="none"/>
                <w:lang w:eastAsia="zh-CN"/>
              </w:rPr>
              <w:t>；</w:t>
            </w:r>
          </w:p>
        </w:tc>
      </w:tr>
      <w:tr w14:paraId="5C4D7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8" w:hRule="atLeast"/>
        </w:trPr>
        <w:tc>
          <w:tcPr>
            <w:tcW w:w="1007" w:type="dxa"/>
            <w:vAlign w:val="center"/>
          </w:tcPr>
          <w:p w14:paraId="432899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10</w:t>
            </w:r>
          </w:p>
        </w:tc>
        <w:tc>
          <w:tcPr>
            <w:tcW w:w="8719" w:type="dxa"/>
            <w:vAlign w:val="center"/>
          </w:tcPr>
          <w:p w14:paraId="6B16FC5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磋商保证金形式：☑电汇 </w:t>
            </w:r>
            <w:r>
              <w:rPr>
                <w:rFonts w:hint="eastAsia" w:ascii="微软雅黑" w:hAnsi="微软雅黑" w:eastAsia="微软雅黑" w:cs="微软雅黑"/>
                <w:color w:val="auto"/>
                <w:sz w:val="24"/>
                <w:szCs w:val="24"/>
                <w:highlight w:val="none"/>
                <w:lang w:val="en-US" w:eastAsia="zh-CN"/>
              </w:rPr>
              <w:t xml:space="preserve"> ☑银行保函 ☑电子保函</w:t>
            </w:r>
            <w:r>
              <w:rPr>
                <w:rFonts w:hint="eastAsia" w:ascii="微软雅黑" w:hAnsi="微软雅黑" w:eastAsia="微软雅黑" w:cs="微软雅黑"/>
                <w:color w:val="auto"/>
                <w:sz w:val="24"/>
                <w:szCs w:val="24"/>
                <w:highlight w:val="none"/>
              </w:rPr>
              <w:t xml:space="preserve"> ☑转账</w:t>
            </w:r>
          </w:p>
          <w:p w14:paraId="41865043">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b/>
                <w:bCs/>
              </w:rPr>
            </w:pPr>
            <w:r>
              <w:rPr>
                <w:rFonts w:hint="eastAsia" w:ascii="微软雅黑" w:hAnsi="微软雅黑" w:eastAsia="微软雅黑" w:cs="微软雅黑"/>
                <w:color w:val="auto"/>
                <w:sz w:val="24"/>
                <w:szCs w:val="24"/>
                <w:highlight w:val="none"/>
              </w:rPr>
              <w:t>磋商保证金数额：</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0000.00元（</w:t>
            </w:r>
            <w:r>
              <w:rPr>
                <w:rFonts w:hint="eastAsia" w:ascii="微软雅黑" w:hAnsi="微软雅黑" w:eastAsia="微软雅黑" w:cs="微软雅黑"/>
                <w:color w:val="auto"/>
                <w:sz w:val="24"/>
                <w:szCs w:val="24"/>
                <w:highlight w:val="none"/>
                <w:lang w:eastAsia="zh-CN"/>
              </w:rPr>
              <w:t>壹</w:t>
            </w:r>
            <w:r>
              <w:rPr>
                <w:rFonts w:hint="eastAsia" w:ascii="微软雅黑" w:hAnsi="微软雅黑" w:eastAsia="微软雅黑" w:cs="微软雅黑"/>
                <w:color w:val="auto"/>
                <w:sz w:val="24"/>
                <w:szCs w:val="24"/>
                <w:highlight w:val="none"/>
              </w:rPr>
              <w:t>万元整）</w:t>
            </w:r>
          </w:p>
          <w:p w14:paraId="6EB3FCEC">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开户名称：</w:t>
            </w:r>
            <w:r>
              <w:rPr>
                <w:rFonts w:hint="eastAsia" w:ascii="微软雅黑" w:hAnsi="微软雅黑" w:eastAsia="微软雅黑" w:cs="微软雅黑"/>
                <w:color w:val="auto"/>
                <w:sz w:val="24"/>
                <w:szCs w:val="24"/>
                <w:highlight w:val="none"/>
                <w:lang w:val="en-US" w:eastAsia="zh-CN"/>
              </w:rPr>
              <w:t>新疆卓宏项目管理有限公司</w:t>
            </w:r>
            <w:r>
              <w:rPr>
                <w:rFonts w:hint="eastAsia" w:ascii="微软雅黑" w:hAnsi="微软雅黑" w:eastAsia="微软雅黑" w:cs="微软雅黑"/>
                <w:color w:val="auto"/>
                <w:sz w:val="24"/>
                <w:szCs w:val="24"/>
                <w:highlight w:val="none"/>
              </w:rPr>
              <w:t xml:space="preserve">                        </w:t>
            </w:r>
          </w:p>
          <w:p w14:paraId="7E72C36C">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开户银行：中国农业银行股份有限公司喀什市兵团支行营业室                       </w:t>
            </w:r>
          </w:p>
          <w:p w14:paraId="3F42810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帐    号：30783201040013747</w:t>
            </w:r>
          </w:p>
          <w:p w14:paraId="3199250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行    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 xml:space="preserve">103894078326 </w:t>
            </w:r>
            <w:r>
              <w:rPr>
                <w:rFonts w:hint="eastAsia" w:ascii="微软雅黑" w:hAnsi="微软雅黑" w:eastAsia="微软雅黑" w:cs="微软雅黑"/>
                <w:color w:val="auto"/>
                <w:sz w:val="24"/>
                <w:szCs w:val="24"/>
                <w:highlight w:val="none"/>
              </w:rPr>
              <w:t xml:space="preserve">                      </w:t>
            </w:r>
          </w:p>
          <w:p w14:paraId="7535E29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p w14:paraId="1EA718E7">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磋商保证金截止时间：2025年03月14日16:00（北京时间）。打款时注明投标保证金项目名称及项目编号。</w:t>
            </w:r>
          </w:p>
          <w:p w14:paraId="38287DD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pacing w:val="-2"/>
                <w:sz w:val="24"/>
                <w:szCs w:val="24"/>
                <w:highlight w:val="none"/>
                <w:lang w:val="en-US" w:eastAsia="zh-CN"/>
              </w:rPr>
              <w:t>注：汇款时注明投标保证金项目名称及项目编号（如有包段，需注明包段）。磋商保证金截止时间前将磋商保证金从供应商基本账户转入，将磋商保证金银行汇款凭证放入投标文件中。（以保证金到账时间为准，供应商应充分考虑到账时间）</w:t>
            </w:r>
          </w:p>
        </w:tc>
      </w:tr>
      <w:tr w14:paraId="73B7F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1" w:hRule="atLeast"/>
        </w:trPr>
        <w:tc>
          <w:tcPr>
            <w:tcW w:w="1007" w:type="dxa"/>
            <w:vAlign w:val="center"/>
          </w:tcPr>
          <w:p w14:paraId="14259F2A">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w:t>
            </w:r>
          </w:p>
        </w:tc>
        <w:tc>
          <w:tcPr>
            <w:tcW w:w="8719" w:type="dxa"/>
            <w:vAlign w:val="center"/>
          </w:tcPr>
          <w:p w14:paraId="5E5404B8">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32"/>
                <w:highlight w:val="none"/>
              </w:rPr>
              <w:t>本项目磋商有效期为响应文件递交截止时间后</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u w:val="single"/>
                <w:lang w:val="en-US" w:eastAsia="zh-CN"/>
              </w:rPr>
              <w:t>90</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rPr>
              <w:t>天</w:t>
            </w:r>
            <w:r>
              <w:rPr>
                <w:rFonts w:hint="eastAsia" w:ascii="微软雅黑" w:hAnsi="微软雅黑" w:eastAsia="微软雅黑" w:cs="微软雅黑"/>
                <w:color w:val="auto"/>
                <w:sz w:val="24"/>
                <w:szCs w:val="32"/>
                <w:highlight w:val="none"/>
                <w:lang w:eastAsia="zh-CN"/>
              </w:rPr>
              <w:t>（日历日）</w:t>
            </w:r>
            <w:r>
              <w:rPr>
                <w:rFonts w:hint="eastAsia" w:ascii="微软雅黑" w:hAnsi="微软雅黑" w:eastAsia="微软雅黑" w:cs="微软雅黑"/>
                <w:color w:val="auto"/>
                <w:sz w:val="24"/>
                <w:szCs w:val="32"/>
                <w:highlight w:val="none"/>
              </w:rPr>
              <w:t>。</w:t>
            </w:r>
          </w:p>
        </w:tc>
      </w:tr>
      <w:tr w14:paraId="300AD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007" w:type="dxa"/>
            <w:vAlign w:val="center"/>
          </w:tcPr>
          <w:p w14:paraId="5EA0BF97">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w:t>
            </w:r>
          </w:p>
        </w:tc>
        <w:tc>
          <w:tcPr>
            <w:tcW w:w="8719" w:type="dxa"/>
            <w:vAlign w:val="center"/>
          </w:tcPr>
          <w:p w14:paraId="1FC12B7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32"/>
                <w:highlight w:val="none"/>
                <w:lang w:eastAsia="zh-CN"/>
              </w:rPr>
              <w:t>投标人</w:t>
            </w:r>
            <w:r>
              <w:rPr>
                <w:rFonts w:hint="eastAsia" w:ascii="微软雅黑" w:hAnsi="微软雅黑" w:eastAsia="微软雅黑" w:cs="微软雅黑"/>
                <w:color w:val="auto"/>
                <w:sz w:val="24"/>
                <w:szCs w:val="32"/>
                <w:highlight w:val="none"/>
              </w:rPr>
              <w:t>应完整地按</w:t>
            </w:r>
            <w:r>
              <w:rPr>
                <w:rFonts w:hint="eastAsia" w:ascii="微软雅黑" w:hAnsi="微软雅黑" w:eastAsia="微软雅黑" w:cs="微软雅黑"/>
                <w:color w:val="auto"/>
                <w:sz w:val="24"/>
                <w:szCs w:val="32"/>
                <w:highlight w:val="none"/>
                <w:lang w:eastAsia="zh-CN"/>
              </w:rPr>
              <w:t>磋商文件</w:t>
            </w:r>
            <w:r>
              <w:rPr>
                <w:rFonts w:hint="eastAsia" w:ascii="微软雅黑" w:hAnsi="微软雅黑" w:eastAsia="微软雅黑" w:cs="微软雅黑"/>
                <w:color w:val="auto"/>
                <w:sz w:val="24"/>
                <w:szCs w:val="32"/>
                <w:highlight w:val="none"/>
              </w:rPr>
              <w:t>提供的</w:t>
            </w:r>
            <w:r>
              <w:rPr>
                <w:rFonts w:hint="eastAsia" w:ascii="微软雅黑" w:hAnsi="微软雅黑" w:eastAsia="微软雅黑" w:cs="微软雅黑"/>
                <w:color w:val="auto"/>
                <w:sz w:val="24"/>
                <w:szCs w:val="32"/>
                <w:highlight w:val="none"/>
                <w:lang w:eastAsia="zh-CN"/>
              </w:rPr>
              <w:t>响应文件</w:t>
            </w:r>
            <w:r>
              <w:rPr>
                <w:rFonts w:hint="eastAsia" w:ascii="微软雅黑" w:hAnsi="微软雅黑" w:eastAsia="微软雅黑" w:cs="微软雅黑"/>
                <w:color w:val="auto"/>
                <w:sz w:val="24"/>
                <w:szCs w:val="32"/>
                <w:highlight w:val="none"/>
              </w:rPr>
              <w:t>格式及要求编写</w:t>
            </w:r>
            <w:r>
              <w:rPr>
                <w:rFonts w:hint="eastAsia" w:ascii="微软雅黑" w:hAnsi="微软雅黑" w:eastAsia="微软雅黑" w:cs="微软雅黑"/>
                <w:color w:val="auto"/>
                <w:sz w:val="24"/>
                <w:szCs w:val="32"/>
                <w:highlight w:val="none"/>
                <w:lang w:eastAsia="zh-CN"/>
              </w:rPr>
              <w:t>响应文件，</w:t>
            </w:r>
            <w:r>
              <w:rPr>
                <w:rFonts w:hint="eastAsia" w:ascii="微软雅黑" w:hAnsi="微软雅黑" w:eastAsia="微软雅黑" w:cs="微软雅黑"/>
                <w:color w:val="auto"/>
                <w:sz w:val="24"/>
                <w:szCs w:val="32"/>
                <w:highlight w:val="none"/>
                <w:lang w:val="en-US" w:eastAsia="zh-CN"/>
              </w:rPr>
              <w:t xml:space="preserve"> 投标人须在投标截止时间前完成在系统上递交电子响应文件。投标人的电子响应文件是经过</w:t>
            </w:r>
            <w:r>
              <w:rPr>
                <w:rFonts w:hint="eastAsia" w:ascii="微软雅黑" w:hAnsi="微软雅黑" w:eastAsia="微软雅黑" w:cs="微软雅黑"/>
                <w:color w:val="auto"/>
                <w:sz w:val="24"/>
                <w:szCs w:val="24"/>
                <w:highlight w:val="none"/>
                <w:u w:val="none"/>
                <w:lang w:val="en-US" w:eastAsia="zh-CN"/>
              </w:rPr>
              <w:t>CA证书加密后上传提交的，任何单位或个人均无法在投标截止时间(即磋商时间)之前查看或篡改，不存在泄密风险。（严格按照政采云电子投标流程制作并上传电子响应文件）代理机构开启第二轮报价环节后，各投标人应尽快在政采云系统提交各自的二轮报价，超过30分钟（自代理机构开启第二轮报价环节起计算）未提交二轮报价的视为放弃投标。敬请注意！！！整个开标环节需要投标人在系统确认的报价等信息最长时限均为30分钟。敬请注意！！！</w:t>
            </w:r>
          </w:p>
        </w:tc>
      </w:tr>
      <w:tr w14:paraId="404C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07" w:type="dxa"/>
            <w:vAlign w:val="center"/>
          </w:tcPr>
          <w:p w14:paraId="25A3FC5C">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w:t>
            </w:r>
          </w:p>
        </w:tc>
        <w:tc>
          <w:tcPr>
            <w:tcW w:w="8719" w:type="dxa"/>
            <w:vAlign w:val="center"/>
          </w:tcPr>
          <w:p w14:paraId="76A3C0F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截止时间：2025年03月14日16:00（北京时间）</w:t>
            </w:r>
          </w:p>
          <w:p w14:paraId="7365D76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w:t>
            </w:r>
            <w:r>
              <w:rPr>
                <w:rFonts w:hint="eastAsia" w:ascii="微软雅黑" w:hAnsi="微软雅黑" w:eastAsia="微软雅黑" w:cs="微软雅黑"/>
                <w:color w:val="auto"/>
                <w:sz w:val="24"/>
                <w:szCs w:val="24"/>
                <w:highlight w:val="none"/>
                <w:lang w:eastAsia="zh-CN"/>
              </w:rPr>
              <w:t>政采云平台（https://www.zcygov.cn/）在线投标</w:t>
            </w:r>
          </w:p>
        </w:tc>
      </w:tr>
      <w:tr w14:paraId="2A0E5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07" w:type="dxa"/>
            <w:vAlign w:val="center"/>
          </w:tcPr>
          <w:p w14:paraId="188781B8">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w:t>
            </w:r>
          </w:p>
        </w:tc>
        <w:tc>
          <w:tcPr>
            <w:tcW w:w="8719" w:type="dxa"/>
            <w:vAlign w:val="center"/>
          </w:tcPr>
          <w:p w14:paraId="28B3E4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开启时间：2025年03月14</w:t>
            </w:r>
            <w:bookmarkStart w:id="792" w:name="_GoBack"/>
            <w:bookmarkEnd w:id="792"/>
            <w:r>
              <w:rPr>
                <w:rFonts w:hint="eastAsia" w:ascii="微软雅黑" w:hAnsi="微软雅黑" w:eastAsia="微软雅黑" w:cs="微软雅黑"/>
                <w:color w:val="auto"/>
                <w:sz w:val="24"/>
                <w:szCs w:val="24"/>
                <w:highlight w:val="none"/>
                <w:u w:val="none"/>
                <w:lang w:val="en-US" w:eastAsia="zh-CN"/>
              </w:rPr>
              <w:t>日16:00（北京时间）</w:t>
            </w:r>
          </w:p>
          <w:p w14:paraId="03F4681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w:t>
            </w:r>
            <w:r>
              <w:rPr>
                <w:rFonts w:hint="eastAsia" w:ascii="微软雅黑" w:hAnsi="微软雅黑" w:eastAsia="微软雅黑" w:cs="微软雅黑"/>
                <w:color w:val="auto"/>
                <w:kern w:val="2"/>
                <w:sz w:val="24"/>
                <w:szCs w:val="24"/>
                <w:highlight w:val="none"/>
                <w:u w:val="none"/>
                <w:lang w:val="en-US" w:eastAsia="zh-CN" w:bidi="ar-SA"/>
              </w:rPr>
              <w:t>政采云平台（https://www.zcygov.cn/）不见面开标</w:t>
            </w:r>
          </w:p>
        </w:tc>
      </w:tr>
      <w:tr w14:paraId="701D8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007" w:type="dxa"/>
            <w:vAlign w:val="center"/>
          </w:tcPr>
          <w:p w14:paraId="56F6FC92">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w:t>
            </w:r>
          </w:p>
        </w:tc>
        <w:tc>
          <w:tcPr>
            <w:tcW w:w="8719" w:type="dxa"/>
            <w:vAlign w:val="center"/>
          </w:tcPr>
          <w:p w14:paraId="40C007D5">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pacing w:val="-2"/>
                <w:kern w:val="0"/>
                <w:sz w:val="24"/>
                <w:szCs w:val="24"/>
                <w:highlight w:val="none"/>
              </w:rPr>
            </w:pP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小组构</w:t>
            </w:r>
            <w:r>
              <w:rPr>
                <w:rFonts w:hint="eastAsia" w:ascii="微软雅黑" w:hAnsi="微软雅黑" w:eastAsia="微软雅黑" w:cs="微软雅黑"/>
                <w:color w:val="auto"/>
                <w:spacing w:val="-2"/>
                <w:kern w:val="0"/>
                <w:sz w:val="24"/>
                <w:szCs w:val="24"/>
                <w:highlight w:val="none"/>
              </w:rPr>
              <w:t>成</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pacing w:val="43"/>
                <w:kern w:val="0"/>
                <w:sz w:val="24"/>
                <w:szCs w:val="24"/>
                <w:highlight w:val="none"/>
                <w:u w:val="single"/>
                <w:lang w:val="en-US" w:eastAsia="zh-CN"/>
              </w:rPr>
              <w:t>3</w:t>
            </w:r>
            <w:r>
              <w:rPr>
                <w:rFonts w:hint="eastAsia" w:ascii="微软雅黑" w:hAnsi="微软雅黑" w:eastAsia="微软雅黑" w:cs="微软雅黑"/>
                <w:color w:val="auto"/>
                <w:spacing w:val="43"/>
                <w:kern w:val="0"/>
                <w:sz w:val="24"/>
                <w:szCs w:val="24"/>
                <w:highlight w:val="none"/>
                <w:u w:val="none"/>
                <w:lang w:eastAsia="zh-CN"/>
              </w:rPr>
              <w:t>；</w:t>
            </w:r>
            <w:r>
              <w:rPr>
                <w:rFonts w:hint="eastAsia" w:ascii="微软雅黑" w:hAnsi="微软雅黑" w:eastAsia="微软雅黑" w:cs="微软雅黑"/>
                <w:color w:val="auto"/>
                <w:kern w:val="0"/>
                <w:sz w:val="24"/>
                <w:szCs w:val="24"/>
                <w:highlight w:val="none"/>
                <w:lang w:eastAsia="zh-CN"/>
              </w:rPr>
              <w:t>采购</w:t>
            </w:r>
            <w:r>
              <w:rPr>
                <w:rFonts w:hint="eastAsia" w:ascii="微软雅黑" w:hAnsi="微软雅黑" w:eastAsia="微软雅黑" w:cs="微软雅黑"/>
                <w:color w:val="auto"/>
                <w:kern w:val="0"/>
                <w:sz w:val="24"/>
                <w:szCs w:val="24"/>
                <w:highlight w:val="none"/>
              </w:rPr>
              <w:t>人代</w:t>
            </w:r>
            <w:r>
              <w:rPr>
                <w:rFonts w:hint="eastAsia" w:ascii="微软雅黑" w:hAnsi="微软雅黑" w:eastAsia="微软雅黑" w:cs="微软雅黑"/>
                <w:color w:val="auto"/>
                <w:spacing w:val="-3"/>
                <w:kern w:val="0"/>
                <w:sz w:val="24"/>
                <w:szCs w:val="24"/>
                <w:highlight w:val="none"/>
              </w:rPr>
              <w:t>表</w:t>
            </w:r>
            <w:r>
              <w:rPr>
                <w:rFonts w:hint="eastAsia" w:ascii="微软雅黑" w:hAnsi="微软雅黑" w:eastAsia="微软雅黑" w:cs="微软雅黑"/>
                <w:color w:val="auto"/>
                <w:spacing w:val="-3"/>
                <w:kern w:val="0"/>
                <w:sz w:val="24"/>
                <w:szCs w:val="24"/>
                <w:highlight w:val="none"/>
                <w:u w:val="single"/>
                <w:lang w:val="en-US" w:eastAsia="zh-CN"/>
              </w:rPr>
              <w:t xml:space="preserve"> </w:t>
            </w:r>
            <w:r>
              <w:rPr>
                <w:rFonts w:hint="eastAsia" w:ascii="微软雅黑" w:hAnsi="微软雅黑" w:eastAsia="微软雅黑" w:cs="微软雅黑"/>
                <w:color w:val="auto"/>
                <w:spacing w:val="43"/>
                <w:kern w:val="0"/>
                <w:sz w:val="24"/>
                <w:szCs w:val="24"/>
                <w:highlight w:val="none"/>
                <w:u w:val="single"/>
                <w:lang w:val="en-US" w:eastAsia="zh-CN"/>
              </w:rPr>
              <w:t>0</w:t>
            </w:r>
            <w:r>
              <w:rPr>
                <w:rFonts w:hint="eastAsia" w:ascii="微软雅黑" w:hAnsi="微软雅黑" w:eastAsia="微软雅黑" w:cs="微软雅黑"/>
                <w:color w:val="auto"/>
                <w:spacing w:val="-2"/>
                <w:kern w:val="0"/>
                <w:sz w:val="24"/>
                <w:szCs w:val="24"/>
                <w:highlight w:val="none"/>
              </w:rPr>
              <w:t>人</w:t>
            </w:r>
            <w:r>
              <w:rPr>
                <w:rFonts w:hint="eastAsia" w:ascii="微软雅黑" w:hAnsi="微软雅黑" w:eastAsia="微软雅黑" w:cs="微软雅黑"/>
                <w:color w:val="auto"/>
                <w:spacing w:val="-60"/>
                <w:kern w:val="0"/>
                <w:sz w:val="24"/>
                <w:szCs w:val="24"/>
                <w:highlight w:val="none"/>
              </w:rPr>
              <w:t>，</w:t>
            </w:r>
            <w:r>
              <w:rPr>
                <w:rFonts w:hint="eastAsia" w:ascii="微软雅黑" w:hAnsi="微软雅黑" w:eastAsia="微软雅黑" w:cs="微软雅黑"/>
                <w:color w:val="auto"/>
                <w:kern w:val="0"/>
                <w:sz w:val="24"/>
                <w:szCs w:val="24"/>
                <w:highlight w:val="none"/>
              </w:rPr>
              <w:t>专</w:t>
            </w:r>
            <w:r>
              <w:rPr>
                <w:rFonts w:hint="eastAsia" w:ascii="微软雅黑" w:hAnsi="微软雅黑" w:eastAsia="微软雅黑" w:cs="微软雅黑"/>
                <w:color w:val="auto"/>
                <w:spacing w:val="1"/>
                <w:kern w:val="0"/>
                <w:sz w:val="24"/>
                <w:szCs w:val="24"/>
                <w:highlight w:val="none"/>
              </w:rPr>
              <w:t>家</w:t>
            </w:r>
            <w:r>
              <w:rPr>
                <w:rFonts w:hint="eastAsia" w:ascii="微软雅黑" w:hAnsi="微软雅黑" w:eastAsia="微软雅黑" w:cs="微软雅黑"/>
                <w:color w:val="auto"/>
                <w:spacing w:val="43"/>
                <w:kern w:val="0"/>
                <w:sz w:val="24"/>
                <w:szCs w:val="24"/>
                <w:highlight w:val="none"/>
                <w:u w:val="single"/>
                <w:lang w:val="en-US" w:eastAsia="zh-CN"/>
              </w:rPr>
              <w:t>3</w:t>
            </w:r>
            <w:r>
              <w:rPr>
                <w:rFonts w:hint="eastAsia" w:ascii="微软雅黑" w:hAnsi="微软雅黑" w:eastAsia="微软雅黑" w:cs="微软雅黑"/>
                <w:color w:val="auto"/>
                <w:spacing w:val="-2"/>
                <w:kern w:val="0"/>
                <w:sz w:val="24"/>
                <w:szCs w:val="24"/>
                <w:highlight w:val="none"/>
              </w:rPr>
              <w:t>人；</w:t>
            </w:r>
          </w:p>
          <w:p w14:paraId="00882085">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小组</w:t>
            </w:r>
            <w:r>
              <w:rPr>
                <w:rFonts w:hint="eastAsia" w:ascii="微软雅黑" w:hAnsi="微软雅黑" w:eastAsia="微软雅黑" w:cs="微软雅黑"/>
                <w:color w:val="auto"/>
                <w:kern w:val="0"/>
                <w:sz w:val="24"/>
                <w:szCs w:val="24"/>
                <w:highlight w:val="none"/>
                <w:lang w:eastAsia="zh-CN"/>
              </w:rPr>
              <w:t>专家</w:t>
            </w:r>
            <w:r>
              <w:rPr>
                <w:rFonts w:hint="eastAsia" w:ascii="微软雅黑" w:hAnsi="微软雅黑" w:eastAsia="微软雅黑" w:cs="微软雅黑"/>
                <w:color w:val="auto"/>
                <w:spacing w:val="-2"/>
                <w:kern w:val="0"/>
                <w:sz w:val="24"/>
                <w:szCs w:val="24"/>
                <w:highlight w:val="none"/>
              </w:rPr>
              <w:t>确</w:t>
            </w:r>
            <w:r>
              <w:rPr>
                <w:rFonts w:hint="eastAsia" w:ascii="微软雅黑" w:hAnsi="微软雅黑" w:eastAsia="微软雅黑" w:cs="微软雅黑"/>
                <w:color w:val="auto"/>
                <w:kern w:val="0"/>
                <w:sz w:val="24"/>
                <w:szCs w:val="24"/>
                <w:highlight w:val="none"/>
              </w:rPr>
              <w:t>定</w:t>
            </w:r>
            <w:r>
              <w:rPr>
                <w:rFonts w:hint="eastAsia" w:ascii="微软雅黑" w:hAnsi="微软雅黑" w:eastAsia="微软雅黑" w:cs="微软雅黑"/>
                <w:color w:val="auto"/>
                <w:spacing w:val="-2"/>
                <w:kern w:val="0"/>
                <w:sz w:val="24"/>
                <w:szCs w:val="24"/>
                <w:highlight w:val="none"/>
              </w:rPr>
              <w:t>方</w:t>
            </w:r>
            <w:r>
              <w:rPr>
                <w:rFonts w:hint="eastAsia" w:ascii="微软雅黑" w:hAnsi="微软雅黑" w:eastAsia="微软雅黑" w:cs="微软雅黑"/>
                <w:color w:val="auto"/>
                <w:kern w:val="0"/>
                <w:sz w:val="24"/>
                <w:szCs w:val="24"/>
                <w:highlight w:val="none"/>
              </w:rPr>
              <w:t>式：</w:t>
            </w:r>
            <w:r>
              <w:rPr>
                <w:rFonts w:hint="eastAsia" w:ascii="微软雅黑" w:hAnsi="微软雅黑" w:eastAsia="微软雅黑" w:cs="微软雅黑"/>
                <w:color w:val="auto"/>
                <w:kern w:val="0"/>
                <w:sz w:val="24"/>
                <w:szCs w:val="24"/>
                <w:highlight w:val="none"/>
                <w:u w:val="single"/>
              </w:rPr>
              <w:t>依法从政采云平台专家库随机抽取</w:t>
            </w:r>
          </w:p>
        </w:tc>
      </w:tr>
      <w:tr w14:paraId="60C3B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007" w:type="dxa"/>
            <w:vAlign w:val="center"/>
          </w:tcPr>
          <w:p w14:paraId="72C6296D">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w:t>
            </w:r>
          </w:p>
        </w:tc>
        <w:tc>
          <w:tcPr>
            <w:tcW w:w="8719" w:type="dxa"/>
            <w:vAlign w:val="center"/>
          </w:tcPr>
          <w:p w14:paraId="2F940AB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i/>
                <w:color w:val="auto"/>
                <w:sz w:val="24"/>
                <w:szCs w:val="24"/>
                <w:highlight w:val="none"/>
                <w:lang w:eastAsia="zh-CN"/>
              </w:rPr>
            </w:pPr>
            <w:r>
              <w:rPr>
                <w:rFonts w:hint="eastAsia" w:ascii="微软雅黑" w:hAnsi="微软雅黑" w:eastAsia="微软雅黑" w:cs="微软雅黑"/>
                <w:b/>
                <w:bCs/>
                <w:color w:val="auto"/>
                <w:sz w:val="24"/>
                <w:szCs w:val="24"/>
                <w:highlight w:val="none"/>
              </w:rPr>
              <w:t>评</w:t>
            </w:r>
            <w:r>
              <w:rPr>
                <w:rFonts w:hint="eastAsia" w:ascii="微软雅黑" w:hAnsi="微软雅黑" w:eastAsia="微软雅黑" w:cs="微软雅黑"/>
                <w:b/>
                <w:bCs/>
                <w:color w:val="auto"/>
                <w:sz w:val="24"/>
                <w:szCs w:val="24"/>
                <w:highlight w:val="none"/>
                <w:lang w:eastAsia="zh-CN"/>
              </w:rPr>
              <w:t>分</w:t>
            </w:r>
            <w:r>
              <w:rPr>
                <w:rFonts w:hint="eastAsia" w:ascii="微软雅黑" w:hAnsi="微软雅黑" w:eastAsia="微软雅黑" w:cs="微软雅黑"/>
                <w:b/>
                <w:bCs/>
                <w:color w:val="auto"/>
                <w:sz w:val="24"/>
                <w:szCs w:val="24"/>
                <w:highlight w:val="none"/>
              </w:rPr>
              <w:t>方法：</w:t>
            </w:r>
            <w:r>
              <w:rPr>
                <w:rFonts w:hint="eastAsia" w:ascii="微软雅黑" w:hAnsi="微软雅黑" w:eastAsia="微软雅黑" w:cs="微软雅黑"/>
                <w:color w:val="auto"/>
                <w:sz w:val="24"/>
                <w:szCs w:val="24"/>
                <w:highlight w:val="none"/>
              </w:rPr>
              <w:t>综合评分法，响应文件满足磋商文件全部实质性要求且按评审因素的量化指标评审得分最高的供应商为成交候选供应商的评审方法。　</w:t>
            </w:r>
            <w:r>
              <w:rPr>
                <w:rFonts w:hint="eastAsia" w:ascii="微软雅黑" w:hAnsi="微软雅黑" w:eastAsia="微软雅黑" w:cs="微软雅黑"/>
                <w:color w:val="auto"/>
                <w:sz w:val="24"/>
                <w:szCs w:val="24"/>
                <w:highlight w:val="none"/>
                <w:lang w:val="zh-CN" w:eastAsia="zh-CN" w:bidi="zh-CN"/>
              </w:rPr>
              <w:t>　</w:t>
            </w:r>
          </w:p>
        </w:tc>
      </w:tr>
      <w:tr w14:paraId="4849C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14:paraId="6D091A86">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27</w:t>
            </w:r>
          </w:p>
        </w:tc>
        <w:tc>
          <w:tcPr>
            <w:tcW w:w="8719" w:type="dxa"/>
            <w:vAlign w:val="center"/>
          </w:tcPr>
          <w:p w14:paraId="0D52423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推荐中标候选供应商的数量：</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3</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家</w:t>
            </w:r>
          </w:p>
        </w:tc>
      </w:tr>
      <w:tr w14:paraId="2127D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14:paraId="2C22CEA2">
            <w:pPr>
              <w:pageBreakBefore w:val="0"/>
              <w:kinsoku/>
              <w:overflowPunct/>
              <w:bidi w:val="0"/>
              <w:snapToGrid w:val="0"/>
              <w:spacing w:line="240" w:lineRule="auto"/>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18</w:t>
            </w:r>
          </w:p>
        </w:tc>
        <w:tc>
          <w:tcPr>
            <w:tcW w:w="8719" w:type="dxa"/>
            <w:vAlign w:val="center"/>
          </w:tcPr>
          <w:p w14:paraId="7DD9FA7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履约保证金金额：中标金额的</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（具体以签订合同为准）</w:t>
            </w:r>
          </w:p>
          <w:p w14:paraId="02F2CB1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履约保证金形式：</w:t>
            </w:r>
            <w:r>
              <w:rPr>
                <w:rFonts w:hint="eastAsia" w:ascii="微软雅黑" w:hAnsi="微软雅黑" w:eastAsia="微软雅黑" w:cs="微软雅黑"/>
                <w:color w:val="auto"/>
                <w:sz w:val="24"/>
                <w:szCs w:val="24"/>
                <w:highlight w:val="none"/>
                <w:lang w:val="en-US" w:eastAsia="zh-CN"/>
              </w:rPr>
              <w:t>电汇、网银、银行保函</w:t>
            </w:r>
          </w:p>
          <w:p w14:paraId="3A8575B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提交履约保证金的时间：</w:t>
            </w:r>
            <w:r>
              <w:rPr>
                <w:rFonts w:hint="eastAsia" w:ascii="微软雅黑" w:hAnsi="微软雅黑" w:eastAsia="微软雅黑" w:cs="微软雅黑"/>
                <w:color w:val="auto"/>
                <w:sz w:val="24"/>
                <w:szCs w:val="24"/>
                <w:highlight w:val="none"/>
                <w:lang w:val="en-US" w:eastAsia="zh-CN"/>
              </w:rPr>
              <w:t>领取中标通知书 5日内（日历日）</w:t>
            </w:r>
          </w:p>
          <w:p w14:paraId="4FEF2F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提交履约保证金</w:t>
            </w:r>
            <w:r>
              <w:rPr>
                <w:rFonts w:hint="eastAsia" w:ascii="微软雅黑" w:hAnsi="微软雅黑" w:eastAsia="微软雅黑" w:cs="微软雅黑"/>
                <w:color w:val="auto"/>
                <w:sz w:val="24"/>
                <w:szCs w:val="24"/>
                <w:highlight w:val="none"/>
                <w:lang w:val="en-US" w:eastAsia="zh-CN"/>
              </w:rPr>
              <w:t xml:space="preserve">后2个工作日内双方签订合同 </w:t>
            </w:r>
          </w:p>
        </w:tc>
      </w:tr>
      <w:tr w14:paraId="4188A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14:paraId="3688C88A">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19</w:t>
            </w:r>
          </w:p>
        </w:tc>
        <w:tc>
          <w:tcPr>
            <w:tcW w:w="8719" w:type="dxa"/>
            <w:vAlign w:val="center"/>
          </w:tcPr>
          <w:p w14:paraId="0318D57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服务费：按照发改价格【2015】299号文件规定，代理费收费标准协商确定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本项目代理费</w:t>
            </w:r>
            <w:r>
              <w:rPr>
                <w:rFonts w:hint="eastAsia" w:ascii="微软雅黑" w:hAnsi="微软雅黑" w:eastAsia="微软雅黑" w:cs="微软雅黑"/>
                <w:color w:val="auto"/>
                <w:sz w:val="24"/>
                <w:szCs w:val="24"/>
                <w:highlight w:val="none"/>
                <w:lang w:val="en-US" w:eastAsia="zh-CN"/>
              </w:rPr>
              <w:t>为9000.00元，</w:t>
            </w:r>
            <w:r>
              <w:rPr>
                <w:rFonts w:hint="eastAsia" w:ascii="微软雅黑" w:hAnsi="微软雅黑" w:eastAsia="微软雅黑" w:cs="微软雅黑"/>
                <w:color w:val="auto"/>
                <w:sz w:val="24"/>
                <w:szCs w:val="24"/>
                <w:highlight w:val="none"/>
                <w:lang w:eastAsia="zh-CN"/>
              </w:rPr>
              <w:t>由成交</w:t>
            </w:r>
            <w:r>
              <w:rPr>
                <w:rFonts w:hint="eastAsia" w:ascii="微软雅黑" w:hAnsi="微软雅黑" w:eastAsia="微软雅黑" w:cs="微软雅黑"/>
                <w:color w:val="auto"/>
                <w:sz w:val="24"/>
                <w:szCs w:val="24"/>
                <w:highlight w:val="none"/>
                <w:lang w:val="en-US" w:eastAsia="zh-CN"/>
              </w:rPr>
              <w:t>供应</w:t>
            </w:r>
            <w:r>
              <w:rPr>
                <w:rFonts w:hint="eastAsia" w:ascii="微软雅黑" w:hAnsi="微软雅黑" w:eastAsia="微软雅黑" w:cs="微软雅黑"/>
                <w:color w:val="auto"/>
                <w:sz w:val="24"/>
                <w:szCs w:val="24"/>
                <w:highlight w:val="none"/>
                <w:lang w:eastAsia="zh-CN"/>
              </w:rPr>
              <w:t>商向代理机构支付</w:t>
            </w:r>
            <w:r>
              <w:rPr>
                <w:rFonts w:hint="eastAsia" w:ascii="微软雅黑" w:hAnsi="微软雅黑" w:eastAsia="微软雅黑" w:cs="微软雅黑"/>
                <w:color w:val="auto"/>
                <w:sz w:val="24"/>
                <w:szCs w:val="24"/>
                <w:highlight w:val="none"/>
                <w:lang w:val="en-US" w:eastAsia="zh-CN"/>
              </w:rPr>
              <w:t>。</w:t>
            </w:r>
          </w:p>
          <w:p w14:paraId="20B8B1A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lang w:val="en-US" w:eastAsia="zh-CN"/>
              </w:rPr>
              <w:t>电汇、网络银行转账</w:t>
            </w:r>
          </w:p>
          <w:p w14:paraId="1FB654D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lang w:val="en-US" w:eastAsia="zh-CN"/>
              </w:rPr>
              <w:t>领取成交通知书时一次性付清</w:t>
            </w:r>
          </w:p>
        </w:tc>
      </w:tr>
      <w:tr w14:paraId="2305B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007" w:type="dxa"/>
            <w:vAlign w:val="top"/>
          </w:tcPr>
          <w:p w14:paraId="519E2499">
            <w:pPr>
              <w:pStyle w:val="112"/>
              <w:pageBreakBefore w:val="0"/>
              <w:kinsoku/>
              <w:overflowPunct/>
              <w:bidi w:val="0"/>
              <w:snapToGrid w:val="0"/>
              <w:spacing w:line="240" w:lineRule="auto"/>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highlight w:val="none"/>
                <w:lang w:val="en-US" w:eastAsia="zh-CN"/>
              </w:rPr>
              <w:t>20</w:t>
            </w:r>
          </w:p>
        </w:tc>
        <w:tc>
          <w:tcPr>
            <w:tcW w:w="8719" w:type="dxa"/>
            <w:vAlign w:val="top"/>
          </w:tcPr>
          <w:p w14:paraId="23FCE115">
            <w:pPr>
              <w:pStyle w:val="112"/>
              <w:keepNext w:val="0"/>
              <w:keepLines w:val="0"/>
              <w:pageBreakBefore w:val="0"/>
              <w:widowControl w:val="0"/>
              <w:kinsoku/>
              <w:wordWrap/>
              <w:overflowPunct/>
              <w:topLinePunct w:val="0"/>
              <w:autoSpaceDE/>
              <w:autoSpaceDN/>
              <w:bidi w:val="0"/>
              <w:adjustRightInd/>
              <w:snapToGrid w:val="0"/>
              <w:spacing w:line="24" w:lineRule="atLeast"/>
              <w:ind w:left="34" w:leftChars="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否 </w:t>
            </w:r>
          </w:p>
        </w:tc>
      </w:tr>
      <w:tr w14:paraId="1799B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007" w:type="dxa"/>
            <w:vAlign w:val="center"/>
          </w:tcPr>
          <w:p w14:paraId="5E0E8D10">
            <w:pPr>
              <w:pageBreakBefore w:val="0"/>
              <w:kinsoku/>
              <w:overflowPunct/>
              <w:bidi w:val="0"/>
              <w:snapToGrid w:val="0"/>
              <w:spacing w:line="240" w:lineRule="auto"/>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21</w:t>
            </w:r>
          </w:p>
        </w:tc>
        <w:tc>
          <w:tcPr>
            <w:tcW w:w="8719" w:type="dxa"/>
            <w:vAlign w:val="center"/>
          </w:tcPr>
          <w:p w14:paraId="61322BEC">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反腐倡廉监督电话/邮箱：</w:t>
            </w:r>
            <w:r>
              <w:rPr>
                <w:rFonts w:hint="eastAsia" w:ascii="微软雅黑" w:hAnsi="微软雅黑" w:eastAsia="微软雅黑" w:cs="微软雅黑"/>
                <w:color w:val="auto"/>
                <w:kern w:val="0"/>
                <w:sz w:val="24"/>
                <w:szCs w:val="24"/>
                <w:highlight w:val="none"/>
                <w:lang w:val="en-US" w:eastAsia="zh-CN" w:bidi="ar-SA"/>
              </w:rPr>
              <w:t xml:space="preserve">18299693652 </w:t>
            </w:r>
          </w:p>
        </w:tc>
      </w:tr>
      <w:tr w14:paraId="6D8F0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1" w:hRule="atLeast"/>
        </w:trPr>
        <w:tc>
          <w:tcPr>
            <w:tcW w:w="9726" w:type="dxa"/>
            <w:gridSpan w:val="2"/>
            <w:vAlign w:val="center"/>
          </w:tcPr>
          <w:p w14:paraId="4B5539EE">
            <w:pPr>
              <w:keepNext w:val="0"/>
              <w:keepLines w:val="0"/>
              <w:pageBreakBefore w:val="0"/>
              <w:widowControl w:val="0"/>
              <w:kinsoku/>
              <w:wordWrap/>
              <w:overflowPunct/>
              <w:topLinePunct w:val="0"/>
              <w:autoSpaceDE/>
              <w:autoSpaceDN/>
              <w:bidi w:val="0"/>
              <w:adjustRightInd/>
              <w:snapToGrid w:val="0"/>
              <w:spacing w:line="24" w:lineRule="atLeast"/>
              <w:ind w:firstLine="960" w:firstLineChars="400"/>
              <w:textAlignment w:val="auto"/>
              <w:rPr>
                <w:rFonts w:hint="default" w:eastAsia="宋体"/>
                <w:color w:val="auto"/>
                <w:highlight w:val="none"/>
                <w:lang w:val="en-US" w:eastAsia="zh-CN"/>
              </w:rPr>
            </w:pPr>
            <w:r>
              <w:rPr>
                <w:rFonts w:hint="default" w:ascii="微软雅黑" w:hAnsi="微软雅黑" w:eastAsia="微软雅黑" w:cs="微软雅黑"/>
                <w:color w:val="auto"/>
                <w:kern w:val="2"/>
                <w:sz w:val="24"/>
                <w:szCs w:val="24"/>
                <w:highlight w:val="none"/>
                <w:lang w:val="en-US" w:eastAsia="zh-CN" w:bidi="ar-SA"/>
              </w:rPr>
              <w:t>适用于本投标人须知的额外增加的变动：</w:t>
            </w:r>
          </w:p>
        </w:tc>
      </w:tr>
      <w:tr w14:paraId="18F99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1007" w:type="dxa"/>
            <w:vAlign w:val="center"/>
          </w:tcPr>
          <w:p w14:paraId="498B5F69">
            <w:pPr>
              <w:pageBreakBefore w:val="0"/>
              <w:kinsoku/>
              <w:overflowPunct/>
              <w:bidi w:val="0"/>
              <w:snapToGrid w:val="0"/>
              <w:spacing w:line="24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其他</w:t>
            </w:r>
          </w:p>
        </w:tc>
        <w:tc>
          <w:tcPr>
            <w:tcW w:w="8719" w:type="dxa"/>
            <w:vAlign w:val="center"/>
          </w:tcPr>
          <w:p w14:paraId="6C4FC1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不得将中标项目全部或部分转让（转包）给他人；</w:t>
            </w:r>
          </w:p>
        </w:tc>
      </w:tr>
      <w:tr w14:paraId="1D4A2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7" w:type="dxa"/>
            <w:vAlign w:val="center"/>
          </w:tcPr>
          <w:p w14:paraId="235C67F9">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8719" w:type="dxa"/>
            <w:vAlign w:val="center"/>
          </w:tcPr>
          <w:p w14:paraId="0F8B76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78626E5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p>
          <w:p w14:paraId="28F4C74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5CCF29B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070C766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5.供应商在开标时须使用制作加密电子投标文件所使用的CA锁及电脑，电脑须提前配置好浏览器（建议使用谷歌浏览器），以便开标时解锁。</w:t>
            </w:r>
          </w:p>
          <w:p w14:paraId="0EE2BF7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292BB6B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14:paraId="0D3320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8</w:t>
            </w:r>
            <w:r>
              <w:rPr>
                <w:rFonts w:hint="eastAsia" w:ascii="微软雅黑" w:hAnsi="微软雅黑" w:eastAsia="微软雅黑" w:cs="微软雅黑"/>
                <w:color w:val="auto"/>
                <w:kern w:val="2"/>
                <w:sz w:val="24"/>
                <w:szCs w:val="24"/>
                <w:highlight w:val="none"/>
                <w:lang w:val="en-US" w:eastAsia="zh-CN" w:bidi="ar-SA"/>
              </w:rPr>
              <w:t>.</w:t>
            </w:r>
            <w:r>
              <w:rPr>
                <w:rFonts w:hint="default" w:ascii="微软雅黑" w:hAnsi="微软雅黑" w:eastAsia="微软雅黑" w:cs="微软雅黑"/>
                <w:color w:val="auto"/>
                <w:kern w:val="2"/>
                <w:sz w:val="24"/>
                <w:szCs w:val="24"/>
                <w:highlight w:val="none"/>
                <w:lang w:val="en-US" w:eastAsia="zh-CN" w:bidi="ar-SA"/>
              </w:rPr>
              <w:t>各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p w14:paraId="1A89E7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9</w:t>
            </w:r>
            <w:r>
              <w:rPr>
                <w:rFonts w:hint="eastAsia" w:ascii="微软雅黑" w:hAnsi="微软雅黑" w:eastAsia="微软雅黑" w:cs="微软雅黑"/>
                <w:color w:val="auto"/>
                <w:kern w:val="2"/>
                <w:sz w:val="24"/>
                <w:szCs w:val="24"/>
                <w:highlight w:val="none"/>
                <w:lang w:val="en-US" w:eastAsia="zh-CN" w:bidi="ar-SA"/>
              </w:rPr>
              <w:t>.</w:t>
            </w:r>
            <w:r>
              <w:rPr>
                <w:rFonts w:hint="default" w:ascii="微软雅黑" w:hAnsi="微软雅黑" w:eastAsia="微软雅黑" w:cs="微软雅黑"/>
                <w:color w:val="auto"/>
                <w:kern w:val="2"/>
                <w:sz w:val="24"/>
                <w:szCs w:val="24"/>
                <w:highlight w:val="none"/>
                <w:lang w:val="en-US" w:eastAsia="zh-CN" w:bidi="ar-SA"/>
              </w:rPr>
              <w:t>各供应商在投标截止时间前将“投标文件”上传至政采云平台。响应文件包括“报价一览表及资格证明文件”与“商务及技术文件”两部分合并成一册。响应文件应按照招标文件规定的格式填写、签署和盖章，并以.jmbs格式上传至政采云开评标平台（投标文件为正本扫描件）。</w:t>
            </w:r>
          </w:p>
          <w:p w14:paraId="746C60B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10</w:t>
            </w:r>
            <w:r>
              <w:rPr>
                <w:rFonts w:hint="eastAsia" w:ascii="微软雅黑" w:hAnsi="微软雅黑" w:eastAsia="微软雅黑" w:cs="微软雅黑"/>
                <w:color w:val="auto"/>
                <w:kern w:val="2"/>
                <w:sz w:val="24"/>
                <w:szCs w:val="24"/>
                <w:highlight w:val="none"/>
                <w:lang w:val="en-US" w:eastAsia="zh-CN" w:bidi="ar-SA"/>
              </w:rPr>
              <w:t>.</w:t>
            </w:r>
            <w:r>
              <w:rPr>
                <w:rFonts w:hint="default" w:ascii="微软雅黑" w:hAnsi="微软雅黑" w:eastAsia="微软雅黑" w:cs="微软雅黑"/>
                <w:color w:val="auto"/>
                <w:kern w:val="2"/>
                <w:sz w:val="24"/>
                <w:szCs w:val="24"/>
                <w:highlight w:val="none"/>
                <w:lang w:val="en-US" w:eastAsia="zh-CN" w:bidi="ar-SA"/>
              </w:rPr>
              <w:t>解密时长为30分钟。</w:t>
            </w:r>
          </w:p>
          <w:p w14:paraId="581B2E5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11</w:t>
            </w:r>
            <w:r>
              <w:rPr>
                <w:rFonts w:hint="eastAsia" w:ascii="微软雅黑" w:hAnsi="微软雅黑" w:eastAsia="微软雅黑" w:cs="微软雅黑"/>
                <w:color w:val="auto"/>
                <w:kern w:val="2"/>
                <w:sz w:val="24"/>
                <w:szCs w:val="24"/>
                <w:highlight w:val="none"/>
                <w:lang w:val="en-US" w:eastAsia="zh-CN" w:bidi="ar-SA"/>
              </w:rPr>
              <w:t>.</w:t>
            </w:r>
            <w:r>
              <w:rPr>
                <w:rFonts w:hint="default" w:ascii="微软雅黑" w:hAnsi="微软雅黑" w:eastAsia="微软雅黑" w:cs="微软雅黑"/>
                <w:color w:val="auto"/>
                <w:kern w:val="2"/>
                <w:sz w:val="24"/>
                <w:szCs w:val="24"/>
                <w:highlight w:val="none"/>
                <w:lang w:val="en-US" w:eastAsia="zh-CN" w:bidi="ar-SA"/>
              </w:rPr>
              <w:t>须供应商提供备份的投标文件</w:t>
            </w:r>
          </w:p>
        </w:tc>
      </w:tr>
    </w:tbl>
    <w:p w14:paraId="17F0B028">
      <w:pPr>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sectPr>
          <w:pgSz w:w="11906" w:h="16838"/>
          <w:pgMar w:top="1440" w:right="1080" w:bottom="1440" w:left="1080" w:header="510" w:footer="992" w:gutter="0"/>
          <w:pgBorders>
            <w:top w:val="none" w:sz="0" w:space="0"/>
            <w:left w:val="none" w:sz="0" w:space="0"/>
            <w:bottom w:val="none" w:sz="0" w:space="0"/>
            <w:right w:val="none" w:sz="0" w:space="0"/>
          </w:pgBorders>
          <w:pgNumType w:fmt="decimal"/>
          <w:cols w:space="720" w:num="1"/>
          <w:docGrid w:linePitch="312" w:charSpace="0"/>
        </w:sectPr>
      </w:pPr>
    </w:p>
    <w:p w14:paraId="282543FD">
      <w:pPr>
        <w:spacing w:line="360" w:lineRule="auto"/>
        <w:jc w:val="center"/>
        <w:rPr>
          <w:rFonts w:hint="eastAsia" w:ascii="微软雅黑" w:hAnsi="微软雅黑" w:eastAsia="微软雅黑" w:cs="微软雅黑"/>
          <w:b/>
          <w:color w:val="auto"/>
          <w:sz w:val="24"/>
          <w:szCs w:val="24"/>
          <w:highlight w:val="none"/>
        </w:rPr>
      </w:pPr>
      <w:bookmarkStart w:id="500" w:name="_Toc9032"/>
      <w:bookmarkStart w:id="501" w:name="_Toc9887"/>
      <w:bookmarkStart w:id="502" w:name="_Toc22779"/>
      <w:bookmarkStart w:id="503" w:name="_Toc515647831"/>
      <w:bookmarkStart w:id="504" w:name="_Toc9651"/>
      <w:bookmarkStart w:id="505" w:name="_Toc16301"/>
      <w:bookmarkStart w:id="506" w:name="_Toc27797"/>
      <w:bookmarkStart w:id="507" w:name="_Toc29153"/>
      <w:r>
        <w:rPr>
          <w:rFonts w:hint="eastAsia" w:ascii="微软雅黑" w:hAnsi="微软雅黑" w:eastAsia="微软雅黑" w:cs="微软雅黑"/>
          <w:b/>
          <w:color w:val="auto"/>
          <w:sz w:val="32"/>
          <w:szCs w:val="32"/>
          <w:highlight w:val="none"/>
        </w:rPr>
        <w:t>资格审查表</w:t>
      </w:r>
    </w:p>
    <w:tbl>
      <w:tblPr>
        <w:tblStyle w:val="38"/>
        <w:tblW w:w="9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874"/>
        <w:gridCol w:w="707"/>
        <w:gridCol w:w="793"/>
        <w:gridCol w:w="745"/>
      </w:tblGrid>
      <w:tr w14:paraId="15FC7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7387" w:type="dxa"/>
            <w:gridSpan w:val="2"/>
            <w:tcBorders>
              <w:top w:val="single" w:color="auto" w:sz="4" w:space="0"/>
              <w:left w:val="single" w:color="auto" w:sz="4" w:space="0"/>
              <w:bottom w:val="single" w:color="auto" w:sz="4" w:space="0"/>
              <w:right w:val="single" w:color="auto" w:sz="4" w:space="0"/>
            </w:tcBorders>
            <w:noWrap w:val="0"/>
            <w:vAlign w:val="center"/>
          </w:tcPr>
          <w:p w14:paraId="68E854F3">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审查</w:t>
            </w:r>
            <w:r>
              <w:rPr>
                <w:rFonts w:hint="eastAsia" w:ascii="微软雅黑" w:hAnsi="微软雅黑" w:eastAsia="微软雅黑" w:cs="微软雅黑"/>
                <w:b/>
                <w:color w:val="auto"/>
                <w:sz w:val="24"/>
                <w:szCs w:val="24"/>
                <w:highlight w:val="none"/>
              </w:rPr>
              <w:t>内容</w:t>
            </w:r>
          </w:p>
        </w:tc>
        <w:tc>
          <w:tcPr>
            <w:tcW w:w="2245" w:type="dxa"/>
            <w:gridSpan w:val="3"/>
            <w:tcBorders>
              <w:top w:val="single" w:color="auto" w:sz="4" w:space="0"/>
              <w:left w:val="single" w:color="auto" w:sz="4" w:space="0"/>
              <w:bottom w:val="single" w:color="auto" w:sz="4" w:space="0"/>
              <w:right w:val="single" w:color="auto" w:sz="4" w:space="0"/>
            </w:tcBorders>
            <w:noWrap w:val="0"/>
            <w:vAlign w:val="center"/>
          </w:tcPr>
          <w:p w14:paraId="2D6A6E4E">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eastAsia="zh-CN"/>
              </w:rPr>
              <w:t>供应商</w:t>
            </w:r>
            <w:r>
              <w:rPr>
                <w:rFonts w:hint="eastAsia" w:ascii="微软雅黑" w:hAnsi="微软雅黑" w:eastAsia="微软雅黑" w:cs="微软雅黑"/>
                <w:bCs/>
                <w:color w:val="auto"/>
                <w:sz w:val="24"/>
                <w:szCs w:val="24"/>
                <w:highlight w:val="none"/>
              </w:rPr>
              <w:t>及审查情况</w:t>
            </w:r>
          </w:p>
        </w:tc>
      </w:tr>
      <w:tr w14:paraId="41A42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4AE675B4">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2D5B4F81">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textAlignment w:val="auto"/>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color w:val="auto"/>
                <w:sz w:val="24"/>
                <w:szCs w:val="24"/>
                <w:highlight w:val="none"/>
                <w:lang w:val="en-US" w:eastAsia="zh-CN"/>
              </w:rPr>
              <w:t>依法在民政部门登记成立或经国务院批准免予登记的社会组织；依法在工商管理或行业主管部门登记成立的企业、机构等社会力量的身份证明；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B268DA5">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E27686E">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525B8BF">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14:paraId="2DEF8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0064B5C">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2</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B91F3CB">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sz w:val="24"/>
                <w:szCs w:val="24"/>
                <w:highlight w:val="none"/>
              </w:rPr>
              <w:t>法定代表人(负责人)资格证明及授权书；(法定代表人投标需提供法定代表人(负责人)资格证明)；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54F3FA2C">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8C82CDC">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6FDE72C7">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14:paraId="519A9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E7C919C">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3</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767CB4FD">
            <w:pPr>
              <w:pStyle w:val="37"/>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sz w:val="24"/>
                <w:szCs w:val="24"/>
                <w:highlight w:val="none"/>
              </w:rPr>
              <w:t>近两年任意一年</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lang w:val="en-US" w:eastAsia="zh-CN"/>
              </w:rPr>
              <w:t>2023年或2024年</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的财务审计报告（新成立</w:t>
            </w:r>
            <w:r>
              <w:rPr>
                <w:rFonts w:hint="eastAsia" w:ascii="微软雅黑" w:hAnsi="微软雅黑" w:eastAsia="微软雅黑" w:cs="微软雅黑"/>
                <w:b w:val="0"/>
                <w:bCs w:val="0"/>
                <w:color w:val="auto"/>
                <w:sz w:val="24"/>
                <w:szCs w:val="24"/>
                <w:highlight w:val="none"/>
                <w:lang w:val="en-US" w:eastAsia="zh-CN"/>
              </w:rPr>
              <w:t>不满一年公司</w:t>
            </w:r>
            <w:r>
              <w:rPr>
                <w:rFonts w:hint="eastAsia" w:ascii="微软雅黑" w:hAnsi="微软雅黑" w:eastAsia="微软雅黑" w:cs="微软雅黑"/>
                <w:b w:val="0"/>
                <w:bCs w:val="0"/>
                <w:color w:val="auto"/>
                <w:sz w:val="24"/>
                <w:szCs w:val="24"/>
                <w:highlight w:val="none"/>
              </w:rPr>
              <w:t>提供有效银行资信证明）；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1465541">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8419FB7">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20C50CC9">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14:paraId="10699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5CE3A743">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4</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40AD2F5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val="0"/>
                <w:bCs w:val="0"/>
                <w:color w:val="auto"/>
                <w:kern w:val="2"/>
                <w:sz w:val="24"/>
                <w:szCs w:val="24"/>
                <w:highlight w:val="none"/>
                <w:lang w:val="zh-CN" w:eastAsia="zh-CN" w:bidi="zh-CN"/>
              </w:rPr>
            </w:pPr>
            <w:r>
              <w:rPr>
                <w:rFonts w:hint="eastAsia" w:ascii="微软雅黑" w:hAnsi="微软雅黑" w:eastAsia="微软雅黑" w:cs="微软雅黑"/>
                <w:b w:val="0"/>
                <w:bCs w:val="0"/>
                <w:color w:val="auto"/>
                <w:sz w:val="24"/>
                <w:szCs w:val="24"/>
                <w:highlight w:val="none"/>
                <w:lang w:eastAsia="zh-CN"/>
              </w:rPr>
              <w:t>提供</w:t>
            </w:r>
            <w:r>
              <w:rPr>
                <w:rFonts w:hint="eastAsia" w:ascii="微软雅黑" w:hAnsi="微软雅黑" w:eastAsia="微软雅黑" w:cs="微软雅黑"/>
                <w:b w:val="0"/>
                <w:bCs w:val="0"/>
                <w:color w:val="auto"/>
                <w:sz w:val="24"/>
                <w:szCs w:val="24"/>
                <w:highlight w:val="none"/>
                <w:lang w:val="en-US" w:eastAsia="zh-CN"/>
              </w:rPr>
              <w:t>供应商</w:t>
            </w:r>
            <w:r>
              <w:rPr>
                <w:rFonts w:hint="eastAsia" w:ascii="微软雅黑" w:hAnsi="微软雅黑" w:eastAsia="微软雅黑" w:cs="微软雅黑"/>
                <w:b w:val="0"/>
                <w:bCs w:val="0"/>
                <w:color w:val="auto"/>
                <w:sz w:val="24"/>
                <w:szCs w:val="24"/>
                <w:highlight w:val="none"/>
              </w:rPr>
              <w:t>依法缴纳近</w:t>
            </w:r>
            <w:r>
              <w:rPr>
                <w:rFonts w:hint="eastAsia" w:ascii="微软雅黑" w:hAnsi="微软雅黑" w:eastAsia="微软雅黑" w:cs="微软雅黑"/>
                <w:b w:val="0"/>
                <w:bCs w:val="0"/>
                <w:color w:val="auto"/>
                <w:sz w:val="24"/>
                <w:szCs w:val="24"/>
                <w:highlight w:val="none"/>
                <w:lang w:val="en-US" w:eastAsia="zh-CN"/>
              </w:rPr>
              <w:t>6</w:t>
            </w:r>
            <w:r>
              <w:rPr>
                <w:rFonts w:hint="eastAsia" w:ascii="微软雅黑" w:hAnsi="微软雅黑" w:eastAsia="微软雅黑" w:cs="微软雅黑"/>
                <w:b w:val="0"/>
                <w:bCs w:val="0"/>
                <w:color w:val="auto"/>
                <w:sz w:val="24"/>
                <w:szCs w:val="24"/>
                <w:highlight w:val="none"/>
              </w:rPr>
              <w:t>个月任意一个月社会保险的凭据；</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357B7862">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8A711B6">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AD783E3">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14:paraId="6EC0E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50833F55">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5</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08982F6A">
            <w:pPr>
              <w:pStyle w:val="5"/>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jc w:val="distribute"/>
              <w:textAlignment w:val="auto"/>
              <w:outlineLvl w:val="2"/>
              <w:rPr>
                <w:rFonts w:hint="eastAsia" w:ascii="微软雅黑" w:hAnsi="微软雅黑" w:eastAsia="微软雅黑" w:cs="微软雅黑"/>
                <w:b w:val="0"/>
                <w:bCs w:val="0"/>
                <w:color w:val="auto"/>
                <w:kern w:val="0"/>
                <w:sz w:val="24"/>
                <w:szCs w:val="24"/>
                <w:highlight w:val="none"/>
                <w:u w:val="none"/>
                <w:lang w:val="zh-CN" w:eastAsia="zh-CN" w:bidi="zh-CN"/>
              </w:rPr>
            </w:pPr>
            <w:r>
              <w:rPr>
                <w:rFonts w:hint="eastAsia" w:ascii="微软雅黑" w:hAnsi="微软雅黑" w:eastAsia="微软雅黑" w:cs="微软雅黑"/>
                <w:b w:val="0"/>
                <w:bCs w:val="0"/>
                <w:color w:val="auto"/>
                <w:sz w:val="24"/>
                <w:szCs w:val="24"/>
                <w:highlight w:val="none"/>
                <w:u w:val="none"/>
              </w:rPr>
              <w:t>提供</w:t>
            </w:r>
            <w:r>
              <w:rPr>
                <w:rFonts w:hint="eastAsia" w:ascii="微软雅黑" w:hAnsi="微软雅黑" w:eastAsia="微软雅黑" w:cs="微软雅黑"/>
                <w:b w:val="0"/>
                <w:bCs w:val="0"/>
                <w:color w:val="auto"/>
                <w:sz w:val="24"/>
                <w:szCs w:val="24"/>
                <w:highlight w:val="none"/>
                <w:u w:val="none"/>
                <w:lang w:val="en-US" w:eastAsia="zh-CN"/>
              </w:rPr>
              <w:t>供应商由</w:t>
            </w:r>
            <w:r>
              <w:rPr>
                <w:rFonts w:hint="eastAsia" w:ascii="微软雅黑" w:hAnsi="微软雅黑" w:eastAsia="微软雅黑" w:cs="微软雅黑"/>
                <w:b w:val="0"/>
                <w:bCs w:val="0"/>
                <w:color w:val="auto"/>
                <w:sz w:val="24"/>
                <w:szCs w:val="24"/>
                <w:highlight w:val="none"/>
                <w:u w:val="none"/>
              </w:rPr>
              <w:t>税务部门出具的近</w:t>
            </w:r>
            <w:r>
              <w:rPr>
                <w:rFonts w:hint="eastAsia" w:ascii="微软雅黑" w:hAnsi="微软雅黑" w:eastAsia="微软雅黑" w:cs="微软雅黑"/>
                <w:b w:val="0"/>
                <w:bCs w:val="0"/>
                <w:color w:val="auto"/>
                <w:sz w:val="24"/>
                <w:szCs w:val="24"/>
                <w:highlight w:val="none"/>
                <w:u w:val="none"/>
                <w:lang w:val="en-US" w:eastAsia="zh-CN"/>
              </w:rPr>
              <w:t>6</w:t>
            </w:r>
            <w:r>
              <w:rPr>
                <w:rFonts w:hint="eastAsia" w:ascii="微软雅黑" w:hAnsi="微软雅黑" w:eastAsia="微软雅黑" w:cs="微软雅黑"/>
                <w:b w:val="0"/>
                <w:bCs w:val="0"/>
                <w:color w:val="auto"/>
                <w:sz w:val="24"/>
                <w:szCs w:val="24"/>
                <w:highlight w:val="none"/>
                <w:u w:val="none"/>
              </w:rPr>
              <w:t>个月任意一个月的完税证明；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3B27DC8E">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092CF0B">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A8DB7CF">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14:paraId="1DFD4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0E436BBF">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6</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428C422B">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微软雅黑" w:hAnsi="微软雅黑" w:eastAsia="微软雅黑" w:cs="微软雅黑"/>
                <w:b w:val="0"/>
                <w:bCs w:val="0"/>
                <w:color w:val="auto"/>
                <w:kern w:val="0"/>
                <w:sz w:val="24"/>
                <w:szCs w:val="24"/>
                <w:highlight w:val="none"/>
                <w:u w:val="none"/>
                <w:lang w:val="zh-CN" w:eastAsia="zh-CN" w:bidi="ar-SA"/>
              </w:rPr>
            </w:pPr>
            <w:r>
              <w:rPr>
                <w:rFonts w:hint="eastAsia" w:ascii="微软雅黑" w:hAnsi="微软雅黑" w:eastAsia="微软雅黑" w:cs="微软雅黑"/>
                <w:b w:val="0"/>
                <w:bCs w:val="0"/>
                <w:color w:val="auto"/>
                <w:sz w:val="24"/>
                <w:szCs w:val="24"/>
                <w:highlight w:val="none"/>
                <w:u w:val="none"/>
              </w:rPr>
              <w:t>根据《财政部关于在政府采购活动中查询及使用信用记录有关问题的通知》（财库﹝2016﹞125号）的要求，凡拟参加本次招标项目的</w:t>
            </w:r>
            <w:r>
              <w:rPr>
                <w:rFonts w:hint="eastAsia" w:ascii="微软雅黑" w:hAnsi="微软雅黑" w:eastAsia="微软雅黑" w:cs="微软雅黑"/>
                <w:b w:val="0"/>
                <w:bCs w:val="0"/>
                <w:color w:val="auto"/>
                <w:sz w:val="24"/>
                <w:szCs w:val="24"/>
                <w:highlight w:val="none"/>
                <w:u w:val="none"/>
                <w:lang w:eastAsia="zh-CN"/>
              </w:rPr>
              <w:t>供应商</w:t>
            </w:r>
            <w:r>
              <w:rPr>
                <w:rFonts w:hint="eastAsia" w:ascii="微软雅黑" w:hAnsi="微软雅黑" w:eastAsia="微软雅黑" w:cs="微软雅黑"/>
                <w:b w:val="0"/>
                <w:bCs w:val="0"/>
                <w:color w:val="auto"/>
                <w:sz w:val="24"/>
                <w:szCs w:val="24"/>
                <w:highlight w:val="none"/>
                <w:u w:val="none"/>
              </w:rPr>
              <w:t>，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微软雅黑" w:hAnsi="微软雅黑" w:eastAsia="微软雅黑" w:cs="微软雅黑"/>
                <w:b w:val="0"/>
                <w:bCs w:val="0"/>
                <w:color w:val="auto"/>
                <w:sz w:val="24"/>
                <w:szCs w:val="24"/>
                <w:highlight w:val="none"/>
                <w:u w:val="none"/>
                <w:lang w:val="en-US" w:eastAsia="zh-CN"/>
              </w:rPr>
              <w:t>为准</w:t>
            </w:r>
            <w:r>
              <w:rPr>
                <w:rFonts w:hint="eastAsia" w:ascii="微软雅黑" w:hAnsi="微软雅黑" w:eastAsia="微软雅黑" w:cs="微软雅黑"/>
                <w:b w:val="0"/>
                <w:bCs w:val="0"/>
                <w:color w:val="auto"/>
                <w:sz w:val="24"/>
                <w:szCs w:val="24"/>
                <w:highlight w:val="none"/>
                <w:u w:val="none"/>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0BED2D2E">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90F0772">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2645C4CD">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14:paraId="162E0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42C0812D">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7</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1B6C1BA9">
            <w:pPr>
              <w:pStyle w:val="37"/>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微软雅黑" w:hAnsi="微软雅黑" w:eastAsia="微软雅黑" w:cs="微软雅黑"/>
                <w:b w:val="0"/>
                <w:bCs w:val="0"/>
                <w:color w:val="auto"/>
                <w:kern w:val="0"/>
                <w:sz w:val="24"/>
                <w:szCs w:val="24"/>
                <w:highlight w:val="none"/>
                <w:u w:val="none"/>
                <w:lang w:val="zh-CN" w:eastAsia="zh-CN" w:bidi="ar-SA"/>
              </w:rPr>
            </w:pPr>
            <w:r>
              <w:rPr>
                <w:rFonts w:hint="eastAsia" w:ascii="微软雅黑" w:hAnsi="微软雅黑" w:eastAsia="微软雅黑" w:cs="微软雅黑"/>
                <w:b w:val="0"/>
                <w:bCs w:val="0"/>
                <w:color w:val="auto"/>
                <w:sz w:val="24"/>
                <w:szCs w:val="24"/>
                <w:highlight w:val="none"/>
                <w:u w:val="none"/>
              </w:rPr>
              <w:t>提供针对本次项目《反商业贿赂承诺书》；</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36FBFFC1">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702475E">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123DCCB">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14:paraId="23137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181C3A2">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8</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4A3AD0DA">
            <w:pPr>
              <w:pStyle w:val="37"/>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微软雅黑" w:hAnsi="微软雅黑" w:eastAsia="微软雅黑" w:cs="微软雅黑"/>
                <w:b w:val="0"/>
                <w:bCs w:val="0"/>
                <w:color w:val="auto"/>
                <w:kern w:val="0"/>
                <w:sz w:val="24"/>
                <w:szCs w:val="24"/>
                <w:highlight w:val="none"/>
                <w:u w:val="none"/>
                <w:lang w:val="en-US" w:eastAsia="zh-CN" w:bidi="ar-SA"/>
              </w:rPr>
            </w:pPr>
            <w:r>
              <w:rPr>
                <w:rFonts w:hint="eastAsia" w:ascii="微软雅黑" w:hAnsi="微软雅黑" w:eastAsia="微软雅黑" w:cs="微软雅黑"/>
                <w:b w:val="0"/>
                <w:bCs w:val="0"/>
                <w:color w:val="auto"/>
                <w:sz w:val="24"/>
                <w:szCs w:val="24"/>
                <w:highlight w:val="none"/>
                <w:u w:val="none"/>
              </w:rPr>
              <w:t>参加政府采购活动前3年内在经营活动中没有重大违法违规记录的书面声明；</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34995AF9">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28FBFF1">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7C5BB1AB">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14:paraId="4DC36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9071B1A">
            <w:pPr>
              <w:keepNext w:val="0"/>
              <w:keepLines w:val="0"/>
              <w:suppressLineNumbers w:val="0"/>
              <w:spacing w:before="0" w:beforeAutospacing="0" w:after="0" w:afterAutospacing="0" w:line="360" w:lineRule="auto"/>
              <w:ind w:left="0" w:right="0"/>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9</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21B8F939">
            <w:pPr>
              <w:pStyle w:val="37"/>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微软雅黑" w:hAnsi="微软雅黑" w:eastAsia="微软雅黑" w:cs="微软雅黑"/>
                <w:b w:val="0"/>
                <w:bCs w:val="0"/>
                <w:color w:val="auto"/>
                <w:sz w:val="24"/>
                <w:szCs w:val="24"/>
                <w:highlight w:val="none"/>
                <w:u w:val="none"/>
              </w:rPr>
            </w:pPr>
            <w:r>
              <w:rPr>
                <w:rFonts w:hint="eastAsia" w:ascii="微软雅黑" w:hAnsi="微软雅黑" w:eastAsia="微软雅黑" w:cs="微软雅黑"/>
                <w:b w:val="0"/>
                <w:bCs w:val="0"/>
                <w:color w:val="auto"/>
                <w:sz w:val="24"/>
                <w:szCs w:val="24"/>
                <w:highlight w:val="none"/>
                <w:u w:val="none"/>
                <w:lang w:eastAsia="zh-CN"/>
              </w:rPr>
              <w:t>磋商保证金</w:t>
            </w:r>
            <w:r>
              <w:rPr>
                <w:rFonts w:hint="eastAsia" w:ascii="微软雅黑" w:hAnsi="微软雅黑" w:eastAsia="微软雅黑" w:cs="微软雅黑"/>
                <w:b w:val="0"/>
                <w:bCs w:val="0"/>
                <w:color w:val="auto"/>
                <w:sz w:val="24"/>
                <w:szCs w:val="24"/>
                <w:highlight w:val="none"/>
                <w:u w:val="none"/>
              </w:rPr>
              <w:t>缴纳凭证；</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D62A202">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ABA4DB5">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6053D49">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14:paraId="664F6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87" w:type="dxa"/>
            <w:gridSpan w:val="2"/>
            <w:tcBorders>
              <w:top w:val="single" w:color="auto" w:sz="4" w:space="0"/>
              <w:left w:val="single" w:color="auto" w:sz="4" w:space="0"/>
              <w:bottom w:val="single" w:color="auto" w:sz="4" w:space="0"/>
              <w:right w:val="single" w:color="auto" w:sz="4" w:space="0"/>
            </w:tcBorders>
            <w:noWrap w:val="0"/>
            <w:vAlign w:val="center"/>
          </w:tcPr>
          <w:p w14:paraId="7B9B50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结论：是否通过</w:t>
            </w:r>
            <w:r>
              <w:rPr>
                <w:rFonts w:hint="eastAsia" w:ascii="微软雅黑" w:hAnsi="微软雅黑" w:eastAsia="微软雅黑" w:cs="微软雅黑"/>
                <w:color w:val="auto"/>
                <w:sz w:val="24"/>
                <w:szCs w:val="24"/>
                <w:highlight w:val="none"/>
                <w:lang w:eastAsia="zh-CN"/>
              </w:rPr>
              <w:t>审查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Cs/>
                <w:color w:val="auto"/>
                <w:sz w:val="24"/>
                <w:szCs w:val="24"/>
                <w:highlight w:val="none"/>
              </w:rPr>
              <w:t>填写通过或不通过）</w:t>
            </w:r>
          </w:p>
          <w:p w14:paraId="3223B5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未通过</w:t>
            </w:r>
            <w:r>
              <w:rPr>
                <w:rFonts w:hint="eastAsia" w:ascii="微软雅黑" w:hAnsi="微软雅黑" w:eastAsia="微软雅黑" w:cs="微软雅黑"/>
                <w:color w:val="auto"/>
                <w:sz w:val="24"/>
                <w:szCs w:val="24"/>
                <w:highlight w:val="none"/>
                <w:lang w:eastAsia="zh-CN"/>
              </w:rPr>
              <w:t>资格审查</w:t>
            </w:r>
            <w:r>
              <w:rPr>
                <w:rFonts w:hint="eastAsia" w:ascii="微软雅黑" w:hAnsi="微软雅黑" w:eastAsia="微软雅黑" w:cs="微软雅黑"/>
                <w:color w:val="auto"/>
                <w:sz w:val="24"/>
                <w:szCs w:val="24"/>
                <w:highlight w:val="none"/>
              </w:rPr>
              <w:t>的，为无效投标。</w:t>
            </w:r>
          </w:p>
        </w:tc>
        <w:tc>
          <w:tcPr>
            <w:tcW w:w="707" w:type="dxa"/>
            <w:tcBorders>
              <w:top w:val="single" w:color="auto" w:sz="4" w:space="0"/>
              <w:left w:val="single" w:color="auto" w:sz="4" w:space="0"/>
              <w:bottom w:val="single" w:color="auto" w:sz="4" w:space="0"/>
              <w:right w:val="single" w:color="auto" w:sz="4" w:space="0"/>
            </w:tcBorders>
            <w:noWrap w:val="0"/>
            <w:vAlign w:val="top"/>
          </w:tcPr>
          <w:p w14:paraId="2B77F22A">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14:paraId="40DCA146">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17EC752">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bl>
    <w:p w14:paraId="20CD840A">
      <w:pPr>
        <w:pStyle w:val="4"/>
        <w:keepNext/>
        <w:keepLines/>
        <w:pageBreakBefore w:val="0"/>
        <w:widowControl w:val="0"/>
        <w:kinsoku/>
        <w:wordWrap/>
        <w:overflowPunct/>
        <w:topLinePunct w:val="0"/>
        <w:autoSpaceDE w:val="0"/>
        <w:autoSpaceDN w:val="0"/>
        <w:bidi w:val="0"/>
        <w:adjustRightInd w:val="0"/>
        <w:snapToGrid w:val="0"/>
        <w:spacing w:line="24" w:lineRule="atLeast"/>
        <w:jc w:val="left"/>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说明：（1）资格审查表中的内容开标时由采购人审查。（2）上述各项中用“√”表示通过，“×”表示不通过；各项中如有一项为“×”，则结论为“×”，表示该响应文件中存在重大偏差，不能通过资格审查；采购人对某一分项审查认为不合格时，必须要写明原因。</w:t>
      </w:r>
    </w:p>
    <w:p w14:paraId="6490A30B">
      <w:pPr>
        <w:rPr>
          <w:rFonts w:hint="eastAsia"/>
          <w:color w:val="auto"/>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BA97D14">
      <w:pPr>
        <w:pStyle w:val="4"/>
        <w:pageBreakBefore w:val="0"/>
        <w:kinsoku/>
        <w:overflowPunct/>
        <w:bidi w:val="0"/>
        <w:snapToGrid w:val="0"/>
        <w:spacing w:line="312" w:lineRule="auto"/>
        <w:outlineLvl w:val="0"/>
        <w:rPr>
          <w:rFonts w:hint="eastAsia" w:ascii="微软雅黑" w:hAnsi="微软雅黑" w:eastAsia="微软雅黑" w:cs="微软雅黑"/>
          <w:b/>
          <w:color w:val="auto"/>
          <w:kern w:val="0"/>
          <w:sz w:val="32"/>
          <w:szCs w:val="32"/>
          <w:highlight w:val="none"/>
          <w:lang w:val="en-US" w:eastAsia="zh-CN" w:bidi="ar-SA"/>
        </w:rPr>
      </w:pPr>
      <w:r>
        <w:rPr>
          <w:rFonts w:hint="eastAsia" w:ascii="微软雅黑" w:hAnsi="微软雅黑" w:eastAsia="微软雅黑" w:cs="微软雅黑"/>
          <w:b/>
          <w:color w:val="auto"/>
          <w:kern w:val="0"/>
          <w:sz w:val="32"/>
          <w:szCs w:val="32"/>
          <w:highlight w:val="none"/>
          <w:lang w:val="en-US" w:eastAsia="zh-CN" w:bidi="ar-SA"/>
        </w:rPr>
        <w:t>第五章</w:t>
      </w:r>
      <w:bookmarkEnd w:id="500"/>
      <w:bookmarkEnd w:id="501"/>
      <w:bookmarkEnd w:id="502"/>
      <w:bookmarkEnd w:id="503"/>
      <w:r>
        <w:rPr>
          <w:rFonts w:hint="eastAsia" w:ascii="微软雅黑" w:hAnsi="微软雅黑" w:eastAsia="微软雅黑" w:cs="微软雅黑"/>
          <w:b/>
          <w:color w:val="auto"/>
          <w:kern w:val="0"/>
          <w:sz w:val="32"/>
          <w:szCs w:val="32"/>
          <w:highlight w:val="none"/>
          <w:lang w:val="en-US" w:eastAsia="zh-CN" w:bidi="ar-SA"/>
        </w:rPr>
        <w:t xml:space="preserve">   项目采购需求</w:t>
      </w:r>
      <w:bookmarkEnd w:id="504"/>
      <w:bookmarkEnd w:id="505"/>
      <w:bookmarkEnd w:id="506"/>
      <w:bookmarkEnd w:id="507"/>
      <w:bookmarkStart w:id="508" w:name="_Toc3585"/>
      <w:bookmarkStart w:id="509" w:name="_Toc12656"/>
      <w:bookmarkStart w:id="510" w:name="_Toc1684"/>
      <w:bookmarkStart w:id="511" w:name="_Toc507399904"/>
    </w:p>
    <w:p w14:paraId="01DFD55A">
      <w:pPr>
        <w:pStyle w:val="8"/>
        <w:keepNext w:val="0"/>
        <w:keepLines w:val="0"/>
        <w:pageBreakBefore w:val="0"/>
        <w:widowControl w:val="0"/>
        <w:numPr>
          <w:ilvl w:val="0"/>
          <w:numId w:val="0"/>
        </w:numPr>
        <w:kinsoku/>
        <w:wordWrap/>
        <w:overflowPunct/>
        <w:topLinePunct w:val="0"/>
        <w:bidi w:val="0"/>
        <w:snapToGrid w:val="0"/>
        <w:spacing w:line="360" w:lineRule="auto"/>
        <w:jc w:val="center"/>
        <w:textAlignment w:val="auto"/>
        <w:rPr>
          <w:rFonts w:hint="eastAsia" w:ascii="微软雅黑" w:hAnsi="微软雅黑" w:eastAsia="微软雅黑" w:cs="微软雅黑"/>
          <w:b/>
          <w:bCs w:val="0"/>
          <w:color w:val="auto"/>
          <w:sz w:val="28"/>
          <w:szCs w:val="28"/>
          <w:highlight w:val="none"/>
          <w:lang w:eastAsia="zh-CN"/>
        </w:rPr>
      </w:pPr>
      <w:r>
        <w:rPr>
          <w:rFonts w:hint="eastAsia" w:ascii="微软雅黑" w:hAnsi="微软雅黑" w:eastAsia="微软雅黑" w:cs="微软雅黑"/>
          <w:b/>
          <w:bCs w:val="0"/>
          <w:color w:val="auto"/>
          <w:sz w:val="28"/>
          <w:szCs w:val="28"/>
          <w:highlight w:val="none"/>
          <w:lang w:val="en-US" w:eastAsia="zh-CN"/>
        </w:rPr>
        <w:t>2025年</w:t>
      </w:r>
      <w:r>
        <w:rPr>
          <w:rFonts w:hint="eastAsia" w:ascii="微软雅黑" w:hAnsi="微软雅黑" w:eastAsia="微软雅黑" w:cs="微软雅黑"/>
          <w:b/>
          <w:bCs w:val="0"/>
          <w:color w:val="auto"/>
          <w:sz w:val="28"/>
          <w:szCs w:val="28"/>
          <w:highlight w:val="none"/>
          <w:lang w:eastAsia="zh-CN"/>
        </w:rPr>
        <w:t>伽师县民政局政府购买社会救助事务性服务示范项目</w:t>
      </w:r>
    </w:p>
    <w:p w14:paraId="49EA385E">
      <w:pPr>
        <w:pStyle w:val="8"/>
        <w:keepNext w:val="0"/>
        <w:keepLines w:val="0"/>
        <w:pageBreakBefore w:val="0"/>
        <w:widowControl w:val="0"/>
        <w:numPr>
          <w:ilvl w:val="0"/>
          <w:numId w:val="0"/>
        </w:numPr>
        <w:kinsoku/>
        <w:wordWrap/>
        <w:overflowPunct/>
        <w:topLinePunct w:val="0"/>
        <w:bidi w:val="0"/>
        <w:snapToGrid w:val="0"/>
        <w:spacing w:line="360" w:lineRule="auto"/>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val="0"/>
          <w:color w:val="auto"/>
          <w:sz w:val="28"/>
          <w:szCs w:val="28"/>
          <w:highlight w:val="none"/>
          <w:lang w:val="en-US" w:eastAsia="zh-CN"/>
        </w:rPr>
        <w:t>服务需求</w:t>
      </w:r>
      <w:bookmarkStart w:id="512" w:name="_Toc2565"/>
    </w:p>
    <w:p w14:paraId="1A1A2F70">
      <w:pPr>
        <w:numPr>
          <w:ilvl w:val="0"/>
          <w:numId w:val="0"/>
        </w:numPr>
        <w:spacing w:line="360" w:lineRule="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一、资金额度：项目资金共计69万元。</w:t>
      </w:r>
    </w:p>
    <w:p w14:paraId="74C58334">
      <w:pPr>
        <w:numPr>
          <w:ilvl w:val="0"/>
          <w:numId w:val="0"/>
        </w:numPr>
        <w:spacing w:line="360" w:lineRule="auto"/>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二、项目服务地点：伽师县各乡镇 </w:t>
      </w:r>
    </w:p>
    <w:p w14:paraId="039EDD2E">
      <w:pPr>
        <w:numPr>
          <w:ilvl w:val="0"/>
          <w:numId w:val="0"/>
        </w:numPr>
        <w:spacing w:line="360" w:lineRule="auto"/>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三、购买项目服务对象及内容</w:t>
      </w:r>
    </w:p>
    <w:p w14:paraId="16593F1F">
      <w:pPr>
        <w:numPr>
          <w:ilvl w:val="0"/>
          <w:numId w:val="0"/>
        </w:numPr>
        <w:spacing w:line="360" w:lineRule="auto"/>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1、服务对象：特困供养人员、最低生活保障对象、防止返贫监测对象、最低生活保障边缘家庭成员、刚性支出困难家庭成员、其他困难人员等低收入人口，以及临时救助对象。</w:t>
      </w:r>
    </w:p>
    <w:p w14:paraId="0081C038">
      <w:pPr>
        <w:numPr>
          <w:ilvl w:val="0"/>
          <w:numId w:val="5"/>
        </w:numPr>
        <w:spacing w:line="360" w:lineRule="auto"/>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服务内容：社会救助对象排查、家计调查、业务培训、政策宣传、绩效评估等事项。</w:t>
      </w:r>
    </w:p>
    <w:p w14:paraId="06F1CC8D">
      <w:pPr>
        <w:numPr>
          <w:ilvl w:val="0"/>
          <w:numId w:val="0"/>
        </w:numPr>
        <w:spacing w:line="360" w:lineRule="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对象排查：通过行业部门数据信息比对、入户摸底排查、主动发现等方式，对辖区内户籍人口，特别是脱贫户、两年内申请低保因不符合条件未纳入家庭、动态调整退出低保家庭、当地政府认定的其他困难人员，或有潜在困难或风险等40800户困难群众全面开展摸排工作。重点了解掌握基本生活是否存在困难，评估基本生活、住房、教育、医疗、就业等保障政策落实情况，协助符合条件的困难群众提出救助申请。考虑到户籍人口可以通过信息比对、批量研判等方式筛查，根据排查工作量，参考全县户籍人口、低收入人口占比等因素，排查工作每年开展一至二次，每户按照5元的标准开展服务。</w:t>
      </w:r>
    </w:p>
    <w:p w14:paraId="0BBE0474">
      <w:pPr>
        <w:numPr>
          <w:ilvl w:val="0"/>
          <w:numId w:val="0"/>
        </w:numPr>
        <w:spacing w:line="360" w:lineRule="auto"/>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2）家计调查：结合年度动态调整工作，采取入户调查、邻里访问等方式，对辖区内7200户民政服务对象开展全面家计调查，了解居民家庭经济状况、居住条件、文化程度、身体状况及家庭成员的就业、收入、支出、困难类型及程度等相关情况，进行信息采集、录入、数据更新等相关工作。结合每户困难群众家庭经济状况核对的复杂程度、服务对象的分布范围、密度等因素，根据家计调查的工作量，家计调查工作每半年开展一次，每户人力资源成本交通费等全部费用原则上不超过80元，偏远乡镇等路途遥远，排查难度较大的乡镇，可根据实际情况适当提高排查标准，原则上每户最多可提高购买标准的50%。 </w:t>
      </w:r>
    </w:p>
    <w:p w14:paraId="4462F0E1">
      <w:pPr>
        <w:numPr>
          <w:ilvl w:val="0"/>
          <w:numId w:val="0"/>
        </w:numPr>
        <w:spacing w:line="360" w:lineRule="auto"/>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业务培训：对各级经办人员和承接主体人员进行社会救助业务培训，讲解社会救助领域政策及相关专业知识，开展社会救助服务相关注意事项、工作要求等，提升经办服务能力水平。业务培训线上或线下全年3次，培训标准参照《关于印发〈自治区党政机关培训费管理暂行办法〉的通知》（新财政〔2014〕58号）规定，不超过200元/人·天（含食宿）。</w:t>
      </w:r>
    </w:p>
    <w:p w14:paraId="571CB7E2">
      <w:pPr>
        <w:numPr>
          <w:ilvl w:val="0"/>
          <w:numId w:val="0"/>
        </w:numPr>
        <w:spacing w:line="360" w:lineRule="auto"/>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政策宣传：通过周一升国旗、农民夜校、党校学习、入户走访等多渠道、多方式宣传党的惠民政策，进一步铸牢中华民族共同体意识，让困难群众明白“惠从何来、恩向谁报”，凝聚人心、惠聚民心，夯实维护社会稳定的群众基础，政策宣传每月不少于 4场。购买政策宣传服务经费可根据需要、参加人数和内容确定，不超过购买服务总资金的10%。</w:t>
      </w:r>
    </w:p>
    <w:p w14:paraId="540FB504">
      <w:pPr>
        <w:numPr>
          <w:ilvl w:val="0"/>
          <w:numId w:val="0"/>
        </w:numPr>
        <w:spacing w:line="360" w:lineRule="auto"/>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（5）绩效评估：通过入户调查、访谈、查阅资料等方式，对当地困难群众基本生活救助政策执行、标准落实、资金发放情况、政策知晓率及社会满意度等指标开展评估。购买服务经费不超过购买服务资金的5%。</w:t>
      </w:r>
    </w:p>
    <w:p w14:paraId="6F1CDD2E">
      <w:pPr>
        <w:numPr>
          <w:ilvl w:val="0"/>
          <w:numId w:val="0"/>
        </w:numPr>
        <w:spacing w:line="360" w:lineRule="auto"/>
        <w:ind w:left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四、服务期限：2025年11月30日前完成本项目的相关工作。</w:t>
      </w:r>
    </w:p>
    <w:p w14:paraId="5595E1FC">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p>
    <w:p w14:paraId="2B5E6F2A">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p>
    <w:p w14:paraId="61072264">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p>
    <w:p w14:paraId="0F4EB309">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p>
    <w:p w14:paraId="10289099">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p>
    <w:p w14:paraId="23112584">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p>
    <w:p w14:paraId="526653D1">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p>
    <w:p w14:paraId="7C81AC31">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p>
    <w:p w14:paraId="2A7519D1">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第六章  评审方法及标准</w:t>
      </w:r>
      <w:bookmarkEnd w:id="508"/>
      <w:bookmarkEnd w:id="509"/>
      <w:bookmarkEnd w:id="510"/>
      <w:bookmarkEnd w:id="512"/>
    </w:p>
    <w:p w14:paraId="7A53BF5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13" w:name="_Toc13714"/>
      <w:bookmarkStart w:id="514" w:name="_Toc15333"/>
      <w:bookmarkStart w:id="515" w:name="_Toc10681"/>
      <w:r>
        <w:rPr>
          <w:rFonts w:hint="eastAsia" w:ascii="微软雅黑" w:hAnsi="微软雅黑" w:eastAsia="微软雅黑" w:cs="微软雅黑"/>
          <w:color w:val="auto"/>
          <w:sz w:val="24"/>
          <w:szCs w:val="24"/>
          <w:highlight w:val="none"/>
          <w:lang w:val="en-US" w:eastAsia="zh-CN"/>
        </w:rPr>
        <w:t>本项目将按照磋商文件第一章供应商须知中“五 磋商开启及评审”、“六 确定成交”及本章的规定评标。</w:t>
      </w:r>
    </w:p>
    <w:p w14:paraId="1174A88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一、响应文件的符合性审查与澄清</w:t>
      </w:r>
    </w:p>
    <w:p w14:paraId="3D1E4C5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(1)符合性审查是指依据磋商文件的规定，从响应文件的有效性和完整性对磋 商文件的响应程度进行审查，以确定是否对磋商文件的实质性要求做出响应。</w:t>
      </w:r>
    </w:p>
    <w:p w14:paraId="31F9DDF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(2)响应文件的澄清</w:t>
      </w:r>
    </w:p>
    <w:p w14:paraId="5B57975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(3)在评审期间，评审委员会将以书面方式要求供应商对其响应文件中含义不 明确、对同类问题表述不一致或者有明显文字和计算错误的内容，  以及 评审委员会认为供应商的报价明显低于其他通过符合性检查供应商的 报价，有可能影响履约的情况作必要的澄清、说明或补正。供应商澄清、 说明或补正。应在评审委员会规定的时间内以书面方式进行，  并不得超 出响应文件范围或者改变响应文件的实质性内容。</w:t>
      </w:r>
    </w:p>
    <w:p w14:paraId="73061C2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磋商小组要求供应商澄清、说明或者更正响应文件应当以书面形式作出。供应商的澄清、说明或者更正应当由法定代表人或其授权代表签 字或者加盖公章。由授权代表签字的，应当附法定代表人授权书。供应商为自然人的，应当由本人签字并附身份证明。</w:t>
      </w:r>
    </w:p>
    <w:p w14:paraId="7713744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(4)供应商的澄清、说明或补正将作为响应文件的一部分。</w:t>
      </w:r>
    </w:p>
    <w:p w14:paraId="4B3C13C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(5)响应文件报价出现前后不一致的，按照下列规定修正：</w:t>
      </w:r>
    </w:p>
    <w:p w14:paraId="44492F1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(一)响应文件中磋商开启报价一览表(报价表)内容与响应文件中相应内容不一致的，  以磋商开启报价一览表(报价表)为准；</w:t>
      </w:r>
    </w:p>
    <w:p w14:paraId="1993E27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(二)大写金额和小写金额不一致的，以大写金额为准；</w:t>
      </w:r>
    </w:p>
    <w:p w14:paraId="18DCC1D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(三)单价金额小数点或者百分比有明显错位的，以磋商开启报价一览表的总价为准，  并修改单价；</w:t>
      </w:r>
    </w:p>
    <w:p w14:paraId="1A4CA62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(四) 总价金额与按单价汇总金额不一致的，以单价金额计算结果为准。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14:paraId="7DF0229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( 6) 供应商为提供服务所伴随磋商的产品如被列入财政部与国家主管部门颁发的节能产品目录或环境标志产品目录或无线局域网产品目录，应提供相关证明，在评审时予以优先采购，具体优先采购办法见第 6 章评审方法和标准。</w:t>
      </w:r>
    </w:p>
    <w:p w14:paraId="5A33522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二、响应偏离</w:t>
      </w:r>
    </w:p>
    <w:p w14:paraId="3648AE6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评审委员会可以接受响应文件中不构成实质性偏离的不正规或不一致。</w:t>
      </w:r>
    </w:p>
    <w:p w14:paraId="3450D6F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三、响应无效</w:t>
      </w:r>
    </w:p>
    <w:p w14:paraId="4165C6B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14:paraId="0DE8E77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磋商小组决定磋商的响应性只根据磋商文件要求、响应文件内容及财政主管部门指定相关信息发布媒体。</w:t>
      </w:r>
    </w:p>
    <w:p w14:paraId="1125906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（2）如发现下列情况之一的，其磋商将被认定为无效：（以下情形应当在磋商文件中规定，并以醒目的方式标明）</w:t>
      </w:r>
    </w:p>
    <w:p w14:paraId="241015F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①未按磋商文件规定的形式和金额提交磋商保证金的；</w:t>
      </w:r>
    </w:p>
    <w:p w14:paraId="6ACDBF4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②未按照磋商文件规定要求签署、盖章的；</w:t>
      </w:r>
    </w:p>
    <w:p w14:paraId="1EBFAF6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③未满足磋商文件中技术条款的实质性要求；</w:t>
      </w:r>
    </w:p>
    <w:p w14:paraId="1C86568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④与其他供应商串通参加磋商，或者与采购人串通参加磋商；</w:t>
      </w:r>
    </w:p>
    <w:p w14:paraId="216E382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⑤属于磋商文件规定的其他磋商无效情形；</w:t>
      </w:r>
    </w:p>
    <w:p w14:paraId="3E7C7D4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⑥评审委员会认为供应商的报价明显低于其他通过符合性检查供应商的报价，有可能影响履约的，且供应商未按照规定证明其报价合理性的；</w:t>
      </w:r>
    </w:p>
    <w:p w14:paraId="13E9E3E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⑦响应文件含有采购人不能接受的附加条件的；</w:t>
      </w:r>
    </w:p>
    <w:p w14:paraId="4DFC8EE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⑧不符合法规和磋商文件中规定的其他实质性要求的。</w:t>
      </w:r>
    </w:p>
    <w:p w14:paraId="74F884D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四、比较与评价</w:t>
      </w:r>
    </w:p>
    <w:p w14:paraId="343D831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（1）经符合性审查合格的响应文件，评审委员会将根据磋商文件确定的评审方法和标准，对其技术部分和商务部分作进一步的比较和评价。</w:t>
      </w:r>
    </w:p>
    <w:p w14:paraId="7F8CF3A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报价之后由代理公司进行唱标，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评分标准：对实质性响应的响应文件进行评估和比较，采用综合评分法进行打分评比。</w:t>
      </w:r>
    </w:p>
    <w:p w14:paraId="44EB461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将每位供应商的价格得分、技术得分、商务得分相加即为该供应商的总得分。</w:t>
      </w:r>
    </w:p>
    <w:p w14:paraId="6056BE8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（2）评审严格按照磋商文件的要求和条件进行。根据实际情况，在供应商须知资料表中规定采用下列一种评审方法，详细评审标准见磋商文件第六章：</w:t>
      </w:r>
    </w:p>
    <w:p w14:paraId="437DD8E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综合评分法，是指响应文件满足磋商文件全部实质性要求，且按照评审因素的量化指标评审得分最高的供应商为成交候选人的评审方法。</w:t>
      </w:r>
    </w:p>
    <w:p w14:paraId="24DC220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本项目采用采购方式：竞争性磋商，评分方法：综合评分法</w:t>
      </w:r>
    </w:p>
    <w:p w14:paraId="4716524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（3）根据《政府采购促进中小企业发展管理办法》（财库[2020]46 号）、关于进一步加大政府采购支持中小企业力度的通知财库〔2022〕19号，《财政部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highlight w:val="none"/>
          <w:u w:val="single"/>
          <w:lang w:val="en-US" w:eastAsia="zh-CN"/>
        </w:rPr>
        <w:t xml:space="preserve"> 10% </w:t>
      </w:r>
      <w:r>
        <w:rPr>
          <w:rFonts w:hint="eastAsia" w:ascii="微软雅黑" w:hAnsi="微软雅黑" w:eastAsia="微软雅黑" w:cs="微软雅黑"/>
          <w:color w:val="auto"/>
          <w:sz w:val="24"/>
          <w:szCs w:val="24"/>
          <w:highlight w:val="none"/>
          <w:lang w:val="en-US" w:eastAsia="zh-CN"/>
        </w:rPr>
        <w:t>后参与评审。对于同时属于小微企业、监狱企业或残疾人福利性单位的，不重复进行投标报价扣除。</w:t>
      </w:r>
    </w:p>
    <w:p w14:paraId="1E2BDA9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注：本项目不专门面向中小企业采购。</w:t>
      </w:r>
    </w:p>
    <w:p w14:paraId="0A04542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五、响应无效的情形</w:t>
      </w:r>
    </w:p>
    <w:p w14:paraId="33D1E57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（1）单位负责人为同一人或者存在直接控股、管理关系的不同供应商，其相关投标将被认定为响应无效。</w:t>
      </w:r>
    </w:p>
    <w:p w14:paraId="7C57DD4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（2）若供应商须知资料表中未写明允许采购进口产品，如供应商所投产品为进口产品，其投标将被认定为响应无效。</w:t>
      </w:r>
    </w:p>
    <w:p w14:paraId="0FF914F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（3）为本项目提供过整体设计、规范编制或者项目管理、监理、检测等服务的供应商，不得再参加本项目上述服务以外的其他采购活动。否则其投标将被认定为响应无效。</w:t>
      </w:r>
    </w:p>
    <w:p w14:paraId="79A082F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供应商在投标过程中不得向采购人提供、给予任何有价值的物品，影响其正常决策行为。一经发现，其将被认定为响应无效。</w:t>
      </w:r>
    </w:p>
    <w:p w14:paraId="5BF3D58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（4）供应商报价超过磋商文件规定的预算金额或者分项、分包最高限价的，其投标将被认定为响应无效。</w:t>
      </w:r>
    </w:p>
    <w:p w14:paraId="47A949E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应认真阅读磋商文件所有的事项、格式、条款和技术规范等。如供应商没有按照磋商文件要求提交全部资料，或者响应文件没有对磋商文件在各方面都做出实质性响应，可能导致其投标将被认定为响应无效。</w:t>
      </w:r>
    </w:p>
    <w:p w14:paraId="6084C79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（6）供应商应当对所投分包磋商文件中“采购需求”所列的所有内容进行投标，如仅响应某一包中的部分内容，其该包投标将被认定为响应无效。</w:t>
      </w:r>
    </w:p>
    <w:p w14:paraId="664C4A1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（7）供应商未按本须知第12.1和12.3条规定提交磋商保证金的，其磋商资格将被认定为响应无效。</w:t>
      </w:r>
    </w:p>
    <w:p w14:paraId="652657C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所有投标均以人民币报价。供应商的投标报价应遵守《中华人民共和国价格法》。同时，根据《中华人民共和国政府采购法》第二条的规定，为保证公平竞争，如有服务主体部分的赠与行为，其投标将被认定为响应无效。</w:t>
      </w:r>
    </w:p>
    <w:p w14:paraId="416A00A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（9）供应商所报的各分项投标单价在合同履行过程中是固定不变的，不得以任何理由予以变更。任何包含价格调整要求的投标，其投标将被认定为响应无效。</w:t>
      </w:r>
    </w:p>
    <w:p w14:paraId="63212B2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（10）投标应在供应商须知资料表中规定时间内保持有效。响应有效期不满足要求的投标，其投标将被认定为响应无效。</w:t>
      </w:r>
    </w:p>
    <w:p w14:paraId="656BB5A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（11）采购人在资格审查期间核查供应商的信用记录。供应商存在不良信用记录的，其投标将被认定为响应无效。</w:t>
      </w:r>
    </w:p>
    <w:p w14:paraId="52A66B6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总价金额与按单价汇总金额不一致的，以单价金额计算结果为准。同时出现两种以上不一致的，按照前款规定的顺序修正。修正后的报价按照第20.2条的规定经供应商确认后产生约束力，供应商不确认的，其投标将被认定为响应无效。</w:t>
      </w:r>
    </w:p>
    <w:p w14:paraId="459D829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在比较与评价之前，根据本须知的规定，磋商小组要审查每份响应文件是否实质上响应了磋商文件的要求。实质上响应的投标应该是与磋商文件要求的全部条款、条件和规格相符，没有重大偏离的投标。对关键条款的偏离，将被认定为响应无效。</w:t>
      </w:r>
    </w:p>
    <w:p w14:paraId="69F5882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（15）如发现下列情况之一的，其投标将被认定为响应无效：</w:t>
      </w:r>
    </w:p>
    <w:p w14:paraId="371A6E3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未按磋商文件规定的形式和金额提交投标保证金的；未按照磋商文件规定要求签署、盖章的；未满足磋商文件中技术条款的实质性要求；与其他供应商串通投标，或者与招标人串通投标；属于磋商文件规定的其他响应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7430702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六、磋商开启</w:t>
      </w:r>
    </w:p>
    <w:p w14:paraId="6B0CCF9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（1）开标准备：本项目开标的准备工作由采购组织机构负责落实，开标过程由采购组织机构负责记录；</w:t>
      </w:r>
    </w:p>
    <w:p w14:paraId="11BD891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（2）开标主持：本项目开标由采购人或者采购代理机构主持；</w:t>
      </w:r>
    </w:p>
    <w:p w14:paraId="07C749E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（3）开标邀请：本项目采用电子交易，采购组织机构将按照采购文件规定的时间通过“新疆政府采购云平台，网址：</w:t>
      </w:r>
      <w:r>
        <w:rPr>
          <w:rFonts w:hint="eastAsia" w:ascii="微软雅黑" w:hAnsi="微软雅黑" w:eastAsia="微软雅黑" w:cs="微软雅黑"/>
          <w:color w:val="auto"/>
          <w:sz w:val="24"/>
          <w:szCs w:val="24"/>
          <w:highlight w:val="none"/>
          <w:lang w:val="en-US" w:eastAsia="zh-CN"/>
        </w:rPr>
        <w:fldChar w:fldCharType="begin"/>
      </w:r>
      <w:r>
        <w:rPr>
          <w:rFonts w:hint="eastAsia" w:ascii="微软雅黑" w:hAnsi="微软雅黑" w:eastAsia="微软雅黑" w:cs="微软雅黑"/>
          <w:color w:val="auto"/>
          <w:sz w:val="24"/>
          <w:szCs w:val="24"/>
          <w:highlight w:val="none"/>
          <w:lang w:val="en-US" w:eastAsia="zh-CN"/>
        </w:rPr>
        <w:instrText xml:space="preserve">HYPERLINK "http://www.zcygov.cn"</w:instrText>
      </w:r>
      <w:r>
        <w:rPr>
          <w:rFonts w:hint="eastAsia" w:ascii="微软雅黑" w:hAnsi="微软雅黑" w:eastAsia="微软雅黑" w:cs="微软雅黑"/>
          <w:color w:val="auto"/>
          <w:sz w:val="24"/>
          <w:szCs w:val="24"/>
          <w:highlight w:val="none"/>
          <w:lang w:val="en-US" w:eastAsia="zh-CN"/>
        </w:rPr>
        <w:fldChar w:fldCharType="separate"/>
      </w:r>
      <w:r>
        <w:rPr>
          <w:rFonts w:hint="eastAsia" w:ascii="微软雅黑" w:hAnsi="微软雅黑" w:eastAsia="微软雅黑" w:cs="微软雅黑"/>
          <w:color w:val="auto"/>
          <w:sz w:val="24"/>
          <w:szCs w:val="24"/>
          <w:highlight w:val="none"/>
          <w:lang w:val="en-US" w:eastAsia="zh-CN"/>
        </w:rPr>
        <w:t>www.zcygov.cn</w:t>
      </w:r>
      <w:r>
        <w:rPr>
          <w:rFonts w:hint="eastAsia" w:ascii="微软雅黑" w:hAnsi="微软雅黑" w:eastAsia="微软雅黑" w:cs="微软雅黑"/>
          <w:color w:val="auto"/>
          <w:sz w:val="24"/>
          <w:szCs w:val="24"/>
          <w:highlight w:val="none"/>
          <w:lang w:val="en-US" w:eastAsia="zh-CN"/>
        </w:rPr>
        <w:fldChar w:fldCharType="end"/>
      </w:r>
      <w:r>
        <w:rPr>
          <w:rFonts w:hint="eastAsia" w:ascii="微软雅黑" w:hAnsi="微软雅黑" w:eastAsia="微软雅黑" w:cs="微软雅黑"/>
          <w:color w:val="auto"/>
          <w:sz w:val="24"/>
          <w:szCs w:val="24"/>
          <w:highlight w:val="none"/>
          <w:lang w:val="en-US" w:eastAsia="zh-CN"/>
        </w:rPr>
        <w:t>”组织开标、开启投标响应文件，所有供应商均应当准时在线参加。</w:t>
      </w:r>
    </w:p>
    <w:p w14:paraId="7542F29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63F37D3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16" w:name="_Toc73975823"/>
      <w:r>
        <w:rPr>
          <w:rFonts w:hint="eastAsia" w:ascii="微软雅黑" w:hAnsi="微软雅黑" w:eastAsia="微软雅黑" w:cs="微软雅黑"/>
          <w:color w:val="auto"/>
          <w:sz w:val="24"/>
          <w:szCs w:val="24"/>
          <w:highlight w:val="none"/>
          <w:lang w:val="en-US" w:eastAsia="zh-CN"/>
        </w:rPr>
        <w:t>（5）开标程序</w:t>
      </w:r>
      <w:bookmarkEnd w:id="516"/>
    </w:p>
    <w:p w14:paraId="54393FA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①开标时间到后，主持人宣布开标会议开始。</w:t>
      </w:r>
    </w:p>
    <w:p w14:paraId="30DC922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②响应文件解密（解密规定见《供应商须知资料表》）。</w:t>
      </w:r>
    </w:p>
    <w:p w14:paraId="4A0A01F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③响应文件解密异常情况处理（处理办法见《供应商须知资料表》）。</w:t>
      </w:r>
    </w:p>
    <w:p w14:paraId="54F440A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④公布响应文件解密情况（响应文件成功解密的供应商名单等信息）</w:t>
      </w:r>
    </w:p>
    <w:p w14:paraId="612E56E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开启标书信息（资格证明文件、商务技术文件）。标书信息开启后，首先由采购人依法对投标供应商的资格证明文件进行审查，审查结束公布投标供应商的资格符合情况。资格审查未获通过的供应商，其商务技术文件及报价文件不再进入评审。</w:t>
      </w:r>
    </w:p>
    <w:p w14:paraId="6AA151C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⑥资格审查通过的供应商开启供应商的报价，公布投标人的名称、服务总报价、磋商保证金、服务期。</w:t>
      </w:r>
    </w:p>
    <w:p w14:paraId="2E46D48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⑦由磋商小组依法对投标供应商的资格和符合性进行审查，审查结束公布投标供应商的资格符合情况。未获通过的供应商，其商务技术文件及报价文件不再进入评审。</w:t>
      </w:r>
    </w:p>
    <w:p w14:paraId="7598D4C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⑧磋商小组所有成员应当集中与单一供应商分别进行磋商，并给予所有参加磋商的供应商平等的磋商机会。</w:t>
      </w:r>
    </w:p>
    <w:p w14:paraId="0915070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⑨商务技术评审结束后，主持人公布商务技术评审得分情况，价格得分情况。</w:t>
      </w:r>
    </w:p>
    <w:p w14:paraId="168DE49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⑩评审结束后，采购代理机构在系统上公布评审结果。</w:t>
      </w:r>
    </w:p>
    <w:p w14:paraId="277D918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（6）按照《中华人民共和国政府采购法》、《中华人民共和国政府采购法实施条例》及本项目本级和上级财政部门的有关规定依法组建的评审委员会，负责本项目评审工作（专家从政采云采购专家库中抽取）。</w:t>
      </w:r>
    </w:p>
    <w:p w14:paraId="38DA05E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七、磋商小组</w:t>
      </w:r>
    </w:p>
    <w:p w14:paraId="7E2A6D0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按照《中华人民共和国政府采购法》、《中华人民共和国政府采购法实施条例》及本项目本级和上级财政部门的有关规定依法组建的磋商小组，本项目磋商小组由3人及以上单数组成（政采云专家库随机抽取），按照采购文件要求，评审专家按时到达指定评标会议室，由专家评委推荐磋商小组组长，并宣读评标纪律、统一保管评委手机、签署《政府采购评审专家承诺书》，组织专家签到，开始评标，磋商小组依据响应文件内容及采购文件评审因素的量化指标对响应文件组织评审，评审期间评审专家需对评标内容严格保密，遵守评标保密纪律，遵守评审工作纪律，不得泄露评审文件、评审情况和评审中获悉的商业秘密，不许在评标过程中拿手机打电话等行为，若在评审过程中，磋商小组对响应文件有疑问时，需以书面形式转至投标单位，投标单位须对磋商小组提出的疑问做出书面澄清解答，而后专家针对评审的响应文件的商务技术部分进行打分并签章确认，最后出具本项目评审报告。</w:t>
      </w:r>
    </w:p>
    <w:p w14:paraId="148BF92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（1）磋商小组在采购活动过程中应当履行下列职责：</w:t>
      </w:r>
    </w:p>
    <w:p w14:paraId="6475A7F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①审查供应商的响应文件并作出评价；</w:t>
      </w:r>
    </w:p>
    <w:p w14:paraId="558B63A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②要求供应商解释或者澄清其响应文件；</w:t>
      </w:r>
    </w:p>
    <w:p w14:paraId="4A1CDE1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③编写评审报告；</w:t>
      </w:r>
    </w:p>
    <w:p w14:paraId="3DB0446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④告知采购人、采购代理机构在评审过程中发现的供应商的违法违规行为。</w:t>
      </w:r>
    </w:p>
    <w:p w14:paraId="2359E04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（2）磋商小组成员应当履行下列义务：</w:t>
      </w:r>
    </w:p>
    <w:p w14:paraId="344046F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①遵纪守法，客观、公正、廉洁地履行职责；</w:t>
      </w:r>
    </w:p>
    <w:p w14:paraId="6A6BFEC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②根据磋商文件的规定独立进行评审，对个人的评审意见承担法律责任；</w:t>
      </w:r>
    </w:p>
    <w:p w14:paraId="1114E3E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③参与评审报告的起草；</w:t>
      </w:r>
    </w:p>
    <w:p w14:paraId="1E596CB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④配合采购人、采购代理机构答复供应商提出的质疑；</w:t>
      </w:r>
    </w:p>
    <w:p w14:paraId="5630401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⑤配合财政部门的投诉处理和监督检查工作。</w:t>
      </w:r>
    </w:p>
    <w:p w14:paraId="4A00085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八、定标</w:t>
      </w:r>
    </w:p>
    <w:p w14:paraId="39294C9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（1）采购单位将依据本项目根据磋商小组推荐的成交候选人名单，按顺序确定中标人。</w:t>
      </w:r>
    </w:p>
    <w:p w14:paraId="51D81EE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（2）程序：</w:t>
      </w:r>
    </w:p>
    <w:p w14:paraId="1D4BE72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①采购代理机构在评审结束后2个工作日内将评审报告送采购人确认。</w:t>
      </w:r>
    </w:p>
    <w:p w14:paraId="6DFAF0F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14:paraId="1BCAF49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采购人依据评审小组推荐的中标候选人确定中标人。采购人根据评审小组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14:paraId="3505E24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headerReference r:id="rId21" w:type="default"/>
          <w:footerReference r:id="rId22" w:type="default"/>
          <w:pgSz w:w="11907" w:h="16840"/>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511"/>
    <w:bookmarkEnd w:id="513"/>
    <w:bookmarkEnd w:id="514"/>
    <w:bookmarkEnd w:id="515"/>
    <w:tbl>
      <w:tblPr>
        <w:tblStyle w:val="38"/>
        <w:tblpPr w:leftFromText="180" w:rightFromText="180" w:vertAnchor="text" w:horzAnchor="page" w:tblpX="1299" w:tblpY="71"/>
        <w:tblOverlap w:val="never"/>
        <w:tblW w:w="9800" w:type="dxa"/>
        <w:tblInd w:w="0" w:type="dxa"/>
        <w:tblLayout w:type="fixed"/>
        <w:tblCellMar>
          <w:top w:w="0" w:type="dxa"/>
          <w:left w:w="108" w:type="dxa"/>
          <w:bottom w:w="0" w:type="dxa"/>
          <w:right w:w="108" w:type="dxa"/>
        </w:tblCellMar>
      </w:tblPr>
      <w:tblGrid>
        <w:gridCol w:w="705"/>
        <w:gridCol w:w="7361"/>
        <w:gridCol w:w="598"/>
        <w:gridCol w:w="585"/>
        <w:gridCol w:w="551"/>
      </w:tblGrid>
      <w:tr w14:paraId="39357B0A">
        <w:tblPrEx>
          <w:tblCellMar>
            <w:top w:w="0" w:type="dxa"/>
            <w:left w:w="108" w:type="dxa"/>
            <w:bottom w:w="0" w:type="dxa"/>
            <w:right w:w="108" w:type="dxa"/>
          </w:tblCellMar>
        </w:tblPrEx>
        <w:trPr>
          <w:trHeight w:val="792" w:hRule="atLeast"/>
        </w:trPr>
        <w:tc>
          <w:tcPr>
            <w:tcW w:w="9800" w:type="dxa"/>
            <w:gridSpan w:val="5"/>
            <w:tcBorders>
              <w:top w:val="nil"/>
              <w:left w:val="nil"/>
              <w:bottom w:val="single" w:color="auto" w:sz="4" w:space="0"/>
              <w:right w:val="nil"/>
            </w:tcBorders>
            <w:noWrap w:val="0"/>
            <w:vAlign w:val="center"/>
          </w:tcPr>
          <w:p w14:paraId="602CD53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bookmarkStart w:id="517" w:name="初步评审—符合性审查表"/>
            <w:bookmarkEnd w:id="517"/>
            <w:bookmarkStart w:id="518" w:name="_Toc19925"/>
            <w:bookmarkStart w:id="519" w:name="_Toc23870"/>
            <w:bookmarkStart w:id="520" w:name="_Toc9110"/>
            <w:bookmarkStart w:id="521" w:name="_Toc12949_WPSOffice_Level1"/>
            <w:bookmarkStart w:id="522" w:name="_Toc21888_WPSOffice_Level1"/>
            <w:bookmarkStart w:id="523" w:name="_Toc32428_WPSOffice_Level1"/>
            <w:r>
              <w:rPr>
                <w:rFonts w:hint="eastAsia" w:ascii="微软雅黑" w:hAnsi="微软雅黑" w:eastAsia="微软雅黑" w:cs="微软雅黑"/>
                <w:b/>
                <w:bCs/>
                <w:color w:val="auto"/>
                <w:sz w:val="32"/>
                <w:szCs w:val="32"/>
                <w:highlight w:val="none"/>
                <w:lang w:val="en-US" w:eastAsia="zh-CN"/>
              </w:rPr>
              <w:t>符合性审查表</w:t>
            </w:r>
          </w:p>
        </w:tc>
      </w:tr>
      <w:tr w14:paraId="5110A917">
        <w:tblPrEx>
          <w:tblCellMar>
            <w:top w:w="0" w:type="dxa"/>
            <w:left w:w="108" w:type="dxa"/>
            <w:bottom w:w="0" w:type="dxa"/>
            <w:right w:w="108" w:type="dxa"/>
          </w:tblCellMar>
        </w:tblPrEx>
        <w:trPr>
          <w:trHeight w:val="631" w:hRule="atLeast"/>
        </w:trPr>
        <w:tc>
          <w:tcPr>
            <w:tcW w:w="705" w:type="dxa"/>
            <w:vMerge w:val="restart"/>
            <w:tcBorders>
              <w:top w:val="single" w:color="auto" w:sz="4" w:space="0"/>
              <w:left w:val="single" w:color="auto" w:sz="4" w:space="0"/>
              <w:right w:val="single" w:color="auto" w:sz="4" w:space="0"/>
            </w:tcBorders>
            <w:noWrap w:val="0"/>
            <w:vAlign w:val="center"/>
          </w:tcPr>
          <w:p w14:paraId="266AB44A">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序号</w:t>
            </w:r>
          </w:p>
        </w:tc>
        <w:tc>
          <w:tcPr>
            <w:tcW w:w="7361" w:type="dxa"/>
            <w:vMerge w:val="restart"/>
            <w:tcBorders>
              <w:top w:val="single" w:color="auto" w:sz="4" w:space="0"/>
              <w:left w:val="single" w:color="auto" w:sz="4" w:space="0"/>
              <w:right w:val="single" w:color="auto" w:sz="4" w:space="0"/>
            </w:tcBorders>
            <w:noWrap w:val="0"/>
            <w:vAlign w:val="center"/>
          </w:tcPr>
          <w:p w14:paraId="4696FF96">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审查事项</w:t>
            </w:r>
          </w:p>
        </w:tc>
        <w:tc>
          <w:tcPr>
            <w:tcW w:w="1734" w:type="dxa"/>
            <w:gridSpan w:val="3"/>
            <w:tcBorders>
              <w:top w:val="single" w:color="auto" w:sz="4" w:space="0"/>
              <w:left w:val="single" w:color="auto" w:sz="4" w:space="0"/>
              <w:bottom w:val="single" w:color="auto" w:sz="4" w:space="0"/>
              <w:right w:val="single" w:color="auto" w:sz="4" w:space="0"/>
            </w:tcBorders>
            <w:noWrap w:val="0"/>
            <w:vAlign w:val="center"/>
          </w:tcPr>
          <w:p w14:paraId="58E747F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供应商名称及审查情况</w:t>
            </w:r>
          </w:p>
        </w:tc>
      </w:tr>
      <w:tr w14:paraId="3D5A085E">
        <w:tblPrEx>
          <w:tblCellMar>
            <w:top w:w="0" w:type="dxa"/>
            <w:left w:w="108" w:type="dxa"/>
            <w:bottom w:w="0" w:type="dxa"/>
            <w:right w:w="108" w:type="dxa"/>
          </w:tblCellMar>
        </w:tblPrEx>
        <w:trPr>
          <w:trHeight w:val="557" w:hRule="atLeast"/>
        </w:trPr>
        <w:tc>
          <w:tcPr>
            <w:tcW w:w="705" w:type="dxa"/>
            <w:vMerge w:val="continue"/>
            <w:tcBorders>
              <w:left w:val="single" w:color="auto" w:sz="4" w:space="0"/>
              <w:bottom w:val="single" w:color="auto" w:sz="4" w:space="0"/>
              <w:right w:val="single" w:color="auto" w:sz="4" w:space="0"/>
            </w:tcBorders>
            <w:noWrap w:val="0"/>
            <w:vAlign w:val="center"/>
          </w:tcPr>
          <w:p w14:paraId="795430C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7361" w:type="dxa"/>
            <w:vMerge w:val="continue"/>
            <w:tcBorders>
              <w:left w:val="single" w:color="auto" w:sz="4" w:space="0"/>
              <w:bottom w:val="single" w:color="auto" w:sz="4" w:space="0"/>
              <w:right w:val="single" w:color="auto" w:sz="4" w:space="0"/>
            </w:tcBorders>
            <w:noWrap w:val="0"/>
            <w:vAlign w:val="center"/>
          </w:tcPr>
          <w:p w14:paraId="097D7A3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5580673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05AD10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138949D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14:paraId="25E76E9B">
        <w:tblPrEx>
          <w:tblCellMar>
            <w:top w:w="0" w:type="dxa"/>
            <w:left w:w="108" w:type="dxa"/>
            <w:bottom w:w="0" w:type="dxa"/>
            <w:right w:w="108" w:type="dxa"/>
          </w:tblCellMar>
        </w:tblPrEx>
        <w:trPr>
          <w:trHeight w:val="588"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2024AFF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36FCC364">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供应商的报价未超过采购预算（最高限价）；</w:t>
            </w:r>
          </w:p>
        </w:tc>
        <w:tc>
          <w:tcPr>
            <w:tcW w:w="598" w:type="dxa"/>
            <w:tcBorders>
              <w:top w:val="single" w:color="auto" w:sz="4" w:space="0"/>
              <w:left w:val="nil"/>
              <w:bottom w:val="single" w:color="auto" w:sz="4" w:space="0"/>
              <w:right w:val="single" w:color="auto" w:sz="4" w:space="0"/>
            </w:tcBorders>
            <w:noWrap w:val="0"/>
            <w:vAlign w:val="center"/>
          </w:tcPr>
          <w:p w14:paraId="16BF9159">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5" w:type="dxa"/>
            <w:tcBorders>
              <w:top w:val="single" w:color="auto" w:sz="4" w:space="0"/>
              <w:left w:val="nil"/>
              <w:bottom w:val="single" w:color="auto" w:sz="4" w:space="0"/>
              <w:right w:val="single" w:color="auto" w:sz="4" w:space="0"/>
            </w:tcBorders>
            <w:noWrap w:val="0"/>
            <w:vAlign w:val="center"/>
          </w:tcPr>
          <w:p w14:paraId="0DC1DBC5">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51" w:type="dxa"/>
            <w:tcBorders>
              <w:top w:val="single" w:color="auto" w:sz="4" w:space="0"/>
              <w:left w:val="nil"/>
              <w:bottom w:val="single" w:color="auto" w:sz="4" w:space="0"/>
              <w:right w:val="single" w:color="auto" w:sz="4" w:space="0"/>
            </w:tcBorders>
            <w:noWrap w:val="0"/>
            <w:vAlign w:val="center"/>
          </w:tcPr>
          <w:p w14:paraId="0BF0BD39">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371B73EC">
        <w:tblPrEx>
          <w:tblCellMar>
            <w:top w:w="0" w:type="dxa"/>
            <w:left w:w="108" w:type="dxa"/>
            <w:bottom w:w="0" w:type="dxa"/>
            <w:right w:w="108" w:type="dxa"/>
          </w:tblCellMar>
        </w:tblPrEx>
        <w:trPr>
          <w:trHeight w:val="588"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6CC9A57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77A9708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在评标过程中，未发现供应商之间或者供应商与采购人串通投标的；</w:t>
            </w:r>
          </w:p>
        </w:tc>
        <w:tc>
          <w:tcPr>
            <w:tcW w:w="598" w:type="dxa"/>
            <w:tcBorders>
              <w:top w:val="single" w:color="auto" w:sz="4" w:space="0"/>
              <w:left w:val="nil"/>
              <w:bottom w:val="single" w:color="auto" w:sz="4" w:space="0"/>
              <w:right w:val="single" w:color="auto" w:sz="4" w:space="0"/>
            </w:tcBorders>
            <w:noWrap w:val="0"/>
            <w:vAlign w:val="center"/>
          </w:tcPr>
          <w:p w14:paraId="17EB62B0">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5" w:type="dxa"/>
            <w:tcBorders>
              <w:top w:val="single" w:color="auto" w:sz="4" w:space="0"/>
              <w:left w:val="nil"/>
              <w:bottom w:val="single" w:color="auto" w:sz="4" w:space="0"/>
              <w:right w:val="single" w:color="auto" w:sz="4" w:space="0"/>
            </w:tcBorders>
            <w:noWrap w:val="0"/>
            <w:vAlign w:val="center"/>
          </w:tcPr>
          <w:p w14:paraId="415C3C6B">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51" w:type="dxa"/>
            <w:tcBorders>
              <w:top w:val="single" w:color="auto" w:sz="4" w:space="0"/>
              <w:left w:val="nil"/>
              <w:bottom w:val="single" w:color="auto" w:sz="4" w:space="0"/>
              <w:right w:val="single" w:color="auto" w:sz="4" w:space="0"/>
            </w:tcBorders>
            <w:noWrap w:val="0"/>
            <w:vAlign w:val="center"/>
          </w:tcPr>
          <w:p w14:paraId="15AB76D1">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14:paraId="715074B2">
        <w:tblPrEx>
          <w:tblCellMar>
            <w:top w:w="0" w:type="dxa"/>
            <w:left w:w="108" w:type="dxa"/>
            <w:bottom w:w="0" w:type="dxa"/>
            <w:right w:w="108" w:type="dxa"/>
          </w:tblCellMar>
        </w:tblPrEx>
        <w:trPr>
          <w:trHeight w:val="798"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01617F26">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35C02AB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供应商在投标过程中未向采购人提供、给予任何有价值的物品，影响其正常决策行为；</w:t>
            </w:r>
          </w:p>
        </w:tc>
        <w:tc>
          <w:tcPr>
            <w:tcW w:w="598" w:type="dxa"/>
            <w:tcBorders>
              <w:top w:val="single" w:color="auto" w:sz="4" w:space="0"/>
              <w:left w:val="nil"/>
              <w:bottom w:val="single" w:color="auto" w:sz="4" w:space="0"/>
              <w:right w:val="single" w:color="auto" w:sz="4" w:space="0"/>
            </w:tcBorders>
            <w:noWrap w:val="0"/>
            <w:vAlign w:val="center"/>
          </w:tcPr>
          <w:p w14:paraId="344BD840">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5" w:type="dxa"/>
            <w:tcBorders>
              <w:top w:val="single" w:color="auto" w:sz="4" w:space="0"/>
              <w:left w:val="nil"/>
              <w:bottom w:val="single" w:color="auto" w:sz="4" w:space="0"/>
              <w:right w:val="single" w:color="auto" w:sz="4" w:space="0"/>
            </w:tcBorders>
            <w:noWrap w:val="0"/>
            <w:vAlign w:val="center"/>
          </w:tcPr>
          <w:p w14:paraId="18FF77F7">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51" w:type="dxa"/>
            <w:tcBorders>
              <w:top w:val="single" w:color="auto" w:sz="4" w:space="0"/>
              <w:left w:val="nil"/>
              <w:bottom w:val="single" w:color="auto" w:sz="4" w:space="0"/>
              <w:right w:val="single" w:color="auto" w:sz="4" w:space="0"/>
            </w:tcBorders>
            <w:noWrap w:val="0"/>
            <w:vAlign w:val="center"/>
          </w:tcPr>
          <w:p w14:paraId="1DF6A587">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51181D97">
        <w:tblPrEx>
          <w:tblCellMar>
            <w:top w:w="0" w:type="dxa"/>
            <w:left w:w="108" w:type="dxa"/>
            <w:bottom w:w="0" w:type="dxa"/>
            <w:right w:w="108" w:type="dxa"/>
          </w:tblCellMar>
        </w:tblPrEx>
        <w:trPr>
          <w:trHeight w:val="50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02C656E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7CE84DE7">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供应商对所投磋商文件中所列的所有内容进行投标；</w:t>
            </w:r>
          </w:p>
        </w:tc>
        <w:tc>
          <w:tcPr>
            <w:tcW w:w="598" w:type="dxa"/>
            <w:tcBorders>
              <w:top w:val="single" w:color="auto" w:sz="4" w:space="0"/>
              <w:left w:val="nil"/>
              <w:bottom w:val="single" w:color="auto" w:sz="4" w:space="0"/>
              <w:right w:val="single" w:color="auto" w:sz="4" w:space="0"/>
            </w:tcBorders>
            <w:noWrap w:val="0"/>
            <w:vAlign w:val="center"/>
          </w:tcPr>
          <w:p w14:paraId="099E24FE">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5" w:type="dxa"/>
            <w:tcBorders>
              <w:top w:val="single" w:color="auto" w:sz="4" w:space="0"/>
              <w:left w:val="nil"/>
              <w:bottom w:val="single" w:color="auto" w:sz="4" w:space="0"/>
              <w:right w:val="single" w:color="auto" w:sz="4" w:space="0"/>
            </w:tcBorders>
            <w:noWrap w:val="0"/>
            <w:vAlign w:val="center"/>
          </w:tcPr>
          <w:p w14:paraId="431F77F1">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51" w:type="dxa"/>
            <w:tcBorders>
              <w:top w:val="single" w:color="auto" w:sz="4" w:space="0"/>
              <w:left w:val="nil"/>
              <w:bottom w:val="single" w:color="auto" w:sz="4" w:space="0"/>
              <w:right w:val="single" w:color="auto" w:sz="4" w:space="0"/>
            </w:tcBorders>
            <w:noWrap w:val="0"/>
            <w:vAlign w:val="center"/>
          </w:tcPr>
          <w:p w14:paraId="5381D4C1">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3193A967">
        <w:tblPrEx>
          <w:tblCellMar>
            <w:top w:w="0" w:type="dxa"/>
            <w:left w:w="108" w:type="dxa"/>
            <w:bottom w:w="0" w:type="dxa"/>
            <w:right w:w="108" w:type="dxa"/>
          </w:tblCellMar>
        </w:tblPrEx>
        <w:trPr>
          <w:trHeight w:val="913"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549E63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476AA8C5">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供应商所报的各分项投标报价在合同履行过程中是固定不变的，不得以任何理由予以变更；</w:t>
            </w:r>
          </w:p>
        </w:tc>
        <w:tc>
          <w:tcPr>
            <w:tcW w:w="598" w:type="dxa"/>
            <w:tcBorders>
              <w:top w:val="single" w:color="auto" w:sz="4" w:space="0"/>
              <w:left w:val="nil"/>
              <w:bottom w:val="single" w:color="auto" w:sz="4" w:space="0"/>
              <w:right w:val="single" w:color="auto" w:sz="4" w:space="0"/>
            </w:tcBorders>
            <w:noWrap w:val="0"/>
            <w:vAlign w:val="center"/>
          </w:tcPr>
          <w:p w14:paraId="64424BD1">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5" w:type="dxa"/>
            <w:tcBorders>
              <w:top w:val="single" w:color="auto" w:sz="4" w:space="0"/>
              <w:left w:val="nil"/>
              <w:bottom w:val="single" w:color="auto" w:sz="4" w:space="0"/>
              <w:right w:val="single" w:color="auto" w:sz="4" w:space="0"/>
            </w:tcBorders>
            <w:noWrap w:val="0"/>
            <w:vAlign w:val="center"/>
          </w:tcPr>
          <w:p w14:paraId="54C5FF9B">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51" w:type="dxa"/>
            <w:tcBorders>
              <w:top w:val="single" w:color="auto" w:sz="4" w:space="0"/>
              <w:left w:val="nil"/>
              <w:bottom w:val="single" w:color="auto" w:sz="4" w:space="0"/>
              <w:right w:val="single" w:color="auto" w:sz="4" w:space="0"/>
            </w:tcBorders>
            <w:noWrap w:val="0"/>
            <w:vAlign w:val="center"/>
          </w:tcPr>
          <w:p w14:paraId="416E4D85">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14:paraId="61DD62C2">
        <w:tblPrEx>
          <w:tblCellMar>
            <w:top w:w="0" w:type="dxa"/>
            <w:left w:w="108" w:type="dxa"/>
            <w:bottom w:w="0" w:type="dxa"/>
            <w:right w:w="108" w:type="dxa"/>
          </w:tblCellMar>
        </w:tblPrEx>
        <w:trPr>
          <w:trHeight w:val="1048"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17B55B9">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411D1E29">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响应文件的实质性条款与磋商文件要求的条款相符，且没有重大偏离的并全部响应采购需求中实质性条款；</w:t>
            </w:r>
          </w:p>
        </w:tc>
        <w:tc>
          <w:tcPr>
            <w:tcW w:w="598" w:type="dxa"/>
            <w:tcBorders>
              <w:top w:val="single" w:color="auto" w:sz="4" w:space="0"/>
              <w:left w:val="nil"/>
              <w:bottom w:val="single" w:color="auto" w:sz="4" w:space="0"/>
              <w:right w:val="single" w:color="auto" w:sz="4" w:space="0"/>
            </w:tcBorders>
            <w:noWrap w:val="0"/>
            <w:vAlign w:val="center"/>
          </w:tcPr>
          <w:p w14:paraId="78055CF4">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5" w:type="dxa"/>
            <w:tcBorders>
              <w:top w:val="single" w:color="auto" w:sz="4" w:space="0"/>
              <w:left w:val="nil"/>
              <w:bottom w:val="single" w:color="auto" w:sz="4" w:space="0"/>
              <w:right w:val="single" w:color="auto" w:sz="4" w:space="0"/>
            </w:tcBorders>
            <w:noWrap w:val="0"/>
            <w:vAlign w:val="center"/>
          </w:tcPr>
          <w:p w14:paraId="271D25C2">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51" w:type="dxa"/>
            <w:tcBorders>
              <w:top w:val="single" w:color="auto" w:sz="4" w:space="0"/>
              <w:left w:val="nil"/>
              <w:bottom w:val="single" w:color="auto" w:sz="4" w:space="0"/>
              <w:right w:val="single" w:color="auto" w:sz="4" w:space="0"/>
            </w:tcBorders>
            <w:noWrap w:val="0"/>
            <w:vAlign w:val="center"/>
          </w:tcPr>
          <w:p w14:paraId="38C9612B">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6AC6D833">
        <w:tblPrEx>
          <w:tblCellMar>
            <w:top w:w="0" w:type="dxa"/>
            <w:left w:w="108" w:type="dxa"/>
            <w:bottom w:w="0" w:type="dxa"/>
            <w:right w:w="108" w:type="dxa"/>
          </w:tblCellMar>
        </w:tblPrEx>
        <w:trPr>
          <w:trHeight w:val="688"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0AF6E06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71339EA4">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响应有效期自提交响应文件截止之日起 90 日历日；</w:t>
            </w:r>
          </w:p>
        </w:tc>
        <w:tc>
          <w:tcPr>
            <w:tcW w:w="598" w:type="dxa"/>
            <w:tcBorders>
              <w:top w:val="single" w:color="auto" w:sz="4" w:space="0"/>
              <w:left w:val="nil"/>
              <w:bottom w:val="single" w:color="auto" w:sz="4" w:space="0"/>
              <w:right w:val="single" w:color="auto" w:sz="4" w:space="0"/>
            </w:tcBorders>
            <w:noWrap w:val="0"/>
            <w:vAlign w:val="center"/>
          </w:tcPr>
          <w:p w14:paraId="728607BF">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5" w:type="dxa"/>
            <w:tcBorders>
              <w:top w:val="single" w:color="auto" w:sz="4" w:space="0"/>
              <w:left w:val="nil"/>
              <w:bottom w:val="single" w:color="auto" w:sz="4" w:space="0"/>
              <w:right w:val="single" w:color="auto" w:sz="4" w:space="0"/>
            </w:tcBorders>
            <w:noWrap w:val="0"/>
            <w:vAlign w:val="center"/>
          </w:tcPr>
          <w:p w14:paraId="253F6E2F">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51" w:type="dxa"/>
            <w:tcBorders>
              <w:top w:val="single" w:color="auto" w:sz="4" w:space="0"/>
              <w:left w:val="nil"/>
              <w:bottom w:val="single" w:color="auto" w:sz="4" w:space="0"/>
              <w:right w:val="single" w:color="auto" w:sz="4" w:space="0"/>
            </w:tcBorders>
            <w:noWrap w:val="0"/>
            <w:vAlign w:val="center"/>
          </w:tcPr>
          <w:p w14:paraId="66396845">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14:paraId="46B421F3">
        <w:tblPrEx>
          <w:tblCellMar>
            <w:top w:w="0" w:type="dxa"/>
            <w:left w:w="108" w:type="dxa"/>
            <w:bottom w:w="0" w:type="dxa"/>
            <w:right w:w="108" w:type="dxa"/>
          </w:tblCellMar>
        </w:tblPrEx>
        <w:trPr>
          <w:trHeight w:val="58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69A4E1B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11224A9C">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响应文件按照磋商文件规定要求签署、盖章；</w:t>
            </w:r>
          </w:p>
        </w:tc>
        <w:tc>
          <w:tcPr>
            <w:tcW w:w="598" w:type="dxa"/>
            <w:tcBorders>
              <w:top w:val="single" w:color="auto" w:sz="4" w:space="0"/>
              <w:left w:val="nil"/>
              <w:bottom w:val="single" w:color="auto" w:sz="4" w:space="0"/>
              <w:right w:val="single" w:color="auto" w:sz="4" w:space="0"/>
            </w:tcBorders>
            <w:noWrap w:val="0"/>
            <w:vAlign w:val="center"/>
          </w:tcPr>
          <w:p w14:paraId="4673D831">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5" w:type="dxa"/>
            <w:tcBorders>
              <w:top w:val="single" w:color="auto" w:sz="4" w:space="0"/>
              <w:left w:val="nil"/>
              <w:bottom w:val="single" w:color="auto" w:sz="4" w:space="0"/>
              <w:right w:val="single" w:color="auto" w:sz="4" w:space="0"/>
            </w:tcBorders>
            <w:noWrap w:val="0"/>
            <w:vAlign w:val="center"/>
          </w:tcPr>
          <w:p w14:paraId="6F03B50C">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51" w:type="dxa"/>
            <w:tcBorders>
              <w:top w:val="single" w:color="auto" w:sz="4" w:space="0"/>
              <w:left w:val="nil"/>
              <w:bottom w:val="single" w:color="auto" w:sz="4" w:space="0"/>
              <w:right w:val="single" w:color="auto" w:sz="4" w:space="0"/>
            </w:tcBorders>
            <w:noWrap w:val="0"/>
            <w:vAlign w:val="center"/>
          </w:tcPr>
          <w:p w14:paraId="183ED996">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0E5FC904">
        <w:tblPrEx>
          <w:tblCellMar>
            <w:top w:w="0" w:type="dxa"/>
            <w:left w:w="108" w:type="dxa"/>
            <w:bottom w:w="0" w:type="dxa"/>
            <w:right w:w="108" w:type="dxa"/>
          </w:tblCellMar>
        </w:tblPrEx>
        <w:trPr>
          <w:trHeight w:val="58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7E3B103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14754D71">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磋商小组共同确定没有实质上不响应磋商文件要求的；</w:t>
            </w:r>
          </w:p>
        </w:tc>
        <w:tc>
          <w:tcPr>
            <w:tcW w:w="598" w:type="dxa"/>
            <w:tcBorders>
              <w:top w:val="single" w:color="auto" w:sz="4" w:space="0"/>
              <w:left w:val="nil"/>
              <w:bottom w:val="single" w:color="auto" w:sz="4" w:space="0"/>
              <w:right w:val="single" w:color="auto" w:sz="4" w:space="0"/>
            </w:tcBorders>
            <w:noWrap w:val="0"/>
            <w:vAlign w:val="center"/>
          </w:tcPr>
          <w:p w14:paraId="2D25347F">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5" w:type="dxa"/>
            <w:tcBorders>
              <w:top w:val="single" w:color="auto" w:sz="4" w:space="0"/>
              <w:left w:val="nil"/>
              <w:bottom w:val="single" w:color="auto" w:sz="4" w:space="0"/>
              <w:right w:val="single" w:color="auto" w:sz="4" w:space="0"/>
            </w:tcBorders>
            <w:noWrap w:val="0"/>
            <w:vAlign w:val="center"/>
          </w:tcPr>
          <w:p w14:paraId="312F505F">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51" w:type="dxa"/>
            <w:tcBorders>
              <w:top w:val="single" w:color="auto" w:sz="4" w:space="0"/>
              <w:left w:val="nil"/>
              <w:bottom w:val="single" w:color="auto" w:sz="4" w:space="0"/>
              <w:right w:val="single" w:color="auto" w:sz="4" w:space="0"/>
            </w:tcBorders>
            <w:noWrap w:val="0"/>
            <w:vAlign w:val="center"/>
          </w:tcPr>
          <w:p w14:paraId="48754C61">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14:paraId="3358D7C2">
        <w:tblPrEx>
          <w:tblCellMar>
            <w:top w:w="0" w:type="dxa"/>
            <w:left w:w="108" w:type="dxa"/>
            <w:bottom w:w="0" w:type="dxa"/>
            <w:right w:w="108" w:type="dxa"/>
          </w:tblCellMar>
        </w:tblPrEx>
        <w:trPr>
          <w:trHeight w:val="53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BB033C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w:t>
            </w:r>
          </w:p>
        </w:tc>
        <w:tc>
          <w:tcPr>
            <w:tcW w:w="7361" w:type="dxa"/>
            <w:tcBorders>
              <w:top w:val="single" w:color="auto" w:sz="4" w:space="0"/>
              <w:left w:val="single" w:color="auto" w:sz="4" w:space="0"/>
              <w:bottom w:val="single" w:color="auto" w:sz="4" w:space="0"/>
              <w:right w:val="single" w:color="auto" w:sz="4" w:space="0"/>
            </w:tcBorders>
            <w:noWrap w:val="0"/>
            <w:vAlign w:val="center"/>
          </w:tcPr>
          <w:p w14:paraId="2C418F63">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响应文件未含有采购人不能接受的附加条件；</w:t>
            </w:r>
          </w:p>
        </w:tc>
        <w:tc>
          <w:tcPr>
            <w:tcW w:w="598" w:type="dxa"/>
            <w:tcBorders>
              <w:top w:val="single" w:color="auto" w:sz="4" w:space="0"/>
              <w:left w:val="nil"/>
              <w:bottom w:val="single" w:color="auto" w:sz="4" w:space="0"/>
              <w:right w:val="single" w:color="auto" w:sz="4" w:space="0"/>
            </w:tcBorders>
            <w:noWrap w:val="0"/>
            <w:vAlign w:val="center"/>
          </w:tcPr>
          <w:p w14:paraId="0EEA5790">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5" w:type="dxa"/>
            <w:tcBorders>
              <w:top w:val="single" w:color="auto" w:sz="4" w:space="0"/>
              <w:left w:val="nil"/>
              <w:bottom w:val="single" w:color="auto" w:sz="4" w:space="0"/>
              <w:right w:val="single" w:color="auto" w:sz="4" w:space="0"/>
            </w:tcBorders>
            <w:noWrap w:val="0"/>
            <w:vAlign w:val="center"/>
          </w:tcPr>
          <w:p w14:paraId="01D1D59A">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51" w:type="dxa"/>
            <w:tcBorders>
              <w:top w:val="single" w:color="auto" w:sz="4" w:space="0"/>
              <w:left w:val="nil"/>
              <w:bottom w:val="single" w:color="auto" w:sz="4" w:space="0"/>
              <w:right w:val="single" w:color="auto" w:sz="4" w:space="0"/>
            </w:tcBorders>
            <w:noWrap w:val="0"/>
            <w:vAlign w:val="center"/>
          </w:tcPr>
          <w:p w14:paraId="1416353D">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5C64E63F">
        <w:tblPrEx>
          <w:tblCellMar>
            <w:top w:w="0" w:type="dxa"/>
            <w:left w:w="108" w:type="dxa"/>
            <w:bottom w:w="0" w:type="dxa"/>
            <w:right w:w="108" w:type="dxa"/>
          </w:tblCellMar>
        </w:tblPrEx>
        <w:trPr>
          <w:trHeight w:val="430"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0748B411">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7361" w:type="dxa"/>
            <w:tcBorders>
              <w:top w:val="single" w:color="auto" w:sz="4" w:space="0"/>
              <w:left w:val="single" w:color="auto" w:sz="4" w:space="0"/>
              <w:bottom w:val="single" w:color="auto" w:sz="4" w:space="0"/>
              <w:right w:val="single" w:color="auto" w:sz="4" w:space="0"/>
            </w:tcBorders>
            <w:noWrap w:val="0"/>
            <w:vAlign w:val="center"/>
          </w:tcPr>
          <w:p w14:paraId="4D1F9A55">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结论</w:t>
            </w:r>
          </w:p>
        </w:tc>
        <w:tc>
          <w:tcPr>
            <w:tcW w:w="598" w:type="dxa"/>
            <w:tcBorders>
              <w:top w:val="single" w:color="auto" w:sz="4" w:space="0"/>
              <w:left w:val="nil"/>
              <w:bottom w:val="single" w:color="auto" w:sz="4" w:space="0"/>
              <w:right w:val="single" w:color="auto" w:sz="4" w:space="0"/>
            </w:tcBorders>
            <w:noWrap w:val="0"/>
            <w:vAlign w:val="center"/>
          </w:tcPr>
          <w:p w14:paraId="2E80D963">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5" w:type="dxa"/>
            <w:tcBorders>
              <w:top w:val="single" w:color="auto" w:sz="4" w:space="0"/>
              <w:left w:val="nil"/>
              <w:bottom w:val="single" w:color="auto" w:sz="4" w:space="0"/>
              <w:right w:val="single" w:color="auto" w:sz="4" w:space="0"/>
            </w:tcBorders>
            <w:noWrap w:val="0"/>
            <w:vAlign w:val="center"/>
          </w:tcPr>
          <w:p w14:paraId="423CB1A5">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51" w:type="dxa"/>
            <w:tcBorders>
              <w:top w:val="single" w:color="auto" w:sz="4" w:space="0"/>
              <w:left w:val="nil"/>
              <w:bottom w:val="single" w:color="auto" w:sz="4" w:space="0"/>
              <w:right w:val="single" w:color="auto" w:sz="4" w:space="0"/>
            </w:tcBorders>
            <w:noWrap w:val="0"/>
            <w:vAlign w:val="center"/>
          </w:tcPr>
          <w:p w14:paraId="0A268080">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bookmarkEnd w:id="518"/>
      <w:bookmarkEnd w:id="519"/>
      <w:bookmarkEnd w:id="520"/>
    </w:tbl>
    <w:p w14:paraId="7C3CCF9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13A1578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说明：（1）上述各项中用“√”表示通过，“×”表示不通过；（2）上述各项中如有一项为“×”，则结论为“×”，表示该响应文件中存在重大偏差，不能通过初步评审；评委对某一分项评审认为不合格时，必须要写明原因。（3）响应文件最终合格与否，以所有评委的评审意见中少数服从多数为原则定论。（4）本项目符合性审查事项仅限于本磋商文件的明确规定。响应文件是否满足磋商文件的实质性要求，必须以本磋商文件的明确规定作为依据，否则，不能对响应文件作为无效处理，磋商小组不得臆测符合性审查事项。</w:t>
      </w:r>
    </w:p>
    <w:p w14:paraId="3B65220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headerReference r:id="rId23" w:type="default"/>
          <w:footerReference r:id="rId24" w:type="default"/>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013AB71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评分办法（综合评分法）及评分标准</w:t>
      </w:r>
    </w:p>
    <w:tbl>
      <w:tblPr>
        <w:tblStyle w:val="38"/>
        <w:tblpPr w:leftFromText="180" w:rightFromText="180" w:vertAnchor="text" w:horzAnchor="page" w:tblpX="1123" w:tblpY="420"/>
        <w:tblOverlap w:val="never"/>
        <w:tblW w:w="98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2"/>
        <w:gridCol w:w="1238"/>
        <w:gridCol w:w="7391"/>
        <w:gridCol w:w="611"/>
      </w:tblGrid>
      <w:tr w14:paraId="2D999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14:paraId="35CF21C0">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评审部分</w:t>
            </w:r>
          </w:p>
        </w:tc>
        <w:tc>
          <w:tcPr>
            <w:tcW w:w="1238" w:type="dxa"/>
            <w:noWrap w:val="0"/>
            <w:vAlign w:val="center"/>
          </w:tcPr>
          <w:p w14:paraId="29D1CF27">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评审因素</w:t>
            </w:r>
          </w:p>
        </w:tc>
        <w:tc>
          <w:tcPr>
            <w:tcW w:w="7391" w:type="dxa"/>
            <w:noWrap w:val="0"/>
            <w:vAlign w:val="center"/>
          </w:tcPr>
          <w:p w14:paraId="089B81A7">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评分细则</w:t>
            </w:r>
          </w:p>
        </w:tc>
        <w:tc>
          <w:tcPr>
            <w:tcW w:w="611" w:type="dxa"/>
            <w:tcBorders>
              <w:right w:val="single" w:color="auto" w:sz="4" w:space="0"/>
            </w:tcBorders>
            <w:noWrap w:val="0"/>
            <w:vAlign w:val="center"/>
          </w:tcPr>
          <w:p w14:paraId="237C1C7F">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分值</w:t>
            </w:r>
          </w:p>
        </w:tc>
      </w:tr>
      <w:tr w14:paraId="21471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trPr>
        <w:tc>
          <w:tcPr>
            <w:tcW w:w="592" w:type="dxa"/>
            <w:noWrap w:val="0"/>
            <w:vAlign w:val="center"/>
          </w:tcPr>
          <w:p w14:paraId="43D331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w:t>
            </w:r>
          </w:p>
        </w:tc>
        <w:tc>
          <w:tcPr>
            <w:tcW w:w="9240" w:type="dxa"/>
            <w:gridSpan w:val="3"/>
            <w:noWrap w:val="0"/>
            <w:vAlign w:val="center"/>
          </w:tcPr>
          <w:p w14:paraId="00BBACA8">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价格部分（</w:t>
            </w:r>
            <w:r>
              <w:rPr>
                <w:rFonts w:hint="eastAsia" w:ascii="微软雅黑" w:hAnsi="微软雅黑" w:eastAsia="微软雅黑" w:cs="微软雅黑"/>
                <w:b/>
                <w:color w:val="auto"/>
                <w:sz w:val="24"/>
                <w:szCs w:val="24"/>
                <w:highlight w:val="none"/>
                <w:lang w:val="en-US" w:eastAsia="zh-CN"/>
              </w:rPr>
              <w:t>20</w:t>
            </w:r>
            <w:r>
              <w:rPr>
                <w:rFonts w:hint="eastAsia" w:ascii="微软雅黑" w:hAnsi="微软雅黑" w:eastAsia="微软雅黑" w:cs="微软雅黑"/>
                <w:b/>
                <w:color w:val="auto"/>
                <w:sz w:val="24"/>
                <w:szCs w:val="24"/>
                <w:highlight w:val="none"/>
              </w:rPr>
              <w:t>分）</w:t>
            </w:r>
          </w:p>
        </w:tc>
      </w:tr>
      <w:tr w14:paraId="004C0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14:paraId="5882A4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1238" w:type="dxa"/>
            <w:noWrap w:val="0"/>
            <w:vAlign w:val="center"/>
          </w:tcPr>
          <w:p w14:paraId="0E89E2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投标报价</w:t>
            </w:r>
          </w:p>
        </w:tc>
        <w:tc>
          <w:tcPr>
            <w:tcW w:w="7391" w:type="dxa"/>
            <w:noWrap w:val="0"/>
            <w:vAlign w:val="center"/>
          </w:tcPr>
          <w:p w14:paraId="09B5526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价格分应当采用低价优先法计算，即满足</w:t>
            </w:r>
            <w:r>
              <w:rPr>
                <w:rFonts w:hint="eastAsia" w:ascii="微软雅黑" w:hAnsi="微软雅黑" w:eastAsia="微软雅黑" w:cs="微软雅黑"/>
                <w:color w:val="auto"/>
                <w:kern w:val="0"/>
                <w:sz w:val="24"/>
                <w:szCs w:val="24"/>
                <w:highlight w:val="none"/>
                <w:lang w:eastAsia="zh-CN"/>
              </w:rPr>
              <w:t>磋商文件</w:t>
            </w:r>
            <w:r>
              <w:rPr>
                <w:rFonts w:hint="eastAsia" w:ascii="微软雅黑" w:hAnsi="微软雅黑" w:eastAsia="微软雅黑" w:cs="微软雅黑"/>
                <w:color w:val="auto"/>
                <w:kern w:val="0"/>
                <w:sz w:val="24"/>
                <w:szCs w:val="24"/>
                <w:highlight w:val="none"/>
              </w:rPr>
              <w:t>要求且投标价格最低的投标报价为评标基准价，其价格分为满分。其他</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的价格分统一按照下列公式计算：投标报价得分=（评标基准价／投标报价）×100×权重</w:t>
            </w:r>
          </w:p>
          <w:p w14:paraId="3407002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备注：投标报价得分四舍五入后，</w:t>
            </w:r>
            <w:r>
              <w:rPr>
                <w:rFonts w:hint="eastAsia" w:ascii="微软雅黑" w:hAnsi="微软雅黑" w:eastAsia="微软雅黑" w:cs="微软雅黑"/>
                <w:color w:val="auto"/>
                <w:sz w:val="24"/>
                <w:szCs w:val="24"/>
                <w:highlight w:val="none"/>
              </w:rPr>
              <w:t>小数点后保留两位有效数</w:t>
            </w:r>
            <w:r>
              <w:rPr>
                <w:rFonts w:hint="eastAsia" w:ascii="微软雅黑" w:hAnsi="微软雅黑" w:eastAsia="微软雅黑" w:cs="微软雅黑"/>
                <w:bCs/>
                <w:color w:val="auto"/>
                <w:sz w:val="24"/>
                <w:szCs w:val="24"/>
                <w:highlight w:val="none"/>
              </w:rPr>
              <w:t>。</w:t>
            </w:r>
          </w:p>
          <w:p w14:paraId="64C53AD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Cs/>
                <w:color w:val="auto"/>
                <w:sz w:val="24"/>
                <w:szCs w:val="24"/>
                <w:highlight w:val="none"/>
                <w:lang w:val="en-US" w:eastAsia="zh-CN"/>
              </w:rPr>
              <w:t>注：根据《政府采购促进中小企业发展管理办法》（财库[2020]46 号）、关于进一步加大政府采购支持中小企业力度的通知财库〔2022〕19号，《财政部司法部关于政府采购支持监狱企业发展有关问题的通知》（财库〔2014〕68 号）和《三部门联合发布关于促进残疾人就业政府采购政策的通知》（财库〔2017〕141 号）的规定，对满足价格扣除条件且在响应文件中提交了《中小企业声明函》或省级以上监狱管理局、戒毒管理局（含新疆生产建设兵团）出具的属于监狱企业的证明文件的供应商，其投标报价扣除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Cs/>
                <w:color w:val="auto"/>
                <w:sz w:val="24"/>
                <w:szCs w:val="24"/>
                <w:highlight w:val="none"/>
                <w:u w:val="single"/>
                <w:lang w:val="en-US" w:eastAsia="zh-CN"/>
              </w:rPr>
              <w:t xml:space="preserve">  10%  </w:t>
            </w:r>
            <w:r>
              <w:rPr>
                <w:rFonts w:hint="eastAsia" w:ascii="微软雅黑" w:hAnsi="微软雅黑" w:eastAsia="微软雅黑" w:cs="微软雅黑"/>
                <w:bCs/>
                <w:color w:val="auto"/>
                <w:sz w:val="24"/>
                <w:szCs w:val="24"/>
                <w:highlight w:val="none"/>
                <w:lang w:val="en-US" w:eastAsia="zh-CN"/>
              </w:rPr>
              <w:t>后参与评审。对于同时属于小微企业、监狱企业或残疾人福利性单位的，不重复进行投标报价扣除。</w:t>
            </w:r>
          </w:p>
        </w:tc>
        <w:tc>
          <w:tcPr>
            <w:tcW w:w="611" w:type="dxa"/>
            <w:tcBorders>
              <w:right w:val="single" w:color="auto" w:sz="4" w:space="0"/>
            </w:tcBorders>
            <w:noWrap w:val="0"/>
            <w:vAlign w:val="center"/>
          </w:tcPr>
          <w:p w14:paraId="09350D55">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20</w:t>
            </w:r>
          </w:p>
        </w:tc>
      </w:tr>
      <w:tr w14:paraId="31F4A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592" w:type="dxa"/>
            <w:noWrap w:val="0"/>
            <w:vAlign w:val="center"/>
          </w:tcPr>
          <w:p w14:paraId="6B378FEF">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b/>
                <w:color w:val="auto"/>
                <w:sz w:val="24"/>
                <w:szCs w:val="24"/>
                <w:highlight w:val="none"/>
                <w:lang w:eastAsia="zh-CN"/>
              </w:rPr>
              <w:t>二</w:t>
            </w:r>
          </w:p>
        </w:tc>
        <w:tc>
          <w:tcPr>
            <w:tcW w:w="9240" w:type="dxa"/>
            <w:gridSpan w:val="3"/>
            <w:noWrap w:val="0"/>
            <w:vAlign w:val="center"/>
          </w:tcPr>
          <w:p w14:paraId="3A16C64C">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商务及</w:t>
            </w:r>
            <w:r>
              <w:rPr>
                <w:rFonts w:hint="eastAsia" w:ascii="微软雅黑" w:hAnsi="微软雅黑" w:eastAsia="微软雅黑" w:cs="微软雅黑"/>
                <w:b/>
                <w:color w:val="auto"/>
                <w:sz w:val="24"/>
                <w:szCs w:val="24"/>
                <w:highlight w:val="none"/>
              </w:rPr>
              <w:t>技术部分（</w:t>
            </w:r>
            <w:r>
              <w:rPr>
                <w:rFonts w:hint="eastAsia" w:ascii="微软雅黑" w:hAnsi="微软雅黑" w:eastAsia="微软雅黑" w:cs="微软雅黑"/>
                <w:b/>
                <w:color w:val="auto"/>
                <w:sz w:val="24"/>
                <w:szCs w:val="24"/>
                <w:highlight w:val="none"/>
                <w:lang w:val="en-US" w:eastAsia="zh-CN"/>
              </w:rPr>
              <w:t>80</w:t>
            </w:r>
            <w:r>
              <w:rPr>
                <w:rFonts w:hint="eastAsia" w:ascii="微软雅黑" w:hAnsi="微软雅黑" w:eastAsia="微软雅黑" w:cs="微软雅黑"/>
                <w:b/>
                <w:color w:val="auto"/>
                <w:sz w:val="24"/>
                <w:szCs w:val="24"/>
                <w:highlight w:val="none"/>
              </w:rPr>
              <w:t>分）</w:t>
            </w:r>
          </w:p>
        </w:tc>
      </w:tr>
      <w:tr w14:paraId="60BF4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14:paraId="54C4C040">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w:t>
            </w:r>
          </w:p>
        </w:tc>
        <w:tc>
          <w:tcPr>
            <w:tcW w:w="1238" w:type="dxa"/>
            <w:noWrap w:val="0"/>
            <w:vAlign w:val="center"/>
          </w:tcPr>
          <w:p w14:paraId="403B87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2"/>
                <w:szCs w:val="22"/>
                <w:lang w:val="en-US" w:eastAsia="zh-CN"/>
              </w:rPr>
              <w:t>项目负责人（8分）</w:t>
            </w:r>
          </w:p>
        </w:tc>
        <w:tc>
          <w:tcPr>
            <w:tcW w:w="7391" w:type="dxa"/>
            <w:noWrap w:val="0"/>
            <w:vAlign w:val="center"/>
          </w:tcPr>
          <w:p w14:paraId="7DD6B7C7">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1、拟派项目负责人具备</w:t>
            </w:r>
            <w:r>
              <w:rPr>
                <w:rFonts w:hint="eastAsia" w:ascii="微软雅黑" w:hAnsi="微软雅黑" w:eastAsia="微软雅黑" w:cs="微软雅黑"/>
                <w:color w:val="auto"/>
                <w:sz w:val="24"/>
                <w:szCs w:val="24"/>
                <w:highlight w:val="none"/>
                <w:lang w:val="en-US" w:eastAsia="zh-CN"/>
              </w:rPr>
              <w:t>专科</w:t>
            </w:r>
            <w:r>
              <w:rPr>
                <w:rFonts w:hint="default" w:ascii="微软雅黑" w:hAnsi="微软雅黑" w:eastAsia="微软雅黑" w:cs="微软雅黑"/>
                <w:color w:val="auto"/>
                <w:sz w:val="24"/>
                <w:szCs w:val="24"/>
                <w:highlight w:val="none"/>
                <w:lang w:val="en-US" w:eastAsia="zh-CN"/>
              </w:rPr>
              <w:t>及以上学历</w:t>
            </w:r>
            <w:r>
              <w:rPr>
                <w:rFonts w:hint="eastAsia" w:ascii="微软雅黑" w:hAnsi="微软雅黑" w:eastAsia="微软雅黑" w:cs="微软雅黑"/>
                <w:color w:val="auto"/>
                <w:sz w:val="24"/>
                <w:szCs w:val="24"/>
                <w:highlight w:val="none"/>
                <w:lang w:val="en-US" w:eastAsia="zh-CN"/>
              </w:rPr>
              <w:t>并且有《社会工作者职业资格证》（中级）及以上</w:t>
            </w:r>
            <w:r>
              <w:rPr>
                <w:rFonts w:hint="default" w:ascii="微软雅黑" w:hAnsi="微软雅黑" w:eastAsia="微软雅黑" w:cs="微软雅黑"/>
                <w:color w:val="auto"/>
                <w:sz w:val="24"/>
                <w:szCs w:val="24"/>
                <w:highlight w:val="none"/>
                <w:lang w:val="en-US" w:eastAsia="zh-CN"/>
              </w:rPr>
              <w:t>的得</w:t>
            </w:r>
            <w:r>
              <w:rPr>
                <w:rFonts w:hint="eastAsia" w:ascii="微软雅黑" w:hAnsi="微软雅黑" w:eastAsia="微软雅黑" w:cs="微软雅黑"/>
                <w:color w:val="auto"/>
                <w:sz w:val="24"/>
                <w:szCs w:val="24"/>
                <w:highlight w:val="none"/>
                <w:lang w:val="en-US" w:eastAsia="zh-CN"/>
              </w:rPr>
              <w:t>8</w:t>
            </w:r>
            <w:r>
              <w:rPr>
                <w:rFonts w:hint="default" w:ascii="微软雅黑" w:hAnsi="微软雅黑" w:eastAsia="微软雅黑" w:cs="微软雅黑"/>
                <w:color w:val="auto"/>
                <w:sz w:val="24"/>
                <w:szCs w:val="24"/>
                <w:highlight w:val="none"/>
                <w:lang w:val="en-US" w:eastAsia="zh-CN"/>
              </w:rPr>
              <w:t>分。</w:t>
            </w:r>
          </w:p>
          <w:p w14:paraId="20DF5939">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2、拟派项目负责人具备</w:t>
            </w:r>
            <w:r>
              <w:rPr>
                <w:rFonts w:hint="eastAsia" w:ascii="微软雅黑" w:hAnsi="微软雅黑" w:eastAsia="微软雅黑" w:cs="微软雅黑"/>
                <w:color w:val="auto"/>
                <w:sz w:val="24"/>
                <w:szCs w:val="24"/>
                <w:highlight w:val="none"/>
                <w:lang w:val="en-US" w:eastAsia="zh-CN"/>
              </w:rPr>
              <w:t>专科</w:t>
            </w:r>
            <w:r>
              <w:rPr>
                <w:rFonts w:hint="default" w:ascii="微软雅黑" w:hAnsi="微软雅黑" w:eastAsia="微软雅黑" w:cs="微软雅黑"/>
                <w:color w:val="auto"/>
                <w:sz w:val="24"/>
                <w:szCs w:val="24"/>
                <w:highlight w:val="none"/>
                <w:lang w:val="en-US" w:eastAsia="zh-CN"/>
              </w:rPr>
              <w:t>及以上学历</w:t>
            </w:r>
            <w:r>
              <w:rPr>
                <w:rFonts w:hint="eastAsia" w:ascii="微软雅黑" w:hAnsi="微软雅黑" w:eastAsia="微软雅黑" w:cs="微软雅黑"/>
                <w:color w:val="auto"/>
                <w:sz w:val="24"/>
                <w:szCs w:val="24"/>
                <w:highlight w:val="none"/>
                <w:lang w:val="en-US" w:eastAsia="zh-CN"/>
              </w:rPr>
              <w:t>并且有《社会工作者职业资格证》（助理）</w:t>
            </w:r>
            <w:r>
              <w:rPr>
                <w:rFonts w:hint="default" w:ascii="微软雅黑" w:hAnsi="微软雅黑" w:eastAsia="微软雅黑" w:cs="微软雅黑"/>
                <w:color w:val="auto"/>
                <w:sz w:val="24"/>
                <w:szCs w:val="24"/>
                <w:highlight w:val="none"/>
                <w:lang w:val="en-US" w:eastAsia="zh-CN"/>
              </w:rPr>
              <w:t>的得</w:t>
            </w:r>
            <w:r>
              <w:rPr>
                <w:rFonts w:hint="eastAsia" w:ascii="微软雅黑" w:hAnsi="微软雅黑" w:eastAsia="微软雅黑" w:cs="微软雅黑"/>
                <w:color w:val="auto"/>
                <w:sz w:val="24"/>
                <w:szCs w:val="24"/>
                <w:highlight w:val="none"/>
                <w:lang w:val="en-US" w:eastAsia="zh-CN"/>
              </w:rPr>
              <w:t>5</w:t>
            </w:r>
            <w:r>
              <w:rPr>
                <w:rFonts w:hint="default" w:ascii="微软雅黑" w:hAnsi="微软雅黑" w:eastAsia="微软雅黑" w:cs="微软雅黑"/>
                <w:color w:val="auto"/>
                <w:sz w:val="24"/>
                <w:szCs w:val="24"/>
                <w:highlight w:val="none"/>
                <w:lang w:val="en-US" w:eastAsia="zh-CN"/>
              </w:rPr>
              <w:t>分。</w:t>
            </w:r>
          </w:p>
          <w:p w14:paraId="4AD8A891">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w:t>
            </w:r>
            <w:r>
              <w:rPr>
                <w:rFonts w:hint="default" w:ascii="微软雅黑" w:hAnsi="微软雅黑" w:eastAsia="微软雅黑" w:cs="微软雅黑"/>
                <w:color w:val="auto"/>
                <w:sz w:val="24"/>
                <w:szCs w:val="24"/>
                <w:highlight w:val="none"/>
                <w:lang w:val="en-US" w:eastAsia="zh-CN"/>
              </w:rPr>
              <w:t>、拟派项目负责人具有社会工作</w:t>
            </w:r>
            <w:r>
              <w:rPr>
                <w:rFonts w:hint="eastAsia" w:ascii="微软雅黑" w:hAnsi="微软雅黑" w:eastAsia="微软雅黑" w:cs="微软雅黑"/>
                <w:color w:val="auto"/>
                <w:sz w:val="24"/>
                <w:szCs w:val="24"/>
                <w:highlight w:val="none"/>
                <w:lang w:val="en-US" w:eastAsia="zh-CN"/>
              </w:rPr>
              <w:t>经验</w:t>
            </w:r>
            <w:r>
              <w:rPr>
                <w:rFonts w:hint="default"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val="en-US" w:eastAsia="zh-CN"/>
              </w:rPr>
              <w:t>且</w:t>
            </w:r>
            <w:r>
              <w:rPr>
                <w:rFonts w:hint="default" w:ascii="微软雅黑" w:hAnsi="微软雅黑" w:eastAsia="微软雅黑" w:cs="微软雅黑"/>
                <w:color w:val="auto"/>
                <w:sz w:val="24"/>
                <w:szCs w:val="24"/>
                <w:highlight w:val="none"/>
                <w:lang w:val="en-US" w:eastAsia="zh-CN"/>
              </w:rPr>
              <w:t>工作年限</w:t>
            </w:r>
            <w:r>
              <w:rPr>
                <w:rFonts w:hint="eastAsia" w:ascii="微软雅黑" w:hAnsi="微软雅黑" w:eastAsia="微软雅黑" w:cs="微软雅黑"/>
                <w:color w:val="auto"/>
                <w:sz w:val="24"/>
                <w:szCs w:val="24"/>
                <w:highlight w:val="none"/>
                <w:lang w:val="en-US" w:eastAsia="zh-CN"/>
              </w:rPr>
              <w:t>满1</w:t>
            </w:r>
            <w:r>
              <w:rPr>
                <w:rFonts w:hint="default" w:ascii="微软雅黑" w:hAnsi="微软雅黑" w:eastAsia="微软雅黑" w:cs="微软雅黑"/>
                <w:color w:val="auto"/>
                <w:sz w:val="24"/>
                <w:szCs w:val="24"/>
                <w:highlight w:val="none"/>
                <w:lang w:val="en-US" w:eastAsia="zh-CN"/>
              </w:rPr>
              <w:t>年以上的（含</w:t>
            </w:r>
            <w:r>
              <w:rPr>
                <w:rFonts w:hint="eastAsia" w:ascii="微软雅黑" w:hAnsi="微软雅黑" w:eastAsia="微软雅黑" w:cs="微软雅黑"/>
                <w:color w:val="auto"/>
                <w:sz w:val="24"/>
                <w:szCs w:val="24"/>
                <w:highlight w:val="none"/>
                <w:lang w:val="en-US" w:eastAsia="zh-CN"/>
              </w:rPr>
              <w:t>1</w:t>
            </w:r>
            <w:r>
              <w:rPr>
                <w:rFonts w:hint="default" w:ascii="微软雅黑" w:hAnsi="微软雅黑" w:eastAsia="微软雅黑" w:cs="微软雅黑"/>
                <w:color w:val="auto"/>
                <w:sz w:val="24"/>
                <w:szCs w:val="24"/>
                <w:highlight w:val="none"/>
                <w:lang w:val="en-US" w:eastAsia="zh-CN"/>
              </w:rPr>
              <w:t>年）得</w:t>
            </w:r>
            <w:r>
              <w:rPr>
                <w:rFonts w:hint="eastAsia" w:ascii="微软雅黑" w:hAnsi="微软雅黑" w:eastAsia="微软雅黑" w:cs="微软雅黑"/>
                <w:color w:val="auto"/>
                <w:sz w:val="24"/>
                <w:szCs w:val="24"/>
                <w:highlight w:val="none"/>
                <w:lang w:val="en-US" w:eastAsia="zh-CN"/>
              </w:rPr>
              <w:t>2</w:t>
            </w:r>
            <w:r>
              <w:rPr>
                <w:rFonts w:hint="default" w:ascii="微软雅黑" w:hAnsi="微软雅黑" w:eastAsia="微软雅黑" w:cs="微软雅黑"/>
                <w:color w:val="auto"/>
                <w:sz w:val="24"/>
                <w:szCs w:val="24"/>
                <w:highlight w:val="none"/>
                <w:lang w:val="en-US" w:eastAsia="zh-CN"/>
              </w:rPr>
              <w:t>分</w:t>
            </w:r>
            <w:r>
              <w:rPr>
                <w:rFonts w:hint="eastAsia" w:ascii="微软雅黑" w:hAnsi="微软雅黑" w:eastAsia="微软雅黑" w:cs="微软雅黑"/>
                <w:color w:val="auto"/>
                <w:sz w:val="24"/>
                <w:szCs w:val="24"/>
                <w:highlight w:val="none"/>
                <w:lang w:val="en-US" w:eastAsia="zh-CN"/>
              </w:rPr>
              <w:t>。</w:t>
            </w:r>
          </w:p>
          <w:p w14:paraId="18F2FE9B">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注：提供相关证明材料，项目负责人需提供</w:t>
            </w:r>
            <w:r>
              <w:rPr>
                <w:rFonts w:hint="eastAsia" w:ascii="微软雅黑" w:hAnsi="微软雅黑" w:eastAsia="微软雅黑" w:cs="微软雅黑"/>
                <w:color w:val="auto"/>
                <w:sz w:val="24"/>
                <w:szCs w:val="24"/>
                <w:highlight w:val="none"/>
                <w:lang w:val="en-US" w:eastAsia="zh-CN"/>
              </w:rPr>
              <w:t>社工证书，劳动合同，</w:t>
            </w:r>
            <w:r>
              <w:rPr>
                <w:rFonts w:hint="default" w:ascii="微软雅黑" w:hAnsi="微软雅黑" w:eastAsia="微软雅黑" w:cs="微软雅黑"/>
                <w:color w:val="auto"/>
                <w:sz w:val="24"/>
                <w:szCs w:val="24"/>
                <w:highlight w:val="none"/>
                <w:lang w:val="en-US" w:eastAsia="zh-CN"/>
              </w:rPr>
              <w:t>退休人员需提供退休证明及返聘合同，未提供不得分。</w:t>
            </w:r>
          </w:p>
        </w:tc>
        <w:tc>
          <w:tcPr>
            <w:tcW w:w="611" w:type="dxa"/>
            <w:tcBorders>
              <w:right w:val="single" w:color="auto" w:sz="4" w:space="0"/>
            </w:tcBorders>
            <w:noWrap w:val="0"/>
            <w:vAlign w:val="center"/>
          </w:tcPr>
          <w:p w14:paraId="39A0F0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w:t>
            </w:r>
          </w:p>
        </w:tc>
      </w:tr>
      <w:tr w14:paraId="062B9D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6" w:hRule="atLeast"/>
        </w:trPr>
        <w:tc>
          <w:tcPr>
            <w:tcW w:w="592" w:type="dxa"/>
            <w:tcBorders>
              <w:top w:val="single" w:color="auto" w:sz="4" w:space="0"/>
            </w:tcBorders>
            <w:noWrap w:val="0"/>
            <w:vAlign w:val="center"/>
          </w:tcPr>
          <w:p w14:paraId="7BE95E54">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p>
        </w:tc>
        <w:tc>
          <w:tcPr>
            <w:tcW w:w="1238" w:type="dxa"/>
            <w:noWrap w:val="0"/>
            <w:vAlign w:val="center"/>
          </w:tcPr>
          <w:p w14:paraId="4A7C19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对项目的重难点分析</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20分</w:t>
            </w:r>
            <w:r>
              <w:rPr>
                <w:rFonts w:hint="eastAsia" w:ascii="微软雅黑" w:hAnsi="微软雅黑" w:eastAsia="微软雅黑" w:cs="微软雅黑"/>
                <w:color w:val="auto"/>
                <w:sz w:val="24"/>
                <w:szCs w:val="24"/>
                <w:highlight w:val="none"/>
                <w:lang w:eastAsia="zh-CN"/>
              </w:rPr>
              <w:t>）</w:t>
            </w:r>
          </w:p>
        </w:tc>
        <w:tc>
          <w:tcPr>
            <w:tcW w:w="7391" w:type="dxa"/>
            <w:noWrap w:val="0"/>
            <w:vAlign w:val="center"/>
          </w:tcPr>
          <w:p w14:paraId="6CA5D2FF">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w:t>
            </w:r>
            <w:r>
              <w:rPr>
                <w:rFonts w:hint="eastAsia" w:ascii="微软雅黑" w:hAnsi="微软雅黑" w:eastAsia="微软雅黑" w:cs="微软雅黑"/>
                <w:color w:val="auto"/>
                <w:sz w:val="24"/>
                <w:szCs w:val="24"/>
                <w:highlight w:val="none"/>
                <w:lang w:val="en-US"/>
              </w:rPr>
              <w:t>供应商</w:t>
            </w:r>
            <w:r>
              <w:rPr>
                <w:rFonts w:hint="eastAsia" w:ascii="微软雅黑" w:hAnsi="微软雅黑" w:eastAsia="微软雅黑" w:cs="微软雅黑"/>
                <w:color w:val="auto"/>
                <w:sz w:val="24"/>
                <w:szCs w:val="24"/>
                <w:highlight w:val="none"/>
              </w:rPr>
              <w:t>提供的对项目背景的调查分析进行综合评定，内容包括但不限于①</w:t>
            </w:r>
            <w:r>
              <w:rPr>
                <w:rFonts w:hint="eastAsia" w:ascii="微软雅黑" w:hAnsi="微软雅黑" w:eastAsia="微软雅黑" w:cs="微软雅黑"/>
                <w:color w:val="auto"/>
                <w:sz w:val="24"/>
                <w:szCs w:val="24"/>
                <w:highlight w:val="none"/>
                <w:lang w:val="en-US" w:eastAsia="zh-CN"/>
              </w:rPr>
              <w:t>调查研究服务对象</w:t>
            </w:r>
            <w:r>
              <w:rPr>
                <w:rFonts w:hint="eastAsia" w:ascii="微软雅黑" w:hAnsi="微软雅黑" w:eastAsia="微软雅黑" w:cs="微软雅黑"/>
                <w:color w:val="auto"/>
                <w:sz w:val="24"/>
                <w:szCs w:val="24"/>
                <w:highlight w:val="none"/>
              </w:rPr>
              <w:t>②项目重难点分析③</w:t>
            </w:r>
            <w:r>
              <w:rPr>
                <w:rFonts w:hint="eastAsia" w:ascii="微软雅黑" w:hAnsi="微软雅黑" w:eastAsia="微软雅黑" w:cs="微软雅黑"/>
                <w:color w:val="auto"/>
                <w:sz w:val="24"/>
                <w:szCs w:val="24"/>
                <w:highlight w:val="none"/>
                <w:lang w:val="en-US"/>
              </w:rPr>
              <w:t>安全保障</w:t>
            </w:r>
            <w:r>
              <w:rPr>
                <w:rFonts w:hint="eastAsia" w:ascii="微软雅黑" w:hAnsi="微软雅黑" w:eastAsia="微软雅黑" w:cs="微软雅黑"/>
                <w:color w:val="auto"/>
                <w:sz w:val="24"/>
                <w:szCs w:val="24"/>
                <w:highlight w:val="none"/>
              </w:rPr>
              <w:t>④调查研究基础⑤对调查目标的理解和关键调查内容的研判等，以上方案内容完整且符合项目实际需求得</w:t>
            </w:r>
            <w:r>
              <w:rPr>
                <w:rFonts w:hint="eastAsia" w:ascii="微软雅黑" w:hAnsi="微软雅黑" w:eastAsia="微软雅黑" w:cs="微软雅黑"/>
                <w:color w:val="auto"/>
                <w:sz w:val="24"/>
                <w:szCs w:val="24"/>
                <w:highlight w:val="none"/>
                <w:lang w:val="en-US"/>
              </w:rPr>
              <w:t>20</w:t>
            </w:r>
            <w:r>
              <w:rPr>
                <w:rFonts w:hint="eastAsia" w:ascii="微软雅黑" w:hAnsi="微软雅黑" w:eastAsia="微软雅黑" w:cs="微软雅黑"/>
                <w:color w:val="auto"/>
                <w:sz w:val="24"/>
                <w:szCs w:val="24"/>
                <w:highlight w:val="none"/>
              </w:rPr>
              <w:t>分，每有一项内容缺失扣</w:t>
            </w:r>
            <w:r>
              <w:rPr>
                <w:rFonts w:hint="eastAsia" w:ascii="微软雅黑" w:hAnsi="微软雅黑" w:eastAsia="微软雅黑" w:cs="微软雅黑"/>
                <w:color w:val="auto"/>
                <w:sz w:val="24"/>
                <w:szCs w:val="24"/>
                <w:highlight w:val="none"/>
                <w:lang w:val="en-US"/>
              </w:rPr>
              <w:t>4</w:t>
            </w:r>
            <w:r>
              <w:rPr>
                <w:rFonts w:hint="eastAsia" w:ascii="微软雅黑" w:hAnsi="微软雅黑" w:eastAsia="微软雅黑" w:cs="微软雅黑"/>
                <w:color w:val="auto"/>
                <w:sz w:val="24"/>
                <w:szCs w:val="24"/>
                <w:highlight w:val="none"/>
              </w:rPr>
              <w:t>分，有一项内容不符合项目实际需求的扣</w:t>
            </w:r>
            <w:r>
              <w:rPr>
                <w:rFonts w:hint="eastAsia" w:ascii="微软雅黑" w:hAnsi="微软雅黑" w:eastAsia="微软雅黑" w:cs="微软雅黑"/>
                <w:color w:val="auto"/>
                <w:sz w:val="24"/>
                <w:szCs w:val="24"/>
                <w:highlight w:val="none"/>
                <w:lang w:val="en-US"/>
              </w:rPr>
              <w:t>2</w:t>
            </w:r>
            <w:r>
              <w:rPr>
                <w:rFonts w:hint="eastAsia" w:ascii="微软雅黑" w:hAnsi="微软雅黑" w:eastAsia="微软雅黑" w:cs="微软雅黑"/>
                <w:color w:val="auto"/>
                <w:sz w:val="24"/>
                <w:szCs w:val="24"/>
                <w:highlight w:val="none"/>
              </w:rPr>
              <w:t>分，直至本项分值扣完为止。</w:t>
            </w:r>
          </w:p>
          <w:p w14:paraId="45CAE5A6">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注：</w:t>
            </w:r>
            <w:r>
              <w:rPr>
                <w:rFonts w:hint="eastAsia" w:ascii="微软雅黑" w:hAnsi="微软雅黑" w:eastAsia="微软雅黑" w:cs="微软雅黑"/>
                <w:color w:val="auto"/>
                <w:sz w:val="24"/>
                <w:szCs w:val="24"/>
                <w:highlight w:val="none"/>
                <w:lang w:val="en-US" w:eastAsia="zh-CN"/>
              </w:rPr>
              <w:t>内容存在</w:t>
            </w:r>
            <w:r>
              <w:rPr>
                <w:rFonts w:hint="eastAsia" w:ascii="微软雅黑" w:hAnsi="微软雅黑" w:eastAsia="微软雅黑" w:cs="微软雅黑"/>
                <w:color w:val="auto"/>
                <w:sz w:val="24"/>
                <w:szCs w:val="24"/>
                <w:highlight w:val="none"/>
              </w:rPr>
              <w:t>不符合项目实际需求</w:t>
            </w:r>
            <w:r>
              <w:rPr>
                <w:rFonts w:hint="eastAsia" w:ascii="微软雅黑" w:hAnsi="微软雅黑" w:eastAsia="微软雅黑" w:cs="微软雅黑"/>
                <w:color w:val="auto"/>
                <w:sz w:val="24"/>
                <w:szCs w:val="24"/>
                <w:highlight w:val="none"/>
                <w:lang w:val="en-US" w:eastAsia="zh-CN"/>
              </w:rPr>
              <w:t>是指非专门针对本项目或不适用项目特性的情形、内容不完整或缺少关键节点、套用其他项目方案、内容前后矛盾或与采购需求内容无关、只是简单的复制需求没有进一步的阐述项目实际具体涉及的更多服务措施、虽有内容但描述存在偏离、内容脱离项目实际情况或与项目无关或与项目不匹配、项目名称、实施地点与本项目不一致等任意一种情形。</w:t>
            </w:r>
          </w:p>
        </w:tc>
        <w:tc>
          <w:tcPr>
            <w:tcW w:w="611" w:type="dxa"/>
            <w:tcBorders>
              <w:right w:val="single" w:color="auto" w:sz="4" w:space="0"/>
            </w:tcBorders>
            <w:noWrap w:val="0"/>
            <w:vAlign w:val="center"/>
          </w:tcPr>
          <w:p w14:paraId="18E0B5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20</w:t>
            </w:r>
          </w:p>
        </w:tc>
      </w:tr>
      <w:tr w14:paraId="6FC9C7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14:paraId="32A63517">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w:t>
            </w:r>
          </w:p>
        </w:tc>
        <w:tc>
          <w:tcPr>
            <w:tcW w:w="1238" w:type="dxa"/>
            <w:noWrap w:val="0"/>
            <w:vAlign w:val="center"/>
          </w:tcPr>
          <w:p w14:paraId="7291C5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调查与评估技术方案（20分）</w:t>
            </w:r>
          </w:p>
        </w:tc>
        <w:tc>
          <w:tcPr>
            <w:tcW w:w="7391" w:type="dxa"/>
            <w:noWrap w:val="0"/>
            <w:vAlign w:val="center"/>
          </w:tcPr>
          <w:p w14:paraId="02A879F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w:t>
            </w:r>
            <w:r>
              <w:rPr>
                <w:rFonts w:hint="eastAsia" w:ascii="微软雅黑" w:hAnsi="微软雅黑" w:eastAsia="微软雅黑" w:cs="微软雅黑"/>
                <w:color w:val="auto"/>
                <w:sz w:val="24"/>
                <w:szCs w:val="24"/>
                <w:highlight w:val="none"/>
                <w:lang w:val="en-US"/>
              </w:rPr>
              <w:t>供应商</w:t>
            </w:r>
            <w:r>
              <w:rPr>
                <w:rFonts w:hint="eastAsia" w:ascii="微软雅黑" w:hAnsi="微软雅黑" w:eastAsia="微软雅黑" w:cs="微软雅黑"/>
                <w:color w:val="auto"/>
                <w:sz w:val="24"/>
                <w:szCs w:val="24"/>
                <w:highlight w:val="none"/>
              </w:rPr>
              <w:t>针对本项目制定的</w:t>
            </w:r>
            <w:r>
              <w:rPr>
                <w:rFonts w:hint="eastAsia" w:ascii="微软雅黑" w:hAnsi="微软雅黑" w:eastAsia="微软雅黑" w:cs="微软雅黑"/>
                <w:color w:val="auto"/>
                <w:sz w:val="24"/>
                <w:szCs w:val="24"/>
                <w:highlight w:val="none"/>
                <w:lang w:val="en-US"/>
              </w:rPr>
              <w:t>服务内容</w:t>
            </w:r>
            <w:r>
              <w:rPr>
                <w:rFonts w:hint="eastAsia" w:ascii="微软雅黑" w:hAnsi="微软雅黑" w:eastAsia="微软雅黑" w:cs="微软雅黑"/>
                <w:color w:val="auto"/>
                <w:sz w:val="24"/>
                <w:szCs w:val="24"/>
                <w:highlight w:val="none"/>
              </w:rPr>
              <w:t>进行技术方案综合评定，内容包括但不限于①</w:t>
            </w:r>
            <w:r>
              <w:rPr>
                <w:rFonts w:hint="eastAsia" w:ascii="微软雅黑" w:hAnsi="微软雅黑" w:eastAsia="微软雅黑" w:cs="微软雅黑"/>
                <w:color w:val="auto"/>
                <w:sz w:val="24"/>
                <w:szCs w:val="24"/>
                <w:highlight w:val="none"/>
                <w:lang w:val="en-US" w:eastAsia="zh-CN"/>
              </w:rPr>
              <w:t>对象排查</w:t>
            </w:r>
            <w:r>
              <w:rPr>
                <w:rFonts w:hint="eastAsia" w:ascii="微软雅黑" w:hAnsi="微软雅黑" w:eastAsia="微软雅黑" w:cs="微软雅黑"/>
                <w:color w:val="auto"/>
                <w:sz w:val="24"/>
                <w:szCs w:val="24"/>
                <w:highlight w:val="none"/>
              </w:rPr>
              <w:t>②</w:t>
            </w:r>
            <w:r>
              <w:rPr>
                <w:rFonts w:hint="eastAsia" w:ascii="微软雅黑" w:hAnsi="微软雅黑" w:eastAsia="微软雅黑" w:cs="微软雅黑"/>
                <w:color w:val="auto"/>
                <w:sz w:val="24"/>
                <w:szCs w:val="24"/>
                <w:highlight w:val="none"/>
                <w:lang w:val="en-US" w:eastAsia="zh-CN"/>
              </w:rPr>
              <w:t>家计调查</w:t>
            </w:r>
            <w:r>
              <w:rPr>
                <w:rFonts w:hint="eastAsia" w:ascii="微软雅黑" w:hAnsi="微软雅黑" w:eastAsia="微软雅黑" w:cs="微软雅黑"/>
                <w:color w:val="auto"/>
                <w:sz w:val="24"/>
                <w:szCs w:val="24"/>
                <w:highlight w:val="none"/>
              </w:rPr>
              <w:t>③</w:t>
            </w:r>
            <w:r>
              <w:rPr>
                <w:rFonts w:hint="eastAsia" w:ascii="微软雅黑" w:hAnsi="微软雅黑" w:eastAsia="微软雅黑" w:cs="微软雅黑"/>
                <w:color w:val="auto"/>
                <w:sz w:val="24"/>
                <w:szCs w:val="24"/>
                <w:highlight w:val="none"/>
                <w:lang w:val="en-US" w:eastAsia="zh-CN"/>
              </w:rPr>
              <w:t>业务培训</w:t>
            </w:r>
            <w:r>
              <w:rPr>
                <w:rFonts w:hint="eastAsia" w:ascii="微软雅黑" w:hAnsi="微软雅黑" w:eastAsia="微软雅黑" w:cs="微软雅黑"/>
                <w:color w:val="auto"/>
                <w:sz w:val="24"/>
                <w:szCs w:val="24"/>
                <w:highlight w:val="none"/>
              </w:rPr>
              <w:t>④</w:t>
            </w:r>
            <w:r>
              <w:rPr>
                <w:rFonts w:hint="eastAsia" w:ascii="微软雅黑" w:hAnsi="微软雅黑" w:eastAsia="微软雅黑" w:cs="微软雅黑"/>
                <w:color w:val="auto"/>
                <w:sz w:val="24"/>
                <w:szCs w:val="24"/>
                <w:highlight w:val="none"/>
                <w:lang w:val="en-US" w:eastAsia="zh-CN"/>
              </w:rPr>
              <w:t>政策宣传</w:t>
            </w:r>
            <w:r>
              <w:rPr>
                <w:rFonts w:hint="eastAsia" w:ascii="微软雅黑" w:hAnsi="微软雅黑" w:eastAsia="微软雅黑" w:cs="微软雅黑"/>
                <w:color w:val="auto"/>
                <w:sz w:val="24"/>
                <w:szCs w:val="24"/>
                <w:highlight w:val="none"/>
              </w:rPr>
              <w:t>⑤</w:t>
            </w:r>
            <w:r>
              <w:rPr>
                <w:rFonts w:hint="eastAsia" w:ascii="微软雅黑" w:hAnsi="微软雅黑" w:eastAsia="微软雅黑" w:cs="微软雅黑"/>
                <w:color w:val="auto"/>
                <w:sz w:val="24"/>
                <w:szCs w:val="24"/>
                <w:highlight w:val="none"/>
                <w:lang w:val="en-US" w:eastAsia="zh-CN"/>
              </w:rPr>
              <w:t>绩效评估等</w:t>
            </w:r>
            <w:r>
              <w:rPr>
                <w:rFonts w:hint="eastAsia" w:ascii="微软雅黑" w:hAnsi="微软雅黑" w:eastAsia="微软雅黑" w:cs="微软雅黑"/>
                <w:color w:val="auto"/>
                <w:sz w:val="24"/>
                <w:szCs w:val="24"/>
                <w:highlight w:val="none"/>
              </w:rPr>
              <w:t>。以上方案内容完整且符合项目实际需求得</w:t>
            </w:r>
            <w:r>
              <w:rPr>
                <w:rFonts w:hint="eastAsia" w:ascii="微软雅黑" w:hAnsi="微软雅黑" w:eastAsia="微软雅黑" w:cs="微软雅黑"/>
                <w:color w:val="auto"/>
                <w:sz w:val="24"/>
                <w:szCs w:val="24"/>
                <w:highlight w:val="none"/>
                <w:lang w:val="en-US"/>
              </w:rPr>
              <w:t>20</w:t>
            </w:r>
            <w:r>
              <w:rPr>
                <w:rFonts w:hint="eastAsia" w:ascii="微软雅黑" w:hAnsi="微软雅黑" w:eastAsia="微软雅黑" w:cs="微软雅黑"/>
                <w:color w:val="auto"/>
                <w:sz w:val="24"/>
                <w:szCs w:val="24"/>
                <w:highlight w:val="none"/>
              </w:rPr>
              <w:t>分，每有一项内容缺失扣</w:t>
            </w:r>
            <w:r>
              <w:rPr>
                <w:rFonts w:hint="eastAsia" w:ascii="微软雅黑" w:hAnsi="微软雅黑" w:eastAsia="微软雅黑" w:cs="微软雅黑"/>
                <w:color w:val="auto"/>
                <w:sz w:val="24"/>
                <w:szCs w:val="24"/>
                <w:highlight w:val="none"/>
                <w:lang w:val="en-US"/>
              </w:rPr>
              <w:t>4</w:t>
            </w:r>
            <w:r>
              <w:rPr>
                <w:rFonts w:hint="eastAsia" w:ascii="微软雅黑" w:hAnsi="微软雅黑" w:eastAsia="微软雅黑" w:cs="微软雅黑"/>
                <w:color w:val="auto"/>
                <w:sz w:val="24"/>
                <w:szCs w:val="24"/>
                <w:highlight w:val="none"/>
              </w:rPr>
              <w:t>分，有一项内容不符合项目实际需求的扣</w:t>
            </w:r>
            <w:r>
              <w:rPr>
                <w:rFonts w:hint="eastAsia" w:ascii="微软雅黑" w:hAnsi="微软雅黑" w:eastAsia="微软雅黑" w:cs="微软雅黑"/>
                <w:color w:val="auto"/>
                <w:sz w:val="24"/>
                <w:szCs w:val="24"/>
                <w:highlight w:val="none"/>
                <w:lang w:val="en-US"/>
              </w:rPr>
              <w:t>2</w:t>
            </w:r>
            <w:r>
              <w:rPr>
                <w:rFonts w:hint="eastAsia" w:ascii="微软雅黑" w:hAnsi="微软雅黑" w:eastAsia="微软雅黑" w:cs="微软雅黑"/>
                <w:color w:val="auto"/>
                <w:sz w:val="24"/>
                <w:szCs w:val="24"/>
                <w:highlight w:val="none"/>
              </w:rPr>
              <w:t>分，直至本项分值扣完为止。</w:t>
            </w:r>
          </w:p>
          <w:p w14:paraId="13EF36C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注：</w:t>
            </w:r>
            <w:r>
              <w:rPr>
                <w:rFonts w:hint="eastAsia" w:ascii="微软雅黑" w:hAnsi="微软雅黑" w:eastAsia="微软雅黑" w:cs="微软雅黑"/>
                <w:color w:val="auto"/>
                <w:sz w:val="24"/>
                <w:szCs w:val="24"/>
                <w:highlight w:val="none"/>
                <w:lang w:val="en-US" w:eastAsia="zh-CN"/>
              </w:rPr>
              <w:t>内容存在</w:t>
            </w:r>
            <w:r>
              <w:rPr>
                <w:rFonts w:hint="eastAsia" w:ascii="微软雅黑" w:hAnsi="微软雅黑" w:eastAsia="微软雅黑" w:cs="微软雅黑"/>
                <w:color w:val="auto"/>
                <w:sz w:val="24"/>
                <w:szCs w:val="24"/>
                <w:highlight w:val="none"/>
              </w:rPr>
              <w:t>不符合项目实际需求</w:t>
            </w:r>
            <w:r>
              <w:rPr>
                <w:rFonts w:hint="eastAsia" w:ascii="微软雅黑" w:hAnsi="微软雅黑" w:eastAsia="微软雅黑" w:cs="微软雅黑"/>
                <w:color w:val="auto"/>
                <w:sz w:val="24"/>
                <w:szCs w:val="24"/>
                <w:highlight w:val="none"/>
                <w:lang w:val="en-US" w:eastAsia="zh-CN"/>
              </w:rPr>
              <w:t>是指非专门针对本项目或不适用项目特性的情形、内容不完整或缺少关键节点、套用其他项目方案、内容前后矛盾或与采购需求内容无关、只是简单的复制需求没有进一步的阐述项目实际具体涉及的更多服务措施、虽有内容但描述存在偏离、内容脱离项目实际情况或与项目无关或与项目不匹配、项目名称、实施地点与本项目不一致等任意一种情形。</w:t>
            </w:r>
          </w:p>
        </w:tc>
        <w:tc>
          <w:tcPr>
            <w:tcW w:w="611" w:type="dxa"/>
            <w:tcBorders>
              <w:right w:val="single" w:color="auto" w:sz="4" w:space="0"/>
            </w:tcBorders>
            <w:noWrap w:val="0"/>
            <w:vAlign w:val="center"/>
          </w:tcPr>
          <w:p w14:paraId="2ECF7F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20</w:t>
            </w:r>
          </w:p>
        </w:tc>
      </w:tr>
      <w:tr w14:paraId="0C728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14:paraId="7F3D763D">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1238" w:type="dxa"/>
            <w:noWrap w:val="0"/>
            <w:vAlign w:val="center"/>
          </w:tcPr>
          <w:p w14:paraId="0A7521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合理化建议、保密及数据采集录入更新（</w:t>
            </w:r>
            <w:r>
              <w:rPr>
                <w:rFonts w:hint="eastAsia" w:ascii="微软雅黑" w:hAnsi="微软雅黑" w:eastAsia="微软雅黑" w:cs="微软雅黑"/>
                <w:color w:val="auto"/>
                <w:sz w:val="24"/>
                <w:szCs w:val="24"/>
                <w:highlight w:val="none"/>
                <w:lang w:val="en-US" w:eastAsia="zh-CN"/>
              </w:rPr>
              <w:t>15分</w:t>
            </w:r>
            <w:r>
              <w:rPr>
                <w:rFonts w:hint="eastAsia" w:ascii="微软雅黑" w:hAnsi="微软雅黑" w:eastAsia="微软雅黑" w:cs="微软雅黑"/>
                <w:color w:val="auto"/>
                <w:sz w:val="24"/>
                <w:szCs w:val="24"/>
                <w:highlight w:val="none"/>
                <w:lang w:val="zh-CN"/>
              </w:rPr>
              <w:t>）</w:t>
            </w:r>
          </w:p>
        </w:tc>
        <w:tc>
          <w:tcPr>
            <w:tcW w:w="7391" w:type="dxa"/>
            <w:noWrap w:val="0"/>
            <w:vAlign w:val="center"/>
          </w:tcPr>
          <w:p w14:paraId="742EE7C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根据供应商针对本项目合理化建议、保密及数据采集录入更新内容进行综合评定，内容包括但不限于①合理化建议②数据保密方案③数据采集录入更新等，以上方案内容完整且符合项目实际需求得15分，每有一项内容缺失扣5分，有一项内容不符合项目实际需求的扣2.5分，直至本项分值扣完为止。</w:t>
            </w:r>
          </w:p>
          <w:p w14:paraId="099BEC0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内容存在不符合项目实际需求是指非专门针对本项目或不适用项目特性的情形、内容不完整或缺少关键节点、套用其他项目方案、内容前后矛盾或与采购需求内容无关、只是简单的复制需求没有进一步的阐述项目实际具体涉及的更多服务措施、虽有内容但描述存在偏离、内容脱离项目实际情况或与项目无关或与项目不匹配、项目名称、实施地点与本项目不一致等任意一种情形。</w:t>
            </w:r>
          </w:p>
        </w:tc>
        <w:tc>
          <w:tcPr>
            <w:tcW w:w="611" w:type="dxa"/>
            <w:tcBorders>
              <w:right w:val="single" w:color="auto" w:sz="4" w:space="0"/>
            </w:tcBorders>
            <w:noWrap w:val="0"/>
            <w:vAlign w:val="center"/>
          </w:tcPr>
          <w:p w14:paraId="24A60C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w:t>
            </w:r>
          </w:p>
        </w:tc>
      </w:tr>
      <w:tr w14:paraId="53E2A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14:paraId="46EBE300">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w:t>
            </w:r>
          </w:p>
        </w:tc>
        <w:tc>
          <w:tcPr>
            <w:tcW w:w="1238" w:type="dxa"/>
            <w:noWrap w:val="0"/>
            <w:vAlign w:val="center"/>
          </w:tcPr>
          <w:p w14:paraId="2C77D531">
            <w:pPr>
              <w:keepNext w:val="0"/>
              <w:keepLines w:val="0"/>
              <w:widowControl/>
              <w:suppressLineNumbers w:val="0"/>
              <w:jc w:val="center"/>
              <w:textAlignment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团队人员培训</w:t>
            </w:r>
          </w:p>
          <w:p w14:paraId="1A16814A">
            <w:pPr>
              <w:keepNext w:val="0"/>
              <w:keepLines w:val="0"/>
              <w:widowControl/>
              <w:suppressLineNumbers w:val="0"/>
              <w:jc w:val="center"/>
              <w:textAlignment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（10分）</w:t>
            </w:r>
          </w:p>
        </w:tc>
        <w:tc>
          <w:tcPr>
            <w:tcW w:w="7391" w:type="dxa"/>
            <w:noWrap w:val="0"/>
            <w:vAlign w:val="center"/>
          </w:tcPr>
          <w:p w14:paraId="09807490">
            <w:pPr>
              <w:keepNext w:val="0"/>
              <w:keepLines w:val="0"/>
              <w:widowControl/>
              <w:numPr>
                <w:ilvl w:val="0"/>
                <w:numId w:val="0"/>
              </w:numPr>
              <w:suppressLineNumbers w:val="0"/>
              <w:jc w:val="left"/>
              <w:textAlignment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sz w:val="24"/>
                <w:szCs w:val="24"/>
                <w:lang w:val="en-US" w:eastAsia="zh-CN"/>
              </w:rPr>
              <w:t>本项目团队人员综合培训方案涵盖提升专业素养、强化应急能力、促进职业发展、政策与法律应用。</w:t>
            </w:r>
            <w:r>
              <w:rPr>
                <w:rFonts w:hint="eastAsia" w:ascii="微软雅黑" w:hAnsi="微软雅黑" w:eastAsia="微软雅黑" w:cs="微软雅黑"/>
                <w:color w:val="auto"/>
                <w:sz w:val="24"/>
                <w:szCs w:val="24"/>
                <w:highlight w:val="none"/>
                <w:lang w:val="en-US" w:eastAsia="zh-CN"/>
              </w:rPr>
              <w:t>以上方案内容完整且符合项目实际需求得10分，每有一项内容缺失扣2.5分，有一项内容不符合项目实际需求的扣1.5分，直至本项分值扣完为止。</w:t>
            </w:r>
          </w:p>
          <w:p w14:paraId="6EFBECF5">
            <w:pPr>
              <w:pStyle w:val="2"/>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内容存在不符合项目实际需求是指非专门针对本项目或不适用项目特性的情形、内容不完整或缺少关键节点、套用其他项目方案、内容前后矛盾或与采购需求内容无关、只是简单的复制需求没有进一步的阐述项目实际具体涉及的更多服务措施、虽有内容但描述存在偏离、内容脱离项目实际情况或与项目无关或与项目不匹配、项目名称、实施地点与本项目不一致等任意一种情形。</w:t>
            </w:r>
          </w:p>
        </w:tc>
        <w:tc>
          <w:tcPr>
            <w:tcW w:w="611" w:type="dxa"/>
            <w:tcBorders>
              <w:right w:val="single" w:color="auto" w:sz="4" w:space="0"/>
            </w:tcBorders>
            <w:noWrap w:val="0"/>
            <w:vAlign w:val="center"/>
          </w:tcPr>
          <w:p w14:paraId="4D2FA9CF">
            <w:pPr>
              <w:keepNext w:val="0"/>
              <w:keepLines w:val="0"/>
              <w:widowControl/>
              <w:suppressLineNumbers w:val="0"/>
              <w:jc w:val="center"/>
              <w:textAlignment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snapToGrid w:val="0"/>
                <w:color w:val="000000"/>
                <w:kern w:val="0"/>
                <w:sz w:val="24"/>
                <w:szCs w:val="24"/>
                <w:u w:val="none"/>
                <w:lang w:val="en-US" w:eastAsia="zh-CN" w:bidi="ar"/>
              </w:rPr>
              <w:t>10</w:t>
            </w:r>
          </w:p>
        </w:tc>
      </w:tr>
      <w:tr w14:paraId="07707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14:paraId="31EE5A17">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w:t>
            </w:r>
          </w:p>
        </w:tc>
        <w:tc>
          <w:tcPr>
            <w:tcW w:w="1238" w:type="dxa"/>
            <w:noWrap w:val="0"/>
            <w:vAlign w:val="center"/>
          </w:tcPr>
          <w:p w14:paraId="167B1E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sz w:val="24"/>
                <w:szCs w:val="24"/>
                <w:lang w:val="en-US" w:eastAsia="zh-CN"/>
              </w:rPr>
            </w:pPr>
            <w:r>
              <w:rPr>
                <w:rFonts w:hint="default" w:ascii="微软雅黑" w:hAnsi="微软雅黑" w:eastAsia="微软雅黑" w:cs="微软雅黑"/>
                <w:sz w:val="24"/>
                <w:szCs w:val="24"/>
                <w:lang w:val="en-US" w:eastAsia="zh-CN"/>
              </w:rPr>
              <w:t>财务管理</w:t>
            </w:r>
            <w:r>
              <w:rPr>
                <w:rFonts w:hint="eastAsia" w:ascii="微软雅黑" w:hAnsi="微软雅黑" w:eastAsia="微软雅黑" w:cs="微软雅黑"/>
                <w:sz w:val="24"/>
                <w:szCs w:val="24"/>
                <w:lang w:val="en-US" w:eastAsia="zh-CN"/>
              </w:rPr>
              <w:t>（7分）</w:t>
            </w:r>
          </w:p>
        </w:tc>
        <w:tc>
          <w:tcPr>
            <w:tcW w:w="7391" w:type="dxa"/>
            <w:noWrap w:val="0"/>
            <w:vAlign w:val="center"/>
          </w:tcPr>
          <w:p w14:paraId="58D8E40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在需求调研基础上，经费预算和使用计划安排合理、详细，对各项可能的支出考虑全面细致，得7分；</w:t>
            </w:r>
          </w:p>
          <w:p w14:paraId="6C04747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经费预算和使用计划安排合理、但对各项可能的支出考虑不全面，得3分。</w:t>
            </w:r>
          </w:p>
          <w:p w14:paraId="52D49ECF">
            <w:pPr>
              <w:keepNext w:val="0"/>
              <w:keepLines w:val="0"/>
              <w:pageBreakBefore w:val="0"/>
              <w:kinsoku/>
              <w:wordWrap/>
              <w:overflowPunct/>
              <w:topLinePunct w:val="0"/>
              <w:autoSpaceDE/>
              <w:autoSpaceDN/>
              <w:bidi w:val="0"/>
              <w:adjustRightInd w:val="0"/>
              <w:snapToGrid w:val="0"/>
              <w:spacing w:line="240" w:lineRule="auto"/>
              <w:textAlignment w:val="auto"/>
              <w:rPr>
                <w:rFonts w:hint="eastAsia"/>
              </w:rPr>
            </w:pPr>
            <w:r>
              <w:rPr>
                <w:rFonts w:hint="eastAsia" w:ascii="微软雅黑" w:hAnsi="微软雅黑" w:eastAsia="微软雅黑" w:cs="微软雅黑"/>
                <w:color w:val="auto"/>
                <w:sz w:val="24"/>
                <w:szCs w:val="24"/>
                <w:highlight w:val="none"/>
                <w:lang w:val="en-US" w:eastAsia="zh-CN"/>
              </w:rPr>
              <w:t>否则不得分。</w:t>
            </w:r>
          </w:p>
        </w:tc>
        <w:tc>
          <w:tcPr>
            <w:tcW w:w="611" w:type="dxa"/>
            <w:tcBorders>
              <w:right w:val="single" w:color="auto" w:sz="4" w:space="0"/>
            </w:tcBorders>
            <w:noWrap w:val="0"/>
            <w:vAlign w:val="center"/>
          </w:tcPr>
          <w:p w14:paraId="0CC1DD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w:t>
            </w:r>
          </w:p>
        </w:tc>
      </w:tr>
    </w:tbl>
    <w:p w14:paraId="68D3C91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注：（1）评分如出现小数点，则保留小数点后两位。</w:t>
      </w:r>
    </w:p>
    <w:p w14:paraId="482646C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（2）供应商应提交与评价指标体系相关的各类有效资料。</w:t>
      </w:r>
    </w:p>
    <w:p w14:paraId="1CE3AB5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为防止恶意低价竞标，如供应商投标报价大幅度低于采购预算价的，磋商小组有权要求供应商现场在合理的时间内对其报价进行说明澄清并提供相关证明材料，如供应商不能对其报价的合理性进行说明，作否决投标处理。</w:t>
      </w:r>
    </w:p>
    <w:p w14:paraId="065A445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footerReference r:id="rId25" w:type="default"/>
          <w:pgSz w:w="11907" w:h="16840"/>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462" w:charSpace="0"/>
        </w:sectPr>
      </w:pPr>
      <w:bookmarkStart w:id="524" w:name="_Toc13670"/>
      <w:bookmarkStart w:id="525" w:name="_Toc25847"/>
      <w:bookmarkStart w:id="526" w:name="_Toc21917"/>
    </w:p>
    <w:p w14:paraId="2691F3A9">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二次报价一览表</w:t>
      </w:r>
    </w:p>
    <w:p w14:paraId="298EF4C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                         项目编号：                    报价单位：元</w:t>
      </w:r>
    </w:p>
    <w:tbl>
      <w:tblPr>
        <w:tblStyle w:val="116"/>
        <w:tblW w:w="9757"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65"/>
      </w:tblGrid>
      <w:tr w14:paraId="6DB78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2792" w:type="dxa"/>
            <w:tcBorders>
              <w:left w:val="single" w:color="000000" w:sz="2" w:space="0"/>
            </w:tcBorders>
            <w:vAlign w:val="center"/>
          </w:tcPr>
          <w:p w14:paraId="6F19318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w:t>
            </w:r>
          </w:p>
        </w:tc>
        <w:tc>
          <w:tcPr>
            <w:tcW w:w="6965" w:type="dxa"/>
            <w:tcBorders>
              <w:right w:val="single" w:color="000000" w:sz="2" w:space="0"/>
            </w:tcBorders>
            <w:vAlign w:val="top"/>
          </w:tcPr>
          <w:p w14:paraId="2458122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4CE5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2792" w:type="dxa"/>
            <w:tcBorders>
              <w:left w:val="single" w:color="000000" w:sz="2" w:space="0"/>
            </w:tcBorders>
            <w:vAlign w:val="center"/>
          </w:tcPr>
          <w:p w14:paraId="6E08BBF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项目编号</w:t>
            </w:r>
          </w:p>
        </w:tc>
        <w:tc>
          <w:tcPr>
            <w:tcW w:w="6965" w:type="dxa"/>
            <w:tcBorders>
              <w:right w:val="single" w:color="000000" w:sz="2" w:space="0"/>
            </w:tcBorders>
            <w:vAlign w:val="top"/>
          </w:tcPr>
          <w:p w14:paraId="71362AF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3EB70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2" w:hRule="atLeast"/>
        </w:trPr>
        <w:tc>
          <w:tcPr>
            <w:tcW w:w="2792" w:type="dxa"/>
            <w:tcBorders>
              <w:left w:val="single" w:color="000000" w:sz="2" w:space="0"/>
            </w:tcBorders>
            <w:vAlign w:val="center"/>
          </w:tcPr>
          <w:p w14:paraId="05BDA13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二次报价（元）</w:t>
            </w:r>
          </w:p>
        </w:tc>
        <w:tc>
          <w:tcPr>
            <w:tcW w:w="6965" w:type="dxa"/>
            <w:tcBorders>
              <w:right w:val="single" w:color="000000" w:sz="2" w:space="0"/>
            </w:tcBorders>
            <w:vAlign w:val="top"/>
          </w:tcPr>
          <w:p w14:paraId="11CE903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小写：</w:t>
            </w:r>
          </w:p>
          <w:p w14:paraId="3DCA501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大写：</w:t>
            </w:r>
          </w:p>
        </w:tc>
      </w:tr>
      <w:tr w14:paraId="3E1B0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8" w:hRule="atLeast"/>
        </w:trPr>
        <w:tc>
          <w:tcPr>
            <w:tcW w:w="2792" w:type="dxa"/>
            <w:tcBorders>
              <w:left w:val="single" w:color="000000" w:sz="2" w:space="0"/>
            </w:tcBorders>
            <w:vAlign w:val="center"/>
          </w:tcPr>
          <w:p w14:paraId="182DD3E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tc>
        <w:tc>
          <w:tcPr>
            <w:tcW w:w="6965" w:type="dxa"/>
            <w:tcBorders>
              <w:right w:val="single" w:color="000000" w:sz="2" w:space="0"/>
            </w:tcBorders>
            <w:vAlign w:val="top"/>
          </w:tcPr>
          <w:p w14:paraId="70FBCBD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bl>
    <w:p w14:paraId="07CC36A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供应商名称(单位盖章):                             </w:t>
      </w:r>
    </w:p>
    <w:p w14:paraId="0A9B223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法定代表人或委托代理(签字或盖章):                      </w:t>
      </w:r>
    </w:p>
    <w:p w14:paraId="594868B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日期：                  </w:t>
      </w:r>
    </w:p>
    <w:p w14:paraId="64B4527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5271B14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 1、由供应商依据磋商情况填写最终报价，此表为二次报价参考模板。</w:t>
      </w:r>
    </w:p>
    <w:p w14:paraId="1C4E826D">
      <w:pPr>
        <w:keepNext w:val="0"/>
        <w:keepLines w:val="0"/>
        <w:pageBreakBefore w:val="0"/>
        <w:widowControl w:val="0"/>
        <w:kinsoku/>
        <w:wordWrap/>
        <w:overflowPunct/>
        <w:topLinePunct w:val="0"/>
        <w:autoSpaceDE/>
        <w:autoSpaceDN/>
        <w:bidi w:val="0"/>
        <w:adjustRightInd/>
        <w:snapToGrid w:val="0"/>
        <w:spacing w:line="360" w:lineRule="auto"/>
        <w:ind w:right="0" w:rightChars="0" w:firstLine="720" w:firstLineChars="300"/>
        <w:jc w:val="both"/>
        <w:textAlignment w:val="auto"/>
        <w:rPr>
          <w:rFonts w:hint="eastAsia" w:ascii="微软雅黑" w:hAnsi="微软雅黑" w:eastAsia="微软雅黑" w:cs="微软雅黑"/>
          <w:color w:val="auto"/>
          <w:sz w:val="24"/>
          <w:szCs w:val="24"/>
          <w:highlight w:val="none"/>
          <w:lang w:val="en-US" w:eastAsia="zh-CN"/>
        </w:rPr>
        <w:sectPr>
          <w:footerReference r:id="rId2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微软雅黑" w:hAnsi="微软雅黑" w:eastAsia="微软雅黑" w:cs="微软雅黑"/>
          <w:color w:val="auto"/>
          <w:sz w:val="24"/>
          <w:szCs w:val="24"/>
          <w:highlight w:val="none"/>
          <w:lang w:val="en-US" w:eastAsia="zh-CN"/>
        </w:rPr>
        <w:t>2、此表无需装订在响应文件中。</w:t>
      </w:r>
    </w:p>
    <w:p w14:paraId="284C66C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5F4E4D0E">
      <w:pPr>
        <w:keepNext w:val="0"/>
        <w:keepLines w:val="0"/>
        <w:pageBreakBefore w:val="0"/>
        <w:widowControl w:val="0"/>
        <w:kinsoku/>
        <w:wordWrap/>
        <w:overflowPunct/>
        <w:topLinePunct w:val="0"/>
        <w:autoSpaceDE/>
        <w:autoSpaceDN/>
        <w:bidi w:val="0"/>
        <w:adjustRightInd/>
        <w:snapToGrid w:val="0"/>
        <w:spacing w:line="360" w:lineRule="auto"/>
        <w:ind w:right="0" w:rightChars="0" w:firstLine="880" w:firstLineChars="200"/>
        <w:jc w:val="center"/>
        <w:textAlignment w:val="auto"/>
        <w:rPr>
          <w:rFonts w:hint="eastAsia" w:ascii="微软雅黑" w:hAnsi="微软雅黑" w:eastAsia="微软雅黑" w:cs="微软雅黑"/>
          <w:b/>
          <w:bCs/>
          <w:color w:val="auto"/>
          <w:sz w:val="44"/>
          <w:szCs w:val="44"/>
          <w:highlight w:val="none"/>
          <w:lang w:val="en-US" w:eastAsia="zh-CN"/>
        </w:rPr>
      </w:pPr>
      <w:r>
        <w:rPr>
          <w:rFonts w:hint="eastAsia" w:ascii="微软雅黑" w:hAnsi="微软雅黑" w:eastAsia="微软雅黑" w:cs="微软雅黑"/>
          <w:b/>
          <w:bCs/>
          <w:color w:val="auto"/>
          <w:sz w:val="44"/>
          <w:szCs w:val="44"/>
          <w:highlight w:val="none"/>
          <w:lang w:val="en-US" w:eastAsia="zh-CN"/>
        </w:rPr>
        <w:t>伽师县民政局政府购买社会救助事务性服务示范项目</w:t>
      </w:r>
    </w:p>
    <w:p w14:paraId="449E520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4362A258">
      <w:pPr>
        <w:keepNext w:val="0"/>
        <w:keepLines w:val="0"/>
        <w:pageBreakBefore w:val="0"/>
        <w:widowControl w:val="0"/>
        <w:kinsoku/>
        <w:wordWrap/>
        <w:overflowPunct/>
        <w:topLinePunct w:val="0"/>
        <w:autoSpaceDE/>
        <w:autoSpaceDN/>
        <w:bidi w:val="0"/>
        <w:adjustRightInd/>
        <w:snapToGrid w:val="0"/>
        <w:spacing w:line="360" w:lineRule="auto"/>
        <w:ind w:right="0" w:rightChars="0" w:firstLine="600" w:firstLineChars="200"/>
        <w:jc w:val="center"/>
        <w:textAlignment w:val="auto"/>
        <w:rPr>
          <w:rFonts w:hint="eastAsia" w:ascii="微软雅黑" w:hAnsi="微软雅黑" w:eastAsia="微软雅黑" w:cs="微软雅黑"/>
          <w:b/>
          <w:bCs/>
          <w:color w:val="auto"/>
          <w:sz w:val="30"/>
          <w:szCs w:val="30"/>
          <w:highlight w:val="none"/>
          <w:lang w:val="en-US" w:eastAsia="zh-CN"/>
        </w:rPr>
      </w:pPr>
      <w:r>
        <w:rPr>
          <w:rFonts w:hint="eastAsia" w:ascii="微软雅黑" w:hAnsi="微软雅黑" w:eastAsia="微软雅黑" w:cs="微软雅黑"/>
          <w:b/>
          <w:bCs/>
          <w:color w:val="auto"/>
          <w:sz w:val="30"/>
          <w:szCs w:val="30"/>
          <w:highlight w:val="none"/>
          <w:lang w:val="en-US" w:eastAsia="zh-CN"/>
        </w:rPr>
        <w:t>竞争性磋商文件</w:t>
      </w:r>
    </w:p>
    <w:p w14:paraId="386CDF3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4D1FE449">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300"/>
        <w:jc w:val="center"/>
        <w:textAlignment w:val="auto"/>
        <w:rPr>
          <w:rFonts w:hint="default"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项目编号：XJZHZFCG-2025-01</w:t>
      </w:r>
    </w:p>
    <w:p w14:paraId="7562BCC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400F63D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3A28273B">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8"/>
          <w:szCs w:val="28"/>
          <w:highlight w:val="none"/>
          <w:lang w:val="en-US" w:eastAsia="zh-CN"/>
        </w:rPr>
        <w:t>第三册</w:t>
      </w:r>
    </w:p>
    <w:p w14:paraId="61506B4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52489B8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16D97C2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062DBC9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4285109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218C35E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0ED8E78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footerReference r:id="rId2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2E27806F">
      <w:pPr>
        <w:keepNext w:val="0"/>
        <w:keepLines w:val="0"/>
        <w:pageBreakBefore w:val="0"/>
        <w:widowControl w:val="0"/>
        <w:kinsoku/>
        <w:wordWrap/>
        <w:overflowPunct/>
        <w:topLinePunct w:val="0"/>
        <w:autoSpaceDE/>
        <w:autoSpaceDN/>
        <w:bidi w:val="0"/>
        <w:adjustRightInd/>
        <w:snapToGrid w:val="0"/>
        <w:spacing w:line="360" w:lineRule="auto"/>
        <w:ind w:right="0" w:rightChars="0" w:firstLine="72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36"/>
          <w:szCs w:val="36"/>
          <w:highlight w:val="none"/>
          <w:lang w:val="en-US" w:eastAsia="zh-CN"/>
        </w:rPr>
        <w:t>第七章  政府采购合同</w:t>
      </w:r>
      <w:bookmarkEnd w:id="524"/>
      <w:bookmarkEnd w:id="525"/>
      <w:bookmarkEnd w:id="526"/>
      <w:bookmarkStart w:id="527" w:name="_Hlt487972895"/>
      <w:bookmarkEnd w:id="527"/>
      <w:bookmarkStart w:id="528" w:name="_Toc216513788"/>
      <w:bookmarkStart w:id="529" w:name="_Toc487900382"/>
    </w:p>
    <w:bookmarkEnd w:id="521"/>
    <w:bookmarkEnd w:id="522"/>
    <w:bookmarkEnd w:id="523"/>
    <w:bookmarkEnd w:id="528"/>
    <w:bookmarkEnd w:id="529"/>
    <w:p w14:paraId="0E7CC4A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79C81375">
      <w:pPr>
        <w:keepNext w:val="0"/>
        <w:keepLines w:val="0"/>
        <w:pageBreakBefore w:val="0"/>
        <w:widowControl w:val="0"/>
        <w:kinsoku/>
        <w:wordWrap/>
        <w:overflowPunct/>
        <w:topLinePunct w:val="0"/>
        <w:autoSpaceDE/>
        <w:autoSpaceDN/>
        <w:bidi w:val="0"/>
        <w:adjustRightInd/>
        <w:snapToGrid w:val="0"/>
        <w:spacing w:line="360" w:lineRule="auto"/>
        <w:ind w:right="0" w:rightChars="0" w:firstLine="720" w:firstLineChars="200"/>
        <w:jc w:val="center"/>
        <w:textAlignment w:val="auto"/>
        <w:rPr>
          <w:rFonts w:hint="eastAsia" w:ascii="微软雅黑" w:hAnsi="微软雅黑" w:eastAsia="微软雅黑" w:cs="微软雅黑"/>
          <w:b/>
          <w:bCs/>
          <w:color w:val="auto"/>
          <w:sz w:val="36"/>
          <w:szCs w:val="36"/>
          <w:highlight w:val="none"/>
          <w:lang w:val="en-US" w:eastAsia="zh-CN"/>
        </w:rPr>
      </w:pPr>
      <w:bookmarkStart w:id="530" w:name="_Toc6118"/>
      <w:bookmarkStart w:id="531" w:name="_Toc23386"/>
      <w:r>
        <w:rPr>
          <w:rFonts w:hint="eastAsia" w:ascii="微软雅黑" w:hAnsi="微软雅黑" w:eastAsia="微软雅黑" w:cs="微软雅黑"/>
          <w:b/>
          <w:bCs/>
          <w:color w:val="auto"/>
          <w:sz w:val="36"/>
          <w:szCs w:val="36"/>
          <w:highlight w:val="none"/>
          <w:lang w:val="en-US" w:eastAsia="zh-CN"/>
        </w:rPr>
        <w:t>政府采购合同参考范本</w:t>
      </w:r>
      <w:bookmarkEnd w:id="530"/>
      <w:bookmarkEnd w:id="531"/>
    </w:p>
    <w:p w14:paraId="1717C7B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center"/>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（服务类）</w:t>
      </w:r>
    </w:p>
    <w:p w14:paraId="45686BF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1EBF2D2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4BA087A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center"/>
        <w:textAlignment w:val="auto"/>
        <w:rPr>
          <w:rFonts w:hint="eastAsia" w:ascii="微软雅黑" w:hAnsi="微软雅黑" w:eastAsia="微软雅黑" w:cs="微软雅黑"/>
          <w:color w:val="auto"/>
          <w:sz w:val="24"/>
          <w:szCs w:val="24"/>
          <w:highlight w:val="none"/>
          <w:lang w:val="en-US" w:eastAsia="zh-CN"/>
        </w:rPr>
      </w:pPr>
      <w:bookmarkStart w:id="532" w:name="_Toc13132"/>
      <w:bookmarkStart w:id="533" w:name="_Toc23049"/>
      <w:r>
        <w:rPr>
          <w:rFonts w:hint="eastAsia" w:ascii="微软雅黑" w:hAnsi="微软雅黑" w:eastAsia="微软雅黑" w:cs="微软雅黑"/>
          <w:b/>
          <w:bCs/>
          <w:color w:val="auto"/>
          <w:sz w:val="24"/>
          <w:szCs w:val="24"/>
          <w:highlight w:val="none"/>
          <w:lang w:val="en-US" w:eastAsia="zh-CN"/>
        </w:rPr>
        <w:t>第一部分合同书</w:t>
      </w:r>
      <w:bookmarkEnd w:id="532"/>
      <w:bookmarkEnd w:id="533"/>
    </w:p>
    <w:p w14:paraId="174C932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7619832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7A0AAC0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0336A829">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w:t>
      </w:r>
    </w:p>
    <w:p w14:paraId="213AF34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3524FEF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2EC652E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12EF865B">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甲方：</w:t>
      </w:r>
    </w:p>
    <w:p w14:paraId="397D704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2234D51D">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乙方：</w:t>
      </w:r>
    </w:p>
    <w:p w14:paraId="00C18BC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3A5F659D">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签订地：</w:t>
      </w:r>
    </w:p>
    <w:p w14:paraId="6494B5A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57D90621">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签订日期：  年  月  日</w:t>
      </w:r>
    </w:p>
    <w:p w14:paraId="775FAD7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headerReference r:id="rId28" w:type="default"/>
          <w:footerReference r:id="rId29" w:type="default"/>
          <w:pgSz w:w="11907" w:h="16840"/>
          <w:pgMar w:top="1440" w:right="1080" w:bottom="1440" w:left="1080" w:header="851" w:footer="851" w:gutter="0"/>
          <w:pgBorders>
            <w:top w:val="none" w:sz="0" w:space="0"/>
            <w:left w:val="none" w:sz="0" w:space="0"/>
            <w:bottom w:val="none" w:sz="0" w:space="0"/>
            <w:right w:val="none" w:sz="0" w:space="0"/>
          </w:pgBorders>
          <w:pgNumType w:fmt="decimal"/>
          <w:cols w:space="720" w:num="1"/>
          <w:docGrid w:linePitch="462" w:charSpace="0"/>
        </w:sectPr>
      </w:pPr>
    </w:p>
    <w:p w14:paraId="5816750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zh-CN" w:eastAsia="zh-CN"/>
        </w:rPr>
        <w:t>年月日</w:t>
      </w:r>
      <w:r>
        <w:rPr>
          <w:rFonts w:hint="eastAsia" w:ascii="微软雅黑" w:hAnsi="微软雅黑" w:eastAsia="微软雅黑" w:cs="微软雅黑"/>
          <w:color w:val="auto"/>
          <w:sz w:val="24"/>
          <w:szCs w:val="24"/>
          <w:highlight w:val="none"/>
          <w:lang w:val="en-US" w:eastAsia="zh-CN"/>
        </w:rPr>
        <w:t>，（采购人名称）以（政府采购方式）对（同前页项目名称）项目进行了采购。经（相关评定主体名称）评定，（中标供应商名称）为该项目中标供应商。现于成交通知书发出之日起三十日内，按照采购文件确定的事项签订本合同。</w:t>
      </w:r>
    </w:p>
    <w:p w14:paraId="706F52D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zh-CN" w:eastAsia="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lang w:val="en-US" w:eastAsia="zh-CN"/>
        </w:rPr>
        <w:t>（采购人名称）</w:t>
      </w:r>
      <w:r>
        <w:rPr>
          <w:rFonts w:hint="eastAsia" w:ascii="微软雅黑" w:hAnsi="微软雅黑" w:eastAsia="微软雅黑" w:cs="微软雅黑"/>
          <w:color w:val="auto"/>
          <w:sz w:val="24"/>
          <w:szCs w:val="24"/>
          <w:highlight w:val="none"/>
          <w:lang w:val="zh-CN" w:eastAsia="zh-CN"/>
        </w:rPr>
        <w:t>(以下简称：甲方)和</w:t>
      </w:r>
      <w:r>
        <w:rPr>
          <w:rFonts w:hint="eastAsia" w:ascii="微软雅黑" w:hAnsi="微软雅黑" w:eastAsia="微软雅黑" w:cs="微软雅黑"/>
          <w:color w:val="auto"/>
          <w:sz w:val="24"/>
          <w:szCs w:val="24"/>
          <w:highlight w:val="none"/>
          <w:lang w:val="en-US" w:eastAsia="zh-CN"/>
        </w:rPr>
        <w:t>（中标供应商名称）</w:t>
      </w:r>
      <w:r>
        <w:rPr>
          <w:rFonts w:hint="eastAsia" w:ascii="微软雅黑" w:hAnsi="微软雅黑" w:eastAsia="微软雅黑" w:cs="微软雅黑"/>
          <w:color w:val="auto"/>
          <w:sz w:val="24"/>
          <w:szCs w:val="24"/>
          <w:highlight w:val="none"/>
          <w:lang w:val="zh-CN" w:eastAsia="zh-CN"/>
        </w:rPr>
        <w:t>(以下简称：乙方)协商一致，约定以下合同</w:t>
      </w:r>
      <w:r>
        <w:rPr>
          <w:rFonts w:hint="eastAsia" w:ascii="微软雅黑" w:hAnsi="微软雅黑" w:eastAsia="微软雅黑" w:cs="微软雅黑"/>
          <w:color w:val="auto"/>
          <w:sz w:val="24"/>
          <w:szCs w:val="24"/>
          <w:highlight w:val="none"/>
          <w:lang w:val="en-US" w:eastAsia="zh-CN"/>
        </w:rPr>
        <w:t>条款，以兹共同遵守、全面履行。</w:t>
      </w:r>
    </w:p>
    <w:p w14:paraId="27EF465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34" w:name="_Toc4603"/>
      <w:bookmarkStart w:id="535" w:name="_Toc19273"/>
      <w:bookmarkStart w:id="536" w:name="_Toc20421"/>
      <w:bookmarkStart w:id="537" w:name="_Toc28855"/>
      <w:bookmarkStart w:id="538" w:name="_Toc31288"/>
      <w:bookmarkStart w:id="539" w:name="_Toc29084"/>
      <w:bookmarkStart w:id="540" w:name="_Toc22967"/>
      <w:bookmarkStart w:id="541" w:name="_Toc15367"/>
      <w:r>
        <w:rPr>
          <w:rFonts w:hint="eastAsia" w:ascii="微软雅黑" w:hAnsi="微软雅黑" w:eastAsia="微软雅黑" w:cs="微软雅黑"/>
          <w:b/>
          <w:bCs/>
          <w:color w:val="auto"/>
          <w:sz w:val="24"/>
          <w:szCs w:val="24"/>
          <w:highlight w:val="none"/>
          <w:lang w:val="en-US" w:eastAsia="zh-CN"/>
        </w:rPr>
        <w:t>1.1 合同组成部分</w:t>
      </w:r>
      <w:bookmarkEnd w:id="534"/>
      <w:bookmarkEnd w:id="535"/>
      <w:bookmarkEnd w:id="536"/>
      <w:bookmarkEnd w:id="537"/>
      <w:bookmarkEnd w:id="538"/>
      <w:bookmarkEnd w:id="539"/>
      <w:bookmarkEnd w:id="540"/>
      <w:bookmarkEnd w:id="541"/>
    </w:p>
    <w:p w14:paraId="77F303D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5DFE9A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1.1.1 本合同及其补充合同、变更协议；</w:t>
      </w:r>
    </w:p>
    <w:p w14:paraId="7E5D496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1.1.2 成交通知书；</w:t>
      </w:r>
    </w:p>
    <w:p w14:paraId="57342DA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1.1.3 响应文件（含澄清或者说明文件）；</w:t>
      </w:r>
    </w:p>
    <w:p w14:paraId="70318E8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1.1.4 磋商文件（含澄清或者修改文件）；</w:t>
      </w:r>
    </w:p>
    <w:p w14:paraId="43BF54C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1.1.5 其他相关采购文件。</w:t>
      </w:r>
    </w:p>
    <w:p w14:paraId="7D6A159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42" w:name="_Toc2918"/>
      <w:bookmarkStart w:id="543" w:name="_Toc22185"/>
      <w:bookmarkStart w:id="544" w:name="_Toc18585"/>
      <w:bookmarkStart w:id="545" w:name="_Toc15432"/>
      <w:bookmarkStart w:id="546" w:name="_Toc6311"/>
      <w:bookmarkStart w:id="547" w:name="_Toc14741"/>
      <w:bookmarkStart w:id="548" w:name="_Toc25365"/>
      <w:bookmarkStart w:id="549" w:name="_Toc6773"/>
      <w:r>
        <w:rPr>
          <w:rFonts w:hint="eastAsia" w:ascii="微软雅黑" w:hAnsi="微软雅黑" w:eastAsia="微软雅黑" w:cs="微软雅黑"/>
          <w:b/>
          <w:bCs/>
          <w:color w:val="auto"/>
          <w:sz w:val="24"/>
          <w:szCs w:val="24"/>
          <w:highlight w:val="none"/>
          <w:lang w:val="en-US" w:eastAsia="zh-CN"/>
        </w:rPr>
        <w:t>1.2 标的</w:t>
      </w:r>
      <w:bookmarkEnd w:id="542"/>
      <w:bookmarkEnd w:id="543"/>
      <w:bookmarkEnd w:id="544"/>
      <w:bookmarkEnd w:id="545"/>
      <w:bookmarkEnd w:id="546"/>
      <w:bookmarkEnd w:id="547"/>
      <w:bookmarkEnd w:id="548"/>
      <w:bookmarkEnd w:id="549"/>
    </w:p>
    <w:p w14:paraId="49B5E1E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1.2.1 标的名称：；</w:t>
      </w:r>
    </w:p>
    <w:p w14:paraId="5C144C7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1.2.2 标的数量：；</w:t>
      </w:r>
    </w:p>
    <w:p w14:paraId="2F340E1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1.2.3 标的质量：　　　　　　　　　　。</w:t>
      </w:r>
    </w:p>
    <w:p w14:paraId="54E9C04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50" w:name="_Toc21124"/>
      <w:bookmarkStart w:id="551" w:name="_Toc13918"/>
      <w:bookmarkStart w:id="552" w:name="_Toc5635"/>
      <w:bookmarkStart w:id="553" w:name="_Toc31647"/>
      <w:bookmarkStart w:id="554" w:name="_Toc15826"/>
      <w:bookmarkStart w:id="555" w:name="_Toc4929"/>
      <w:bookmarkStart w:id="556" w:name="_Toc1386"/>
      <w:bookmarkStart w:id="557" w:name="_Toc1579"/>
      <w:r>
        <w:rPr>
          <w:rFonts w:hint="eastAsia" w:ascii="微软雅黑" w:hAnsi="微软雅黑" w:eastAsia="微软雅黑" w:cs="微软雅黑"/>
          <w:b/>
          <w:bCs/>
          <w:color w:val="auto"/>
          <w:sz w:val="24"/>
          <w:szCs w:val="24"/>
          <w:highlight w:val="none"/>
          <w:lang w:val="en-US" w:eastAsia="zh-CN"/>
        </w:rPr>
        <w:t>1.3 价款</w:t>
      </w:r>
      <w:bookmarkEnd w:id="550"/>
      <w:bookmarkEnd w:id="551"/>
      <w:bookmarkEnd w:id="552"/>
      <w:bookmarkEnd w:id="553"/>
      <w:bookmarkEnd w:id="554"/>
      <w:bookmarkEnd w:id="555"/>
      <w:bookmarkEnd w:id="556"/>
      <w:bookmarkEnd w:id="557"/>
    </w:p>
    <w:p w14:paraId="7E91D93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本合同总价为：￥元（大写：元人民币）。</w:t>
      </w:r>
    </w:p>
    <w:p w14:paraId="13B3910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分项价格：</w:t>
      </w:r>
    </w:p>
    <w:tbl>
      <w:tblPr>
        <w:tblStyle w:val="38"/>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4815"/>
      </w:tblGrid>
      <w:tr w14:paraId="4EA6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BAB409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序号</w:t>
            </w:r>
          </w:p>
        </w:tc>
        <w:tc>
          <w:tcPr>
            <w:tcW w:w="3402" w:type="dxa"/>
            <w:vAlign w:val="center"/>
          </w:tcPr>
          <w:p w14:paraId="1A38F4C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分项名称</w:t>
            </w:r>
          </w:p>
        </w:tc>
        <w:tc>
          <w:tcPr>
            <w:tcW w:w="4815" w:type="dxa"/>
            <w:vAlign w:val="center"/>
          </w:tcPr>
          <w:p w14:paraId="170687F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分项价格</w:t>
            </w:r>
          </w:p>
        </w:tc>
      </w:tr>
      <w:tr w14:paraId="2FCC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274EC2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3402" w:type="dxa"/>
            <w:vAlign w:val="center"/>
          </w:tcPr>
          <w:p w14:paraId="6A648E9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4815" w:type="dxa"/>
            <w:vAlign w:val="center"/>
          </w:tcPr>
          <w:p w14:paraId="45DB455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4BAF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7D6BE8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3402" w:type="dxa"/>
            <w:vAlign w:val="center"/>
          </w:tcPr>
          <w:p w14:paraId="2E6FEA2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4815" w:type="dxa"/>
            <w:vAlign w:val="center"/>
          </w:tcPr>
          <w:p w14:paraId="67617AA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5674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A84085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3402" w:type="dxa"/>
            <w:vAlign w:val="center"/>
          </w:tcPr>
          <w:p w14:paraId="44F5C39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4815" w:type="dxa"/>
            <w:vAlign w:val="center"/>
          </w:tcPr>
          <w:p w14:paraId="495ED6A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5FDF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1D7054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3402" w:type="dxa"/>
            <w:vAlign w:val="center"/>
          </w:tcPr>
          <w:p w14:paraId="1F6EA7D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4815" w:type="dxa"/>
            <w:vAlign w:val="center"/>
          </w:tcPr>
          <w:p w14:paraId="3150A53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11E6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BD792D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总价</w:t>
            </w:r>
          </w:p>
        </w:tc>
        <w:tc>
          <w:tcPr>
            <w:tcW w:w="4815" w:type="dxa"/>
            <w:vAlign w:val="center"/>
          </w:tcPr>
          <w:p w14:paraId="05E7CB1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bl>
    <w:p w14:paraId="1A7D53B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58" w:name="_Toc3654"/>
      <w:bookmarkStart w:id="559" w:name="_Toc16274"/>
      <w:bookmarkStart w:id="560" w:name="_Toc30158"/>
      <w:bookmarkStart w:id="561" w:name="_Toc30506"/>
      <w:bookmarkStart w:id="562" w:name="_Toc14963"/>
      <w:bookmarkStart w:id="563" w:name="_Toc26916"/>
      <w:bookmarkStart w:id="564" w:name="_Toc5676"/>
      <w:bookmarkStart w:id="565" w:name="_Toc14993"/>
      <w:r>
        <w:rPr>
          <w:rFonts w:hint="eastAsia" w:ascii="微软雅黑" w:hAnsi="微软雅黑" w:eastAsia="微软雅黑" w:cs="微软雅黑"/>
          <w:b/>
          <w:bCs/>
          <w:color w:val="auto"/>
          <w:sz w:val="24"/>
          <w:szCs w:val="24"/>
          <w:highlight w:val="none"/>
          <w:lang w:val="en-US" w:eastAsia="zh-CN"/>
        </w:rPr>
        <w:t>1.4 付款方式和发票开具方式</w:t>
      </w:r>
      <w:bookmarkEnd w:id="558"/>
      <w:bookmarkEnd w:id="559"/>
      <w:bookmarkEnd w:id="560"/>
      <w:bookmarkEnd w:id="561"/>
      <w:bookmarkEnd w:id="562"/>
      <w:bookmarkEnd w:id="563"/>
      <w:bookmarkEnd w:id="564"/>
      <w:bookmarkEnd w:id="565"/>
    </w:p>
    <w:p w14:paraId="0CEA30F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1.4.1付款方式：；</w:t>
      </w:r>
    </w:p>
    <w:p w14:paraId="4A4098A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1.4.2发票开具方式：</w:t>
      </w:r>
    </w:p>
    <w:p w14:paraId="123FAC1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566" w:name="_Toc11108"/>
      <w:bookmarkStart w:id="567" w:name="_Toc1294"/>
      <w:bookmarkStart w:id="568" w:name="_Toc3625"/>
      <w:bookmarkStart w:id="569" w:name="_Toc8772"/>
      <w:bookmarkStart w:id="570" w:name="_Toc3512"/>
      <w:bookmarkStart w:id="571" w:name="_Toc30597"/>
      <w:bookmarkStart w:id="572" w:name="_Toc31421"/>
      <w:bookmarkStart w:id="573" w:name="_Toc4760"/>
      <w:r>
        <w:rPr>
          <w:rFonts w:hint="eastAsia" w:ascii="微软雅黑" w:hAnsi="微软雅黑" w:eastAsia="微软雅黑" w:cs="微软雅黑"/>
          <w:b/>
          <w:bCs/>
          <w:color w:val="auto"/>
          <w:sz w:val="24"/>
          <w:szCs w:val="24"/>
          <w:highlight w:val="none"/>
          <w:lang w:val="en-US" w:eastAsia="zh-CN"/>
        </w:rPr>
        <w:t>1.5 履行期限、地点和方式</w:t>
      </w:r>
      <w:bookmarkEnd w:id="566"/>
      <w:bookmarkEnd w:id="567"/>
      <w:bookmarkEnd w:id="568"/>
      <w:bookmarkEnd w:id="569"/>
      <w:bookmarkEnd w:id="570"/>
      <w:bookmarkEnd w:id="571"/>
      <w:bookmarkEnd w:id="572"/>
      <w:bookmarkEnd w:id="573"/>
    </w:p>
    <w:p w14:paraId="58BB80F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1.5.1 履行期限：；</w:t>
      </w:r>
    </w:p>
    <w:p w14:paraId="6924E25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1.5.2 履行地点：；</w:t>
      </w:r>
    </w:p>
    <w:p w14:paraId="3AA73BE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1.5.3 履行方式：</w:t>
      </w:r>
      <w:r>
        <w:rPr>
          <w:rFonts w:hint="eastAsia" w:ascii="微软雅黑" w:hAnsi="微软雅黑" w:eastAsia="微软雅黑" w:cs="微软雅黑"/>
          <w:color w:val="auto"/>
          <w:sz w:val="24"/>
          <w:szCs w:val="24"/>
          <w:highlight w:val="none"/>
          <w:u w:val="single"/>
          <w:lang w:val="en-US" w:eastAsia="zh-CN"/>
        </w:rPr>
        <w:t>　　　　　　　　　　</w:t>
      </w:r>
      <w:r>
        <w:rPr>
          <w:rFonts w:hint="eastAsia" w:ascii="微软雅黑" w:hAnsi="微软雅黑" w:eastAsia="微软雅黑" w:cs="微软雅黑"/>
          <w:color w:val="auto"/>
          <w:sz w:val="24"/>
          <w:szCs w:val="24"/>
          <w:highlight w:val="none"/>
          <w:lang w:val="en-US" w:eastAsia="zh-CN"/>
        </w:rPr>
        <w:t>。</w:t>
      </w:r>
    </w:p>
    <w:p w14:paraId="19C7165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574" w:name="_Toc3079"/>
      <w:bookmarkStart w:id="575" w:name="_Toc24662"/>
      <w:bookmarkStart w:id="576" w:name="_Toc5698"/>
      <w:bookmarkStart w:id="577" w:name="_Toc2375"/>
      <w:bookmarkStart w:id="578" w:name="_Toc8586"/>
      <w:bookmarkStart w:id="579" w:name="_Toc31650"/>
      <w:bookmarkStart w:id="580" w:name="_Toc27831"/>
      <w:bookmarkStart w:id="581" w:name="_Toc17245"/>
      <w:r>
        <w:rPr>
          <w:rFonts w:hint="eastAsia" w:ascii="微软雅黑" w:hAnsi="微软雅黑" w:eastAsia="微软雅黑" w:cs="微软雅黑"/>
          <w:b/>
          <w:bCs/>
          <w:color w:val="auto"/>
          <w:sz w:val="24"/>
          <w:szCs w:val="24"/>
          <w:highlight w:val="none"/>
          <w:lang w:val="en-US" w:eastAsia="zh-CN"/>
        </w:rPr>
        <w:t>1.6 违约责任</w:t>
      </w:r>
      <w:bookmarkEnd w:id="574"/>
      <w:bookmarkEnd w:id="575"/>
      <w:bookmarkEnd w:id="576"/>
      <w:bookmarkEnd w:id="577"/>
      <w:bookmarkEnd w:id="578"/>
      <w:bookmarkEnd w:id="579"/>
      <w:bookmarkEnd w:id="580"/>
      <w:bookmarkEnd w:id="581"/>
    </w:p>
    <w:p w14:paraId="0A84360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3F47BEE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145CAFE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C50FB3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2735F8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0738CB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1.6.6 如果出现政府采购监督管理部门在处理投诉事项期间，书面通知甲方暂停采购活动的情形，或者询问或质疑事项可能影响中标结果的，导致甲方中止履行合同的情形，均不视为甲方违约。</w:t>
      </w:r>
    </w:p>
    <w:p w14:paraId="7E56686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582" w:name="_Toc18683"/>
      <w:bookmarkStart w:id="583" w:name="_Toc27922"/>
      <w:bookmarkStart w:id="584" w:name="_Toc17118"/>
      <w:bookmarkStart w:id="585" w:name="_Toc32454"/>
      <w:bookmarkStart w:id="586" w:name="_Toc26807"/>
      <w:bookmarkStart w:id="587" w:name="_Toc30329"/>
      <w:bookmarkStart w:id="588" w:name="_Toc9497"/>
      <w:bookmarkStart w:id="589" w:name="_Toc11879"/>
      <w:r>
        <w:rPr>
          <w:rFonts w:hint="eastAsia" w:ascii="微软雅黑" w:hAnsi="微软雅黑" w:eastAsia="微软雅黑" w:cs="微软雅黑"/>
          <w:b/>
          <w:bCs/>
          <w:color w:val="auto"/>
          <w:sz w:val="24"/>
          <w:szCs w:val="24"/>
          <w:highlight w:val="none"/>
          <w:lang w:val="en-US" w:eastAsia="zh-CN"/>
        </w:rPr>
        <w:t>1.7 合同争议的解决</w:t>
      </w:r>
      <w:bookmarkEnd w:id="582"/>
      <w:bookmarkEnd w:id="583"/>
      <w:bookmarkEnd w:id="584"/>
      <w:bookmarkEnd w:id="585"/>
      <w:bookmarkEnd w:id="586"/>
      <w:bookmarkEnd w:id="587"/>
      <w:bookmarkEnd w:id="588"/>
      <w:bookmarkEnd w:id="589"/>
    </w:p>
    <w:p w14:paraId="5395510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本合同履行过程中发生的任何争议，双方当事人均可通过和解或者调解解决；不愿和解、调解或者和解、调解不成的，可以选择下列第种方式解决：</w:t>
      </w:r>
    </w:p>
    <w:p w14:paraId="2B34035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1.7.1 将争议提交仲裁委员会依申请仲裁时其现行有效的仲裁规则裁决；</w:t>
      </w:r>
    </w:p>
    <w:p w14:paraId="30A7E83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1.7.2 向（被告住所地、合同履行地、合同签订地、原告住所地、标的物所在地等与争议有实际联系的地点中选出的人民法院名称）人民法院起诉。</w:t>
      </w:r>
    </w:p>
    <w:p w14:paraId="5F1B6E6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590" w:name="_Toc26346"/>
      <w:bookmarkStart w:id="591" w:name="_Toc29189"/>
      <w:bookmarkStart w:id="592" w:name="_Toc12273"/>
      <w:bookmarkStart w:id="593" w:name="_Toc26227"/>
      <w:bookmarkStart w:id="594" w:name="_Toc5809"/>
      <w:bookmarkStart w:id="595" w:name="_Toc15827"/>
      <w:bookmarkStart w:id="596" w:name="_Toc16417"/>
      <w:bookmarkStart w:id="597" w:name="_Toc23784"/>
      <w:r>
        <w:rPr>
          <w:rFonts w:hint="eastAsia" w:ascii="微软雅黑" w:hAnsi="微软雅黑" w:eastAsia="微软雅黑" w:cs="微软雅黑"/>
          <w:b/>
          <w:bCs/>
          <w:color w:val="auto"/>
          <w:sz w:val="24"/>
          <w:szCs w:val="24"/>
          <w:highlight w:val="none"/>
          <w:lang w:val="en-US" w:eastAsia="zh-CN"/>
        </w:rPr>
        <w:t>1.8 合同生效</w:t>
      </w:r>
      <w:bookmarkEnd w:id="590"/>
      <w:bookmarkEnd w:id="591"/>
      <w:bookmarkEnd w:id="592"/>
      <w:bookmarkEnd w:id="593"/>
      <w:bookmarkEnd w:id="594"/>
      <w:bookmarkEnd w:id="595"/>
      <w:bookmarkEnd w:id="596"/>
      <w:bookmarkEnd w:id="597"/>
    </w:p>
    <w:p w14:paraId="2CCFED0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本合同自双方当事人盖章或者签字时生效。</w:t>
      </w:r>
    </w:p>
    <w:p w14:paraId="5C20D68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p>
    <w:p w14:paraId="2DD3DBC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bookmarkStart w:id="598" w:name="_Toc331685783"/>
      <w:r>
        <w:rPr>
          <w:rFonts w:hint="eastAsia" w:ascii="微软雅黑" w:hAnsi="微软雅黑" w:eastAsia="微软雅黑" w:cs="微软雅黑"/>
          <w:b/>
          <w:bCs/>
          <w:color w:val="auto"/>
          <w:sz w:val="24"/>
          <w:szCs w:val="24"/>
          <w:highlight w:val="none"/>
          <w:lang w:val="zh-CN" w:eastAsia="zh-CN"/>
        </w:rPr>
        <w:t>甲方：</w:t>
      </w:r>
      <w:r>
        <w:rPr>
          <w:rFonts w:hint="eastAsia" w:ascii="微软雅黑" w:hAnsi="微软雅黑" w:eastAsia="微软雅黑" w:cs="微软雅黑"/>
          <w:color w:val="auto"/>
          <w:sz w:val="24"/>
          <w:szCs w:val="24"/>
          <w:highlight w:val="none"/>
          <w:lang w:val="zh-CN" w:eastAsia="zh-CN"/>
        </w:rPr>
        <w:t xml:space="preserve">                                  </w:t>
      </w:r>
      <w:r>
        <w:rPr>
          <w:rFonts w:hint="eastAsia" w:ascii="微软雅黑" w:hAnsi="微软雅黑" w:eastAsia="微软雅黑" w:cs="微软雅黑"/>
          <w:b/>
          <w:bCs/>
          <w:color w:val="auto"/>
          <w:sz w:val="24"/>
          <w:szCs w:val="24"/>
          <w:highlight w:val="none"/>
          <w:lang w:val="zh-CN" w:eastAsia="zh-CN"/>
        </w:rPr>
        <w:t xml:space="preserve"> 乙方：</w:t>
      </w:r>
    </w:p>
    <w:p w14:paraId="106BDB3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统一社会信用代码：                        统一社会信用代码或身份证号码：</w:t>
      </w:r>
    </w:p>
    <w:p w14:paraId="5261541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p>
    <w:p w14:paraId="071028A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住所：                                   住所：</w:t>
      </w:r>
    </w:p>
    <w:p w14:paraId="2E99810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法定代表人或                             法定代表人</w:t>
      </w:r>
    </w:p>
    <w:p w14:paraId="38AFB4F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 xml:space="preserve">授权代表（签字）：                        或授权代表（签字）: </w:t>
      </w:r>
    </w:p>
    <w:p w14:paraId="3137ADD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联系人：                                 联系人：</w:t>
      </w:r>
    </w:p>
    <w:p w14:paraId="40B64C3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约定送达地址：                           约定送达地址：</w:t>
      </w:r>
    </w:p>
    <w:p w14:paraId="5472235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邮政编码：                               邮政编码：</w:t>
      </w:r>
    </w:p>
    <w:p w14:paraId="4EA630F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 xml:space="preserve">电话:                                    电话: </w:t>
      </w:r>
    </w:p>
    <w:p w14:paraId="0219E0E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传真:                                    传真:</w:t>
      </w:r>
    </w:p>
    <w:p w14:paraId="6EFD890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zh-CN" w:eastAsia="zh-CN"/>
        </w:rPr>
        <w:t>电子邮箱：                               电子邮箱：</w:t>
      </w:r>
    </w:p>
    <w:p w14:paraId="0AA0FC7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开户银行：                               开户银行： </w:t>
      </w:r>
    </w:p>
    <w:p w14:paraId="1C79E9A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开户名称：                               开户名称： </w:t>
      </w:r>
    </w:p>
    <w:p w14:paraId="3893A71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开户账号：</w:t>
      </w:r>
      <w:r>
        <w:rPr>
          <w:rFonts w:hint="eastAsia" w:ascii="微软雅黑" w:hAnsi="微软雅黑" w:eastAsia="微软雅黑" w:cs="微软雅黑"/>
          <w:color w:val="auto"/>
          <w:sz w:val="24"/>
          <w:szCs w:val="24"/>
          <w:highlight w:val="none"/>
          <w:lang w:val="zh-CN" w:eastAsia="zh-CN"/>
        </w:rPr>
        <w:t xml:space="preserve">                               </w:t>
      </w:r>
      <w:r>
        <w:rPr>
          <w:rFonts w:hint="eastAsia" w:ascii="微软雅黑" w:hAnsi="微软雅黑" w:eastAsia="微软雅黑" w:cs="微软雅黑"/>
          <w:color w:val="auto"/>
          <w:sz w:val="24"/>
          <w:szCs w:val="24"/>
          <w:highlight w:val="none"/>
          <w:lang w:val="en-US" w:eastAsia="zh-CN"/>
        </w:rPr>
        <w:t>开户账号：</w:t>
      </w:r>
    </w:p>
    <w:p w14:paraId="2AD1E69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743C88E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5A40971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5F5CCE9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3BA2FF7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6D094D4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headerReference r:id="rId30" w:type="default"/>
          <w:footerReference r:id="rId31" w:type="default"/>
          <w:pgSz w:w="11907" w:h="16840"/>
          <w:pgMar w:top="1134" w:right="1080" w:bottom="1134" w:left="1080" w:header="851" w:footer="850" w:gutter="0"/>
          <w:pgBorders>
            <w:top w:val="none" w:sz="0" w:space="0"/>
            <w:left w:val="none" w:sz="0" w:space="0"/>
            <w:bottom w:val="none" w:sz="0" w:space="0"/>
            <w:right w:val="none" w:sz="0" w:space="0"/>
          </w:pgBorders>
          <w:pgNumType w:fmt="decimal"/>
          <w:cols w:space="0" w:num="1"/>
          <w:rtlGutter w:val="0"/>
          <w:docGrid w:linePitch="462" w:charSpace="0"/>
        </w:sectPr>
      </w:pPr>
      <w:bookmarkStart w:id="599" w:name="_Toc20442"/>
      <w:bookmarkStart w:id="600" w:name="_Toc29973"/>
    </w:p>
    <w:p w14:paraId="3B3DCEE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第二部分合同一般条款</w:t>
      </w:r>
      <w:bookmarkEnd w:id="598"/>
      <w:bookmarkEnd w:id="599"/>
      <w:bookmarkEnd w:id="600"/>
    </w:p>
    <w:p w14:paraId="1B033D8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01" w:name="_Toc279701240"/>
      <w:bookmarkStart w:id="602" w:name="_Toc19680"/>
      <w:bookmarkStart w:id="603" w:name="_Toc25079"/>
      <w:bookmarkStart w:id="604" w:name="_Ref467379109"/>
      <w:bookmarkStart w:id="605" w:name="_Ref467378463"/>
      <w:bookmarkStart w:id="606" w:name="_Ref467379225"/>
      <w:bookmarkStart w:id="607" w:name="_Toc259093669"/>
      <w:bookmarkStart w:id="608" w:name="_Toc487900349"/>
      <w:bookmarkStart w:id="609" w:name="_Toc14021"/>
      <w:bookmarkStart w:id="610" w:name="_Ref467379101"/>
      <w:bookmarkStart w:id="611" w:name="_Ref467378499"/>
      <w:bookmarkStart w:id="612" w:name="_Ref467379214"/>
      <w:bookmarkStart w:id="613" w:name="_Ref467379195"/>
      <w:bookmarkStart w:id="614" w:name="_Toc7448"/>
      <w:bookmarkStart w:id="615" w:name="_Toc31297"/>
      <w:bookmarkStart w:id="616" w:name="_Ref467379094"/>
      <w:bookmarkStart w:id="617" w:name="_Toc31764"/>
      <w:bookmarkStart w:id="618" w:name="_Ref467379205"/>
      <w:bookmarkStart w:id="619" w:name="_Toc5228"/>
      <w:bookmarkStart w:id="620" w:name="_Toc13128"/>
      <w:bookmarkStart w:id="621" w:name="_Ref467378404"/>
      <w:r>
        <w:rPr>
          <w:rFonts w:hint="eastAsia" w:ascii="微软雅黑" w:hAnsi="微软雅黑" w:eastAsia="微软雅黑" w:cs="微软雅黑"/>
          <w:b/>
          <w:bCs/>
          <w:color w:val="auto"/>
          <w:sz w:val="24"/>
          <w:szCs w:val="24"/>
          <w:highlight w:val="none"/>
          <w:lang w:val="en-US" w:eastAsia="zh-CN"/>
        </w:rPr>
        <w:t>2.1 定义</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5D48C15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本合同中的下列词语应按以下内容进行解释：</w:t>
      </w:r>
    </w:p>
    <w:p w14:paraId="42DB347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 “合同”系指采购人和中标供应商签订的载明双方当事人所达成的协议，并包括所有的附件、附录和构成合同的其他文件。</w:t>
      </w:r>
    </w:p>
    <w:p w14:paraId="228ED3F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2.1.2 “合同价”系指根据合同约定，中标供应商在完全履行合同义务后，采购人应支付给中标供应商的价格。</w:t>
      </w:r>
    </w:p>
    <w:p w14:paraId="761984E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2.1.3 “服务”系指中标供应商根据合同约定应向采购人履行的除货物和工程以外的其他政府采购对象，包括采购人自身需要的服务和向社会公众提供的公共服务。</w:t>
      </w:r>
    </w:p>
    <w:p w14:paraId="7E229FF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22" w:name="_Ref467378840"/>
      <w:r>
        <w:rPr>
          <w:rFonts w:hint="eastAsia" w:ascii="微软雅黑" w:hAnsi="微软雅黑" w:eastAsia="微软雅黑" w:cs="微软雅黑"/>
          <w:color w:val="auto"/>
          <w:sz w:val="24"/>
          <w:szCs w:val="24"/>
          <w:highlight w:val="none"/>
          <w:lang w:val="en-US" w:eastAsia="zh-CN"/>
        </w:rPr>
        <w:t>2.1.4 “甲方”系指与中标供应商签署合同的采购人</w:t>
      </w:r>
      <w:bookmarkEnd w:id="622"/>
      <w:r>
        <w:rPr>
          <w:rFonts w:hint="eastAsia" w:ascii="微软雅黑" w:hAnsi="微软雅黑" w:eastAsia="微软雅黑" w:cs="微软雅黑"/>
          <w:color w:val="auto"/>
          <w:sz w:val="24"/>
          <w:szCs w:val="24"/>
          <w:highlight w:val="none"/>
          <w:lang w:val="en-US" w:eastAsia="zh-CN"/>
        </w:rPr>
        <w:t>；采购人委托采购代理机构代表其与乙方签订合同的，采购人的授权委托书作为合同附件。</w:t>
      </w:r>
    </w:p>
    <w:p w14:paraId="5B0FE44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23" w:name="_Ref467379400"/>
      <w:r>
        <w:rPr>
          <w:rFonts w:hint="eastAsia" w:ascii="微软雅黑" w:hAnsi="微软雅黑" w:eastAsia="微软雅黑" w:cs="微软雅黑"/>
          <w:color w:val="auto"/>
          <w:sz w:val="24"/>
          <w:szCs w:val="24"/>
          <w:highlight w:val="none"/>
          <w:lang w:val="en-US" w:eastAsia="zh-CN"/>
        </w:rPr>
        <w:t>2.1.5“乙方”系指根据合同约定提供服务的中标供应商</w:t>
      </w:r>
      <w:bookmarkEnd w:id="623"/>
      <w:r>
        <w:rPr>
          <w:rFonts w:hint="eastAsia" w:ascii="微软雅黑" w:hAnsi="微软雅黑" w:eastAsia="微软雅黑" w:cs="微软雅黑"/>
          <w:color w:val="auto"/>
          <w:sz w:val="24"/>
          <w:szCs w:val="24"/>
          <w:highlight w:val="none"/>
          <w:lang w:val="en-US"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CAC5F9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24" w:name="_Ref467379436"/>
      <w:r>
        <w:rPr>
          <w:rFonts w:hint="eastAsia" w:ascii="微软雅黑" w:hAnsi="微软雅黑" w:eastAsia="微软雅黑" w:cs="微软雅黑"/>
          <w:color w:val="auto"/>
          <w:sz w:val="24"/>
          <w:szCs w:val="24"/>
          <w:highlight w:val="none"/>
          <w:lang w:val="en-US" w:eastAsia="zh-CN"/>
        </w:rPr>
        <w:t>2.1.6 “现场”系指合同约定提供服务的地点。</w:t>
      </w:r>
      <w:bookmarkEnd w:id="624"/>
    </w:p>
    <w:p w14:paraId="5D805F0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25" w:name="_Toc12643"/>
      <w:bookmarkStart w:id="626" w:name="_Toc3769"/>
      <w:bookmarkStart w:id="627" w:name="_Toc17148"/>
      <w:bookmarkStart w:id="628" w:name="_Toc19539"/>
      <w:bookmarkStart w:id="629" w:name="_Toc16752"/>
      <w:bookmarkStart w:id="630" w:name="_Toc169"/>
      <w:bookmarkStart w:id="631" w:name="_Toc487900350"/>
      <w:bookmarkStart w:id="632" w:name="_Toc279701241"/>
      <w:bookmarkStart w:id="633" w:name="_Toc23289"/>
      <w:bookmarkStart w:id="634" w:name="_Toc259093670"/>
      <w:bookmarkStart w:id="635" w:name="_Toc31402"/>
      <w:r>
        <w:rPr>
          <w:rFonts w:hint="eastAsia" w:ascii="微软雅黑" w:hAnsi="微软雅黑" w:eastAsia="微软雅黑" w:cs="微软雅黑"/>
          <w:b/>
          <w:bCs/>
          <w:color w:val="auto"/>
          <w:sz w:val="24"/>
          <w:szCs w:val="24"/>
          <w:highlight w:val="none"/>
          <w:lang w:val="en-US" w:eastAsia="zh-CN"/>
        </w:rPr>
        <w:t>2.2 技术规范</w:t>
      </w:r>
      <w:bookmarkEnd w:id="625"/>
      <w:bookmarkEnd w:id="626"/>
      <w:bookmarkEnd w:id="627"/>
      <w:bookmarkEnd w:id="628"/>
      <w:bookmarkEnd w:id="629"/>
      <w:bookmarkEnd w:id="630"/>
      <w:bookmarkEnd w:id="631"/>
      <w:bookmarkEnd w:id="632"/>
      <w:bookmarkEnd w:id="633"/>
      <w:bookmarkEnd w:id="634"/>
      <w:bookmarkEnd w:id="635"/>
    </w:p>
    <w:p w14:paraId="661BBF8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F6B098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36" w:name="_Toc487900351"/>
      <w:bookmarkStart w:id="637" w:name="_Toc12412"/>
      <w:bookmarkStart w:id="638" w:name="_Toc259093671"/>
      <w:bookmarkStart w:id="639" w:name="_Toc13721"/>
      <w:bookmarkStart w:id="640" w:name="_Toc27945"/>
      <w:bookmarkStart w:id="641" w:name="_Toc279701242"/>
      <w:bookmarkStart w:id="642" w:name="_Toc9161"/>
      <w:bookmarkStart w:id="643" w:name="_Toc18799"/>
      <w:bookmarkStart w:id="644" w:name="_Toc32399"/>
      <w:bookmarkStart w:id="645" w:name="_Toc13673"/>
      <w:bookmarkStart w:id="646" w:name="_Toc4133"/>
      <w:r>
        <w:rPr>
          <w:rFonts w:hint="eastAsia" w:ascii="微软雅黑" w:hAnsi="微软雅黑" w:eastAsia="微软雅黑" w:cs="微软雅黑"/>
          <w:color w:val="auto"/>
          <w:sz w:val="24"/>
          <w:szCs w:val="24"/>
          <w:highlight w:val="none"/>
          <w:lang w:val="en-US" w:eastAsia="zh-CN"/>
        </w:rPr>
        <w:t>2.3 知识产权</w:t>
      </w:r>
      <w:bookmarkEnd w:id="636"/>
      <w:bookmarkEnd w:id="637"/>
      <w:bookmarkEnd w:id="638"/>
      <w:bookmarkEnd w:id="639"/>
      <w:bookmarkEnd w:id="640"/>
      <w:bookmarkEnd w:id="641"/>
      <w:bookmarkEnd w:id="642"/>
      <w:bookmarkEnd w:id="643"/>
      <w:bookmarkEnd w:id="644"/>
      <w:bookmarkEnd w:id="645"/>
      <w:bookmarkEnd w:id="646"/>
    </w:p>
    <w:p w14:paraId="7DF6FFB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B44C3A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2.3.2 合同涉及技术成果的归属和收益的分成办法的，详见合同专用条款。</w:t>
      </w:r>
    </w:p>
    <w:p w14:paraId="64AFC12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2.4 履约检查和问题反馈</w:t>
      </w:r>
    </w:p>
    <w:p w14:paraId="5BA4C3D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47" w:name="_Ref467379657"/>
      <w:r>
        <w:rPr>
          <w:rFonts w:hint="eastAsia" w:ascii="微软雅黑" w:hAnsi="微软雅黑" w:eastAsia="微软雅黑" w:cs="微软雅黑"/>
          <w:color w:val="auto"/>
          <w:sz w:val="24"/>
          <w:szCs w:val="24"/>
          <w:highlight w:val="none"/>
          <w:lang w:val="en-US" w:eastAsia="zh-CN"/>
        </w:rPr>
        <w:t>2.4.1</w:t>
      </w:r>
      <w:bookmarkEnd w:id="647"/>
      <w:bookmarkStart w:id="648" w:name="_Toc186431854"/>
      <w:bookmarkStart w:id="649" w:name="_Ref467379807"/>
      <w:bookmarkStart w:id="650" w:name="_Toc279701247"/>
      <w:bookmarkStart w:id="651" w:name="_Toc259093676"/>
      <w:bookmarkStart w:id="652" w:name="_Toc487900357"/>
      <w:bookmarkStart w:id="653" w:name="_Ref467379793"/>
      <w:r>
        <w:rPr>
          <w:rFonts w:hint="eastAsia" w:ascii="微软雅黑" w:hAnsi="微软雅黑" w:eastAsia="微软雅黑" w:cs="微软雅黑"/>
          <w:color w:val="auto"/>
          <w:sz w:val="24"/>
          <w:szCs w:val="24"/>
          <w:highlight w:val="none"/>
          <w:lang w:val="en-US" w:eastAsia="zh-CN"/>
        </w:rPr>
        <w:t>甲方有权在其认为必要时，对乙方是否能够按照合同约定提供服务进行履约检查，以确保乙方所提供的服务能够依约满足甲方之项目需求，但不得因履约检查妨碍乙方的正常工作，乙方应予积极配合；</w:t>
      </w:r>
    </w:p>
    <w:p w14:paraId="24D9733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2.4.2合同履行期间，甲方有权将履行过程中出现的问题反馈给乙方，双方当事人应以书面形式约定需要完善和改进的内容</w:t>
      </w:r>
      <w:bookmarkEnd w:id="648"/>
      <w:bookmarkStart w:id="654" w:name="_Toc186431855"/>
      <w:r>
        <w:rPr>
          <w:rFonts w:hint="eastAsia" w:ascii="微软雅黑" w:hAnsi="微软雅黑" w:eastAsia="微软雅黑" w:cs="微软雅黑"/>
          <w:color w:val="auto"/>
          <w:sz w:val="24"/>
          <w:szCs w:val="24"/>
          <w:highlight w:val="none"/>
          <w:lang w:val="en-US" w:eastAsia="zh-CN"/>
        </w:rPr>
        <w:t>。</w:t>
      </w:r>
    </w:p>
    <w:bookmarkEnd w:id="654"/>
    <w:p w14:paraId="0999046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55" w:name="_Toc21826"/>
      <w:bookmarkStart w:id="656" w:name="_Toc31233"/>
      <w:bookmarkStart w:id="657" w:name="_Toc32670"/>
      <w:bookmarkStart w:id="658" w:name="_Toc24722"/>
      <w:bookmarkStart w:id="659" w:name="_Toc26555"/>
      <w:bookmarkStart w:id="660" w:name="_Toc10947"/>
      <w:bookmarkStart w:id="661" w:name="_Toc22011"/>
      <w:bookmarkStart w:id="662" w:name="_Toc15447"/>
      <w:r>
        <w:rPr>
          <w:rFonts w:hint="eastAsia" w:ascii="微软雅黑" w:hAnsi="微软雅黑" w:eastAsia="微软雅黑" w:cs="微软雅黑"/>
          <w:b/>
          <w:bCs/>
          <w:color w:val="auto"/>
          <w:sz w:val="24"/>
          <w:szCs w:val="24"/>
          <w:highlight w:val="none"/>
          <w:lang w:val="en-US" w:eastAsia="zh-CN"/>
        </w:rPr>
        <w:t>2.5 结算方式和付款条件</w:t>
      </w:r>
      <w:bookmarkEnd w:id="649"/>
      <w:bookmarkEnd w:id="650"/>
      <w:bookmarkEnd w:id="651"/>
      <w:bookmarkEnd w:id="652"/>
      <w:bookmarkEnd w:id="653"/>
      <w:bookmarkEnd w:id="655"/>
      <w:bookmarkEnd w:id="656"/>
      <w:bookmarkEnd w:id="657"/>
      <w:bookmarkEnd w:id="658"/>
      <w:bookmarkEnd w:id="659"/>
      <w:bookmarkEnd w:id="660"/>
      <w:bookmarkEnd w:id="661"/>
      <w:bookmarkEnd w:id="662"/>
    </w:p>
    <w:p w14:paraId="7F2FD58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详见合同专用条款。</w:t>
      </w:r>
    </w:p>
    <w:p w14:paraId="3643FA7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63" w:name="_Toc259093677"/>
      <w:bookmarkStart w:id="664" w:name="_Toc279701248"/>
      <w:bookmarkStart w:id="665" w:name="_Ref467379863"/>
      <w:bookmarkStart w:id="666" w:name="_Toc487900358"/>
      <w:bookmarkStart w:id="667" w:name="_Ref467379923"/>
      <w:bookmarkStart w:id="668" w:name="_Ref467379852"/>
      <w:bookmarkStart w:id="669" w:name="_Toc18990"/>
      <w:bookmarkStart w:id="670" w:name="_Toc13154"/>
      <w:bookmarkStart w:id="671" w:name="_Toc2109"/>
      <w:bookmarkStart w:id="672" w:name="_Toc16163"/>
      <w:bookmarkStart w:id="673" w:name="_Toc13467"/>
      <w:bookmarkStart w:id="674" w:name="_Toc30507"/>
      <w:bookmarkStart w:id="675" w:name="_Toc22064"/>
      <w:bookmarkStart w:id="676" w:name="_Toc6258"/>
      <w:r>
        <w:rPr>
          <w:rFonts w:hint="eastAsia" w:ascii="微软雅黑" w:hAnsi="微软雅黑" w:eastAsia="微软雅黑" w:cs="微软雅黑"/>
          <w:b/>
          <w:bCs/>
          <w:color w:val="auto"/>
          <w:sz w:val="24"/>
          <w:szCs w:val="24"/>
          <w:highlight w:val="none"/>
          <w:lang w:val="en-US" w:eastAsia="zh-CN"/>
        </w:rPr>
        <w:t>2.6 技术资料</w:t>
      </w:r>
      <w:bookmarkEnd w:id="663"/>
      <w:bookmarkEnd w:id="664"/>
      <w:bookmarkEnd w:id="665"/>
      <w:bookmarkEnd w:id="666"/>
      <w:bookmarkEnd w:id="667"/>
      <w:bookmarkEnd w:id="668"/>
      <w:r>
        <w:rPr>
          <w:rFonts w:hint="eastAsia" w:ascii="微软雅黑" w:hAnsi="微软雅黑" w:eastAsia="微软雅黑" w:cs="微软雅黑"/>
          <w:b/>
          <w:bCs/>
          <w:color w:val="auto"/>
          <w:sz w:val="24"/>
          <w:szCs w:val="24"/>
          <w:highlight w:val="none"/>
          <w:lang w:val="en-US" w:eastAsia="zh-CN"/>
        </w:rPr>
        <w:t>和保密义务</w:t>
      </w:r>
      <w:bookmarkEnd w:id="669"/>
      <w:bookmarkEnd w:id="670"/>
      <w:bookmarkEnd w:id="671"/>
      <w:bookmarkEnd w:id="672"/>
      <w:bookmarkEnd w:id="673"/>
      <w:bookmarkEnd w:id="674"/>
      <w:bookmarkEnd w:id="675"/>
      <w:bookmarkEnd w:id="676"/>
    </w:p>
    <w:p w14:paraId="7F31EA0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2.6.1 乙方有权依据合同约定和项目需要，向甲方了解有关情况，调阅有关资料等，甲方应予积极配合；</w:t>
      </w:r>
    </w:p>
    <w:p w14:paraId="7603640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2.6.2 乙方有义务妥善保管和保护由甲方提供的前款信息和资料等；</w:t>
      </w:r>
    </w:p>
    <w:p w14:paraId="7F0F632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D31B3E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77" w:name="_Toc13111"/>
      <w:bookmarkStart w:id="678" w:name="_Toc17833"/>
      <w:bookmarkStart w:id="679" w:name="_Toc19069"/>
      <w:bookmarkStart w:id="680" w:name="_Toc7516"/>
      <w:bookmarkStart w:id="681" w:name="_Toc259093681"/>
      <w:bookmarkStart w:id="682" w:name="_Toc487900362"/>
      <w:bookmarkStart w:id="683" w:name="_Toc279701252"/>
      <w:r>
        <w:rPr>
          <w:rFonts w:hint="eastAsia" w:ascii="微软雅黑" w:hAnsi="微软雅黑" w:eastAsia="微软雅黑" w:cs="微软雅黑"/>
          <w:b/>
          <w:bCs/>
          <w:color w:val="auto"/>
          <w:sz w:val="24"/>
          <w:szCs w:val="24"/>
          <w:highlight w:val="none"/>
          <w:lang w:val="en-US" w:eastAsia="zh-CN"/>
        </w:rPr>
        <w:t>2.7 质量保证</w:t>
      </w:r>
      <w:bookmarkEnd w:id="677"/>
      <w:bookmarkEnd w:id="678"/>
      <w:bookmarkEnd w:id="679"/>
      <w:bookmarkEnd w:id="680"/>
    </w:p>
    <w:p w14:paraId="4FA0A94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2.7.1 乙方应建立和完善履行合同的内部质量保证体系，并提供相关内部规章制度给甲方，以便甲方进行监督检查；</w:t>
      </w:r>
    </w:p>
    <w:p w14:paraId="53AFD2C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2.7.2 乙方应保证履行合同的人员数量和素质、软件和硬件设备的配置、场地、环境和设施等满足全面履行合同的要求，并应接受甲方的监督检查。</w:t>
      </w:r>
    </w:p>
    <w:p w14:paraId="2F4F56B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84" w:name="_Toc18265"/>
      <w:bookmarkStart w:id="685" w:name="_Toc22267"/>
      <w:bookmarkStart w:id="686" w:name="_Toc1138"/>
      <w:bookmarkStart w:id="687" w:name="_Toc9610"/>
      <w:r>
        <w:rPr>
          <w:rFonts w:hint="eastAsia" w:ascii="微软雅黑" w:hAnsi="微软雅黑" w:eastAsia="微软雅黑" w:cs="微软雅黑"/>
          <w:b/>
          <w:bCs/>
          <w:color w:val="auto"/>
          <w:sz w:val="24"/>
          <w:szCs w:val="24"/>
          <w:highlight w:val="none"/>
          <w:lang w:val="en-US" w:eastAsia="zh-CN"/>
        </w:rPr>
        <w:t>2.8 延迟</w:t>
      </w:r>
      <w:bookmarkEnd w:id="681"/>
      <w:bookmarkEnd w:id="682"/>
      <w:bookmarkEnd w:id="683"/>
      <w:r>
        <w:rPr>
          <w:rFonts w:hint="eastAsia" w:ascii="微软雅黑" w:hAnsi="微软雅黑" w:eastAsia="微软雅黑" w:cs="微软雅黑"/>
          <w:b/>
          <w:bCs/>
          <w:color w:val="auto"/>
          <w:sz w:val="24"/>
          <w:szCs w:val="24"/>
          <w:highlight w:val="none"/>
          <w:lang w:val="en-US" w:eastAsia="zh-CN"/>
        </w:rPr>
        <w:t>履行</w:t>
      </w:r>
      <w:bookmarkEnd w:id="684"/>
      <w:bookmarkEnd w:id="685"/>
      <w:bookmarkEnd w:id="686"/>
      <w:bookmarkEnd w:id="687"/>
    </w:p>
    <w:p w14:paraId="3300600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D27003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88" w:name="_Toc23849"/>
      <w:bookmarkStart w:id="689" w:name="_Toc10611"/>
      <w:bookmarkStart w:id="690" w:name="_Toc26963"/>
      <w:bookmarkStart w:id="691" w:name="_Toc3725"/>
      <w:bookmarkStart w:id="692" w:name="_Toc279701254"/>
      <w:bookmarkStart w:id="693" w:name="_Toc259093683"/>
      <w:bookmarkStart w:id="694" w:name="_Toc487900364"/>
      <w:bookmarkStart w:id="695" w:name="_Ref467378121"/>
      <w:r>
        <w:rPr>
          <w:rFonts w:hint="eastAsia" w:ascii="微软雅黑" w:hAnsi="微软雅黑" w:eastAsia="微软雅黑" w:cs="微软雅黑"/>
          <w:b/>
          <w:bCs/>
          <w:color w:val="auto"/>
          <w:sz w:val="24"/>
          <w:szCs w:val="24"/>
          <w:highlight w:val="none"/>
          <w:lang w:val="en-US" w:eastAsia="zh-CN"/>
        </w:rPr>
        <w:t>2.9 合同变更</w:t>
      </w:r>
      <w:bookmarkEnd w:id="688"/>
      <w:bookmarkEnd w:id="689"/>
      <w:bookmarkEnd w:id="690"/>
      <w:bookmarkEnd w:id="691"/>
    </w:p>
    <w:p w14:paraId="4DCEF05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2.9.1 双方当事人协商一致，可以签订书面补充合同的形式变更合同，但不得违背采购文件确定的事项，且如果系追加与合同标的相同的服务的，那么所有补充合同的采购金额不得超过原合同价的10%；</w:t>
      </w:r>
    </w:p>
    <w:p w14:paraId="3361DFC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2.9.2 合同继续履行将损害国家利益和社会公共利益的，双方当事人应当以书面形式变更合同。有过错的一方应当承担赔偿责任，双方当事人都有过错的，各自承担相应的责任。</w:t>
      </w:r>
      <w:bookmarkStart w:id="696" w:name="_Toc487900369"/>
      <w:bookmarkStart w:id="697" w:name="_Toc279701259"/>
      <w:bookmarkStart w:id="698" w:name="_Toc259093688"/>
    </w:p>
    <w:p w14:paraId="4BEA515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99" w:name="_Toc42"/>
      <w:bookmarkStart w:id="700" w:name="_Toc10663"/>
      <w:bookmarkStart w:id="701" w:name="_Toc4756"/>
      <w:bookmarkStart w:id="702" w:name="_Toc23368"/>
      <w:bookmarkStart w:id="703" w:name="_Toc21830"/>
      <w:bookmarkStart w:id="704" w:name="_Toc26689"/>
      <w:bookmarkStart w:id="705" w:name="_Toc1326"/>
      <w:bookmarkStart w:id="706" w:name="_Toc4467"/>
      <w:r>
        <w:rPr>
          <w:rFonts w:hint="eastAsia" w:ascii="微软雅黑" w:hAnsi="微软雅黑" w:eastAsia="微软雅黑" w:cs="微软雅黑"/>
          <w:b/>
          <w:bCs/>
          <w:color w:val="auto"/>
          <w:sz w:val="24"/>
          <w:szCs w:val="24"/>
          <w:highlight w:val="none"/>
          <w:lang w:val="en-US" w:eastAsia="zh-CN"/>
        </w:rPr>
        <w:t>2.10 合同转让</w:t>
      </w:r>
      <w:bookmarkEnd w:id="696"/>
      <w:bookmarkEnd w:id="697"/>
      <w:bookmarkEnd w:id="698"/>
      <w:r>
        <w:rPr>
          <w:rFonts w:hint="eastAsia" w:ascii="微软雅黑" w:hAnsi="微软雅黑" w:eastAsia="微软雅黑" w:cs="微软雅黑"/>
          <w:b/>
          <w:bCs/>
          <w:color w:val="auto"/>
          <w:sz w:val="24"/>
          <w:szCs w:val="24"/>
          <w:highlight w:val="none"/>
          <w:lang w:val="en-US" w:eastAsia="zh-CN"/>
        </w:rPr>
        <w:t>和分包</w:t>
      </w:r>
      <w:bookmarkEnd w:id="699"/>
      <w:bookmarkEnd w:id="700"/>
      <w:bookmarkEnd w:id="701"/>
      <w:bookmarkEnd w:id="702"/>
      <w:bookmarkEnd w:id="703"/>
      <w:bookmarkEnd w:id="704"/>
      <w:bookmarkEnd w:id="705"/>
      <w:bookmarkEnd w:id="706"/>
    </w:p>
    <w:p w14:paraId="6E0459A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E8C3EA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707" w:name="_Toc15912"/>
      <w:bookmarkStart w:id="708" w:name="_Toc25571"/>
      <w:bookmarkStart w:id="709" w:name="_Toc5492"/>
      <w:bookmarkStart w:id="710" w:name="_Toc26633"/>
      <w:bookmarkStart w:id="711" w:name="_Toc85"/>
      <w:bookmarkStart w:id="712" w:name="_Toc32494"/>
      <w:bookmarkStart w:id="713" w:name="_Toc14371"/>
      <w:bookmarkStart w:id="714" w:name="_Toc4720"/>
      <w:r>
        <w:rPr>
          <w:rFonts w:hint="eastAsia" w:ascii="微软雅黑" w:hAnsi="微软雅黑" w:eastAsia="微软雅黑" w:cs="微软雅黑"/>
          <w:b/>
          <w:bCs/>
          <w:color w:val="auto"/>
          <w:sz w:val="24"/>
          <w:szCs w:val="24"/>
          <w:highlight w:val="none"/>
          <w:lang w:val="en-US" w:eastAsia="zh-CN"/>
        </w:rPr>
        <w:t>2.11 不可抗力</w:t>
      </w:r>
      <w:bookmarkEnd w:id="707"/>
      <w:bookmarkEnd w:id="708"/>
      <w:bookmarkEnd w:id="709"/>
      <w:bookmarkEnd w:id="710"/>
      <w:bookmarkEnd w:id="711"/>
      <w:bookmarkEnd w:id="712"/>
      <w:bookmarkEnd w:id="713"/>
      <w:bookmarkEnd w:id="714"/>
    </w:p>
    <w:p w14:paraId="7DACEBF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2.11.1如果任何一方遭遇法律规定的不可抗力，致使合同履行受阻时，履行合同的期限应予延长，延长的期限应相当于不可抗力所影响的时间；</w:t>
      </w:r>
    </w:p>
    <w:p w14:paraId="2883421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2.11.2 因不可抗力致使不能实现合同目的的，当事人可以解除合同；</w:t>
      </w:r>
    </w:p>
    <w:p w14:paraId="7747DE6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2.11.3 因不可抗力致使合同有变更必要的，双方当事人应在合同专用条款约定时间内以书面形式变更合同；</w:t>
      </w:r>
    </w:p>
    <w:p w14:paraId="294FD2B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2.11.4受不可抗力影响的一方在不可抗力发生后，应在合同专用条款约定时间内以书面形式通知对方当事人，并在合同专用条款约定时间内，将有关部门出具的证明文件送达对方当事人。</w:t>
      </w:r>
      <w:bookmarkStart w:id="715" w:name="_Toc259093684"/>
      <w:bookmarkStart w:id="716" w:name="_Toc25783"/>
      <w:bookmarkStart w:id="717" w:name="_Toc30821"/>
      <w:bookmarkStart w:id="718" w:name="_Toc23854"/>
      <w:bookmarkStart w:id="719" w:name="_Toc279701255"/>
      <w:bookmarkStart w:id="720" w:name="_Toc14115"/>
      <w:bookmarkStart w:id="721" w:name="_Toc3638"/>
      <w:bookmarkStart w:id="722" w:name="_Toc30945"/>
      <w:bookmarkStart w:id="723" w:name="_Toc487900365"/>
      <w:bookmarkStart w:id="724" w:name="_Toc24465"/>
      <w:bookmarkStart w:id="725" w:name="_Toc15760"/>
    </w:p>
    <w:p w14:paraId="541D393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2.12 税费</w:t>
      </w:r>
      <w:bookmarkEnd w:id="715"/>
      <w:bookmarkEnd w:id="716"/>
      <w:bookmarkEnd w:id="717"/>
      <w:bookmarkEnd w:id="718"/>
      <w:bookmarkEnd w:id="719"/>
      <w:bookmarkEnd w:id="720"/>
      <w:bookmarkEnd w:id="721"/>
      <w:bookmarkEnd w:id="722"/>
      <w:bookmarkEnd w:id="723"/>
      <w:bookmarkEnd w:id="724"/>
      <w:bookmarkEnd w:id="725"/>
    </w:p>
    <w:p w14:paraId="73520F5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与合同有关的一切税费，均按照中华人民共和国法律的相关规定缴纳。</w:t>
      </w:r>
    </w:p>
    <w:p w14:paraId="5ABAC24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26" w:name="_Toc30105"/>
      <w:bookmarkStart w:id="727" w:name="_Toc279701258"/>
      <w:bookmarkStart w:id="728" w:name="_Toc25525"/>
      <w:bookmarkStart w:id="729" w:name="_Toc487900368"/>
      <w:bookmarkStart w:id="730" w:name="_Toc259093687"/>
      <w:bookmarkStart w:id="731" w:name="_Toc9975"/>
      <w:bookmarkStart w:id="732" w:name="_Toc14814"/>
      <w:bookmarkStart w:id="733" w:name="_Toc18007"/>
      <w:bookmarkStart w:id="734" w:name="_Toc26883"/>
      <w:bookmarkStart w:id="735" w:name="_Toc7315"/>
      <w:bookmarkStart w:id="736" w:name="_Toc27941"/>
      <w:r>
        <w:rPr>
          <w:rFonts w:hint="eastAsia" w:ascii="微软雅黑" w:hAnsi="微软雅黑" w:eastAsia="微软雅黑" w:cs="微软雅黑"/>
          <w:color w:val="auto"/>
          <w:sz w:val="24"/>
          <w:szCs w:val="24"/>
          <w:highlight w:val="none"/>
          <w:lang w:val="en-US" w:eastAsia="zh-CN"/>
        </w:rPr>
        <w:t>2.13 乙方破产</w:t>
      </w:r>
      <w:bookmarkEnd w:id="726"/>
      <w:bookmarkEnd w:id="727"/>
      <w:bookmarkEnd w:id="728"/>
      <w:bookmarkEnd w:id="729"/>
      <w:bookmarkEnd w:id="730"/>
      <w:bookmarkEnd w:id="731"/>
      <w:bookmarkEnd w:id="732"/>
      <w:bookmarkEnd w:id="733"/>
      <w:bookmarkEnd w:id="734"/>
      <w:bookmarkEnd w:id="735"/>
      <w:bookmarkEnd w:id="736"/>
    </w:p>
    <w:p w14:paraId="5F3FC86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4E5C18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737" w:name="_Toc2016"/>
      <w:bookmarkStart w:id="738" w:name="_Toc25751"/>
      <w:bookmarkStart w:id="739" w:name="_Toc23323"/>
      <w:bookmarkStart w:id="740" w:name="_Toc1123"/>
      <w:bookmarkStart w:id="741" w:name="_Toc1745"/>
      <w:bookmarkStart w:id="742" w:name="_Toc3738"/>
      <w:r>
        <w:rPr>
          <w:rFonts w:hint="eastAsia" w:ascii="微软雅黑" w:hAnsi="微软雅黑" w:eastAsia="微软雅黑" w:cs="微软雅黑"/>
          <w:b/>
          <w:bCs/>
          <w:color w:val="auto"/>
          <w:sz w:val="24"/>
          <w:szCs w:val="24"/>
          <w:highlight w:val="none"/>
          <w:lang w:val="en-US" w:eastAsia="zh-CN"/>
        </w:rPr>
        <w:t>2.14 合同中止、终止</w:t>
      </w:r>
      <w:bookmarkEnd w:id="737"/>
      <w:bookmarkEnd w:id="738"/>
      <w:bookmarkEnd w:id="739"/>
      <w:bookmarkEnd w:id="740"/>
      <w:bookmarkEnd w:id="741"/>
      <w:bookmarkEnd w:id="742"/>
    </w:p>
    <w:p w14:paraId="4D498F7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2.14.1 双方当事人不得擅自中止或者终止合同；</w:t>
      </w:r>
    </w:p>
    <w:p w14:paraId="407C1E6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2.14.2合同继续履行将损害国家利益和社会公共利益的，双方当事人应当中止或者终止合同。有过错的一方应当承担赔偿责任，双方当事人都有过错的，各自承担相应的责任。</w:t>
      </w:r>
    </w:p>
    <w:p w14:paraId="68DDD38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43" w:name="_Toc25038"/>
      <w:bookmarkStart w:id="744" w:name="_Toc14525"/>
      <w:bookmarkStart w:id="745" w:name="_Toc23102"/>
      <w:bookmarkStart w:id="746" w:name="_Toc17363"/>
      <w:bookmarkStart w:id="747" w:name="_Toc1969"/>
      <w:bookmarkStart w:id="748" w:name="_Toc12835"/>
      <w:r>
        <w:rPr>
          <w:rFonts w:hint="eastAsia" w:ascii="微软雅黑" w:hAnsi="微软雅黑" w:eastAsia="微软雅黑" w:cs="微软雅黑"/>
          <w:b/>
          <w:bCs/>
          <w:color w:val="auto"/>
          <w:sz w:val="24"/>
          <w:szCs w:val="24"/>
          <w:highlight w:val="none"/>
          <w:lang w:val="en-US" w:eastAsia="zh-CN"/>
        </w:rPr>
        <w:t>2.15 检验和验收</w:t>
      </w:r>
      <w:bookmarkEnd w:id="743"/>
      <w:bookmarkEnd w:id="744"/>
      <w:bookmarkEnd w:id="745"/>
      <w:bookmarkEnd w:id="746"/>
      <w:bookmarkEnd w:id="747"/>
      <w:bookmarkEnd w:id="748"/>
    </w:p>
    <w:p w14:paraId="3BCE84C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2.15.1 乙方按照合同专用条款的约定，定期提交服务报告，甲方按照合同专用条款的约定进行定期验收；</w:t>
      </w:r>
    </w:p>
    <w:p w14:paraId="1D082A7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1F5159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2.15.3 检验和验收标准、程序等具体内容以及前述验收书的效力详见</w:t>
      </w:r>
      <w:r>
        <w:rPr>
          <w:rFonts w:hint="eastAsia" w:ascii="微软雅黑" w:hAnsi="微软雅黑" w:eastAsia="微软雅黑" w:cs="微软雅黑"/>
          <w:b/>
          <w:bCs/>
          <w:i/>
          <w:iCs/>
          <w:color w:val="auto"/>
          <w:sz w:val="24"/>
          <w:szCs w:val="24"/>
          <w:highlight w:val="none"/>
          <w:u w:val="single"/>
          <w:lang w:val="en-US" w:eastAsia="zh-CN"/>
        </w:rPr>
        <w:t>合同专用条款</w:t>
      </w:r>
      <w:r>
        <w:rPr>
          <w:rFonts w:hint="eastAsia" w:ascii="微软雅黑" w:hAnsi="微软雅黑" w:eastAsia="微软雅黑" w:cs="微软雅黑"/>
          <w:color w:val="auto"/>
          <w:sz w:val="24"/>
          <w:szCs w:val="24"/>
          <w:highlight w:val="none"/>
          <w:lang w:val="en-US" w:eastAsia="zh-CN"/>
        </w:rPr>
        <w:t>。</w:t>
      </w:r>
    </w:p>
    <w:bookmarkEnd w:id="692"/>
    <w:bookmarkEnd w:id="693"/>
    <w:bookmarkEnd w:id="694"/>
    <w:bookmarkEnd w:id="695"/>
    <w:p w14:paraId="062E50F5">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749" w:name="_Toc487900371"/>
      <w:bookmarkStart w:id="750" w:name="_Toc279701261"/>
      <w:bookmarkStart w:id="751" w:name="_Toc259093690"/>
      <w:bookmarkStart w:id="752" w:name="_Toc2308"/>
      <w:bookmarkStart w:id="753" w:name="_Toc23562"/>
      <w:bookmarkStart w:id="754" w:name="_Toc31892"/>
      <w:bookmarkStart w:id="755" w:name="_Toc10474"/>
      <w:bookmarkStart w:id="756" w:name="_Toc9808"/>
      <w:bookmarkStart w:id="757" w:name="_Toc9719"/>
      <w:bookmarkStart w:id="758" w:name="_Toc12666"/>
      <w:bookmarkStart w:id="759" w:name="_Toc25198"/>
      <w:r>
        <w:rPr>
          <w:rFonts w:hint="eastAsia" w:ascii="微软雅黑" w:hAnsi="微软雅黑" w:eastAsia="微软雅黑" w:cs="微软雅黑"/>
          <w:b/>
          <w:bCs/>
          <w:color w:val="auto"/>
          <w:sz w:val="24"/>
          <w:szCs w:val="24"/>
          <w:highlight w:val="none"/>
          <w:lang w:val="en-US" w:eastAsia="zh-CN"/>
        </w:rPr>
        <w:t>2.16 通知</w:t>
      </w:r>
      <w:bookmarkEnd w:id="749"/>
      <w:bookmarkEnd w:id="750"/>
      <w:bookmarkEnd w:id="751"/>
      <w:r>
        <w:rPr>
          <w:rFonts w:hint="eastAsia" w:ascii="微软雅黑" w:hAnsi="微软雅黑" w:eastAsia="微软雅黑" w:cs="微软雅黑"/>
          <w:b/>
          <w:bCs/>
          <w:color w:val="auto"/>
          <w:sz w:val="24"/>
          <w:szCs w:val="24"/>
          <w:highlight w:val="none"/>
          <w:lang w:val="en-US" w:eastAsia="zh-CN"/>
        </w:rPr>
        <w:t>和送达</w:t>
      </w:r>
      <w:bookmarkEnd w:id="752"/>
      <w:bookmarkEnd w:id="753"/>
      <w:bookmarkEnd w:id="754"/>
      <w:bookmarkEnd w:id="755"/>
      <w:bookmarkEnd w:id="756"/>
      <w:bookmarkEnd w:id="757"/>
      <w:bookmarkEnd w:id="758"/>
      <w:bookmarkEnd w:id="759"/>
    </w:p>
    <w:p w14:paraId="227CCA0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60" w:name="_Toc29220"/>
      <w:bookmarkStart w:id="761" w:name="_Toc7073"/>
      <w:bookmarkStart w:id="762" w:name="_Toc259093691"/>
      <w:bookmarkStart w:id="763" w:name="_Toc279701262"/>
      <w:bookmarkStart w:id="764" w:name="_Toc487900372"/>
      <w:r>
        <w:rPr>
          <w:rFonts w:hint="eastAsia" w:ascii="微软雅黑" w:hAnsi="微软雅黑" w:eastAsia="微软雅黑" w:cs="微软雅黑"/>
          <w:color w:val="auto"/>
          <w:sz w:val="24"/>
          <w:szCs w:val="24"/>
          <w:highlight w:val="none"/>
          <w:lang w:val="en-US" w:eastAsia="zh-CN"/>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60"/>
      <w:bookmarkEnd w:id="761"/>
    </w:p>
    <w:p w14:paraId="726A235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65" w:name="_Toc18401"/>
      <w:bookmarkStart w:id="766" w:name="_Toc27674"/>
      <w:r>
        <w:rPr>
          <w:rFonts w:hint="eastAsia" w:ascii="微软雅黑" w:hAnsi="微软雅黑" w:eastAsia="微软雅黑" w:cs="微软雅黑"/>
          <w:color w:val="auto"/>
          <w:sz w:val="24"/>
          <w:szCs w:val="24"/>
          <w:highlight w:val="none"/>
          <w:lang w:val="en-US"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65"/>
      <w:bookmarkEnd w:id="766"/>
    </w:p>
    <w:bookmarkEnd w:id="762"/>
    <w:bookmarkEnd w:id="763"/>
    <w:bookmarkEnd w:id="764"/>
    <w:p w14:paraId="11CEDD6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67" w:name="_Toc487900373"/>
      <w:bookmarkStart w:id="768" w:name="_Toc21502"/>
      <w:bookmarkStart w:id="769" w:name="_Toc6945"/>
      <w:bookmarkStart w:id="770" w:name="_Toc12254"/>
      <w:bookmarkStart w:id="771" w:name="_Toc5063"/>
      <w:bookmarkStart w:id="772" w:name="_Toc27644"/>
      <w:bookmarkStart w:id="773" w:name="_Toc17504"/>
      <w:bookmarkStart w:id="774" w:name="_Toc259093692"/>
      <w:bookmarkStart w:id="775" w:name="_Toc279701263"/>
      <w:bookmarkStart w:id="776" w:name="_Toc20808"/>
      <w:bookmarkStart w:id="777" w:name="_Toc28906"/>
      <w:r>
        <w:rPr>
          <w:rFonts w:hint="eastAsia" w:ascii="微软雅黑" w:hAnsi="微软雅黑" w:eastAsia="微软雅黑" w:cs="微软雅黑"/>
          <w:b/>
          <w:bCs/>
          <w:color w:val="auto"/>
          <w:sz w:val="24"/>
          <w:szCs w:val="24"/>
          <w:highlight w:val="none"/>
          <w:lang w:val="en-US" w:eastAsia="zh-CN"/>
        </w:rPr>
        <w:t>2.17 合同使用的文字和适用的法律</w:t>
      </w:r>
      <w:bookmarkEnd w:id="767"/>
      <w:bookmarkEnd w:id="768"/>
      <w:bookmarkEnd w:id="769"/>
      <w:bookmarkEnd w:id="770"/>
      <w:bookmarkEnd w:id="771"/>
      <w:bookmarkEnd w:id="772"/>
      <w:bookmarkEnd w:id="773"/>
      <w:bookmarkEnd w:id="774"/>
      <w:bookmarkEnd w:id="775"/>
      <w:bookmarkEnd w:id="776"/>
      <w:bookmarkEnd w:id="777"/>
    </w:p>
    <w:p w14:paraId="0B22F60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2.17.1 合同使用汉语书就、变更和解释；</w:t>
      </w:r>
    </w:p>
    <w:p w14:paraId="64D3CD4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2.17.2合同适用中华人民共和国法律。</w:t>
      </w:r>
    </w:p>
    <w:p w14:paraId="7C1D321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778" w:name="_Toc16424"/>
      <w:bookmarkStart w:id="779" w:name="_Toc1492"/>
      <w:bookmarkStart w:id="780" w:name="_Toc4294"/>
      <w:bookmarkStart w:id="781" w:name="_Toc11459"/>
      <w:bookmarkStart w:id="782" w:name="_Toc22266"/>
      <w:bookmarkStart w:id="783" w:name="_Toc279701264"/>
      <w:bookmarkStart w:id="784" w:name="_Toc27127"/>
      <w:bookmarkStart w:id="785" w:name="_Toc27403"/>
      <w:bookmarkStart w:id="786" w:name="_Toc30096"/>
      <w:bookmarkStart w:id="787" w:name="_Toc259093693"/>
      <w:bookmarkStart w:id="788" w:name="_Toc487900374"/>
      <w:r>
        <w:rPr>
          <w:rFonts w:hint="eastAsia" w:ascii="微软雅黑" w:hAnsi="微软雅黑" w:eastAsia="微软雅黑" w:cs="微软雅黑"/>
          <w:b/>
          <w:bCs/>
          <w:color w:val="auto"/>
          <w:sz w:val="24"/>
          <w:szCs w:val="24"/>
          <w:highlight w:val="none"/>
          <w:lang w:val="en-US" w:eastAsia="zh-CN"/>
        </w:rPr>
        <w:t>2.18 履约保证金</w:t>
      </w:r>
      <w:bookmarkEnd w:id="778"/>
      <w:bookmarkEnd w:id="779"/>
      <w:bookmarkEnd w:id="780"/>
      <w:bookmarkEnd w:id="781"/>
      <w:bookmarkEnd w:id="782"/>
      <w:bookmarkEnd w:id="783"/>
      <w:bookmarkEnd w:id="784"/>
      <w:bookmarkEnd w:id="785"/>
      <w:bookmarkEnd w:id="786"/>
      <w:bookmarkEnd w:id="787"/>
    </w:p>
    <w:p w14:paraId="0169B32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2.18.1 采购文件要求乙方提交履约保证金的，乙方应按</w:t>
      </w:r>
      <w:r>
        <w:rPr>
          <w:rFonts w:hint="eastAsia" w:ascii="微软雅黑" w:hAnsi="微软雅黑" w:eastAsia="微软雅黑" w:cs="微软雅黑"/>
          <w:b/>
          <w:bCs/>
          <w:i/>
          <w:iCs/>
          <w:color w:val="auto"/>
          <w:sz w:val="24"/>
          <w:szCs w:val="24"/>
          <w:highlight w:val="none"/>
          <w:u w:val="single"/>
          <w:lang w:val="en-US" w:eastAsia="zh-CN"/>
        </w:rPr>
        <w:t>合同专用条款</w:t>
      </w:r>
      <w:r>
        <w:rPr>
          <w:rFonts w:hint="eastAsia" w:ascii="微软雅黑" w:hAnsi="微软雅黑" w:eastAsia="微软雅黑" w:cs="微软雅黑"/>
          <w:color w:val="auto"/>
          <w:sz w:val="24"/>
          <w:szCs w:val="24"/>
          <w:highlight w:val="none"/>
          <w:lang w:val="en-US" w:eastAsia="zh-CN"/>
        </w:rPr>
        <w:t>约定的方式，以支票、汇票、本票或者金融机构、担保机构出具的保函等非现金形式，提交不超过合同价10%的履约保证金；</w:t>
      </w:r>
    </w:p>
    <w:p w14:paraId="722ECF4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2.18.2 履约保证金在</w:t>
      </w:r>
      <w:r>
        <w:rPr>
          <w:rFonts w:hint="eastAsia" w:ascii="微软雅黑" w:hAnsi="微软雅黑" w:eastAsia="微软雅黑" w:cs="微软雅黑"/>
          <w:b/>
          <w:bCs/>
          <w:i/>
          <w:iCs/>
          <w:color w:val="auto"/>
          <w:sz w:val="24"/>
          <w:szCs w:val="24"/>
          <w:highlight w:val="none"/>
          <w:u w:val="single"/>
          <w:lang w:val="en-US" w:eastAsia="zh-CN"/>
        </w:rPr>
        <w:t>合同专用条款</w:t>
      </w:r>
      <w:r>
        <w:rPr>
          <w:rFonts w:hint="eastAsia" w:ascii="微软雅黑" w:hAnsi="微软雅黑" w:eastAsia="微软雅黑" w:cs="微软雅黑"/>
          <w:color w:val="auto"/>
          <w:sz w:val="24"/>
          <w:szCs w:val="24"/>
          <w:highlight w:val="none"/>
          <w:lang w:val="en-US" w:eastAsia="zh-CN"/>
        </w:rPr>
        <w:t>约定期间内不予退还或者应完全有效，前述约定期间届满之日起个工作日内，甲方应将履约保证金退还乙方；</w:t>
      </w:r>
    </w:p>
    <w:p w14:paraId="7078E70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88"/>
    <w:p w14:paraId="231E759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合同份数按</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b/>
          <w:bCs/>
          <w:i/>
          <w:iCs/>
          <w:color w:val="auto"/>
          <w:sz w:val="24"/>
          <w:szCs w:val="24"/>
          <w:highlight w:val="none"/>
          <w:u w:val="single"/>
          <w:lang w:val="en-US" w:eastAsia="zh-CN"/>
        </w:rPr>
        <w:t xml:space="preserve">合同专用条款 </w:t>
      </w:r>
      <w:r>
        <w:rPr>
          <w:rFonts w:hint="eastAsia" w:ascii="微软雅黑" w:hAnsi="微软雅黑" w:eastAsia="微软雅黑" w:cs="微软雅黑"/>
          <w:color w:val="auto"/>
          <w:sz w:val="24"/>
          <w:szCs w:val="24"/>
          <w:highlight w:val="none"/>
          <w:lang w:val="en-US" w:eastAsia="zh-CN"/>
        </w:rPr>
        <w:t>规定，每份均具有同等法律效力。</w:t>
      </w:r>
    </w:p>
    <w:p w14:paraId="522E09D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br w:type="page"/>
      </w:r>
      <w:bookmarkStart w:id="789" w:name="_Toc30365"/>
      <w:bookmarkStart w:id="790" w:name="_Toc14757"/>
      <w:bookmarkStart w:id="791" w:name="_Toc331685784"/>
      <w:r>
        <w:rPr>
          <w:rFonts w:hint="eastAsia" w:ascii="微软雅黑" w:hAnsi="微软雅黑" w:eastAsia="微软雅黑" w:cs="微软雅黑"/>
          <w:b/>
          <w:bCs/>
          <w:color w:val="auto"/>
          <w:sz w:val="24"/>
          <w:szCs w:val="24"/>
          <w:highlight w:val="none"/>
          <w:lang w:val="en-US" w:eastAsia="zh-CN"/>
        </w:rPr>
        <w:t>第三部分合同专用条款</w:t>
      </w:r>
      <w:bookmarkEnd w:id="789"/>
      <w:bookmarkEnd w:id="790"/>
      <w:bookmarkEnd w:id="791"/>
    </w:p>
    <w:p w14:paraId="06518DE0">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97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944"/>
      </w:tblGrid>
      <w:tr w14:paraId="1106A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801" w:type="dxa"/>
            <w:tcBorders>
              <w:left w:val="single" w:color="auto" w:sz="4" w:space="0"/>
            </w:tcBorders>
            <w:vAlign w:val="center"/>
          </w:tcPr>
          <w:p w14:paraId="199B5576">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条款号</w:t>
            </w:r>
          </w:p>
        </w:tc>
        <w:tc>
          <w:tcPr>
            <w:tcW w:w="8944" w:type="dxa"/>
            <w:vAlign w:val="center"/>
          </w:tcPr>
          <w:p w14:paraId="54D0AFC1">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约定内容</w:t>
            </w:r>
          </w:p>
        </w:tc>
      </w:tr>
      <w:tr w14:paraId="324A9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3BF2211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24F9A47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57395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6028FE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2741CC8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2BAFE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FF0ED5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4CFDAED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34161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76295A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427510B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5B9B1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49EE8E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4D43953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58D12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DA59C2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03067D9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2C042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D0772C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7ECC863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37F01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01CD946">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6ADB06A3">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2F3FB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AE56F1F">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748483D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675E9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451713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5F11508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62711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75DDF0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4E41FD9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14:paraId="27DFA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AE54E3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14:paraId="706190C7">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bl>
    <w:p w14:paraId="4B48112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78F43EE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633AEB6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14:paraId="5A2957A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p>
    <w:p w14:paraId="3B03FE01">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p>
    <w:p w14:paraId="2AF259E6">
      <w:pPr>
        <w:keepNext w:val="0"/>
        <w:keepLines w:val="0"/>
        <w:pageBreakBefore w:val="0"/>
        <w:widowControl w:val="0"/>
        <w:kinsoku/>
        <w:wordWrap/>
        <w:overflowPunct/>
        <w:topLinePunct w:val="0"/>
        <w:autoSpaceDE/>
        <w:autoSpaceDN/>
        <w:bidi w:val="0"/>
        <w:adjustRightInd/>
        <w:snapToGrid w:val="0"/>
        <w:spacing w:line="360" w:lineRule="auto"/>
        <w:ind w:right="0" w:rightChars="0" w:firstLine="640" w:firstLineChars="200"/>
        <w:jc w:val="center"/>
        <w:textAlignment w:val="auto"/>
        <w:rPr>
          <w:rFonts w:hint="eastAsia" w:ascii="微软雅黑" w:hAnsi="微软雅黑" w:eastAsia="微软雅黑" w:cs="微软雅黑"/>
          <w:b/>
          <w:bCs/>
          <w:color w:val="auto"/>
          <w:sz w:val="32"/>
          <w:szCs w:val="32"/>
          <w:highlight w:val="none"/>
          <w:lang w:val="en-US" w:eastAsia="zh-CN"/>
        </w:rPr>
      </w:pPr>
    </w:p>
    <w:p w14:paraId="5A08FD79">
      <w:pPr>
        <w:keepNext w:val="0"/>
        <w:keepLines w:val="0"/>
        <w:pageBreakBefore w:val="0"/>
        <w:widowControl w:val="0"/>
        <w:kinsoku/>
        <w:wordWrap/>
        <w:overflowPunct/>
        <w:topLinePunct w:val="0"/>
        <w:autoSpaceDE/>
        <w:autoSpaceDN/>
        <w:bidi w:val="0"/>
        <w:adjustRightInd/>
        <w:snapToGrid w:val="0"/>
        <w:spacing w:line="360" w:lineRule="auto"/>
        <w:ind w:right="0" w:rightChars="0" w:firstLine="64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32"/>
          <w:szCs w:val="32"/>
          <w:highlight w:val="none"/>
          <w:lang w:val="en-US" w:eastAsia="zh-CN"/>
        </w:rPr>
        <w:t>安 全 协 议 书</w:t>
      </w:r>
    </w:p>
    <w:p w14:paraId="1315578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zh-CN" w:eastAsia="zh-CN"/>
        </w:rPr>
        <w:t>根据《</w:t>
      </w:r>
      <w:r>
        <w:rPr>
          <w:rFonts w:hint="eastAsia" w:ascii="微软雅黑" w:hAnsi="微软雅黑" w:eastAsia="微软雅黑" w:cs="微软雅黑"/>
          <w:color w:val="auto"/>
          <w:sz w:val="24"/>
          <w:szCs w:val="24"/>
          <w:highlight w:val="none"/>
          <w:lang w:val="en-US" w:eastAsia="zh-CN"/>
        </w:rPr>
        <w:t>民法典</w:t>
      </w:r>
      <w:r>
        <w:rPr>
          <w:rFonts w:hint="eastAsia" w:ascii="微软雅黑" w:hAnsi="微软雅黑" w:eastAsia="微软雅黑" w:cs="微软雅黑"/>
          <w:color w:val="auto"/>
          <w:sz w:val="24"/>
          <w:szCs w:val="24"/>
          <w:highlight w:val="none"/>
          <w:lang w:val="zh-CN" w:eastAsia="zh-CN"/>
        </w:rPr>
        <w:t>》等相关法律法规之规定，按照平等、自愿、公平和诚实信用的原则，经</w:t>
      </w:r>
      <w:r>
        <w:rPr>
          <w:rFonts w:hint="eastAsia" w:ascii="微软雅黑" w:hAnsi="微软雅黑" w:eastAsia="微软雅黑" w:cs="微软雅黑"/>
          <w:color w:val="auto"/>
          <w:sz w:val="24"/>
          <w:szCs w:val="24"/>
          <w:highlight w:val="none"/>
          <w:lang w:val="en-US" w:eastAsia="zh-CN"/>
        </w:rPr>
        <w:t xml:space="preserve">   （采购人名称）   </w:t>
      </w:r>
      <w:r>
        <w:rPr>
          <w:rFonts w:hint="eastAsia" w:ascii="微软雅黑" w:hAnsi="微软雅黑" w:eastAsia="微软雅黑" w:cs="微软雅黑"/>
          <w:color w:val="auto"/>
          <w:sz w:val="24"/>
          <w:szCs w:val="24"/>
          <w:highlight w:val="none"/>
          <w:lang w:val="zh-CN" w:eastAsia="zh-CN"/>
        </w:rPr>
        <w:t>(以下简称：甲方)和</w:t>
      </w:r>
      <w:r>
        <w:rPr>
          <w:rFonts w:hint="eastAsia" w:ascii="微软雅黑" w:hAnsi="微软雅黑" w:eastAsia="微软雅黑" w:cs="微软雅黑"/>
          <w:color w:val="auto"/>
          <w:sz w:val="24"/>
          <w:szCs w:val="24"/>
          <w:highlight w:val="none"/>
          <w:lang w:val="en-US" w:eastAsia="zh-CN"/>
        </w:rPr>
        <w:t xml:space="preserve">   （中标投标人名称）   </w:t>
      </w:r>
      <w:r>
        <w:rPr>
          <w:rFonts w:hint="eastAsia" w:ascii="微软雅黑" w:hAnsi="微软雅黑" w:eastAsia="微软雅黑" w:cs="微软雅黑"/>
          <w:color w:val="auto"/>
          <w:sz w:val="24"/>
          <w:szCs w:val="24"/>
          <w:highlight w:val="none"/>
          <w:lang w:val="zh-CN" w:eastAsia="zh-CN"/>
        </w:rPr>
        <w:t>(以下简称：乙方)协商一致，约定以下协议</w:t>
      </w:r>
      <w:r>
        <w:rPr>
          <w:rFonts w:hint="eastAsia" w:ascii="微软雅黑" w:hAnsi="微软雅黑" w:eastAsia="微软雅黑" w:cs="微软雅黑"/>
          <w:color w:val="auto"/>
          <w:sz w:val="24"/>
          <w:szCs w:val="24"/>
          <w:highlight w:val="none"/>
          <w:lang w:val="en-US" w:eastAsia="zh-CN"/>
        </w:rPr>
        <w:t>条款，以兹共同遵守、全面履行。</w:t>
      </w:r>
    </w:p>
    <w:p w14:paraId="655F4BF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由    （中标投标人名称） 中标组织的：  （项目名称+第N期），出发时间：     年    月    日，返回时间：    年   月   日。本期参与活动人数：    人，乙方须将 《安全须知》 告知每位服务对象并填写 《身体健康情况表》 ，并对参与本期交流活动的    人作相关安全责任承诺如下：</w:t>
      </w:r>
    </w:p>
    <w:p w14:paraId="7E95A73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1.项目实施过程须了解关注服务对象的身体健康情况，并承诺能够完成此次活动的全部行程并按期返回。</w:t>
      </w:r>
    </w:p>
    <w:p w14:paraId="1ECED0A2">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如因项目实施过程中出现组织纰漏导致意外事件发生，由乙方承担因此而产生的全部后果，并承担相应赔偿责任；如因服务对象本人未按要求如实告知相关健康情况或隐瞒自身健康的真实情况及意识性错误导致的意外伤害事故，由其本人承担因此而产生的全部后果；如因第三方责任造成的意外伤害事故，追偿事宜由乙方及其本人共同承担。</w:t>
      </w:r>
    </w:p>
    <w:p w14:paraId="42FF322B">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3.项目实施过程中服务对象乘坐飞机时间较长，当地乘车路途较远且行程时间较长，为参与本项目活动的每一位服务对象购买意外保险           元，保险期间从活动开始之日起，直至活动结束之日止。</w:t>
      </w:r>
    </w:p>
    <w:p w14:paraId="67ED0D3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以上承诺内容是对本项目采购合同的补充，如果与采购合同的约定不一致，应以本协议的约定为准。如违反该协议条款，依照主合同追究违约责任。</w:t>
      </w:r>
    </w:p>
    <w:p w14:paraId="76C29C0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en-US" w:eastAsia="zh-CN"/>
        </w:rPr>
        <w:t>本合同自双方当事人盖章或者签字时生效。</w:t>
      </w:r>
    </w:p>
    <w:p w14:paraId="6F095504">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b/>
          <w:bCs/>
          <w:color w:val="auto"/>
          <w:sz w:val="24"/>
          <w:szCs w:val="24"/>
          <w:highlight w:val="none"/>
          <w:lang w:val="zh-CN" w:eastAsia="zh-CN"/>
        </w:rPr>
        <w:t>甲方</w:t>
      </w:r>
      <w:r>
        <w:rPr>
          <w:rFonts w:hint="eastAsia" w:ascii="微软雅黑" w:hAnsi="微软雅黑" w:eastAsia="微软雅黑" w:cs="微软雅黑"/>
          <w:color w:val="auto"/>
          <w:sz w:val="24"/>
          <w:szCs w:val="24"/>
          <w:highlight w:val="none"/>
          <w:lang w:val="zh-CN" w:eastAsia="zh-CN"/>
        </w:rPr>
        <w:t xml:space="preserve">：                                   </w:t>
      </w:r>
      <w:r>
        <w:rPr>
          <w:rFonts w:hint="eastAsia" w:ascii="微软雅黑" w:hAnsi="微软雅黑" w:eastAsia="微软雅黑" w:cs="微软雅黑"/>
          <w:b/>
          <w:bCs/>
          <w:color w:val="auto"/>
          <w:sz w:val="24"/>
          <w:szCs w:val="24"/>
          <w:highlight w:val="none"/>
          <w:lang w:val="zh-CN" w:eastAsia="zh-CN"/>
        </w:rPr>
        <w:t>乙方</w:t>
      </w:r>
      <w:r>
        <w:rPr>
          <w:rFonts w:hint="eastAsia" w:ascii="微软雅黑" w:hAnsi="微软雅黑" w:eastAsia="微软雅黑" w:cs="微软雅黑"/>
          <w:color w:val="auto"/>
          <w:sz w:val="24"/>
          <w:szCs w:val="24"/>
          <w:highlight w:val="none"/>
          <w:lang w:val="zh-CN" w:eastAsia="zh-CN"/>
        </w:rPr>
        <w:t>：</w:t>
      </w:r>
    </w:p>
    <w:p w14:paraId="13629CAA">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统一社会信用代码：                       统一社会信用代码：</w:t>
      </w:r>
    </w:p>
    <w:p w14:paraId="45410188">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住所：                                   住所：</w:t>
      </w:r>
    </w:p>
    <w:p w14:paraId="3B40BC4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法定代表人或                             法定代表人</w:t>
      </w:r>
    </w:p>
    <w:p w14:paraId="03492199">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 xml:space="preserve">授权代表（签字）：                       或授权代表（签字）: </w:t>
      </w:r>
    </w:p>
    <w:p w14:paraId="7F627EBE">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联系人：                                 联系人：</w:t>
      </w:r>
    </w:p>
    <w:p w14:paraId="54A5AC7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 xml:space="preserve">电话: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val="zh-CN" w:eastAsia="zh-CN"/>
        </w:rPr>
        <w:t xml:space="preserve">电话: </w:t>
      </w:r>
    </w:p>
    <w:p w14:paraId="57B7A9C1">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sectPr>
      <w:pgSz w:w="11907" w:h="16840"/>
      <w:pgMar w:top="1134" w:right="1080" w:bottom="1134" w:left="1080" w:header="851" w:footer="850" w:gutter="0"/>
      <w:pgBorders>
        <w:top w:val="none" w:sz="0" w:space="0"/>
        <w:left w:val="none" w:sz="0" w:space="0"/>
        <w:bottom w:val="none" w:sz="0" w:space="0"/>
        <w:right w:val="none" w:sz="0" w:space="0"/>
      </w:pgBorders>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098E">
    <w:pPr>
      <w:pStyle w:val="21"/>
      <w:ind w:right="360" w:firstLine="360"/>
      <w:jc w:val="right"/>
      <w:rPr>
        <w:color w:val="FF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0E55">
    <w:pPr>
      <w:pStyle w:val="21"/>
      <w:framePr w:wrap="around" w:vAnchor="text" w:hAnchor="margin" w:xAlign="center" w:y="1"/>
      <w:rPr>
        <w:rStyle w:val="48"/>
      </w:rPr>
    </w:pPr>
    <w:r>
      <w:fldChar w:fldCharType="begin"/>
    </w:r>
    <w:r>
      <w:rPr>
        <w:rStyle w:val="48"/>
      </w:rPr>
      <w:instrText xml:space="preserve">PAGE  </w:instrText>
    </w:r>
    <w:r>
      <w:fldChar w:fldCharType="end"/>
    </w:r>
  </w:p>
  <w:p w14:paraId="57121221">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3C409">
    <w:pPr>
      <w:pStyle w:val="21"/>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FC57A">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96FC57A">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3BC">
    <w:pPr>
      <w:pStyle w:val="21"/>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D7D52">
                          <w:pPr>
                            <w:pStyle w:val="21"/>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F1D7D52">
                    <w:pPr>
                      <w:pStyle w:val="21"/>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F18A">
    <w:pPr>
      <w:pStyle w:val="2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3204A">
                          <w:pPr>
                            <w:pStyle w:val="21"/>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E3204A">
                    <w:pPr>
                      <w:pStyle w:val="21"/>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p w14:paraId="117006B3">
    <w:pPr>
      <w:pStyle w:val="21"/>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75CA7">
    <w:pPr>
      <w:pStyle w:val="21"/>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7409F">
                          <w:pPr>
                            <w:pStyle w:val="21"/>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B57409F">
                    <w:pPr>
                      <w:pStyle w:val="21"/>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p w14:paraId="53ECB4E0">
    <w:pPr>
      <w:pStyle w:val="21"/>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E3AB">
    <w:pPr>
      <w:pStyle w:val="2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D32C1">
                          <w:pPr>
                            <w:pStyle w:val="21"/>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7AD32C1">
                    <w:pPr>
                      <w:pStyle w:val="21"/>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67694">
    <w:pPr>
      <w:pStyle w:val="21"/>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8E6D7">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98E6D7">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1AD8">
    <w:pPr>
      <w:pStyle w:val="21"/>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36DAA">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4336DAA">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62D7">
    <w:pPr>
      <w:pStyle w:val="21"/>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9DDAB">
                          <w:pPr>
                            <w:pStyle w:val="21"/>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79DDAB">
                    <w:pPr>
                      <w:pStyle w:val="21"/>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D70E">
    <w:pPr>
      <w:pStyle w:val="21"/>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8964B">
                          <w:pPr>
                            <w:pStyle w:val="21"/>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BE8964B">
                    <w:pPr>
                      <w:pStyle w:val="21"/>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F297">
    <w:pPr>
      <w:pStyle w:val="21"/>
      <w:ind w:right="360" w:firstLine="360"/>
      <w:jc w:val="right"/>
      <w:rPr>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E862">
    <w:pPr>
      <w:pStyle w:val="21"/>
      <w:tabs>
        <w:tab w:val="center" w:pos="4156"/>
        <w:tab w:val="right" w:pos="8072"/>
      </w:tabs>
      <w:ind w:right="360" w:firstLine="360"/>
      <w:jc w:val="left"/>
      <w:rPr>
        <w:color w:val="FF0000"/>
      </w:rPr>
    </w:pPr>
    <w:r>
      <w:rPr>
        <w:rFonts w:hint="eastAsia"/>
        <w:color w:val="FF0000"/>
        <w:lang w:eastAsia="zh-CN"/>
      </w:rPr>
      <w:tab/>
    </w:r>
    <w:r>
      <w:rPr>
        <w:rFonts w:hint="eastAsia"/>
        <w:color w:val="FF0000"/>
        <w:lang w:eastAsia="zh-CN"/>
      </w:rPr>
      <w:tab/>
    </w:r>
    <w:r>
      <w:rPr>
        <w:rFonts w:hint="eastAsia"/>
        <w:color w:val="FF0000"/>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CF5BD">
    <w:pPr>
      <w:pStyle w:val="21"/>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66C1">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DE66C1">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C883B">
    <w:pPr>
      <w:pStyle w:val="2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3DF5A">
                          <w:pPr>
                            <w:pStyle w:val="2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03DF5A">
                    <w:pPr>
                      <w:pStyle w:val="2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F8F2">
    <w:pPr>
      <w:pStyle w:val="21"/>
      <w:tabs>
        <w:tab w:val="center" w:pos="4819"/>
        <w:tab w:val="right" w:pos="9398"/>
      </w:tabs>
      <w:ind w:right="360" w:firstLine="360"/>
      <w:jc w:val="lef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F1637">
                          <w:pPr>
                            <w:pStyle w:val="21"/>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4F1637">
                    <w:pPr>
                      <w:pStyle w:val="21"/>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4A86">
    <w:pPr>
      <w:pStyle w:val="2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30507">
                          <w:pPr>
                            <w:pStyle w:val="2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630507">
                    <w:pPr>
                      <w:pStyle w:val="2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p w14:paraId="41DC6F3A">
    <w:pPr>
      <w:pStyle w:val="21"/>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8F3D">
    <w:pPr>
      <w:pStyle w:val="21"/>
      <w:ind w:right="360" w:firstLine="360"/>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8C25E">
                          <w:pPr>
                            <w:pStyle w:val="2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68C25E">
                    <w:pPr>
                      <w:pStyle w:val="2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13FB">
    <w:pPr>
      <w:pStyle w:val="21"/>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6AED6">
                          <w:pPr>
                            <w:pStyle w:val="2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D16AED6">
                    <w:pPr>
                      <w:pStyle w:val="2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5F06">
    <w:pPr>
      <w:pStyle w:val="22"/>
      <w:pBdr>
        <w:bottom w:val="none" w:color="auto" w:sz="0" w:space="1"/>
      </w:pBdr>
      <w:tabs>
        <w:tab w:val="left" w:pos="1794"/>
        <w:tab w:val="clear" w:pos="4153"/>
      </w:tabs>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AA55">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2F44">
    <w:pPr>
      <w:pStyle w:val="22"/>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2CA8">
    <w:pPr>
      <w:pStyle w:val="22"/>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6A30">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AE16">
    <w:pPr>
      <w:pStyle w:val="22"/>
      <w:pBdr>
        <w:bottom w:val="none" w:color="auto" w:sz="0" w:space="0"/>
      </w:pBdr>
      <w:tabs>
        <w:tab w:val="left" w:pos="1959"/>
        <w:tab w:val="clear" w:pos="4153"/>
      </w:tabs>
      <w:jc w:val="both"/>
    </w:pPr>
    <w:r>
      <w:rPr>
        <w:rFonts w:hint="eastAsia"/>
      </w:rPr>
      <w:tab/>
    </w:r>
  </w:p>
  <w:p w14:paraId="73CED931">
    <w:pPr>
      <w:pStyle w:val="22"/>
      <w:pBdr>
        <w:bottom w:val="none" w:color="auto" w:sz="0" w:space="0"/>
      </w:pBdr>
      <w:tabs>
        <w:tab w:val="left" w:pos="1959"/>
        <w:tab w:val="clear" w:pos="4153"/>
      </w:tabs>
      <w:jc w:val="both"/>
    </w:pPr>
  </w:p>
  <w:p w14:paraId="0C472B9D">
    <w:pPr>
      <w:pStyle w:val="22"/>
      <w:pBdr>
        <w:bottom w:val="none" w:color="auto" w:sz="0"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4AE6">
    <w:pPr>
      <w:pStyle w:val="22"/>
      <w:pBdr>
        <w:bottom w:val="none" w:color="auto" w:sz="0" w:space="1"/>
      </w:pBdr>
      <w:tabs>
        <w:tab w:val="left" w:pos="1794"/>
        <w:tab w:val="clear" w:pos="4153"/>
      </w:tabs>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50B9">
    <w:pPr>
      <w:pStyle w:val="22"/>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9731">
    <w:pPr>
      <w:pStyle w:val="22"/>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9219C">
    <w:pPr>
      <w:pStyle w:val="22"/>
      <w:pBdr>
        <w:bottom w:val="none" w:color="auto" w:sz="0" w:space="1"/>
      </w:pBdr>
      <w:tabs>
        <w:tab w:val="left" w:pos="1794"/>
        <w:tab w:val="clear" w:pos="4153"/>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12A22"/>
    <w:multiLevelType w:val="singleLevel"/>
    <w:tmpl w:val="F4812A22"/>
    <w:lvl w:ilvl="0" w:tentative="0">
      <w:start w:val="2"/>
      <w:numFmt w:val="decimal"/>
      <w:suff w:val="nothing"/>
      <w:lvlText w:val="%1、"/>
      <w:lvlJc w:val="left"/>
    </w:lvl>
  </w:abstractNum>
  <w:abstractNum w:abstractNumId="1">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2">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36E1116A"/>
    <w:multiLevelType w:val="multilevel"/>
    <w:tmpl w:val="36E1116A"/>
    <w:lvl w:ilvl="0" w:tentative="0">
      <w:start w:val="1"/>
      <w:numFmt w:val="decimal"/>
      <w:lvlText w:val="%1"/>
      <w:lvlJc w:val="left"/>
      <w:pPr>
        <w:widowControl/>
        <w:ind w:left="432" w:hanging="432"/>
        <w:textAlignment w:val="baseline"/>
      </w:pPr>
    </w:lvl>
    <w:lvl w:ilvl="1" w:tentative="0">
      <w:start w:val="1"/>
      <w:numFmt w:val="decimal"/>
      <w:pStyle w:val="55"/>
      <w:lvlText w:val="%1.%2"/>
      <w:lvlJc w:val="left"/>
      <w:pPr>
        <w:widowControl/>
        <w:ind w:left="1710" w:hanging="576"/>
        <w:textAlignment w:val="baseline"/>
      </w:pPr>
    </w:lvl>
    <w:lvl w:ilvl="2" w:tentative="0">
      <w:start w:val="1"/>
      <w:numFmt w:val="decimal"/>
      <w:lvlText w:val="%1.%2.%3"/>
      <w:lvlJc w:val="left"/>
      <w:pPr>
        <w:widowControl/>
        <w:ind w:left="720" w:hanging="720"/>
        <w:textAlignment w:val="baseline"/>
      </w:pPr>
    </w:lvl>
    <w:lvl w:ilvl="3" w:tentative="0">
      <w:start w:val="1"/>
      <w:numFmt w:val="decimal"/>
      <w:lvlText w:val="%1.%2.%3.%4"/>
      <w:lvlJc w:val="left"/>
      <w:pPr>
        <w:widowControl/>
        <w:ind w:left="864" w:hanging="864"/>
        <w:textAlignment w:val="baseline"/>
      </w:pPr>
    </w:lvl>
    <w:lvl w:ilvl="4" w:tentative="0">
      <w:start w:val="1"/>
      <w:numFmt w:val="decimal"/>
      <w:lvlText w:val="%1.%2.%3.%4.%5"/>
      <w:lvlJc w:val="left"/>
      <w:pPr>
        <w:widowControl/>
        <w:ind w:left="1008" w:hanging="1008"/>
        <w:textAlignment w:val="baseline"/>
      </w:pPr>
    </w:lvl>
    <w:lvl w:ilvl="5" w:tentative="0">
      <w:start w:val="1"/>
      <w:numFmt w:val="decimal"/>
      <w:lvlText w:val="%1.%2.%3.%4.%5.%6"/>
      <w:lvlJc w:val="left"/>
      <w:pPr>
        <w:widowControl/>
        <w:ind w:left="1152" w:hanging="1152"/>
        <w:textAlignment w:val="baseline"/>
      </w:pPr>
    </w:lvl>
    <w:lvl w:ilvl="6" w:tentative="0">
      <w:start w:val="1"/>
      <w:numFmt w:val="decimal"/>
      <w:lvlText w:val="%1.%2.%3.%4.%5.%6.%7"/>
      <w:lvlJc w:val="left"/>
      <w:pPr>
        <w:widowControl/>
        <w:ind w:left="1296" w:hanging="1296"/>
        <w:textAlignment w:val="baseline"/>
      </w:pPr>
    </w:lvl>
    <w:lvl w:ilvl="7" w:tentative="0">
      <w:start w:val="1"/>
      <w:numFmt w:val="decimal"/>
      <w:lvlText w:val="%1.%2.%3.%4.%5.%6.%7.%8"/>
      <w:lvlJc w:val="left"/>
      <w:pPr>
        <w:widowControl/>
        <w:ind w:left="1440" w:hanging="1440"/>
        <w:textAlignment w:val="baseline"/>
      </w:pPr>
    </w:lvl>
    <w:lvl w:ilvl="8" w:tentative="0">
      <w:start w:val="1"/>
      <w:numFmt w:val="decimal"/>
      <w:lvlText w:val="%1.%2.%3.%4.%5.%6.%7.%8.%9"/>
      <w:lvlJc w:val="left"/>
      <w:pPr>
        <w:widowControl/>
        <w:ind w:left="1584" w:hanging="1584"/>
        <w:textAlignment w:val="baseline"/>
      </w:pPr>
    </w:lvl>
  </w:abstractNum>
  <w:abstractNum w:abstractNumId="4">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MTMyMWFiZjI2NzlkNjNhNDFlMzI1NDMxNTM4MmIifQ=="/>
  </w:docVars>
  <w:rsids>
    <w:rsidRoot w:val="00A5025E"/>
    <w:rsid w:val="00000614"/>
    <w:rsid w:val="000141BE"/>
    <w:rsid w:val="0007543B"/>
    <w:rsid w:val="001F75B9"/>
    <w:rsid w:val="002C5149"/>
    <w:rsid w:val="00300697"/>
    <w:rsid w:val="003600C8"/>
    <w:rsid w:val="00365489"/>
    <w:rsid w:val="003C3B5E"/>
    <w:rsid w:val="003C7AF8"/>
    <w:rsid w:val="003F7ABF"/>
    <w:rsid w:val="00411E09"/>
    <w:rsid w:val="004428BC"/>
    <w:rsid w:val="005855A0"/>
    <w:rsid w:val="005A1EB8"/>
    <w:rsid w:val="005F0ACC"/>
    <w:rsid w:val="00666D84"/>
    <w:rsid w:val="00745D83"/>
    <w:rsid w:val="00766687"/>
    <w:rsid w:val="007B05D8"/>
    <w:rsid w:val="00821A30"/>
    <w:rsid w:val="008D019A"/>
    <w:rsid w:val="008F1E9F"/>
    <w:rsid w:val="00947F08"/>
    <w:rsid w:val="00954306"/>
    <w:rsid w:val="00996275"/>
    <w:rsid w:val="00A429D6"/>
    <w:rsid w:val="00A5025E"/>
    <w:rsid w:val="00A940D1"/>
    <w:rsid w:val="00AC3793"/>
    <w:rsid w:val="00AD5849"/>
    <w:rsid w:val="00AF7E74"/>
    <w:rsid w:val="00B13095"/>
    <w:rsid w:val="00B432F0"/>
    <w:rsid w:val="00B517BF"/>
    <w:rsid w:val="00CE6E7F"/>
    <w:rsid w:val="00DF56A2"/>
    <w:rsid w:val="00E00A89"/>
    <w:rsid w:val="00F247C9"/>
    <w:rsid w:val="010520B2"/>
    <w:rsid w:val="01472CDB"/>
    <w:rsid w:val="015010AB"/>
    <w:rsid w:val="015E7D92"/>
    <w:rsid w:val="017D7424"/>
    <w:rsid w:val="018D1970"/>
    <w:rsid w:val="01A36139"/>
    <w:rsid w:val="01D134FA"/>
    <w:rsid w:val="01DA0321"/>
    <w:rsid w:val="02183B17"/>
    <w:rsid w:val="022D5F56"/>
    <w:rsid w:val="022E26FA"/>
    <w:rsid w:val="02727CA7"/>
    <w:rsid w:val="02916703"/>
    <w:rsid w:val="02A6711D"/>
    <w:rsid w:val="02F82571"/>
    <w:rsid w:val="033F1861"/>
    <w:rsid w:val="03442F4A"/>
    <w:rsid w:val="035C6DF3"/>
    <w:rsid w:val="03703C4C"/>
    <w:rsid w:val="03941396"/>
    <w:rsid w:val="03C63AB9"/>
    <w:rsid w:val="03C915BA"/>
    <w:rsid w:val="040516DB"/>
    <w:rsid w:val="04286A2C"/>
    <w:rsid w:val="042C49E6"/>
    <w:rsid w:val="043560BB"/>
    <w:rsid w:val="045C213B"/>
    <w:rsid w:val="048346AF"/>
    <w:rsid w:val="04860654"/>
    <w:rsid w:val="04873A46"/>
    <w:rsid w:val="04BB5FA6"/>
    <w:rsid w:val="04D71736"/>
    <w:rsid w:val="04E10D08"/>
    <w:rsid w:val="04EA162B"/>
    <w:rsid w:val="05090A18"/>
    <w:rsid w:val="05183E1B"/>
    <w:rsid w:val="0546541E"/>
    <w:rsid w:val="055200FB"/>
    <w:rsid w:val="057B7A05"/>
    <w:rsid w:val="05852631"/>
    <w:rsid w:val="05980631"/>
    <w:rsid w:val="059E483A"/>
    <w:rsid w:val="05C869C2"/>
    <w:rsid w:val="05D26780"/>
    <w:rsid w:val="05F44EE5"/>
    <w:rsid w:val="062C0380"/>
    <w:rsid w:val="063522A9"/>
    <w:rsid w:val="06377C85"/>
    <w:rsid w:val="06587D46"/>
    <w:rsid w:val="0661309E"/>
    <w:rsid w:val="06975764"/>
    <w:rsid w:val="06B45F73"/>
    <w:rsid w:val="06BB7780"/>
    <w:rsid w:val="06C849EB"/>
    <w:rsid w:val="06D55558"/>
    <w:rsid w:val="06DC43B2"/>
    <w:rsid w:val="06E57775"/>
    <w:rsid w:val="06E80B45"/>
    <w:rsid w:val="07006BED"/>
    <w:rsid w:val="07085B68"/>
    <w:rsid w:val="071D221C"/>
    <w:rsid w:val="074A3C4B"/>
    <w:rsid w:val="077E07E1"/>
    <w:rsid w:val="079D69A1"/>
    <w:rsid w:val="07F02425"/>
    <w:rsid w:val="080A32C2"/>
    <w:rsid w:val="081831DA"/>
    <w:rsid w:val="08183C31"/>
    <w:rsid w:val="083620E7"/>
    <w:rsid w:val="083F0BCA"/>
    <w:rsid w:val="0865499C"/>
    <w:rsid w:val="087416D4"/>
    <w:rsid w:val="08A07B0D"/>
    <w:rsid w:val="08A71F12"/>
    <w:rsid w:val="08C05347"/>
    <w:rsid w:val="08CA4B48"/>
    <w:rsid w:val="08F2696F"/>
    <w:rsid w:val="08F97037"/>
    <w:rsid w:val="08FD0D53"/>
    <w:rsid w:val="0913191F"/>
    <w:rsid w:val="09265ED9"/>
    <w:rsid w:val="095C26FE"/>
    <w:rsid w:val="09642EB4"/>
    <w:rsid w:val="097A4C64"/>
    <w:rsid w:val="0983157E"/>
    <w:rsid w:val="098A290C"/>
    <w:rsid w:val="0999523A"/>
    <w:rsid w:val="09B5725D"/>
    <w:rsid w:val="09E20BF5"/>
    <w:rsid w:val="09E5606A"/>
    <w:rsid w:val="0A3265A9"/>
    <w:rsid w:val="0A387B0A"/>
    <w:rsid w:val="0A503A1D"/>
    <w:rsid w:val="0A881B1D"/>
    <w:rsid w:val="0A913571"/>
    <w:rsid w:val="0AAA230B"/>
    <w:rsid w:val="0AB1686A"/>
    <w:rsid w:val="0ABF4024"/>
    <w:rsid w:val="0AF270B1"/>
    <w:rsid w:val="0AFC2388"/>
    <w:rsid w:val="0B151AEA"/>
    <w:rsid w:val="0B182E23"/>
    <w:rsid w:val="0B1B2C26"/>
    <w:rsid w:val="0B20282F"/>
    <w:rsid w:val="0B307ACE"/>
    <w:rsid w:val="0B666A61"/>
    <w:rsid w:val="0B6906AA"/>
    <w:rsid w:val="0B756CA4"/>
    <w:rsid w:val="0B7E6116"/>
    <w:rsid w:val="0B9C2417"/>
    <w:rsid w:val="0BA341BF"/>
    <w:rsid w:val="0BB329A8"/>
    <w:rsid w:val="0C1249C1"/>
    <w:rsid w:val="0C38783A"/>
    <w:rsid w:val="0C4D5E73"/>
    <w:rsid w:val="0C5C3E64"/>
    <w:rsid w:val="0C8C208F"/>
    <w:rsid w:val="0C8E2713"/>
    <w:rsid w:val="0CAB44DA"/>
    <w:rsid w:val="0CD638BB"/>
    <w:rsid w:val="0CEB0864"/>
    <w:rsid w:val="0CF268EB"/>
    <w:rsid w:val="0D2850F2"/>
    <w:rsid w:val="0D4A0173"/>
    <w:rsid w:val="0D51729D"/>
    <w:rsid w:val="0D533658"/>
    <w:rsid w:val="0D5C057C"/>
    <w:rsid w:val="0D635D5C"/>
    <w:rsid w:val="0D706B58"/>
    <w:rsid w:val="0DA216FE"/>
    <w:rsid w:val="0DAB048E"/>
    <w:rsid w:val="0DD310CE"/>
    <w:rsid w:val="0DDD3149"/>
    <w:rsid w:val="0DF32E73"/>
    <w:rsid w:val="0E1409F6"/>
    <w:rsid w:val="0E1D0DA5"/>
    <w:rsid w:val="0E343BEA"/>
    <w:rsid w:val="0E44017B"/>
    <w:rsid w:val="0E545D4D"/>
    <w:rsid w:val="0E586C7B"/>
    <w:rsid w:val="0E5C17D1"/>
    <w:rsid w:val="0E82013C"/>
    <w:rsid w:val="0EC87C61"/>
    <w:rsid w:val="0ECD6829"/>
    <w:rsid w:val="0EDA7D85"/>
    <w:rsid w:val="0EFA0EBB"/>
    <w:rsid w:val="0F022F45"/>
    <w:rsid w:val="0F02611B"/>
    <w:rsid w:val="0F2D0BC2"/>
    <w:rsid w:val="0F39381D"/>
    <w:rsid w:val="0F457CE8"/>
    <w:rsid w:val="0F4B41BB"/>
    <w:rsid w:val="0F7756E1"/>
    <w:rsid w:val="0FB36652"/>
    <w:rsid w:val="0FBD0479"/>
    <w:rsid w:val="0FC7781F"/>
    <w:rsid w:val="0FC95811"/>
    <w:rsid w:val="0FD7494D"/>
    <w:rsid w:val="0FDE0FEA"/>
    <w:rsid w:val="0FF501C7"/>
    <w:rsid w:val="100C1AE0"/>
    <w:rsid w:val="106B1D32"/>
    <w:rsid w:val="108E1C7E"/>
    <w:rsid w:val="10B17F0C"/>
    <w:rsid w:val="10E60151"/>
    <w:rsid w:val="10F57AD2"/>
    <w:rsid w:val="1118255B"/>
    <w:rsid w:val="112D002B"/>
    <w:rsid w:val="116A2FEE"/>
    <w:rsid w:val="116A3409"/>
    <w:rsid w:val="11A71B81"/>
    <w:rsid w:val="11C444E1"/>
    <w:rsid w:val="11EE155E"/>
    <w:rsid w:val="11EF2BBD"/>
    <w:rsid w:val="121E4704"/>
    <w:rsid w:val="12216843"/>
    <w:rsid w:val="124132D4"/>
    <w:rsid w:val="124F4F89"/>
    <w:rsid w:val="125457F4"/>
    <w:rsid w:val="12637742"/>
    <w:rsid w:val="126967B3"/>
    <w:rsid w:val="12971B2C"/>
    <w:rsid w:val="12A30D3F"/>
    <w:rsid w:val="12BE3353"/>
    <w:rsid w:val="12DC2072"/>
    <w:rsid w:val="12E8315E"/>
    <w:rsid w:val="12F71113"/>
    <w:rsid w:val="13096C23"/>
    <w:rsid w:val="130C50CB"/>
    <w:rsid w:val="130E5CC8"/>
    <w:rsid w:val="13477EED"/>
    <w:rsid w:val="13644E89"/>
    <w:rsid w:val="139825F5"/>
    <w:rsid w:val="13AD64E5"/>
    <w:rsid w:val="13F9681A"/>
    <w:rsid w:val="14233444"/>
    <w:rsid w:val="14267AFC"/>
    <w:rsid w:val="143B7F26"/>
    <w:rsid w:val="144435AB"/>
    <w:rsid w:val="144E46F9"/>
    <w:rsid w:val="145862E3"/>
    <w:rsid w:val="145C1266"/>
    <w:rsid w:val="145D29CB"/>
    <w:rsid w:val="148B578A"/>
    <w:rsid w:val="148C4FD2"/>
    <w:rsid w:val="148F64BF"/>
    <w:rsid w:val="14A46317"/>
    <w:rsid w:val="14AC2803"/>
    <w:rsid w:val="14B13342"/>
    <w:rsid w:val="14D70619"/>
    <w:rsid w:val="152B5806"/>
    <w:rsid w:val="156F7B86"/>
    <w:rsid w:val="1575228A"/>
    <w:rsid w:val="15AF0363"/>
    <w:rsid w:val="15CF19FA"/>
    <w:rsid w:val="15E920F9"/>
    <w:rsid w:val="15F77C50"/>
    <w:rsid w:val="16174847"/>
    <w:rsid w:val="1641446F"/>
    <w:rsid w:val="16481B17"/>
    <w:rsid w:val="16706A2E"/>
    <w:rsid w:val="16C0495F"/>
    <w:rsid w:val="17324B6B"/>
    <w:rsid w:val="174E18BC"/>
    <w:rsid w:val="179F3A1B"/>
    <w:rsid w:val="17DE6867"/>
    <w:rsid w:val="17DF66DE"/>
    <w:rsid w:val="17EA3591"/>
    <w:rsid w:val="17EF3217"/>
    <w:rsid w:val="17EF533B"/>
    <w:rsid w:val="181850D8"/>
    <w:rsid w:val="1820242C"/>
    <w:rsid w:val="18237D88"/>
    <w:rsid w:val="18500E7F"/>
    <w:rsid w:val="1865223F"/>
    <w:rsid w:val="18784278"/>
    <w:rsid w:val="187D3481"/>
    <w:rsid w:val="18867086"/>
    <w:rsid w:val="18BA40D1"/>
    <w:rsid w:val="18F56825"/>
    <w:rsid w:val="19191E7E"/>
    <w:rsid w:val="1931791E"/>
    <w:rsid w:val="19560B7F"/>
    <w:rsid w:val="19844475"/>
    <w:rsid w:val="19A43F2E"/>
    <w:rsid w:val="19C2152C"/>
    <w:rsid w:val="19CD504F"/>
    <w:rsid w:val="19FB6F0E"/>
    <w:rsid w:val="1A0E2DF7"/>
    <w:rsid w:val="1A5E3F88"/>
    <w:rsid w:val="1A744557"/>
    <w:rsid w:val="1A942D5E"/>
    <w:rsid w:val="1A9E28C8"/>
    <w:rsid w:val="1ADB6024"/>
    <w:rsid w:val="1ADD6D65"/>
    <w:rsid w:val="1B46593C"/>
    <w:rsid w:val="1B6B1F26"/>
    <w:rsid w:val="1B834AE7"/>
    <w:rsid w:val="1BB0006D"/>
    <w:rsid w:val="1BD2353F"/>
    <w:rsid w:val="1BD82893"/>
    <w:rsid w:val="1BE614F8"/>
    <w:rsid w:val="1C077FF0"/>
    <w:rsid w:val="1C121B47"/>
    <w:rsid w:val="1C4056FD"/>
    <w:rsid w:val="1C735482"/>
    <w:rsid w:val="1C9457DE"/>
    <w:rsid w:val="1CCB3831"/>
    <w:rsid w:val="1CEE0848"/>
    <w:rsid w:val="1CFE36B2"/>
    <w:rsid w:val="1D2C01B2"/>
    <w:rsid w:val="1D337526"/>
    <w:rsid w:val="1D5616F7"/>
    <w:rsid w:val="1D56241B"/>
    <w:rsid w:val="1D7568F0"/>
    <w:rsid w:val="1D7B2E8E"/>
    <w:rsid w:val="1E1C2EE0"/>
    <w:rsid w:val="1E2D718E"/>
    <w:rsid w:val="1E503F0D"/>
    <w:rsid w:val="1E551DFA"/>
    <w:rsid w:val="1E576AC3"/>
    <w:rsid w:val="1E5B0DF5"/>
    <w:rsid w:val="1EA21A01"/>
    <w:rsid w:val="1EAB4B85"/>
    <w:rsid w:val="1EBC5ACA"/>
    <w:rsid w:val="1ED16490"/>
    <w:rsid w:val="1EDD3086"/>
    <w:rsid w:val="1F237F59"/>
    <w:rsid w:val="1F34502B"/>
    <w:rsid w:val="1F5903F9"/>
    <w:rsid w:val="1F707A57"/>
    <w:rsid w:val="1F9C1CE4"/>
    <w:rsid w:val="1F9F64A3"/>
    <w:rsid w:val="1F9F7EE2"/>
    <w:rsid w:val="1FCA3912"/>
    <w:rsid w:val="1FDB75C6"/>
    <w:rsid w:val="2009453A"/>
    <w:rsid w:val="2010265F"/>
    <w:rsid w:val="203A2FC9"/>
    <w:rsid w:val="20850A82"/>
    <w:rsid w:val="20967991"/>
    <w:rsid w:val="20AE2068"/>
    <w:rsid w:val="20D876ED"/>
    <w:rsid w:val="20DB5F99"/>
    <w:rsid w:val="20F508CB"/>
    <w:rsid w:val="210A2CE1"/>
    <w:rsid w:val="21110DC5"/>
    <w:rsid w:val="211F4EDF"/>
    <w:rsid w:val="2130749E"/>
    <w:rsid w:val="21536A7E"/>
    <w:rsid w:val="21635C8D"/>
    <w:rsid w:val="217E237C"/>
    <w:rsid w:val="21B26BE9"/>
    <w:rsid w:val="21C44F74"/>
    <w:rsid w:val="21E2159F"/>
    <w:rsid w:val="21EF55AB"/>
    <w:rsid w:val="220A6DFB"/>
    <w:rsid w:val="22277F6E"/>
    <w:rsid w:val="223B558A"/>
    <w:rsid w:val="22607C42"/>
    <w:rsid w:val="22815E6E"/>
    <w:rsid w:val="22B42350"/>
    <w:rsid w:val="22E279D3"/>
    <w:rsid w:val="22E62539"/>
    <w:rsid w:val="22F32E79"/>
    <w:rsid w:val="22F8092A"/>
    <w:rsid w:val="23205D86"/>
    <w:rsid w:val="232F02B2"/>
    <w:rsid w:val="23512BA2"/>
    <w:rsid w:val="235D5A2C"/>
    <w:rsid w:val="23786FA6"/>
    <w:rsid w:val="23962431"/>
    <w:rsid w:val="23975F91"/>
    <w:rsid w:val="239D2913"/>
    <w:rsid w:val="23C104F6"/>
    <w:rsid w:val="23CA32C9"/>
    <w:rsid w:val="23CE7442"/>
    <w:rsid w:val="23D16925"/>
    <w:rsid w:val="23F77EB1"/>
    <w:rsid w:val="23FC7B0B"/>
    <w:rsid w:val="240B41F2"/>
    <w:rsid w:val="241E3F25"/>
    <w:rsid w:val="24225BAB"/>
    <w:rsid w:val="2461365F"/>
    <w:rsid w:val="24624BE9"/>
    <w:rsid w:val="246F29D3"/>
    <w:rsid w:val="24816262"/>
    <w:rsid w:val="24832224"/>
    <w:rsid w:val="249A7538"/>
    <w:rsid w:val="24A24B56"/>
    <w:rsid w:val="24A67F0C"/>
    <w:rsid w:val="250320EB"/>
    <w:rsid w:val="250D1E87"/>
    <w:rsid w:val="250E64F6"/>
    <w:rsid w:val="25136A12"/>
    <w:rsid w:val="253611E3"/>
    <w:rsid w:val="257A33DD"/>
    <w:rsid w:val="25960A46"/>
    <w:rsid w:val="25960B87"/>
    <w:rsid w:val="25CC70D1"/>
    <w:rsid w:val="260053A6"/>
    <w:rsid w:val="2638549D"/>
    <w:rsid w:val="2657503E"/>
    <w:rsid w:val="267011E6"/>
    <w:rsid w:val="26CE04BC"/>
    <w:rsid w:val="273967E4"/>
    <w:rsid w:val="27650140"/>
    <w:rsid w:val="276A496A"/>
    <w:rsid w:val="27A350EA"/>
    <w:rsid w:val="27C21152"/>
    <w:rsid w:val="27DC26F2"/>
    <w:rsid w:val="280A3719"/>
    <w:rsid w:val="28143D90"/>
    <w:rsid w:val="28396AC9"/>
    <w:rsid w:val="283B62BB"/>
    <w:rsid w:val="285B63A8"/>
    <w:rsid w:val="28612632"/>
    <w:rsid w:val="28877ECD"/>
    <w:rsid w:val="289E5D1B"/>
    <w:rsid w:val="28B70805"/>
    <w:rsid w:val="28CC03F4"/>
    <w:rsid w:val="28CF7770"/>
    <w:rsid w:val="291122AA"/>
    <w:rsid w:val="29134911"/>
    <w:rsid w:val="2920004A"/>
    <w:rsid w:val="292D34F1"/>
    <w:rsid w:val="29423E8B"/>
    <w:rsid w:val="29962107"/>
    <w:rsid w:val="29BD5F8E"/>
    <w:rsid w:val="29EB0652"/>
    <w:rsid w:val="2A291FC9"/>
    <w:rsid w:val="2A314E4B"/>
    <w:rsid w:val="2A417FDC"/>
    <w:rsid w:val="2A664DE6"/>
    <w:rsid w:val="2A9410B6"/>
    <w:rsid w:val="2A97058D"/>
    <w:rsid w:val="2AAD4504"/>
    <w:rsid w:val="2AB8143C"/>
    <w:rsid w:val="2ABA0FFB"/>
    <w:rsid w:val="2AC94D8A"/>
    <w:rsid w:val="2ADB2B70"/>
    <w:rsid w:val="2AE82D10"/>
    <w:rsid w:val="2AFB1731"/>
    <w:rsid w:val="2B0E7C0B"/>
    <w:rsid w:val="2B3F4BA4"/>
    <w:rsid w:val="2B493687"/>
    <w:rsid w:val="2B5B569E"/>
    <w:rsid w:val="2B7A0295"/>
    <w:rsid w:val="2B9733DA"/>
    <w:rsid w:val="2BA5252C"/>
    <w:rsid w:val="2BA94A1C"/>
    <w:rsid w:val="2BC6091D"/>
    <w:rsid w:val="2BD22280"/>
    <w:rsid w:val="2BE0761E"/>
    <w:rsid w:val="2BE138DB"/>
    <w:rsid w:val="2BF05131"/>
    <w:rsid w:val="2BF31469"/>
    <w:rsid w:val="2BFC06E9"/>
    <w:rsid w:val="2C0A1914"/>
    <w:rsid w:val="2C6F54FE"/>
    <w:rsid w:val="2C7F7F7B"/>
    <w:rsid w:val="2C8B2BC2"/>
    <w:rsid w:val="2C923702"/>
    <w:rsid w:val="2CC31B0E"/>
    <w:rsid w:val="2CC77032"/>
    <w:rsid w:val="2CFC6DCE"/>
    <w:rsid w:val="2D4744ED"/>
    <w:rsid w:val="2D5874E9"/>
    <w:rsid w:val="2D7E622B"/>
    <w:rsid w:val="2DC121AB"/>
    <w:rsid w:val="2E0103AF"/>
    <w:rsid w:val="2E6A1359"/>
    <w:rsid w:val="2E6A4F4B"/>
    <w:rsid w:val="2E7804CD"/>
    <w:rsid w:val="2E9D1EEA"/>
    <w:rsid w:val="2ECC4C73"/>
    <w:rsid w:val="2F09602F"/>
    <w:rsid w:val="2F194C2E"/>
    <w:rsid w:val="2F375E6B"/>
    <w:rsid w:val="2F484C45"/>
    <w:rsid w:val="2F557F65"/>
    <w:rsid w:val="2F7010F8"/>
    <w:rsid w:val="2F754C15"/>
    <w:rsid w:val="2FA572A9"/>
    <w:rsid w:val="2FAD4ECC"/>
    <w:rsid w:val="2FAE1590"/>
    <w:rsid w:val="2FE06533"/>
    <w:rsid w:val="2FEC4291"/>
    <w:rsid w:val="2FEE3B30"/>
    <w:rsid w:val="2FF95CBC"/>
    <w:rsid w:val="30054923"/>
    <w:rsid w:val="30090215"/>
    <w:rsid w:val="301C03DC"/>
    <w:rsid w:val="302503E9"/>
    <w:rsid w:val="30342517"/>
    <w:rsid w:val="30536D05"/>
    <w:rsid w:val="30727709"/>
    <w:rsid w:val="307B0895"/>
    <w:rsid w:val="30DA1C03"/>
    <w:rsid w:val="30DC3F4B"/>
    <w:rsid w:val="31143681"/>
    <w:rsid w:val="31202994"/>
    <w:rsid w:val="312E69F1"/>
    <w:rsid w:val="312F2DFF"/>
    <w:rsid w:val="318A4203"/>
    <w:rsid w:val="319B4E07"/>
    <w:rsid w:val="31AD0696"/>
    <w:rsid w:val="31CB6D6E"/>
    <w:rsid w:val="31CE5E3B"/>
    <w:rsid w:val="31D528AF"/>
    <w:rsid w:val="32065BC3"/>
    <w:rsid w:val="321A0AA2"/>
    <w:rsid w:val="322873F3"/>
    <w:rsid w:val="322C4F5F"/>
    <w:rsid w:val="3253123E"/>
    <w:rsid w:val="327723C5"/>
    <w:rsid w:val="32944FED"/>
    <w:rsid w:val="32954FA2"/>
    <w:rsid w:val="32AE799C"/>
    <w:rsid w:val="33291417"/>
    <w:rsid w:val="33492641"/>
    <w:rsid w:val="33612954"/>
    <w:rsid w:val="33C64AD9"/>
    <w:rsid w:val="33E36FC4"/>
    <w:rsid w:val="33EE5634"/>
    <w:rsid w:val="34143B88"/>
    <w:rsid w:val="343E7EEC"/>
    <w:rsid w:val="34654056"/>
    <w:rsid w:val="348C12D1"/>
    <w:rsid w:val="348F0838"/>
    <w:rsid w:val="34D517DC"/>
    <w:rsid w:val="34D73DF5"/>
    <w:rsid w:val="34E23003"/>
    <w:rsid w:val="34ED606F"/>
    <w:rsid w:val="34FF745B"/>
    <w:rsid w:val="35097C2D"/>
    <w:rsid w:val="352D1FED"/>
    <w:rsid w:val="357B225F"/>
    <w:rsid w:val="358F297C"/>
    <w:rsid w:val="35C210CE"/>
    <w:rsid w:val="36035AAC"/>
    <w:rsid w:val="36165D30"/>
    <w:rsid w:val="36420B37"/>
    <w:rsid w:val="365E6AB0"/>
    <w:rsid w:val="36653C36"/>
    <w:rsid w:val="368F68BA"/>
    <w:rsid w:val="36BF4266"/>
    <w:rsid w:val="36D3294D"/>
    <w:rsid w:val="36D84407"/>
    <w:rsid w:val="36D84D32"/>
    <w:rsid w:val="37042FAF"/>
    <w:rsid w:val="3710696F"/>
    <w:rsid w:val="3724764D"/>
    <w:rsid w:val="37285049"/>
    <w:rsid w:val="37481CFB"/>
    <w:rsid w:val="37637359"/>
    <w:rsid w:val="37E013FA"/>
    <w:rsid w:val="37E64FE5"/>
    <w:rsid w:val="37E83018"/>
    <w:rsid w:val="37FE3442"/>
    <w:rsid w:val="38151BEF"/>
    <w:rsid w:val="3815624A"/>
    <w:rsid w:val="382D2F63"/>
    <w:rsid w:val="383279FC"/>
    <w:rsid w:val="387168C2"/>
    <w:rsid w:val="38842D70"/>
    <w:rsid w:val="38874ABC"/>
    <w:rsid w:val="389C3213"/>
    <w:rsid w:val="38B714FF"/>
    <w:rsid w:val="38CF088C"/>
    <w:rsid w:val="38E31511"/>
    <w:rsid w:val="39004832"/>
    <w:rsid w:val="39111E53"/>
    <w:rsid w:val="3933325D"/>
    <w:rsid w:val="39512EA8"/>
    <w:rsid w:val="39A131D7"/>
    <w:rsid w:val="39A16D33"/>
    <w:rsid w:val="39B54E1B"/>
    <w:rsid w:val="39BE538C"/>
    <w:rsid w:val="39DF4E9C"/>
    <w:rsid w:val="39EC03D3"/>
    <w:rsid w:val="39F621A9"/>
    <w:rsid w:val="3A1B194A"/>
    <w:rsid w:val="3A305784"/>
    <w:rsid w:val="3A4F6E02"/>
    <w:rsid w:val="3A5679A8"/>
    <w:rsid w:val="3B015198"/>
    <w:rsid w:val="3B215059"/>
    <w:rsid w:val="3B4B19FF"/>
    <w:rsid w:val="3B4D642A"/>
    <w:rsid w:val="3B7535A9"/>
    <w:rsid w:val="3B75543E"/>
    <w:rsid w:val="3B8B5A4A"/>
    <w:rsid w:val="3B9D16AB"/>
    <w:rsid w:val="3BDC0823"/>
    <w:rsid w:val="3BED3712"/>
    <w:rsid w:val="3BF15392"/>
    <w:rsid w:val="3C266C7D"/>
    <w:rsid w:val="3C536552"/>
    <w:rsid w:val="3CCD2DEC"/>
    <w:rsid w:val="3CD613E9"/>
    <w:rsid w:val="3CF3325B"/>
    <w:rsid w:val="3CF50AA7"/>
    <w:rsid w:val="3D450D14"/>
    <w:rsid w:val="3D4B5640"/>
    <w:rsid w:val="3D7C2832"/>
    <w:rsid w:val="3DBD6779"/>
    <w:rsid w:val="3DD82062"/>
    <w:rsid w:val="3E126736"/>
    <w:rsid w:val="3E2058F7"/>
    <w:rsid w:val="3E2152F1"/>
    <w:rsid w:val="3E254F74"/>
    <w:rsid w:val="3E2D1BDA"/>
    <w:rsid w:val="3E37297D"/>
    <w:rsid w:val="3E765532"/>
    <w:rsid w:val="3E7E4C29"/>
    <w:rsid w:val="3EC160B7"/>
    <w:rsid w:val="3ECA2721"/>
    <w:rsid w:val="3EDA33A8"/>
    <w:rsid w:val="3F1246D0"/>
    <w:rsid w:val="3F346173"/>
    <w:rsid w:val="3F4D4DFB"/>
    <w:rsid w:val="3F9A5EB8"/>
    <w:rsid w:val="3FA52951"/>
    <w:rsid w:val="3FB7388A"/>
    <w:rsid w:val="3FBE0E8C"/>
    <w:rsid w:val="3FC96FE3"/>
    <w:rsid w:val="3FD51AD6"/>
    <w:rsid w:val="3FE70617"/>
    <w:rsid w:val="3FF56F7C"/>
    <w:rsid w:val="401126D5"/>
    <w:rsid w:val="401376C2"/>
    <w:rsid w:val="4089252E"/>
    <w:rsid w:val="409262C6"/>
    <w:rsid w:val="40A1676B"/>
    <w:rsid w:val="40CC2102"/>
    <w:rsid w:val="40E7153F"/>
    <w:rsid w:val="40EC6619"/>
    <w:rsid w:val="40F55BB6"/>
    <w:rsid w:val="41160359"/>
    <w:rsid w:val="413555A6"/>
    <w:rsid w:val="41393871"/>
    <w:rsid w:val="41841772"/>
    <w:rsid w:val="41AC140F"/>
    <w:rsid w:val="41AD7743"/>
    <w:rsid w:val="424A7D66"/>
    <w:rsid w:val="4277622B"/>
    <w:rsid w:val="42886E4E"/>
    <w:rsid w:val="429E2FDE"/>
    <w:rsid w:val="429F7E96"/>
    <w:rsid w:val="42BA091A"/>
    <w:rsid w:val="42E348E7"/>
    <w:rsid w:val="42E36959"/>
    <w:rsid w:val="42F92708"/>
    <w:rsid w:val="43133472"/>
    <w:rsid w:val="433B01F8"/>
    <w:rsid w:val="43D71A16"/>
    <w:rsid w:val="43DF6A64"/>
    <w:rsid w:val="440876CF"/>
    <w:rsid w:val="44396060"/>
    <w:rsid w:val="443B1BA5"/>
    <w:rsid w:val="44953313"/>
    <w:rsid w:val="44D4228E"/>
    <w:rsid w:val="44DD798D"/>
    <w:rsid w:val="44F119A0"/>
    <w:rsid w:val="45140D01"/>
    <w:rsid w:val="45266350"/>
    <w:rsid w:val="453235A6"/>
    <w:rsid w:val="453E3EEA"/>
    <w:rsid w:val="453F5F31"/>
    <w:rsid w:val="458D460F"/>
    <w:rsid w:val="45A952B4"/>
    <w:rsid w:val="45CF7C8A"/>
    <w:rsid w:val="45D40E7D"/>
    <w:rsid w:val="45D644FA"/>
    <w:rsid w:val="45ED740E"/>
    <w:rsid w:val="461C1F98"/>
    <w:rsid w:val="46220F5F"/>
    <w:rsid w:val="46266C74"/>
    <w:rsid w:val="463C6FBB"/>
    <w:rsid w:val="466435C2"/>
    <w:rsid w:val="46686499"/>
    <w:rsid w:val="4669507C"/>
    <w:rsid w:val="46946A17"/>
    <w:rsid w:val="46AC4F98"/>
    <w:rsid w:val="46B671E1"/>
    <w:rsid w:val="46BA792B"/>
    <w:rsid w:val="46F37018"/>
    <w:rsid w:val="47013507"/>
    <w:rsid w:val="47426BF5"/>
    <w:rsid w:val="47687B7B"/>
    <w:rsid w:val="477345AF"/>
    <w:rsid w:val="47B074CC"/>
    <w:rsid w:val="47B11952"/>
    <w:rsid w:val="47DE37DF"/>
    <w:rsid w:val="47F24BFD"/>
    <w:rsid w:val="47F47FF2"/>
    <w:rsid w:val="48152DDA"/>
    <w:rsid w:val="481C0FB9"/>
    <w:rsid w:val="482C010F"/>
    <w:rsid w:val="48584F06"/>
    <w:rsid w:val="48733F90"/>
    <w:rsid w:val="488726F9"/>
    <w:rsid w:val="48951C3A"/>
    <w:rsid w:val="48B8596A"/>
    <w:rsid w:val="48CD2F48"/>
    <w:rsid w:val="48EB41D1"/>
    <w:rsid w:val="48EC61C7"/>
    <w:rsid w:val="493F03A6"/>
    <w:rsid w:val="4983784B"/>
    <w:rsid w:val="498D790E"/>
    <w:rsid w:val="49993B51"/>
    <w:rsid w:val="499B4168"/>
    <w:rsid w:val="49F32C6E"/>
    <w:rsid w:val="4A193E98"/>
    <w:rsid w:val="4A1F6D79"/>
    <w:rsid w:val="4A2E724F"/>
    <w:rsid w:val="4A2F4DA6"/>
    <w:rsid w:val="4A3571B5"/>
    <w:rsid w:val="4A3829AA"/>
    <w:rsid w:val="4A6B379A"/>
    <w:rsid w:val="4A71675D"/>
    <w:rsid w:val="4AC13923"/>
    <w:rsid w:val="4ADE7682"/>
    <w:rsid w:val="4AEF0708"/>
    <w:rsid w:val="4AF057F4"/>
    <w:rsid w:val="4AF6697E"/>
    <w:rsid w:val="4AFD0C3F"/>
    <w:rsid w:val="4B01564D"/>
    <w:rsid w:val="4B2923E0"/>
    <w:rsid w:val="4B517C5D"/>
    <w:rsid w:val="4B64002A"/>
    <w:rsid w:val="4B6667B4"/>
    <w:rsid w:val="4B67503C"/>
    <w:rsid w:val="4B865D88"/>
    <w:rsid w:val="4B8E5703"/>
    <w:rsid w:val="4B96734D"/>
    <w:rsid w:val="4B9B775B"/>
    <w:rsid w:val="4BB672A6"/>
    <w:rsid w:val="4BBC00F3"/>
    <w:rsid w:val="4C147838"/>
    <w:rsid w:val="4C1B4AE3"/>
    <w:rsid w:val="4C461CE3"/>
    <w:rsid w:val="4C9953A9"/>
    <w:rsid w:val="4C9F2E01"/>
    <w:rsid w:val="4CAE04B3"/>
    <w:rsid w:val="4CAE6793"/>
    <w:rsid w:val="4CC95DA4"/>
    <w:rsid w:val="4CE258DD"/>
    <w:rsid w:val="4CF3280B"/>
    <w:rsid w:val="4D3919D3"/>
    <w:rsid w:val="4D451792"/>
    <w:rsid w:val="4D482286"/>
    <w:rsid w:val="4D4E65C8"/>
    <w:rsid w:val="4D722A68"/>
    <w:rsid w:val="4D74387C"/>
    <w:rsid w:val="4D8A6D95"/>
    <w:rsid w:val="4DA61F88"/>
    <w:rsid w:val="4DC26064"/>
    <w:rsid w:val="4DC74685"/>
    <w:rsid w:val="4DE02566"/>
    <w:rsid w:val="4DFF1E22"/>
    <w:rsid w:val="4E241889"/>
    <w:rsid w:val="4E297FD3"/>
    <w:rsid w:val="4E693596"/>
    <w:rsid w:val="4E790979"/>
    <w:rsid w:val="4EC95EA5"/>
    <w:rsid w:val="4ED7702B"/>
    <w:rsid w:val="4F011A88"/>
    <w:rsid w:val="4F20681D"/>
    <w:rsid w:val="4F310DC5"/>
    <w:rsid w:val="4F4B38CD"/>
    <w:rsid w:val="4F501D26"/>
    <w:rsid w:val="4F5B752C"/>
    <w:rsid w:val="4F8D0A94"/>
    <w:rsid w:val="4F964A55"/>
    <w:rsid w:val="4FB54E8E"/>
    <w:rsid w:val="4FBF0355"/>
    <w:rsid w:val="4FD80645"/>
    <w:rsid w:val="4FE439C5"/>
    <w:rsid w:val="4FEF2861"/>
    <w:rsid w:val="4FF05EC6"/>
    <w:rsid w:val="4FF43F30"/>
    <w:rsid w:val="4FF8102F"/>
    <w:rsid w:val="4FFD3C93"/>
    <w:rsid w:val="501651D3"/>
    <w:rsid w:val="503254B6"/>
    <w:rsid w:val="503B2279"/>
    <w:rsid w:val="50413516"/>
    <w:rsid w:val="504D49B4"/>
    <w:rsid w:val="50AD59A2"/>
    <w:rsid w:val="50BC1F26"/>
    <w:rsid w:val="50BF504F"/>
    <w:rsid w:val="50CC6549"/>
    <w:rsid w:val="50D74B6F"/>
    <w:rsid w:val="51122FEA"/>
    <w:rsid w:val="5113060E"/>
    <w:rsid w:val="511E3D1B"/>
    <w:rsid w:val="51290EFC"/>
    <w:rsid w:val="513121BD"/>
    <w:rsid w:val="517A638F"/>
    <w:rsid w:val="51974735"/>
    <w:rsid w:val="519A0D0D"/>
    <w:rsid w:val="51B0561D"/>
    <w:rsid w:val="51B810E2"/>
    <w:rsid w:val="51C5417A"/>
    <w:rsid w:val="51D80265"/>
    <w:rsid w:val="51D96FAA"/>
    <w:rsid w:val="5243281F"/>
    <w:rsid w:val="52914A9E"/>
    <w:rsid w:val="531445C2"/>
    <w:rsid w:val="53415089"/>
    <w:rsid w:val="53533E52"/>
    <w:rsid w:val="53574C37"/>
    <w:rsid w:val="53672993"/>
    <w:rsid w:val="53724AC2"/>
    <w:rsid w:val="537938ED"/>
    <w:rsid w:val="538057B3"/>
    <w:rsid w:val="5382012B"/>
    <w:rsid w:val="53A626B6"/>
    <w:rsid w:val="53B02E95"/>
    <w:rsid w:val="53CD3436"/>
    <w:rsid w:val="5404133F"/>
    <w:rsid w:val="54277B0C"/>
    <w:rsid w:val="542931C1"/>
    <w:rsid w:val="543A1E06"/>
    <w:rsid w:val="54467194"/>
    <w:rsid w:val="54681F80"/>
    <w:rsid w:val="54693D4B"/>
    <w:rsid w:val="54806D26"/>
    <w:rsid w:val="54D93004"/>
    <w:rsid w:val="54DE0C8F"/>
    <w:rsid w:val="54E75F75"/>
    <w:rsid w:val="54EF0E42"/>
    <w:rsid w:val="5520724E"/>
    <w:rsid w:val="55310341"/>
    <w:rsid w:val="555057DB"/>
    <w:rsid w:val="55766E6E"/>
    <w:rsid w:val="557F2D3C"/>
    <w:rsid w:val="558A4BAA"/>
    <w:rsid w:val="55970BB6"/>
    <w:rsid w:val="559C74C8"/>
    <w:rsid w:val="55A169B1"/>
    <w:rsid w:val="55AC0589"/>
    <w:rsid w:val="55B94FAC"/>
    <w:rsid w:val="55BC1BF5"/>
    <w:rsid w:val="55C37BD9"/>
    <w:rsid w:val="55C97B94"/>
    <w:rsid w:val="55E7031F"/>
    <w:rsid w:val="561D553B"/>
    <w:rsid w:val="5680538F"/>
    <w:rsid w:val="56926074"/>
    <w:rsid w:val="569A49C7"/>
    <w:rsid w:val="56BC1CBB"/>
    <w:rsid w:val="56C105BC"/>
    <w:rsid w:val="56D211BD"/>
    <w:rsid w:val="56D915F6"/>
    <w:rsid w:val="571A7A8C"/>
    <w:rsid w:val="577128DB"/>
    <w:rsid w:val="578B41F1"/>
    <w:rsid w:val="578C0965"/>
    <w:rsid w:val="57DF053B"/>
    <w:rsid w:val="583A2309"/>
    <w:rsid w:val="58800A97"/>
    <w:rsid w:val="58AA4946"/>
    <w:rsid w:val="58AF76AF"/>
    <w:rsid w:val="58B14A34"/>
    <w:rsid w:val="59372AC7"/>
    <w:rsid w:val="59625009"/>
    <w:rsid w:val="596A2BEE"/>
    <w:rsid w:val="596F04FF"/>
    <w:rsid w:val="598C03B5"/>
    <w:rsid w:val="59C75A20"/>
    <w:rsid w:val="59ED5C6E"/>
    <w:rsid w:val="5A0617E3"/>
    <w:rsid w:val="5A116935"/>
    <w:rsid w:val="5A2115CF"/>
    <w:rsid w:val="5A4D51B1"/>
    <w:rsid w:val="5A6C5F1D"/>
    <w:rsid w:val="5A6F4908"/>
    <w:rsid w:val="5AA02300"/>
    <w:rsid w:val="5B13515F"/>
    <w:rsid w:val="5B646496"/>
    <w:rsid w:val="5B64709A"/>
    <w:rsid w:val="5B6C7E8E"/>
    <w:rsid w:val="5B792EE8"/>
    <w:rsid w:val="5B7F597E"/>
    <w:rsid w:val="5B885B4D"/>
    <w:rsid w:val="5BAD1BDD"/>
    <w:rsid w:val="5BB176CB"/>
    <w:rsid w:val="5BB3525D"/>
    <w:rsid w:val="5BC30933"/>
    <w:rsid w:val="5BEE70AA"/>
    <w:rsid w:val="5BF85B63"/>
    <w:rsid w:val="5C235097"/>
    <w:rsid w:val="5C397314"/>
    <w:rsid w:val="5C5D2B35"/>
    <w:rsid w:val="5C8B272C"/>
    <w:rsid w:val="5CAF0989"/>
    <w:rsid w:val="5CB128EE"/>
    <w:rsid w:val="5D415FB3"/>
    <w:rsid w:val="5D606B34"/>
    <w:rsid w:val="5D8F6D1E"/>
    <w:rsid w:val="5DA9161B"/>
    <w:rsid w:val="5DB5176B"/>
    <w:rsid w:val="5DB669A1"/>
    <w:rsid w:val="5DD93178"/>
    <w:rsid w:val="5DDE4634"/>
    <w:rsid w:val="5DE83338"/>
    <w:rsid w:val="5DEE4A3F"/>
    <w:rsid w:val="5E07729E"/>
    <w:rsid w:val="5E0B21C9"/>
    <w:rsid w:val="5E106FE8"/>
    <w:rsid w:val="5E35548F"/>
    <w:rsid w:val="5E5076DB"/>
    <w:rsid w:val="5E763B28"/>
    <w:rsid w:val="5E7C6E12"/>
    <w:rsid w:val="5EA42C9D"/>
    <w:rsid w:val="5EA900EE"/>
    <w:rsid w:val="5EBA7DA6"/>
    <w:rsid w:val="5EC40AE7"/>
    <w:rsid w:val="5EE55F22"/>
    <w:rsid w:val="5F3E2B94"/>
    <w:rsid w:val="5F4E641B"/>
    <w:rsid w:val="5F570D0B"/>
    <w:rsid w:val="5F753D08"/>
    <w:rsid w:val="5F815228"/>
    <w:rsid w:val="5F8F0D79"/>
    <w:rsid w:val="5F9173C8"/>
    <w:rsid w:val="5F9B6D78"/>
    <w:rsid w:val="5FA3265E"/>
    <w:rsid w:val="5FDA088F"/>
    <w:rsid w:val="5FF6379A"/>
    <w:rsid w:val="603E67DA"/>
    <w:rsid w:val="60563B24"/>
    <w:rsid w:val="605D24D6"/>
    <w:rsid w:val="60974C8D"/>
    <w:rsid w:val="60A2735E"/>
    <w:rsid w:val="60CF4739"/>
    <w:rsid w:val="611F5049"/>
    <w:rsid w:val="61204699"/>
    <w:rsid w:val="613F6380"/>
    <w:rsid w:val="61632AEC"/>
    <w:rsid w:val="617839D3"/>
    <w:rsid w:val="618B2914"/>
    <w:rsid w:val="619C5535"/>
    <w:rsid w:val="61AE540E"/>
    <w:rsid w:val="61B825BC"/>
    <w:rsid w:val="61B8543B"/>
    <w:rsid w:val="61F80926"/>
    <w:rsid w:val="61FD4F21"/>
    <w:rsid w:val="62540D47"/>
    <w:rsid w:val="62642313"/>
    <w:rsid w:val="627B3800"/>
    <w:rsid w:val="628F156F"/>
    <w:rsid w:val="62C43069"/>
    <w:rsid w:val="62E11C40"/>
    <w:rsid w:val="6301497A"/>
    <w:rsid w:val="6309325D"/>
    <w:rsid w:val="63182269"/>
    <w:rsid w:val="631F471A"/>
    <w:rsid w:val="632E1DAF"/>
    <w:rsid w:val="6361115D"/>
    <w:rsid w:val="63614687"/>
    <w:rsid w:val="63844B2D"/>
    <w:rsid w:val="63CD537E"/>
    <w:rsid w:val="63FF3903"/>
    <w:rsid w:val="642B2E0C"/>
    <w:rsid w:val="6435673D"/>
    <w:rsid w:val="645547A0"/>
    <w:rsid w:val="645A3CC7"/>
    <w:rsid w:val="645E76EB"/>
    <w:rsid w:val="648161FA"/>
    <w:rsid w:val="64965770"/>
    <w:rsid w:val="64A6031D"/>
    <w:rsid w:val="64C32312"/>
    <w:rsid w:val="64E01D20"/>
    <w:rsid w:val="650B4248"/>
    <w:rsid w:val="650E1C57"/>
    <w:rsid w:val="65132446"/>
    <w:rsid w:val="6514390C"/>
    <w:rsid w:val="6521386E"/>
    <w:rsid w:val="652E431E"/>
    <w:rsid w:val="65441196"/>
    <w:rsid w:val="65487318"/>
    <w:rsid w:val="65953364"/>
    <w:rsid w:val="659C0A1C"/>
    <w:rsid w:val="65AC4A3A"/>
    <w:rsid w:val="65BD12A3"/>
    <w:rsid w:val="65D250F3"/>
    <w:rsid w:val="660404C6"/>
    <w:rsid w:val="66393AC7"/>
    <w:rsid w:val="66474E49"/>
    <w:rsid w:val="66BA451C"/>
    <w:rsid w:val="66D95088"/>
    <w:rsid w:val="66E55C01"/>
    <w:rsid w:val="66ED581C"/>
    <w:rsid w:val="66EE08DE"/>
    <w:rsid w:val="67153C4F"/>
    <w:rsid w:val="673B3A73"/>
    <w:rsid w:val="67472418"/>
    <w:rsid w:val="67674868"/>
    <w:rsid w:val="67E42DE3"/>
    <w:rsid w:val="67EE4F89"/>
    <w:rsid w:val="67FF1A88"/>
    <w:rsid w:val="680E1AEF"/>
    <w:rsid w:val="680F35AD"/>
    <w:rsid w:val="681B47DD"/>
    <w:rsid w:val="685D445E"/>
    <w:rsid w:val="68735874"/>
    <w:rsid w:val="68746D29"/>
    <w:rsid w:val="68B47F81"/>
    <w:rsid w:val="68BA6245"/>
    <w:rsid w:val="68CD4BF1"/>
    <w:rsid w:val="68D93544"/>
    <w:rsid w:val="68F57500"/>
    <w:rsid w:val="69270753"/>
    <w:rsid w:val="694133B6"/>
    <w:rsid w:val="69440841"/>
    <w:rsid w:val="6945663E"/>
    <w:rsid w:val="695E5625"/>
    <w:rsid w:val="69823CED"/>
    <w:rsid w:val="698B1D94"/>
    <w:rsid w:val="69B227A4"/>
    <w:rsid w:val="69B87C37"/>
    <w:rsid w:val="69BB33CD"/>
    <w:rsid w:val="69C32790"/>
    <w:rsid w:val="69C83715"/>
    <w:rsid w:val="69CD4A5E"/>
    <w:rsid w:val="69D16911"/>
    <w:rsid w:val="69DC778F"/>
    <w:rsid w:val="69FB330B"/>
    <w:rsid w:val="6A440D73"/>
    <w:rsid w:val="6A48088C"/>
    <w:rsid w:val="6A5A73C4"/>
    <w:rsid w:val="6A62713F"/>
    <w:rsid w:val="6A916D3D"/>
    <w:rsid w:val="6AA96C71"/>
    <w:rsid w:val="6ABD3A35"/>
    <w:rsid w:val="6ADE6F27"/>
    <w:rsid w:val="6AE62CF1"/>
    <w:rsid w:val="6AFB18D2"/>
    <w:rsid w:val="6AFB4205"/>
    <w:rsid w:val="6AFC5C0F"/>
    <w:rsid w:val="6B0A032C"/>
    <w:rsid w:val="6B44503E"/>
    <w:rsid w:val="6B5775E2"/>
    <w:rsid w:val="6BF568E6"/>
    <w:rsid w:val="6C070C78"/>
    <w:rsid w:val="6C092392"/>
    <w:rsid w:val="6C1E52DC"/>
    <w:rsid w:val="6C510124"/>
    <w:rsid w:val="6C63376F"/>
    <w:rsid w:val="6C6B6BA9"/>
    <w:rsid w:val="6C8A1E91"/>
    <w:rsid w:val="6CCB443B"/>
    <w:rsid w:val="6CD03FF3"/>
    <w:rsid w:val="6CD13A76"/>
    <w:rsid w:val="6CE61656"/>
    <w:rsid w:val="6D073BA1"/>
    <w:rsid w:val="6D143528"/>
    <w:rsid w:val="6D171791"/>
    <w:rsid w:val="6D4F0278"/>
    <w:rsid w:val="6D4F6C9C"/>
    <w:rsid w:val="6D577C3C"/>
    <w:rsid w:val="6D6B3A4A"/>
    <w:rsid w:val="6D7F1566"/>
    <w:rsid w:val="6D870701"/>
    <w:rsid w:val="6DAB3296"/>
    <w:rsid w:val="6DB50664"/>
    <w:rsid w:val="6DBF3470"/>
    <w:rsid w:val="6DEB37CE"/>
    <w:rsid w:val="6E0539CA"/>
    <w:rsid w:val="6E161999"/>
    <w:rsid w:val="6E1B027F"/>
    <w:rsid w:val="6E2F7FCA"/>
    <w:rsid w:val="6E474F30"/>
    <w:rsid w:val="6E4B5A6B"/>
    <w:rsid w:val="6E717AD1"/>
    <w:rsid w:val="6EA57E47"/>
    <w:rsid w:val="6EA8077C"/>
    <w:rsid w:val="6EBB2453"/>
    <w:rsid w:val="6ED058F5"/>
    <w:rsid w:val="6F0B7373"/>
    <w:rsid w:val="6F11155D"/>
    <w:rsid w:val="6F795D04"/>
    <w:rsid w:val="6FBA36B9"/>
    <w:rsid w:val="6FBA67EB"/>
    <w:rsid w:val="700D41B0"/>
    <w:rsid w:val="70115CB9"/>
    <w:rsid w:val="702C5054"/>
    <w:rsid w:val="70441BEA"/>
    <w:rsid w:val="70541384"/>
    <w:rsid w:val="7058021D"/>
    <w:rsid w:val="70862042"/>
    <w:rsid w:val="70B6222F"/>
    <w:rsid w:val="70D533D8"/>
    <w:rsid w:val="70DF29A1"/>
    <w:rsid w:val="70F20AE9"/>
    <w:rsid w:val="710E1A7C"/>
    <w:rsid w:val="711841BB"/>
    <w:rsid w:val="712150B6"/>
    <w:rsid w:val="71245333"/>
    <w:rsid w:val="7136364E"/>
    <w:rsid w:val="713C4FB8"/>
    <w:rsid w:val="71767ADD"/>
    <w:rsid w:val="717B097A"/>
    <w:rsid w:val="71AE6E4F"/>
    <w:rsid w:val="7202237B"/>
    <w:rsid w:val="72136023"/>
    <w:rsid w:val="72437A8D"/>
    <w:rsid w:val="725F02DB"/>
    <w:rsid w:val="72736772"/>
    <w:rsid w:val="72B04752"/>
    <w:rsid w:val="72B4536B"/>
    <w:rsid w:val="72C1247E"/>
    <w:rsid w:val="7357414C"/>
    <w:rsid w:val="736D28EB"/>
    <w:rsid w:val="73BD1298"/>
    <w:rsid w:val="73C55643"/>
    <w:rsid w:val="73D16770"/>
    <w:rsid w:val="743772C5"/>
    <w:rsid w:val="744228E5"/>
    <w:rsid w:val="7449604D"/>
    <w:rsid w:val="74566752"/>
    <w:rsid w:val="74886964"/>
    <w:rsid w:val="74A14EF6"/>
    <w:rsid w:val="74B22400"/>
    <w:rsid w:val="74B66A46"/>
    <w:rsid w:val="74B84955"/>
    <w:rsid w:val="752011D5"/>
    <w:rsid w:val="752A081C"/>
    <w:rsid w:val="75303E01"/>
    <w:rsid w:val="75721DF1"/>
    <w:rsid w:val="759D7430"/>
    <w:rsid w:val="75A413EA"/>
    <w:rsid w:val="75A73001"/>
    <w:rsid w:val="75A751E0"/>
    <w:rsid w:val="75B44349"/>
    <w:rsid w:val="75E91CE8"/>
    <w:rsid w:val="75EC42B6"/>
    <w:rsid w:val="75F95225"/>
    <w:rsid w:val="763931DE"/>
    <w:rsid w:val="763A5AC3"/>
    <w:rsid w:val="766C284D"/>
    <w:rsid w:val="7671679B"/>
    <w:rsid w:val="76716B5F"/>
    <w:rsid w:val="76760814"/>
    <w:rsid w:val="7688562D"/>
    <w:rsid w:val="76930B91"/>
    <w:rsid w:val="76BC35B7"/>
    <w:rsid w:val="76C90347"/>
    <w:rsid w:val="76E27503"/>
    <w:rsid w:val="77071066"/>
    <w:rsid w:val="77335598"/>
    <w:rsid w:val="773E2058"/>
    <w:rsid w:val="773E6738"/>
    <w:rsid w:val="774553B7"/>
    <w:rsid w:val="77607C63"/>
    <w:rsid w:val="778E4093"/>
    <w:rsid w:val="7793249C"/>
    <w:rsid w:val="779404FF"/>
    <w:rsid w:val="77AF7427"/>
    <w:rsid w:val="77D7743F"/>
    <w:rsid w:val="77ED2B68"/>
    <w:rsid w:val="78074A71"/>
    <w:rsid w:val="7808185B"/>
    <w:rsid w:val="78126A72"/>
    <w:rsid w:val="78392496"/>
    <w:rsid w:val="785B5D23"/>
    <w:rsid w:val="787568B7"/>
    <w:rsid w:val="78765F72"/>
    <w:rsid w:val="7880609B"/>
    <w:rsid w:val="7883171E"/>
    <w:rsid w:val="789B123B"/>
    <w:rsid w:val="78AB6FE1"/>
    <w:rsid w:val="78AF0701"/>
    <w:rsid w:val="78B14006"/>
    <w:rsid w:val="78B26DFF"/>
    <w:rsid w:val="78C7785D"/>
    <w:rsid w:val="78C943A2"/>
    <w:rsid w:val="78D163BC"/>
    <w:rsid w:val="78F7281C"/>
    <w:rsid w:val="7921264D"/>
    <w:rsid w:val="794E50A5"/>
    <w:rsid w:val="79535359"/>
    <w:rsid w:val="799123FF"/>
    <w:rsid w:val="79A635CD"/>
    <w:rsid w:val="79B07DDC"/>
    <w:rsid w:val="79BD7039"/>
    <w:rsid w:val="7A074A44"/>
    <w:rsid w:val="7A0F2A35"/>
    <w:rsid w:val="7A282F39"/>
    <w:rsid w:val="7A343531"/>
    <w:rsid w:val="7A601D17"/>
    <w:rsid w:val="7A8F1624"/>
    <w:rsid w:val="7A9725D4"/>
    <w:rsid w:val="7A996E84"/>
    <w:rsid w:val="7AA04369"/>
    <w:rsid w:val="7AAC4588"/>
    <w:rsid w:val="7AB70843"/>
    <w:rsid w:val="7AED1F94"/>
    <w:rsid w:val="7AF30C33"/>
    <w:rsid w:val="7AFF2092"/>
    <w:rsid w:val="7B1277B8"/>
    <w:rsid w:val="7B134203"/>
    <w:rsid w:val="7B144F61"/>
    <w:rsid w:val="7B4D4962"/>
    <w:rsid w:val="7B893410"/>
    <w:rsid w:val="7B9C3965"/>
    <w:rsid w:val="7BA23BD0"/>
    <w:rsid w:val="7BA944C5"/>
    <w:rsid w:val="7BB87930"/>
    <w:rsid w:val="7BBB7E32"/>
    <w:rsid w:val="7BC538AF"/>
    <w:rsid w:val="7BE30826"/>
    <w:rsid w:val="7C09257B"/>
    <w:rsid w:val="7C1032C9"/>
    <w:rsid w:val="7C44439A"/>
    <w:rsid w:val="7C7A19AF"/>
    <w:rsid w:val="7C814C9E"/>
    <w:rsid w:val="7C945CA8"/>
    <w:rsid w:val="7CB416CB"/>
    <w:rsid w:val="7CCA41E8"/>
    <w:rsid w:val="7CE21D5D"/>
    <w:rsid w:val="7D220815"/>
    <w:rsid w:val="7D75093D"/>
    <w:rsid w:val="7DB12889"/>
    <w:rsid w:val="7DC105E8"/>
    <w:rsid w:val="7DCB089E"/>
    <w:rsid w:val="7DD16DBF"/>
    <w:rsid w:val="7DD345AE"/>
    <w:rsid w:val="7DF92E0A"/>
    <w:rsid w:val="7E100ADF"/>
    <w:rsid w:val="7E27682C"/>
    <w:rsid w:val="7E3241A4"/>
    <w:rsid w:val="7E55191D"/>
    <w:rsid w:val="7E5B702C"/>
    <w:rsid w:val="7E621927"/>
    <w:rsid w:val="7E724D5A"/>
    <w:rsid w:val="7E8D37A7"/>
    <w:rsid w:val="7EAC722A"/>
    <w:rsid w:val="7EE94A7C"/>
    <w:rsid w:val="7F0274FA"/>
    <w:rsid w:val="7F0F3B31"/>
    <w:rsid w:val="7F1B6B79"/>
    <w:rsid w:val="7F7B1332"/>
    <w:rsid w:val="7FB10985"/>
    <w:rsid w:val="7FD55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6">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qFormat/>
    <w:uiPriority w:val="0"/>
    <w:pPr>
      <w:tabs>
        <w:tab w:val="left" w:pos="567"/>
      </w:tabs>
      <w:spacing w:before="120" w:line="22" w:lineRule="atLeast"/>
    </w:pPr>
    <w:rPr>
      <w:rFonts w:ascii="宋体" w:hAnsi="宋体"/>
      <w:sz w:val="24"/>
    </w:rPr>
  </w:style>
  <w:style w:type="paragraph" w:styleId="7">
    <w:name w:val="toc 7"/>
    <w:basedOn w:val="1"/>
    <w:next w:val="1"/>
    <w:qFormat/>
    <w:uiPriority w:val="0"/>
    <w:pPr>
      <w:ind w:left="2520" w:leftChars="12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Document Map"/>
    <w:basedOn w:val="1"/>
    <w:link w:val="109"/>
    <w:semiHidden/>
    <w:unhideWhenUsed/>
    <w:qFormat/>
    <w:uiPriority w:val="99"/>
    <w:rPr>
      <w:rFonts w:ascii="宋体"/>
      <w:sz w:val="18"/>
      <w:szCs w:val="18"/>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79"/>
    <w:unhideWhenUsed/>
    <w:qFormat/>
    <w:uiPriority w:val="0"/>
    <w:pPr>
      <w:jc w:val="left"/>
    </w:pPr>
  </w:style>
  <w:style w:type="paragraph" w:styleId="12">
    <w:name w:val="Body Text Indent"/>
    <w:basedOn w:val="1"/>
    <w:link w:val="84"/>
    <w:qFormat/>
    <w:uiPriority w:val="0"/>
    <w:pPr>
      <w:spacing w:line="360" w:lineRule="auto"/>
      <w:ind w:firstLine="570"/>
    </w:pPr>
    <w:rPr>
      <w:sz w:val="24"/>
    </w:rPr>
  </w:style>
  <w:style w:type="paragraph" w:styleId="13">
    <w:name w:val="toc 5"/>
    <w:basedOn w:val="1"/>
    <w:next w:val="1"/>
    <w:qFormat/>
    <w:uiPriority w:val="0"/>
    <w:pPr>
      <w:ind w:left="1680" w:leftChars="800"/>
    </w:pPr>
  </w:style>
  <w:style w:type="paragraph" w:styleId="14">
    <w:name w:val="toc 3"/>
    <w:basedOn w:val="1"/>
    <w:next w:val="1"/>
    <w:qFormat/>
    <w:uiPriority w:val="0"/>
    <w:pPr>
      <w:tabs>
        <w:tab w:val="left" w:pos="1260"/>
        <w:tab w:val="right" w:leader="dot" w:pos="8630"/>
      </w:tabs>
      <w:ind w:left="840" w:leftChars="400"/>
    </w:pPr>
  </w:style>
  <w:style w:type="paragraph" w:styleId="15">
    <w:name w:val="Plain Text"/>
    <w:basedOn w:val="1"/>
    <w:next w:val="16"/>
    <w:link w:val="78"/>
    <w:qFormat/>
    <w:uiPriority w:val="0"/>
    <w:rPr>
      <w:rFonts w:ascii="宋体" w:hAnsi="Courier New"/>
      <w:szCs w:val="22"/>
    </w:rPr>
  </w:style>
  <w:style w:type="paragraph" w:styleId="1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7">
    <w:name w:val="toc 8"/>
    <w:basedOn w:val="1"/>
    <w:next w:val="1"/>
    <w:qFormat/>
    <w:uiPriority w:val="0"/>
    <w:pPr>
      <w:ind w:left="2940" w:leftChars="1400"/>
    </w:pPr>
  </w:style>
  <w:style w:type="paragraph" w:styleId="18">
    <w:name w:val="Date"/>
    <w:basedOn w:val="1"/>
    <w:next w:val="1"/>
    <w:link w:val="62"/>
    <w:qFormat/>
    <w:uiPriority w:val="0"/>
    <w:pPr>
      <w:ind w:left="100" w:leftChars="2500"/>
    </w:pPr>
    <w:rPr>
      <w:rFonts w:ascii="仿宋_GB2312" w:hAnsi="宋体" w:eastAsia="仿宋_GB2312"/>
      <w:color w:val="000000"/>
      <w:sz w:val="24"/>
    </w:rPr>
  </w:style>
  <w:style w:type="paragraph" w:styleId="19">
    <w:name w:val="Body Text Indent 2"/>
    <w:basedOn w:val="1"/>
    <w:link w:val="85"/>
    <w:qFormat/>
    <w:uiPriority w:val="0"/>
    <w:pPr>
      <w:ind w:firstLine="480" w:firstLineChars="200"/>
    </w:pPr>
    <w:rPr>
      <w:rFonts w:ascii="仿宋_GB2312" w:eastAsia="仿宋_GB2312"/>
      <w:sz w:val="24"/>
    </w:rPr>
  </w:style>
  <w:style w:type="paragraph" w:styleId="20">
    <w:name w:val="Balloon Text"/>
    <w:basedOn w:val="1"/>
    <w:link w:val="64"/>
    <w:qFormat/>
    <w:uiPriority w:val="0"/>
    <w:rPr>
      <w:sz w:val="18"/>
      <w:szCs w:val="18"/>
    </w:rPr>
  </w:style>
  <w:style w:type="paragraph" w:styleId="21">
    <w:name w:val="footer"/>
    <w:basedOn w:val="1"/>
    <w:link w:val="65"/>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footnote text"/>
    <w:basedOn w:val="1"/>
    <w:next w:val="2"/>
    <w:link w:val="82"/>
    <w:qFormat/>
    <w:uiPriority w:val="0"/>
    <w:pPr>
      <w:snapToGrid w:val="0"/>
      <w:jc w:val="left"/>
    </w:pPr>
    <w:rPr>
      <w:sz w:val="18"/>
    </w:rPr>
  </w:style>
  <w:style w:type="paragraph" w:styleId="26">
    <w:name w:val="toc 6"/>
    <w:basedOn w:val="1"/>
    <w:next w:val="1"/>
    <w:qFormat/>
    <w:uiPriority w:val="0"/>
    <w:pPr>
      <w:ind w:left="2100" w:leftChars="1000"/>
    </w:pPr>
  </w:style>
  <w:style w:type="paragraph" w:styleId="27">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index 7"/>
    <w:basedOn w:val="1"/>
    <w:next w:val="1"/>
    <w:qFormat/>
    <w:uiPriority w:val="0"/>
    <w:pPr>
      <w:autoSpaceDE/>
      <w:autoSpaceDN/>
      <w:adjustRightInd/>
      <w:ind w:left="1200" w:leftChars="1200"/>
    </w:pPr>
    <w:rPr>
      <w:color w:val="auto"/>
      <w:kern w:val="2"/>
      <w:szCs w:val="24"/>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next w:val="33"/>
    <w:qFormat/>
    <w:uiPriority w:val="0"/>
    <w:pPr>
      <w:widowControl/>
      <w:spacing w:before="100" w:beforeAutospacing="1" w:after="100" w:afterAutospacing="1"/>
      <w:jc w:val="left"/>
    </w:pPr>
    <w:rPr>
      <w:rFonts w:ascii="宋体" w:hAnsi="宋体" w:cs="宋体"/>
      <w:kern w:val="0"/>
      <w:sz w:val="24"/>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index 1"/>
    <w:basedOn w:val="1"/>
    <w:next w:val="1"/>
    <w:qFormat/>
    <w:uiPriority w:val="0"/>
    <w:rPr>
      <w:szCs w:val="20"/>
    </w:rPr>
  </w:style>
  <w:style w:type="paragraph" w:styleId="35">
    <w:name w:val="annotation subject"/>
    <w:basedOn w:val="11"/>
    <w:next w:val="11"/>
    <w:link w:val="74"/>
    <w:qFormat/>
    <w:uiPriority w:val="0"/>
    <w:rPr>
      <w:b/>
      <w:bCs/>
    </w:rPr>
  </w:style>
  <w:style w:type="paragraph" w:styleId="36">
    <w:name w:val="Body Text First Indent"/>
    <w:basedOn w:val="2"/>
    <w:next w:val="1"/>
    <w:unhideWhenUsed/>
    <w:qFormat/>
    <w:uiPriority w:val="99"/>
    <w:pPr>
      <w:ind w:firstLine="420" w:firstLineChars="100"/>
    </w:pPr>
  </w:style>
  <w:style w:type="paragraph" w:styleId="37">
    <w:name w:val="Body Text First Indent 2"/>
    <w:basedOn w:val="12"/>
    <w:next w:val="1"/>
    <w:link w:val="93"/>
    <w:qFormat/>
    <w:uiPriority w:val="0"/>
    <w:pPr>
      <w:ind w:firstLine="420" w:firstLineChars="200"/>
    </w:pPr>
  </w:style>
  <w:style w:type="table" w:styleId="39">
    <w:name w:val="Table Grid"/>
    <w:basedOn w:val="3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0">
    <w:name w:val="Medium Grid 3 Accent 1"/>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1">
    <w:name w:val="Medium Grid 3 Accent 2"/>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2">
    <w:name w:val="Medium Grid 3 Accent 3"/>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3">
    <w:name w:val="Medium Grid 3 Accent 4"/>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4">
    <w:name w:val="Medium Grid 3 Accent 5"/>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5">
    <w:name w:val="Medium Grid 3 Accent 6"/>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7">
    <w:name w:val="Strong"/>
    <w:basedOn w:val="46"/>
    <w:qFormat/>
    <w:uiPriority w:val="0"/>
    <w:rPr>
      <w:b/>
      <w:bCs/>
      <w:szCs w:val="21"/>
    </w:rPr>
  </w:style>
  <w:style w:type="character" w:styleId="48">
    <w:name w:val="page number"/>
    <w:basedOn w:val="46"/>
    <w:qFormat/>
    <w:uiPriority w:val="0"/>
    <w:rPr>
      <w:rFonts w:ascii="Times New Roman" w:hAnsi="Times New Roman" w:eastAsia="宋体" w:cs="Times New Roman"/>
    </w:rPr>
  </w:style>
  <w:style w:type="character" w:styleId="49">
    <w:name w:val="Hyperlink"/>
    <w:qFormat/>
    <w:uiPriority w:val="0"/>
    <w:rPr>
      <w:rFonts w:ascii="Times New Roman" w:hAnsi="Times New Roman" w:eastAsia="宋体" w:cs="Times New Roman"/>
      <w:color w:val="0000FF"/>
      <w:u w:val="single"/>
    </w:rPr>
  </w:style>
  <w:style w:type="character" w:styleId="50">
    <w:name w:val="annotation reference"/>
    <w:qFormat/>
    <w:uiPriority w:val="0"/>
    <w:rPr>
      <w:rFonts w:ascii="Times New Roman" w:hAnsi="Times New Roman" w:eastAsia="宋体" w:cs="Times New Roman"/>
      <w:sz w:val="21"/>
      <w:szCs w:val="21"/>
    </w:rPr>
  </w:style>
  <w:style w:type="character" w:styleId="51">
    <w:name w:val="HTML Sample"/>
    <w:basedOn w:val="46"/>
    <w:qFormat/>
    <w:uiPriority w:val="0"/>
    <w:rPr>
      <w:rFonts w:ascii="Courier New" w:hAnsi="Courier New"/>
    </w:rPr>
  </w:style>
  <w:style w:type="paragraph" w:customStyle="1" w:styleId="5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 w:type="paragraph" w:customStyle="1" w:styleId="5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5">
    <w:name w:val="Heading2"/>
    <w:basedOn w:val="1"/>
    <w:next w:val="1"/>
    <w:qFormat/>
    <w:uiPriority w:val="0"/>
    <w:pPr>
      <w:keepNext/>
      <w:numPr>
        <w:ilvl w:val="1"/>
        <w:numId w:val="2"/>
      </w:numPr>
      <w:spacing w:before="240" w:after="60"/>
      <w:jc w:val="left"/>
    </w:pPr>
    <w:rPr>
      <w:rFonts w:ascii="Cambria" w:hAnsi="Cambria" w:eastAsia="宋体" w:cs="Times New Roman"/>
      <w:b/>
      <w:bCs/>
      <w:i/>
      <w:iCs/>
      <w:kern w:val="0"/>
      <w:sz w:val="28"/>
      <w:szCs w:val="28"/>
      <w:lang w:eastAsia="en-US"/>
    </w:rPr>
  </w:style>
  <w:style w:type="paragraph" w:customStyle="1" w:styleId="56">
    <w:name w:val="NormalIndent"/>
    <w:basedOn w:val="1"/>
    <w:qFormat/>
    <w:uiPriority w:val="0"/>
    <w:pPr>
      <w:ind w:firstLine="420"/>
      <w:jc w:val="left"/>
    </w:pPr>
    <w:rPr>
      <w:rFonts w:ascii="Arial"/>
      <w:kern w:val="0"/>
      <w:sz w:val="24"/>
      <w:szCs w:val="20"/>
    </w:rPr>
  </w:style>
  <w:style w:type="character" w:customStyle="1" w:styleId="57">
    <w:name w:val="标题 1 Char"/>
    <w:basedOn w:val="46"/>
    <w:link w:val="3"/>
    <w:qFormat/>
    <w:uiPriority w:val="0"/>
    <w:rPr>
      <w:rFonts w:ascii="宋体" w:hAnsi="Times New Roman" w:eastAsia="宋体" w:cs="Times New Roman"/>
      <w:b/>
      <w:kern w:val="44"/>
      <w:sz w:val="32"/>
      <w:szCs w:val="20"/>
    </w:rPr>
  </w:style>
  <w:style w:type="character" w:customStyle="1" w:styleId="58">
    <w:name w:val="标题 2 Char"/>
    <w:basedOn w:val="46"/>
    <w:link w:val="4"/>
    <w:qFormat/>
    <w:uiPriority w:val="0"/>
    <w:rPr>
      <w:rFonts w:ascii="Arial" w:hAnsi="Arial" w:eastAsia="黑体" w:cs="Times New Roman"/>
      <w:b/>
      <w:kern w:val="0"/>
      <w:sz w:val="30"/>
      <w:szCs w:val="20"/>
    </w:rPr>
  </w:style>
  <w:style w:type="character" w:customStyle="1" w:styleId="59">
    <w:name w:val="标题 3 Char"/>
    <w:basedOn w:val="46"/>
    <w:link w:val="5"/>
    <w:qFormat/>
    <w:uiPriority w:val="0"/>
    <w:rPr>
      <w:rFonts w:ascii="宋体" w:hAnsi="Times New Roman" w:eastAsia="宋体" w:cs="Times New Roman"/>
      <w:b/>
      <w:kern w:val="0"/>
      <w:sz w:val="24"/>
      <w:szCs w:val="20"/>
      <w:u w:val="single"/>
    </w:rPr>
  </w:style>
  <w:style w:type="character" w:customStyle="1" w:styleId="60">
    <w:name w:val="font01"/>
    <w:qFormat/>
    <w:uiPriority w:val="0"/>
    <w:rPr>
      <w:rFonts w:hint="eastAsia" w:ascii="宋体" w:hAnsi="宋体" w:eastAsia="宋体" w:cs="宋体"/>
      <w:color w:val="000000"/>
      <w:sz w:val="24"/>
      <w:szCs w:val="24"/>
      <w:u w:val="none"/>
    </w:rPr>
  </w:style>
  <w:style w:type="character" w:customStyle="1" w:styleId="61">
    <w:name w:val="批注文字 Char1"/>
    <w:qFormat/>
    <w:uiPriority w:val="0"/>
    <w:rPr>
      <w:rFonts w:ascii="Times New Roman" w:hAnsi="Times New Roman" w:eastAsia="宋体" w:cs="Times New Roman"/>
      <w:kern w:val="2"/>
      <w:sz w:val="21"/>
      <w:szCs w:val="24"/>
    </w:rPr>
  </w:style>
  <w:style w:type="character" w:customStyle="1" w:styleId="62">
    <w:name w:val="日期 Char"/>
    <w:link w:val="18"/>
    <w:qFormat/>
    <w:uiPriority w:val="0"/>
    <w:rPr>
      <w:rFonts w:ascii="仿宋_GB2312" w:hAnsi="宋体" w:eastAsia="仿宋_GB2312" w:cs="Times New Roman"/>
      <w:color w:val="000000"/>
      <w:sz w:val="24"/>
      <w:szCs w:val="24"/>
    </w:rPr>
  </w:style>
  <w:style w:type="character" w:customStyle="1" w:styleId="63">
    <w:name w:val="font31"/>
    <w:qFormat/>
    <w:uiPriority w:val="0"/>
    <w:rPr>
      <w:rFonts w:hint="default" w:ascii="Times New Roman" w:hAnsi="Times New Roman" w:cs="Times New Roman"/>
      <w:color w:val="000000"/>
      <w:sz w:val="20"/>
      <w:szCs w:val="20"/>
      <w:u w:val="none"/>
    </w:rPr>
  </w:style>
  <w:style w:type="character" w:customStyle="1" w:styleId="64">
    <w:name w:val="批注框文本 Char"/>
    <w:link w:val="20"/>
    <w:qFormat/>
    <w:uiPriority w:val="0"/>
    <w:rPr>
      <w:rFonts w:ascii="Times New Roman" w:hAnsi="Times New Roman" w:eastAsia="宋体" w:cs="Times New Roman"/>
      <w:sz w:val="18"/>
      <w:szCs w:val="18"/>
    </w:rPr>
  </w:style>
  <w:style w:type="character" w:customStyle="1" w:styleId="65">
    <w:name w:val="页脚 Char"/>
    <w:link w:val="21"/>
    <w:qFormat/>
    <w:uiPriority w:val="0"/>
    <w:rPr>
      <w:rFonts w:ascii="宋体" w:hAnsi="Times New Roman" w:eastAsia="宋体" w:cs="Times New Roman"/>
      <w:sz w:val="18"/>
    </w:rPr>
  </w:style>
  <w:style w:type="character" w:customStyle="1" w:styleId="66">
    <w:name w:val="正文文本 Char"/>
    <w:link w:val="2"/>
    <w:qFormat/>
    <w:uiPriority w:val="0"/>
    <w:rPr>
      <w:rFonts w:ascii="宋体" w:hAnsi="宋体" w:eastAsia="宋体" w:cs="Times New Roman"/>
      <w:sz w:val="24"/>
      <w:szCs w:val="24"/>
    </w:rPr>
  </w:style>
  <w:style w:type="character" w:customStyle="1" w:styleId="67">
    <w:name w:val="正文缩进 Char1"/>
    <w:link w:val="68"/>
    <w:qFormat/>
    <w:uiPriority w:val="0"/>
    <w:rPr>
      <w:rFonts w:ascii="宋体" w:hAnsi="Times New Roman" w:eastAsia="宋体" w:cs="Times New Roman"/>
      <w:sz w:val="24"/>
    </w:rPr>
  </w:style>
  <w:style w:type="paragraph" w:customStyle="1" w:styleId="68">
    <w:name w:val="正文缩进1"/>
    <w:basedOn w:val="1"/>
    <w:link w:val="67"/>
    <w:qFormat/>
    <w:uiPriority w:val="0"/>
    <w:pPr>
      <w:autoSpaceDE w:val="0"/>
      <w:autoSpaceDN w:val="0"/>
      <w:adjustRightInd w:val="0"/>
      <w:ind w:firstLine="420"/>
      <w:jc w:val="left"/>
    </w:pPr>
    <w:rPr>
      <w:rFonts w:ascii="宋体"/>
      <w:sz w:val="24"/>
      <w:szCs w:val="22"/>
    </w:rPr>
  </w:style>
  <w:style w:type="character" w:customStyle="1" w:styleId="69">
    <w:name w:val="批注文字 Char"/>
    <w:qFormat/>
    <w:uiPriority w:val="0"/>
    <w:rPr>
      <w:rFonts w:ascii="Times New Roman" w:hAnsi="Times New Roman" w:eastAsia="宋体" w:cs="Times New Roman"/>
      <w:kern w:val="2"/>
      <w:sz w:val="21"/>
      <w:szCs w:val="24"/>
    </w:rPr>
  </w:style>
  <w:style w:type="character" w:customStyle="1" w:styleId="70">
    <w:name w:val="font41"/>
    <w:qFormat/>
    <w:uiPriority w:val="0"/>
    <w:rPr>
      <w:rFonts w:hint="eastAsia" w:ascii="宋体" w:hAnsi="宋体" w:eastAsia="宋体"/>
      <w:color w:val="000000"/>
      <w:sz w:val="20"/>
      <w:szCs w:val="20"/>
      <w:u w:val="none"/>
    </w:rPr>
  </w:style>
  <w:style w:type="character" w:customStyle="1" w:styleId="71">
    <w:name w:val="批注框文本 Char1"/>
    <w:qFormat/>
    <w:uiPriority w:val="0"/>
    <w:rPr>
      <w:rFonts w:ascii="Times New Roman" w:hAnsi="Times New Roman" w:eastAsia="宋体" w:cs="Times New Roman"/>
      <w:kern w:val="2"/>
      <w:sz w:val="18"/>
      <w:szCs w:val="18"/>
    </w:rPr>
  </w:style>
  <w:style w:type="character" w:customStyle="1" w:styleId="72">
    <w:name w:val="页眉 Char"/>
    <w:link w:val="22"/>
    <w:qFormat/>
    <w:uiPriority w:val="0"/>
    <w:rPr>
      <w:rFonts w:ascii="Times New Roman" w:hAnsi="Times New Roman" w:eastAsia="宋体" w:cs="Times New Roman"/>
      <w:sz w:val="18"/>
      <w:szCs w:val="18"/>
    </w:rPr>
  </w:style>
  <w:style w:type="character" w:customStyle="1" w:styleId="73">
    <w:name w:val="页眉 Char1"/>
    <w:qFormat/>
    <w:uiPriority w:val="0"/>
    <w:rPr>
      <w:rFonts w:ascii="Times New Roman" w:hAnsi="Times New Roman" w:eastAsia="宋体" w:cs="Times New Roman"/>
      <w:kern w:val="2"/>
      <w:sz w:val="18"/>
      <w:szCs w:val="18"/>
    </w:rPr>
  </w:style>
  <w:style w:type="character" w:customStyle="1" w:styleId="74">
    <w:name w:val="批注主题 Char"/>
    <w:link w:val="35"/>
    <w:qFormat/>
    <w:uiPriority w:val="0"/>
    <w:rPr>
      <w:rFonts w:ascii="Times New Roman" w:hAnsi="Times New Roman" w:eastAsia="宋体" w:cs="Times New Roman"/>
      <w:b/>
      <w:bCs/>
      <w:szCs w:val="24"/>
    </w:rPr>
  </w:style>
  <w:style w:type="character" w:customStyle="1" w:styleId="75">
    <w:name w:val="纯文本 Char1"/>
    <w:link w:val="76"/>
    <w:qFormat/>
    <w:uiPriority w:val="99"/>
    <w:rPr>
      <w:rFonts w:ascii="宋体" w:hAnsi="Courier New" w:eastAsia="宋体" w:cs="Times New Roman"/>
    </w:rPr>
  </w:style>
  <w:style w:type="paragraph" w:customStyle="1" w:styleId="76">
    <w:name w:val="纯文本1"/>
    <w:basedOn w:val="1"/>
    <w:link w:val="75"/>
    <w:qFormat/>
    <w:uiPriority w:val="99"/>
    <w:rPr>
      <w:rFonts w:ascii="宋体" w:hAnsi="Courier New"/>
      <w:szCs w:val="22"/>
    </w:rPr>
  </w:style>
  <w:style w:type="character" w:customStyle="1" w:styleId="77">
    <w:name w:val="批注主题 Char1"/>
    <w:qFormat/>
    <w:uiPriority w:val="0"/>
    <w:rPr>
      <w:rFonts w:ascii="Times New Roman" w:hAnsi="Times New Roman" w:eastAsia="宋体" w:cs="Times New Roman"/>
      <w:b/>
      <w:bCs/>
      <w:kern w:val="2"/>
      <w:sz w:val="21"/>
      <w:szCs w:val="24"/>
    </w:rPr>
  </w:style>
  <w:style w:type="character" w:customStyle="1" w:styleId="78">
    <w:name w:val="纯文本 Char"/>
    <w:link w:val="15"/>
    <w:qFormat/>
    <w:uiPriority w:val="0"/>
    <w:rPr>
      <w:rFonts w:ascii="宋体" w:hAnsi="Courier New" w:eastAsia="宋体" w:cs="Times New Roman"/>
    </w:rPr>
  </w:style>
  <w:style w:type="character" w:customStyle="1" w:styleId="79">
    <w:name w:val="批注文字 Char2"/>
    <w:basedOn w:val="46"/>
    <w:link w:val="11"/>
    <w:semiHidden/>
    <w:qFormat/>
    <w:uiPriority w:val="99"/>
    <w:rPr>
      <w:rFonts w:ascii="Times New Roman" w:hAnsi="Times New Roman" w:eastAsia="宋体" w:cs="Times New Roman"/>
      <w:szCs w:val="24"/>
    </w:rPr>
  </w:style>
  <w:style w:type="character" w:customStyle="1" w:styleId="80">
    <w:name w:val="批注主题 Char2"/>
    <w:basedOn w:val="79"/>
    <w:semiHidden/>
    <w:qFormat/>
    <w:uiPriority w:val="99"/>
    <w:rPr>
      <w:rFonts w:ascii="Times New Roman" w:hAnsi="Times New Roman" w:eastAsia="宋体" w:cs="Times New Roman"/>
      <w:b/>
      <w:bCs/>
      <w:szCs w:val="24"/>
    </w:rPr>
  </w:style>
  <w:style w:type="character" w:customStyle="1" w:styleId="81">
    <w:name w:val="纯文本 Char2"/>
    <w:basedOn w:val="46"/>
    <w:semiHidden/>
    <w:qFormat/>
    <w:uiPriority w:val="99"/>
    <w:rPr>
      <w:rFonts w:ascii="宋体" w:hAnsi="Courier New" w:eastAsia="宋体" w:cs="Courier New"/>
      <w:szCs w:val="21"/>
    </w:rPr>
  </w:style>
  <w:style w:type="character" w:customStyle="1" w:styleId="82">
    <w:name w:val="脚注文本 Char"/>
    <w:basedOn w:val="46"/>
    <w:link w:val="25"/>
    <w:qFormat/>
    <w:uiPriority w:val="0"/>
    <w:rPr>
      <w:rFonts w:ascii="Times New Roman" w:hAnsi="Times New Roman" w:eastAsia="宋体" w:cs="Times New Roman"/>
      <w:sz w:val="18"/>
      <w:szCs w:val="24"/>
    </w:rPr>
  </w:style>
  <w:style w:type="character" w:customStyle="1" w:styleId="83">
    <w:name w:val="正文文本 Char1"/>
    <w:basedOn w:val="46"/>
    <w:semiHidden/>
    <w:qFormat/>
    <w:uiPriority w:val="99"/>
    <w:rPr>
      <w:rFonts w:ascii="Times New Roman" w:hAnsi="Times New Roman" w:eastAsia="宋体" w:cs="Times New Roman"/>
      <w:szCs w:val="24"/>
    </w:rPr>
  </w:style>
  <w:style w:type="character" w:customStyle="1" w:styleId="84">
    <w:name w:val="正文文本缩进 Char"/>
    <w:basedOn w:val="46"/>
    <w:link w:val="12"/>
    <w:qFormat/>
    <w:uiPriority w:val="0"/>
    <w:rPr>
      <w:rFonts w:ascii="Times New Roman" w:hAnsi="Times New Roman" w:eastAsia="宋体" w:cs="Times New Roman"/>
      <w:sz w:val="24"/>
      <w:szCs w:val="24"/>
    </w:rPr>
  </w:style>
  <w:style w:type="character" w:customStyle="1" w:styleId="85">
    <w:name w:val="正文文本缩进 2 Char"/>
    <w:basedOn w:val="46"/>
    <w:link w:val="19"/>
    <w:qFormat/>
    <w:uiPriority w:val="0"/>
    <w:rPr>
      <w:rFonts w:ascii="仿宋_GB2312" w:hAnsi="Times New Roman" w:eastAsia="仿宋_GB2312" w:cs="Times New Roman"/>
      <w:sz w:val="24"/>
      <w:szCs w:val="24"/>
    </w:rPr>
  </w:style>
  <w:style w:type="character" w:customStyle="1" w:styleId="86">
    <w:name w:val="正文文本缩进 3 Char"/>
    <w:basedOn w:val="46"/>
    <w:link w:val="27"/>
    <w:qFormat/>
    <w:uiPriority w:val="0"/>
    <w:rPr>
      <w:rFonts w:ascii="宋体" w:hAnsi="Times New Roman" w:eastAsia="宋体" w:cs="Times New Roman"/>
      <w:kern w:val="0"/>
      <w:sz w:val="24"/>
      <w:szCs w:val="20"/>
    </w:rPr>
  </w:style>
  <w:style w:type="character" w:customStyle="1" w:styleId="87">
    <w:name w:val="日期 Char1"/>
    <w:basedOn w:val="46"/>
    <w:semiHidden/>
    <w:qFormat/>
    <w:uiPriority w:val="99"/>
    <w:rPr>
      <w:rFonts w:ascii="Times New Roman" w:hAnsi="Times New Roman" w:eastAsia="宋体" w:cs="Times New Roman"/>
      <w:szCs w:val="24"/>
    </w:rPr>
  </w:style>
  <w:style w:type="character" w:customStyle="1" w:styleId="88">
    <w:name w:val="批注框文本 Char2"/>
    <w:basedOn w:val="46"/>
    <w:semiHidden/>
    <w:qFormat/>
    <w:uiPriority w:val="99"/>
    <w:rPr>
      <w:rFonts w:ascii="Times New Roman" w:hAnsi="Times New Roman" w:eastAsia="宋体" w:cs="Times New Roman"/>
      <w:sz w:val="18"/>
      <w:szCs w:val="18"/>
    </w:rPr>
  </w:style>
  <w:style w:type="character" w:customStyle="1" w:styleId="89">
    <w:name w:val="页脚 Char1"/>
    <w:basedOn w:val="46"/>
    <w:semiHidden/>
    <w:qFormat/>
    <w:uiPriority w:val="99"/>
    <w:rPr>
      <w:rFonts w:ascii="Times New Roman" w:hAnsi="Times New Roman" w:eastAsia="宋体" w:cs="Times New Roman"/>
      <w:sz w:val="18"/>
      <w:szCs w:val="18"/>
    </w:rPr>
  </w:style>
  <w:style w:type="character" w:customStyle="1" w:styleId="90">
    <w:name w:val="页眉 Char2"/>
    <w:basedOn w:val="46"/>
    <w:semiHidden/>
    <w:qFormat/>
    <w:uiPriority w:val="99"/>
    <w:rPr>
      <w:rFonts w:ascii="Times New Roman" w:hAnsi="Times New Roman" w:eastAsia="宋体" w:cs="Times New Roman"/>
      <w:sz w:val="18"/>
      <w:szCs w:val="18"/>
    </w:rPr>
  </w:style>
  <w:style w:type="paragraph" w:styleId="9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自定义正文"/>
    <w:basedOn w:val="1"/>
    <w:qFormat/>
    <w:uiPriority w:val="0"/>
    <w:pPr>
      <w:spacing w:afterLines="50"/>
      <w:ind w:firstLine="200" w:firstLineChars="200"/>
    </w:pPr>
    <w:rPr>
      <w:rFonts w:ascii="Calibri" w:hAnsi="Calibri"/>
    </w:rPr>
  </w:style>
  <w:style w:type="character" w:customStyle="1" w:styleId="93">
    <w:name w:val="正文首行缩进 2 Char"/>
    <w:basedOn w:val="84"/>
    <w:link w:val="37"/>
    <w:qFormat/>
    <w:uiPriority w:val="0"/>
    <w:rPr>
      <w:rFonts w:ascii="Times New Roman" w:hAnsi="Times New Roman" w:eastAsia="宋体" w:cs="Times New Roman"/>
      <w:sz w:val="24"/>
      <w:szCs w:val="24"/>
    </w:rPr>
  </w:style>
  <w:style w:type="paragraph" w:customStyle="1" w:styleId="9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5">
    <w:name w:val="图例"/>
    <w:basedOn w:val="1"/>
    <w:qFormat/>
    <w:uiPriority w:val="0"/>
    <w:pPr>
      <w:spacing w:before="120" w:after="120"/>
      <w:jc w:val="center"/>
    </w:pPr>
    <w:rPr>
      <w:rFonts w:eastAsia="仿宋_GB2312"/>
      <w:b/>
      <w:szCs w:val="20"/>
    </w:rPr>
  </w:style>
  <w:style w:type="paragraph" w:customStyle="1" w:styleId="96">
    <w:name w:val="_Style 3"/>
    <w:basedOn w:val="1"/>
    <w:qFormat/>
    <w:uiPriority w:val="0"/>
    <w:pPr>
      <w:ind w:firstLine="420" w:firstLineChars="200"/>
    </w:pPr>
    <w:rPr>
      <w:rFonts w:ascii="Calibri" w:hAnsi="Calibri"/>
      <w:szCs w:val="22"/>
    </w:rPr>
  </w:style>
  <w:style w:type="paragraph" w:customStyle="1" w:styleId="97">
    <w:name w:val="WPSOffice手动目录 1"/>
    <w:qFormat/>
    <w:uiPriority w:val="0"/>
    <w:rPr>
      <w:rFonts w:ascii="Times New Roman" w:hAnsi="Times New Roman" w:eastAsia="宋体" w:cs="Times New Roman"/>
      <w:lang w:val="en-US" w:eastAsia="zh-CN" w:bidi="ar-SA"/>
    </w:rPr>
  </w:style>
  <w:style w:type="paragraph" w:customStyle="1" w:styleId="98">
    <w:name w:val="索引 11"/>
    <w:basedOn w:val="1"/>
    <w:next w:val="1"/>
    <w:qFormat/>
    <w:uiPriority w:val="0"/>
    <w:pPr>
      <w:spacing w:line="360" w:lineRule="auto"/>
    </w:pPr>
    <w:rPr>
      <w:rFonts w:ascii="仿宋_GB2312" w:eastAsia="仿宋_GB2312"/>
      <w:sz w:val="24"/>
      <w:szCs w:val="20"/>
    </w:rPr>
  </w:style>
  <w:style w:type="paragraph" w:customStyle="1" w:styleId="99">
    <w:name w:val="Char Char Char Char"/>
    <w:basedOn w:val="1"/>
    <w:qFormat/>
    <w:uiPriority w:val="0"/>
    <w:pPr>
      <w:tabs>
        <w:tab w:val="left" w:pos="360"/>
      </w:tabs>
      <w:ind w:firstLine="420" w:firstLineChars="150"/>
    </w:pPr>
  </w:style>
  <w:style w:type="paragraph" w:styleId="100">
    <w:name w:val="List Paragraph"/>
    <w:basedOn w:val="1"/>
    <w:qFormat/>
    <w:uiPriority w:val="0"/>
    <w:pPr>
      <w:widowControl/>
      <w:ind w:firstLine="420" w:firstLineChars="200"/>
      <w:jc w:val="left"/>
    </w:pPr>
    <w:rPr>
      <w:kern w:val="0"/>
      <w:sz w:val="24"/>
    </w:rPr>
  </w:style>
  <w:style w:type="paragraph" w:customStyle="1" w:styleId="101">
    <w:name w:val="Char"/>
    <w:basedOn w:val="1"/>
    <w:qFormat/>
    <w:uiPriority w:val="0"/>
    <w:pPr>
      <w:tabs>
        <w:tab w:val="left" w:pos="360"/>
      </w:tabs>
    </w:pPr>
    <w:rPr>
      <w:sz w:val="24"/>
    </w:rPr>
  </w:style>
  <w:style w:type="paragraph" w:customStyle="1" w:styleId="102">
    <w:name w:val="列出段落1"/>
    <w:basedOn w:val="1"/>
    <w:qFormat/>
    <w:uiPriority w:val="0"/>
    <w:pPr>
      <w:ind w:firstLine="420" w:firstLineChars="200"/>
    </w:pPr>
    <w:rPr>
      <w:rFonts w:ascii="Calibri" w:hAnsi="Calibri"/>
      <w:szCs w:val="22"/>
    </w:rPr>
  </w:style>
  <w:style w:type="table" w:customStyle="1" w:styleId="103">
    <w:name w:val="中等深浅网格 31"/>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0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6">
    <w:name w:val="font51"/>
    <w:basedOn w:val="46"/>
    <w:qFormat/>
    <w:uiPriority w:val="0"/>
    <w:rPr>
      <w:rFonts w:hint="eastAsia" w:ascii="宋体" w:hAnsi="宋体" w:eastAsia="宋体" w:cs="宋体"/>
      <w:color w:val="FF0000"/>
      <w:sz w:val="18"/>
      <w:szCs w:val="18"/>
      <w:u w:val="none"/>
    </w:rPr>
  </w:style>
  <w:style w:type="paragraph" w:customStyle="1" w:styleId="107">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样式 标题 6 + 黑色"/>
    <w:basedOn w:val="6"/>
    <w:qFormat/>
    <w:uiPriority w:val="0"/>
    <w:pPr>
      <w:spacing w:before="120" w:after="60"/>
    </w:pPr>
    <w:rPr>
      <w:color w:val="000000"/>
      <w:sz w:val="28"/>
    </w:rPr>
  </w:style>
  <w:style w:type="character" w:customStyle="1" w:styleId="109">
    <w:name w:val="文档结构图 Char"/>
    <w:basedOn w:val="46"/>
    <w:link w:val="9"/>
    <w:semiHidden/>
    <w:qFormat/>
    <w:uiPriority w:val="99"/>
    <w:rPr>
      <w:rFonts w:ascii="宋体" w:hAnsi="Times New Roman"/>
      <w:kern w:val="2"/>
      <w:sz w:val="18"/>
      <w:szCs w:val="18"/>
    </w:rPr>
  </w:style>
  <w:style w:type="paragraph" w:customStyle="1" w:styleId="110">
    <w:name w:val="Normal"/>
    <w:qFormat/>
    <w:uiPriority w:val="0"/>
    <w:rPr>
      <w:rFonts w:ascii="Times New Roman" w:hAnsi="Times New Roman" w:eastAsia="Times New Roman" w:cs="Times New Roman"/>
      <w:sz w:val="24"/>
      <w:szCs w:val="24"/>
      <w:lang w:bidi="ar-SA"/>
    </w:rPr>
  </w:style>
  <w:style w:type="paragraph" w:customStyle="1" w:styleId="111">
    <w:name w:val="NOTE_Normal"/>
    <w:basedOn w:val="1"/>
    <w:next w:val="2"/>
    <w:qFormat/>
    <w:uiPriority w:val="0"/>
  </w:style>
  <w:style w:type="paragraph" w:customStyle="1" w:styleId="112">
    <w:name w:val="Table Paragraph"/>
    <w:basedOn w:val="1"/>
    <w:qFormat/>
    <w:uiPriority w:val="1"/>
  </w:style>
  <w:style w:type="paragraph" w:customStyle="1" w:styleId="113">
    <w:name w:val="样式 首行缩进:  2 字符"/>
    <w:basedOn w:val="1"/>
    <w:qFormat/>
    <w:uiPriority w:val="99"/>
    <w:pPr>
      <w:spacing w:beforeLines="50" w:afterLines="50"/>
      <w:ind w:firstLine="200" w:firstLineChars="200"/>
    </w:pPr>
    <w:rPr>
      <w:rFonts w:eastAsia="仿宋" w:cs="宋体"/>
      <w:sz w:val="24"/>
      <w:szCs w:val="20"/>
    </w:rPr>
  </w:style>
  <w:style w:type="paragraph" w:customStyle="1" w:styleId="114">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15">
    <w:name w:val="图"/>
    <w:basedOn w:val="1"/>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table" w:customStyle="1" w:styleId="116">
    <w:name w:val="Table Normal"/>
    <w:semiHidden/>
    <w:unhideWhenUsed/>
    <w:qFormat/>
    <w:uiPriority w:val="0"/>
    <w:tblPr>
      <w:tblCellMar>
        <w:top w:w="0" w:type="dxa"/>
        <w:left w:w="0" w:type="dxa"/>
        <w:bottom w:w="0" w:type="dxa"/>
        <w:right w:w="0" w:type="dxa"/>
      </w:tblCellMar>
    </w:tblPr>
  </w:style>
  <w:style w:type="paragraph" w:customStyle="1" w:styleId="117">
    <w:name w:val="msolistparagraph"/>
    <w:basedOn w:val="1"/>
    <w:qFormat/>
    <w:uiPriority w:val="0"/>
    <w:pPr>
      <w:ind w:firstLine="420" w:firstLineChars="200"/>
    </w:pPr>
    <w:rPr>
      <w:rFonts w:ascii="Calibri" w:hAnsi="Calibri" w:eastAsia="仿宋_GB2312"/>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9.xml"/><Relationship Id="rId30" Type="http://schemas.openxmlformats.org/officeDocument/2006/relationships/header" Target="header10.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header" Target="header9.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93</Pages>
  <Words>14508</Words>
  <Characters>15142</Characters>
  <Lines>311</Lines>
  <Paragraphs>87</Paragraphs>
  <TotalTime>43</TotalTime>
  <ScaleCrop>false</ScaleCrop>
  <LinksUpToDate>false</LinksUpToDate>
  <CharactersWithSpaces>16990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喀什吴彦祖</cp:lastModifiedBy>
  <cp:lastPrinted>2025-01-23T07:51:00Z</cp:lastPrinted>
  <dcterms:modified xsi:type="dcterms:W3CDTF">2025-03-03T02:37:47Z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46B7763D19054636A59EE6DBB9A147C5_13</vt:lpwstr>
  </property>
  <property fmtid="{D5CDD505-2E9C-101B-9397-08002B2CF9AE}" pid="4" name="KSOTemplateDocerSaveRecord">
    <vt:lpwstr>eyJoZGlkIjoiYmMyMTMyMWFiZjI2NzlkNjNhNDFlMzI1NDMxNTM4MmIiLCJ1c2VySWQiOiIyMTU2MDExNTEifQ==</vt:lpwstr>
  </property>
</Properties>
</file>