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CAE23">
      <w:pPr>
        <w:suppressAutoHyphens/>
        <w:wordWrap w:val="0"/>
        <w:jc w:val="center"/>
        <w:outlineLvl w:val="0"/>
        <w:rPr>
          <w:rFonts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电子交易需注意事项</w:t>
      </w:r>
    </w:p>
    <w:p w14:paraId="183A0574">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0" w:name="_Toc27849"/>
      <w:bookmarkStart w:id="1" w:name="_Toc26384"/>
      <w:bookmarkStart w:id="2" w:name="_Toc5581"/>
      <w:bookmarkStart w:id="3" w:name="_Toc16774"/>
      <w:bookmarkStart w:id="4" w:name="_Toc9230"/>
      <w:bookmarkStart w:id="5" w:name="_Toc15873"/>
      <w:r>
        <w:rPr>
          <w:rFonts w:hint="eastAsia" w:ascii="黑体" w:hAnsi="黑体" w:eastAsia="黑体"/>
          <w:color w:val="000000" w:themeColor="text1"/>
          <w:sz w:val="24"/>
          <w:highlight w:val="none"/>
          <w14:textFill>
            <w14:solidFill>
              <w14:schemeClr w14:val="tx1"/>
            </w14:solidFill>
          </w14:textFill>
        </w:rPr>
        <w:t>一、电子招标文件获取</w:t>
      </w:r>
      <w:bookmarkEnd w:id="0"/>
      <w:bookmarkEnd w:id="1"/>
      <w:bookmarkEnd w:id="2"/>
      <w:bookmarkEnd w:id="3"/>
      <w:bookmarkEnd w:id="4"/>
      <w:bookmarkEnd w:id="5"/>
    </w:p>
    <w:p w14:paraId="3C38D16C">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凡有意参加投标者，请于</w:t>
      </w:r>
      <w:r>
        <w:rPr>
          <w:rFonts w:hint="eastAsia" w:ascii="仿宋" w:hAnsi="仿宋" w:eastAsia="仿宋"/>
          <w:color w:val="000000" w:themeColor="text1"/>
          <w:sz w:val="24"/>
          <w:highlight w:val="none"/>
          <w14:textFill>
            <w14:solidFill>
              <w14:schemeClr w14:val="tx1"/>
            </w14:solidFill>
          </w14:textFill>
        </w:rPr>
        <w:t>报名截止时间前</w:t>
      </w:r>
      <w:r>
        <w:rPr>
          <w:rFonts w:ascii="仿宋" w:hAnsi="仿宋" w:eastAsia="仿宋"/>
          <w:color w:val="000000" w:themeColor="text1"/>
          <w:sz w:val="24"/>
          <w:highlight w:val="none"/>
          <w14:textFill>
            <w14:solidFill>
              <w14:schemeClr w14:val="tx1"/>
            </w14:solidFill>
          </w14:textFill>
        </w:rPr>
        <w:t>（北京时间，下同），</w:t>
      </w:r>
      <w:r>
        <w:rPr>
          <w:rFonts w:hint="eastAsia" w:ascii="仿宋" w:hAnsi="仿宋" w:eastAsia="仿宋"/>
          <w:color w:val="000000" w:themeColor="text1"/>
          <w:sz w:val="24"/>
          <w:highlight w:val="none"/>
          <w14:textFill>
            <w14:solidFill>
              <w14:schemeClr w14:val="tx1"/>
            </w14:solidFill>
          </w14:textFill>
        </w:rPr>
        <w:t>进入</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ascii="仿宋" w:hAnsi="仿宋" w:eastAsia="仿宋"/>
          <w:color w:val="000000" w:themeColor="text1"/>
          <w:sz w:val="24"/>
          <w:highlight w:val="none"/>
          <w14:textFill>
            <w14:solidFill>
              <w14:schemeClr w14:val="tx1"/>
            </w14:solidFill>
          </w14:textFill>
        </w:rPr>
        <w:t>，凭企业数字证书（CA）在网上获取招标文件及其它招标</w:t>
      </w:r>
      <w:r>
        <w:rPr>
          <w:rFonts w:hint="eastAsia" w:ascii="仿宋" w:hAnsi="仿宋" w:eastAsia="仿宋"/>
          <w:color w:val="000000" w:themeColor="text1"/>
          <w:sz w:val="24"/>
          <w:highlight w:val="none"/>
          <w14:textFill>
            <w14:solidFill>
              <w14:schemeClr w14:val="tx1"/>
            </w14:solidFill>
          </w14:textFill>
        </w:rPr>
        <w:t>文件。</w:t>
      </w:r>
    </w:p>
    <w:p w14:paraId="0BF34ABC">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6" w:name="_Toc22581"/>
      <w:bookmarkStart w:id="7" w:name="_Toc7823"/>
      <w:bookmarkStart w:id="8" w:name="_Toc9563"/>
      <w:bookmarkStart w:id="9" w:name="_Toc5027"/>
      <w:bookmarkStart w:id="10" w:name="_Toc10870"/>
      <w:bookmarkStart w:id="11" w:name="_Toc3784"/>
      <w:bookmarkStart w:id="12" w:name="_Toc31167"/>
      <w:r>
        <w:rPr>
          <w:rFonts w:hint="eastAsia" w:ascii="黑体" w:hAnsi="黑体" w:eastAsia="黑体"/>
          <w:color w:val="000000" w:themeColor="text1"/>
          <w:sz w:val="24"/>
          <w:highlight w:val="none"/>
          <w14:textFill>
            <w14:solidFill>
              <w14:schemeClr w14:val="tx1"/>
            </w14:solidFill>
          </w14:textFill>
        </w:rPr>
        <w:t>二、</w:t>
      </w:r>
      <w:r>
        <w:rPr>
          <w:rFonts w:ascii="黑体" w:hAnsi="黑体" w:eastAsia="黑体"/>
          <w:color w:val="000000" w:themeColor="text1"/>
          <w:sz w:val="24"/>
          <w:highlight w:val="none"/>
          <w14:textFill>
            <w14:solidFill>
              <w14:schemeClr w14:val="tx1"/>
            </w14:solidFill>
          </w14:textFill>
        </w:rPr>
        <w:t>电子投标文件的递交</w:t>
      </w:r>
      <w:bookmarkEnd w:id="6"/>
      <w:bookmarkEnd w:id="7"/>
      <w:bookmarkEnd w:id="8"/>
      <w:bookmarkEnd w:id="9"/>
      <w:bookmarkEnd w:id="10"/>
      <w:bookmarkEnd w:id="11"/>
      <w:bookmarkEnd w:id="12"/>
    </w:p>
    <w:p w14:paraId="2971B2F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在</w:t>
      </w:r>
      <w:r>
        <w:rPr>
          <w:rFonts w:ascii="仿宋" w:hAnsi="仿宋" w:eastAsia="仿宋"/>
          <w:color w:val="000000" w:themeColor="text1"/>
          <w:sz w:val="24"/>
          <w:highlight w:val="none"/>
          <w14:textFill>
            <w14:solidFill>
              <w14:schemeClr w14:val="tx1"/>
            </w14:solidFill>
          </w14:textFill>
        </w:rPr>
        <w:t>投标文件递交的截止时间（投标截止时间，下同）</w:t>
      </w:r>
      <w:r>
        <w:rPr>
          <w:rFonts w:hint="eastAsia" w:ascii="仿宋" w:hAnsi="仿宋" w:eastAsia="仿宋"/>
          <w:color w:val="000000" w:themeColor="text1"/>
          <w:sz w:val="24"/>
          <w:highlight w:val="none"/>
          <w14:textFill>
            <w14:solidFill>
              <w14:schemeClr w14:val="tx1"/>
            </w14:solidFill>
          </w14:textFill>
        </w:rPr>
        <w:t>前，需在网上递交投标文件，具体要求：</w:t>
      </w:r>
    </w:p>
    <w:p w14:paraId="17495E95">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网上递交：网上递交</w:t>
      </w:r>
      <w:r>
        <w:rPr>
          <w:rFonts w:hint="eastAsia" w:ascii="仿宋" w:hAnsi="仿宋" w:eastAsia="仿宋"/>
          <w:color w:val="000000" w:themeColor="text1"/>
          <w:sz w:val="24"/>
          <w:highlight w:val="none"/>
          <w14:textFill>
            <w14:solidFill>
              <w14:schemeClr w14:val="tx1"/>
            </w14:solidFill>
          </w14:textFill>
        </w:rPr>
        <w:t>需登录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投标人须在投标截止时间前完成所有</w:t>
      </w:r>
      <w:r>
        <w:rPr>
          <w:rFonts w:hint="eastAsia" w:ascii="仿宋" w:hAnsi="仿宋" w:eastAsia="仿宋"/>
          <w:color w:val="000000" w:themeColor="text1"/>
          <w:sz w:val="24"/>
          <w:highlight w:val="none"/>
          <w14:textFill>
            <w14:solidFill>
              <w14:schemeClr w14:val="tx1"/>
            </w14:solidFill>
          </w14:textFill>
        </w:rPr>
        <w:t>电子</w:t>
      </w:r>
      <w:r>
        <w:rPr>
          <w:rFonts w:ascii="仿宋" w:hAnsi="仿宋" w:eastAsia="仿宋"/>
          <w:color w:val="000000" w:themeColor="text1"/>
          <w:sz w:val="24"/>
          <w:highlight w:val="none"/>
          <w14:textFill>
            <w14:solidFill>
              <w14:schemeClr w14:val="tx1"/>
            </w14:solidFill>
          </w14:textFill>
        </w:rPr>
        <w:t>投标文件的上传，网上确认电子签名，并打印“上传投标文件回执”，投标截止时间前未完成投标文件传输的，视为撤回投标文件。</w:t>
      </w:r>
    </w:p>
    <w:p w14:paraId="36C84608">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13" w:name="_Toc8629"/>
      <w:bookmarkStart w:id="14" w:name="_Toc18545"/>
      <w:bookmarkStart w:id="15" w:name="_Toc28768"/>
      <w:bookmarkStart w:id="16" w:name="_Toc30468"/>
      <w:bookmarkStart w:id="17" w:name="_Toc5031"/>
      <w:bookmarkStart w:id="18" w:name="_Toc23521"/>
      <w:bookmarkStart w:id="19" w:name="_Toc18797"/>
      <w:r>
        <w:rPr>
          <w:rFonts w:hint="eastAsia" w:ascii="黑体" w:hAnsi="黑体" w:eastAsia="黑体"/>
          <w:color w:val="000000" w:themeColor="text1"/>
          <w:sz w:val="24"/>
          <w:highlight w:val="none"/>
          <w14:textFill>
            <w14:solidFill>
              <w14:schemeClr w14:val="tx1"/>
            </w14:solidFill>
          </w14:textFill>
        </w:rPr>
        <w:t>三、电子招标文件澄清与答疑</w:t>
      </w:r>
      <w:bookmarkEnd w:id="13"/>
      <w:bookmarkEnd w:id="14"/>
      <w:bookmarkEnd w:id="15"/>
      <w:bookmarkEnd w:id="16"/>
      <w:bookmarkEnd w:id="17"/>
      <w:bookmarkEnd w:id="18"/>
      <w:bookmarkEnd w:id="19"/>
    </w:p>
    <w:p w14:paraId="30C9DDF9">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投标人应仔细阅读和检查招标文件的全部内容。如发现缺页或附件不全，应及时向招标人提出，以便补齐。如有疑问，应在投标人须知前附表规定的时间前，凭企业数字证书（</w:t>
      </w:r>
      <w:r>
        <w:rPr>
          <w:rFonts w:ascii="仿宋" w:hAnsi="仿宋" w:eastAsia="仿宋"/>
          <w:color w:val="000000" w:themeColor="text1"/>
          <w:sz w:val="24"/>
          <w:highlight w:val="none"/>
          <w14:textFill>
            <w14:solidFill>
              <w14:schemeClr w14:val="tx1"/>
            </w14:solidFill>
          </w14:textFill>
        </w:rPr>
        <w:t>CA</w:t>
      </w:r>
      <w:r>
        <w:rPr>
          <w:rFonts w:hint="eastAsia" w:ascii="仿宋" w:hAnsi="仿宋" w:eastAsia="仿宋"/>
          <w:color w:val="000000" w:themeColor="text1"/>
          <w:sz w:val="24"/>
          <w:highlight w:val="none"/>
          <w14:textFill>
            <w14:solidFill>
              <w14:schemeClr w14:val="tx1"/>
            </w14:solidFill>
          </w14:textFill>
        </w:rPr>
        <w:t>）登录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以在线不署名提交，要求招标人对招标文件予以澄清。</w:t>
      </w:r>
    </w:p>
    <w:p w14:paraId="640C940A">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20" w:name="_Toc7552"/>
      <w:bookmarkStart w:id="21" w:name="_Toc14965"/>
      <w:bookmarkStart w:id="22" w:name="_Toc7360"/>
      <w:bookmarkStart w:id="23" w:name="_Toc21560"/>
      <w:bookmarkStart w:id="24" w:name="_Toc13818"/>
      <w:bookmarkStart w:id="25" w:name="_Toc13559"/>
      <w:bookmarkStart w:id="26" w:name="_Toc16557"/>
      <w:r>
        <w:rPr>
          <w:rFonts w:hint="eastAsia" w:ascii="黑体" w:hAnsi="黑体" w:eastAsia="黑体"/>
          <w:color w:val="000000" w:themeColor="text1"/>
          <w:sz w:val="24"/>
          <w:highlight w:val="none"/>
          <w14:textFill>
            <w14:solidFill>
              <w14:schemeClr w14:val="tx1"/>
            </w14:solidFill>
          </w14:textFill>
        </w:rPr>
        <w:t>四、</w:t>
      </w:r>
      <w:r>
        <w:rPr>
          <w:rFonts w:ascii="黑体" w:hAnsi="黑体" w:eastAsia="黑体"/>
          <w:color w:val="000000" w:themeColor="text1"/>
          <w:sz w:val="24"/>
          <w:highlight w:val="none"/>
          <w14:textFill>
            <w14:solidFill>
              <w14:schemeClr w14:val="tx1"/>
            </w14:solidFill>
          </w14:textFill>
        </w:rPr>
        <w:t>电子招标文件的修改</w:t>
      </w:r>
      <w:bookmarkEnd w:id="20"/>
      <w:bookmarkEnd w:id="21"/>
      <w:bookmarkEnd w:id="22"/>
      <w:bookmarkEnd w:id="23"/>
      <w:bookmarkEnd w:id="24"/>
      <w:bookmarkEnd w:id="25"/>
      <w:bookmarkEnd w:id="26"/>
    </w:p>
    <w:p w14:paraId="2DB413A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（一）招标人对招标文件中的涉及评标办法、评审项目等重要评审内容做出变更，将同时发布补遗文件进行说明以保证各投标人都能重新下载并用于编制电子投标文件。</w:t>
      </w:r>
    </w:p>
    <w:p w14:paraId="5E2354F0">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（二）投标人应在投标截止时间前及时</w:t>
      </w:r>
      <w:r>
        <w:rPr>
          <w:rFonts w:hint="eastAsia" w:ascii="仿宋" w:hAnsi="仿宋" w:eastAsia="仿宋"/>
          <w:color w:val="000000" w:themeColor="text1"/>
          <w:sz w:val="24"/>
          <w:highlight w:val="none"/>
          <w:lang w:val="en-US" w:eastAsia="zh-CN"/>
          <w14:textFill>
            <w14:solidFill>
              <w14:schemeClr w14:val="tx1"/>
            </w14:solidFill>
          </w14:textFill>
        </w:rPr>
        <w:t>登录</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云南省公共资源交易信息网（网址：http://ggzy.yn.gov.cn/#/homePage）</w:t>
      </w:r>
      <w:r>
        <w:rPr>
          <w:rFonts w:hint="eastAsia" w:ascii="仿宋" w:hAnsi="仿宋" w:eastAsia="仿宋"/>
          <w:color w:val="000000" w:themeColor="text1"/>
          <w:sz w:val="24"/>
          <w:highlight w:val="none"/>
          <w14:textFill>
            <w14:solidFill>
              <w14:schemeClr w14:val="tx1"/>
            </w14:solidFill>
          </w14:textFill>
        </w:rPr>
        <w:t>中查看有关该招标项目的招标文件答疑、补遗内容。否则，后果自负！</w:t>
      </w:r>
    </w:p>
    <w:p w14:paraId="7DDD50AD">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27" w:name="_Toc18409"/>
      <w:bookmarkStart w:id="28" w:name="_Toc18069"/>
      <w:bookmarkStart w:id="29" w:name="_Toc21827"/>
      <w:bookmarkStart w:id="30" w:name="_Toc24277"/>
      <w:bookmarkStart w:id="31" w:name="_Toc25123"/>
      <w:bookmarkStart w:id="32" w:name="_Toc15389"/>
      <w:bookmarkStart w:id="33" w:name="_Toc19700"/>
      <w:r>
        <w:rPr>
          <w:rFonts w:hint="eastAsia" w:ascii="黑体" w:hAnsi="黑体" w:eastAsia="黑体"/>
          <w:color w:val="000000" w:themeColor="text1"/>
          <w:sz w:val="24"/>
          <w:highlight w:val="none"/>
          <w14:textFill>
            <w14:solidFill>
              <w14:schemeClr w14:val="tx1"/>
            </w14:solidFill>
          </w14:textFill>
        </w:rPr>
        <w:t>五、电子投标文件的组成及要求</w:t>
      </w:r>
      <w:bookmarkEnd w:id="27"/>
      <w:bookmarkEnd w:id="28"/>
      <w:bookmarkEnd w:id="29"/>
      <w:bookmarkEnd w:id="30"/>
      <w:bookmarkEnd w:id="31"/>
      <w:bookmarkEnd w:id="32"/>
      <w:bookmarkEnd w:id="33"/>
    </w:p>
    <w:p w14:paraId="201DAE2B">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（一）电子投标文件应按照电子招标文件要求进行编制，并进行电子签名及加密。</w:t>
      </w:r>
    </w:p>
    <w:p w14:paraId="1137D769">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（二）在编制标投标文件时，粘贴图片建议使用JPG格式的文件，并且每张图片的分辩率应小于100dpi。</w:t>
      </w:r>
    </w:p>
    <w:p w14:paraId="00B5F274">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34" w:name="_Toc9965"/>
      <w:bookmarkStart w:id="35" w:name="_Toc13518"/>
      <w:bookmarkStart w:id="36" w:name="_Toc30337"/>
      <w:bookmarkStart w:id="37" w:name="_Toc24010"/>
      <w:bookmarkStart w:id="38" w:name="_Toc18618"/>
      <w:bookmarkStart w:id="39" w:name="_Toc3049"/>
      <w:bookmarkStart w:id="40" w:name="_Toc1350"/>
      <w:r>
        <w:rPr>
          <w:rFonts w:hint="eastAsia" w:ascii="黑体" w:hAnsi="黑体" w:eastAsia="黑体"/>
          <w:color w:val="000000" w:themeColor="text1"/>
          <w:sz w:val="24"/>
          <w:highlight w:val="none"/>
          <w14:textFill>
            <w14:solidFill>
              <w14:schemeClr w14:val="tx1"/>
            </w14:solidFill>
          </w14:textFill>
        </w:rPr>
        <w:t>六、电子投标文件的密封和标记</w:t>
      </w:r>
      <w:bookmarkEnd w:id="34"/>
      <w:bookmarkEnd w:id="35"/>
      <w:bookmarkEnd w:id="36"/>
      <w:bookmarkEnd w:id="37"/>
      <w:bookmarkEnd w:id="38"/>
      <w:bookmarkEnd w:id="39"/>
      <w:bookmarkEnd w:id="40"/>
    </w:p>
    <w:p w14:paraId="3A0A74F1">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（一）网上递交的投标文件需要对投标文件进行加密。</w:t>
      </w:r>
    </w:p>
    <w:p w14:paraId="3B3F6223">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（二）未按</w:t>
      </w:r>
      <w:r>
        <w:rPr>
          <w:rFonts w:hint="eastAsia" w:ascii="仿宋" w:hAnsi="仿宋" w:eastAsia="仿宋"/>
          <w:color w:val="000000" w:themeColor="text1"/>
          <w:sz w:val="24"/>
          <w:highlight w:val="none"/>
          <w:lang w:val="en-US" w:eastAsia="zh-CN"/>
          <w14:textFill>
            <w14:solidFill>
              <w14:schemeClr w14:val="tx1"/>
            </w14:solidFill>
          </w14:textFill>
        </w:rPr>
        <w:t>要求进行加密</w:t>
      </w:r>
      <w:r>
        <w:rPr>
          <w:rFonts w:hint="eastAsia" w:ascii="仿宋" w:hAnsi="仿宋" w:eastAsia="仿宋"/>
          <w:color w:val="000000" w:themeColor="text1"/>
          <w:sz w:val="24"/>
          <w:highlight w:val="none"/>
          <w14:textFill>
            <w14:solidFill>
              <w14:schemeClr w14:val="tx1"/>
            </w14:solidFill>
          </w14:textFill>
        </w:rPr>
        <w:t>的投标文件，招标人不予受理。</w:t>
      </w:r>
    </w:p>
    <w:p w14:paraId="01DC5106">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41" w:name="_Toc3873"/>
      <w:bookmarkStart w:id="42" w:name="_Toc31188"/>
      <w:bookmarkStart w:id="43" w:name="_Toc27404"/>
      <w:bookmarkStart w:id="44" w:name="_Toc4792"/>
      <w:bookmarkStart w:id="45" w:name="_Toc7678"/>
      <w:bookmarkStart w:id="46" w:name="_Toc10275"/>
      <w:bookmarkStart w:id="47" w:name="_Toc1738"/>
      <w:r>
        <w:rPr>
          <w:rFonts w:hint="eastAsia" w:ascii="黑体" w:hAnsi="黑体" w:eastAsia="黑体"/>
          <w:color w:val="000000" w:themeColor="text1"/>
          <w:sz w:val="24"/>
          <w:highlight w:val="none"/>
          <w14:textFill>
            <w14:solidFill>
              <w14:schemeClr w14:val="tx1"/>
            </w14:solidFill>
          </w14:textFill>
        </w:rPr>
        <w:t>七、电子投标文件的修改与撤回</w:t>
      </w:r>
      <w:bookmarkEnd w:id="41"/>
      <w:bookmarkEnd w:id="42"/>
      <w:bookmarkEnd w:id="43"/>
      <w:bookmarkEnd w:id="44"/>
      <w:bookmarkEnd w:id="45"/>
      <w:bookmarkEnd w:id="46"/>
      <w:bookmarkEnd w:id="47"/>
    </w:p>
    <w:p w14:paraId="4CE6725D">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（一）在投标截止时间前，投标人可以修改或撤回已在网上递交的投标文件，无须书面形式通知招标人。</w:t>
      </w:r>
    </w:p>
    <w:p w14:paraId="5D4DAC74">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（二）修改的投标文件应按照《电子投标文件编制及报送要求》规定进行编制、密封、标记和递交。</w:t>
      </w:r>
    </w:p>
    <w:p w14:paraId="4E8B6EF6">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48" w:name="_Toc18284"/>
      <w:bookmarkStart w:id="49" w:name="_Toc24616"/>
      <w:bookmarkStart w:id="50" w:name="_Toc2999"/>
      <w:bookmarkStart w:id="51" w:name="_Toc32005"/>
      <w:bookmarkStart w:id="52" w:name="_Toc32308"/>
      <w:bookmarkStart w:id="53" w:name="_Toc23697"/>
      <w:bookmarkStart w:id="54" w:name="_Toc12176"/>
      <w:r>
        <w:rPr>
          <w:rFonts w:hint="eastAsia" w:ascii="黑体" w:hAnsi="黑体" w:eastAsia="黑体"/>
          <w:color w:val="000000" w:themeColor="text1"/>
          <w:sz w:val="24"/>
          <w:highlight w:val="none"/>
          <w14:textFill>
            <w14:solidFill>
              <w14:schemeClr w14:val="tx1"/>
            </w14:solidFill>
          </w14:textFill>
        </w:rPr>
        <w:t>八、电子开标及投标文件解密</w:t>
      </w:r>
      <w:bookmarkEnd w:id="48"/>
      <w:bookmarkEnd w:id="49"/>
      <w:bookmarkEnd w:id="50"/>
      <w:bookmarkEnd w:id="51"/>
      <w:bookmarkEnd w:id="52"/>
      <w:bookmarkEnd w:id="53"/>
      <w:bookmarkEnd w:id="54"/>
    </w:p>
    <w:p w14:paraId="6621967A">
      <w:pPr>
        <w:suppressAutoHyphens/>
        <w:wordWrap w:val="0"/>
        <w:ind w:firstLine="360" w:firstLineChars="15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（一）采用网上</w:t>
      </w:r>
      <w:r>
        <w:rPr>
          <w:rFonts w:hint="eastAsia" w:ascii="仿宋" w:hAnsi="仿宋" w:eastAsia="仿宋"/>
          <w:color w:val="000000" w:themeColor="text1"/>
          <w:sz w:val="24"/>
          <w:highlight w:val="none"/>
          <w:lang w:val="en-US" w:eastAsia="zh-CN"/>
          <w14:textFill>
            <w14:solidFill>
              <w14:schemeClr w14:val="tx1"/>
            </w14:solidFill>
          </w14:textFill>
        </w:rPr>
        <w:t>智能</w:t>
      </w:r>
      <w:r>
        <w:rPr>
          <w:rFonts w:hint="eastAsia" w:ascii="仿宋" w:hAnsi="仿宋" w:eastAsia="仿宋"/>
          <w:color w:val="000000" w:themeColor="text1"/>
          <w:sz w:val="24"/>
          <w:highlight w:val="none"/>
          <w14:textFill>
            <w14:solidFill>
              <w14:schemeClr w14:val="tx1"/>
            </w14:solidFill>
          </w14:textFill>
        </w:rPr>
        <w:t>开标，详</w:t>
      </w:r>
      <w:r>
        <w:rPr>
          <w:rFonts w:hint="eastAsia" w:ascii="仿宋" w:hAnsi="仿宋" w:eastAsia="仿宋"/>
          <w:color w:val="000000" w:themeColor="text1"/>
          <w:sz w:val="24"/>
          <w:highlight w:val="none"/>
          <w:lang w:val="en-US" w:eastAsia="zh-CN"/>
          <w14:textFill>
            <w14:solidFill>
              <w14:schemeClr w14:val="tx1"/>
            </w14:solidFill>
          </w14:textFill>
        </w:rPr>
        <w:t>见</w:t>
      </w:r>
      <w:r>
        <w:rPr>
          <w:rFonts w:hint="eastAsia" w:ascii="仿宋" w:hAnsi="仿宋" w:eastAsia="仿宋" w:cs="宋体"/>
          <w:color w:val="000000" w:themeColor="text1"/>
          <w:sz w:val="24"/>
          <w:highlight w:val="none"/>
          <w:lang w:val="en-US" w:eastAsia="zh-CN"/>
          <w14:textFill>
            <w14:solidFill>
              <w14:schemeClr w14:val="tx1"/>
            </w14:solidFill>
          </w14:textFill>
        </w:rPr>
        <w:t>云南省公共资源交易信息网</w:t>
      </w:r>
      <w:r>
        <w:rPr>
          <w:rFonts w:hint="eastAsia" w:ascii="仿宋" w:hAnsi="仿宋" w:eastAsia="仿宋"/>
          <w:color w:val="000000" w:themeColor="text1"/>
          <w:sz w:val="24"/>
          <w:highlight w:val="none"/>
          <w:lang w:eastAsia="zh-CN"/>
          <w14:textFill>
            <w14:solidFill>
              <w14:schemeClr w14:val="tx1"/>
            </w14:solidFill>
          </w14:textFill>
        </w:rPr>
        <w:t>服务指南</w:t>
      </w:r>
      <w:r>
        <w:rPr>
          <w:rFonts w:hint="eastAsia" w:ascii="仿宋" w:hAnsi="仿宋" w:eastAsia="仿宋"/>
          <w:color w:val="000000" w:themeColor="text1"/>
          <w:sz w:val="24"/>
          <w:highlight w:val="none"/>
          <w14:textFill>
            <w14:solidFill>
              <w14:schemeClr w14:val="tx1"/>
            </w14:solidFill>
          </w14:textFill>
        </w:rPr>
        <w:t>智能开标系统操作手册。</w:t>
      </w:r>
    </w:p>
    <w:p w14:paraId="57D4F1B0">
      <w:pPr>
        <w:suppressAutoHyphens/>
        <w:wordWrap w:val="0"/>
        <w:ind w:firstLine="360" w:firstLineChars="150"/>
        <w:rPr>
          <w:rFonts w:ascii="黑体" w:hAnsi="黑体" w:eastAsia="黑体"/>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（二）由投标人的原因导致无法解密的视为撤回其投标文件。</w:t>
      </w:r>
    </w:p>
    <w:p w14:paraId="17357F50">
      <w:pPr>
        <w:suppressAutoHyphens/>
        <w:wordWrap w:val="0"/>
        <w:ind w:firstLine="360" w:firstLineChars="150"/>
        <w:outlineLvl w:val="0"/>
        <w:rPr>
          <w:rFonts w:ascii="黑体" w:hAnsi="黑体" w:eastAsia="黑体"/>
          <w:color w:val="000000" w:themeColor="text1"/>
          <w:sz w:val="24"/>
          <w:highlight w:val="none"/>
          <w14:textFill>
            <w14:solidFill>
              <w14:schemeClr w14:val="tx1"/>
            </w14:solidFill>
          </w14:textFill>
        </w:rPr>
      </w:pPr>
      <w:bookmarkStart w:id="55" w:name="_Toc2078"/>
      <w:bookmarkStart w:id="56" w:name="_Toc31602"/>
      <w:bookmarkStart w:id="57" w:name="_Toc32424"/>
      <w:bookmarkStart w:id="58" w:name="_Toc383"/>
      <w:bookmarkStart w:id="59" w:name="_Toc24620"/>
      <w:bookmarkStart w:id="60" w:name="_Toc31607"/>
      <w:bookmarkStart w:id="61" w:name="_Toc32328"/>
      <w:r>
        <w:rPr>
          <w:rFonts w:hint="eastAsia" w:ascii="黑体" w:hAnsi="黑体" w:eastAsia="黑体"/>
          <w:color w:val="000000" w:themeColor="text1"/>
          <w:sz w:val="24"/>
          <w:highlight w:val="none"/>
          <w14:textFill>
            <w14:solidFill>
              <w14:schemeClr w14:val="tx1"/>
            </w14:solidFill>
          </w14:textFill>
        </w:rPr>
        <w:t>九、技术支持</w:t>
      </w:r>
      <w:bookmarkEnd w:id="55"/>
      <w:bookmarkEnd w:id="56"/>
      <w:bookmarkEnd w:id="57"/>
      <w:bookmarkEnd w:id="58"/>
      <w:bookmarkEnd w:id="59"/>
      <w:bookmarkEnd w:id="60"/>
      <w:bookmarkEnd w:id="61"/>
    </w:p>
    <w:p w14:paraId="7C9B015D">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交易平台技术支持</w:t>
      </w:r>
    </w:p>
    <w:p w14:paraId="6A24C8A6">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服务热线:010-86483801 服务QQ:400-9618-998</w:t>
      </w:r>
    </w:p>
    <w:p w14:paraId="29AD4137">
      <w:pPr>
        <w:suppressAutoHyphens/>
        <w:wordWrap w:val="0"/>
        <w:ind w:firstLine="360" w:firstLineChars="150"/>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附件：</w:t>
      </w:r>
    </w:p>
    <w:p w14:paraId="5F3E56BF">
      <w:pPr>
        <w:suppressAutoHyphens/>
        <w:wordWrap w:val="0"/>
        <w:ind w:firstLine="315" w:firstLineChars="150"/>
        <w:rPr>
          <w:rFonts w:ascii="仿宋" w:hAnsi="仿宋" w:eastAsia="仿宋"/>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078095" cy="3002280"/>
            <wp:effectExtent l="0" t="0" r="825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078095" cy="3002280"/>
                    </a:xfrm>
                    <a:prstGeom prst="rect">
                      <a:avLst/>
                    </a:prstGeom>
                    <a:noFill/>
                    <a:ln>
                      <a:noFill/>
                    </a:ln>
                  </pic:spPr>
                </pic:pic>
              </a:graphicData>
            </a:graphic>
          </wp:inline>
        </w:drawing>
      </w:r>
    </w:p>
    <w:p w14:paraId="5F4BAFFA">
      <w:pPr>
        <w:suppressAutoHyphens/>
        <w:wordWrap w:val="0"/>
        <w:ind w:firstLine="360" w:firstLineChars="150"/>
        <w:rPr>
          <w:rFonts w:ascii="仿宋" w:hAnsi="仿宋" w:eastAsia="仿宋"/>
          <w:color w:val="000000" w:themeColor="text1"/>
          <w:sz w:val="24"/>
          <w:highlight w:val="none"/>
          <w14:textFill>
            <w14:solidFill>
              <w14:schemeClr w14:val="tx1"/>
            </w14:solidFill>
          </w14:textFill>
        </w:rPr>
      </w:pPr>
    </w:p>
    <w:p w14:paraId="1B4A4561">
      <w:pPr>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drawing>
          <wp:inline distT="0" distB="0" distL="114300" distR="114300">
            <wp:extent cx="5065395" cy="2695575"/>
            <wp:effectExtent l="0" t="0" r="1905" b="9525"/>
            <wp:docPr id="6" name="图片 6" descr="电子招投标文件格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电子招投标文件格式"/>
                    <pic:cNvPicPr>
                      <a:picLocks noChangeAspect="1"/>
                    </pic:cNvPicPr>
                  </pic:nvPicPr>
                  <pic:blipFill>
                    <a:blip r:embed="rId5"/>
                    <a:stretch>
                      <a:fillRect/>
                    </a:stretch>
                  </pic:blipFill>
                  <pic:spPr>
                    <a:xfrm>
                      <a:off x="0" y="0"/>
                      <a:ext cx="5065395" cy="2695575"/>
                    </a:xfrm>
                    <a:prstGeom prst="rect">
                      <a:avLst/>
                    </a:prstGeom>
                    <a:noFill/>
                    <a:ln>
                      <a:noFill/>
                    </a:ln>
                  </pic:spPr>
                </pic:pic>
              </a:graphicData>
            </a:graphic>
          </wp:inline>
        </w:drawing>
      </w:r>
    </w:p>
    <w:p w14:paraId="4527F646">
      <w:pP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br w:type="page"/>
      </w:r>
    </w:p>
    <w:p w14:paraId="261FD8E7">
      <w:bookmarkStart w:id="62" w:name="_GoBack"/>
      <w:bookmarkEnd w:id="6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42116"/>
    <w:rsid w:val="1544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2025-02-28T08:15:00Z</dcterms:created>
  <dc:creator>邱永槟</dc:creator>
  <cp:lastModifiedBy>邱永槟</cp:lastModifiedBy>
  <dcterms:modified xsi:type="dcterms:W3CDTF">2025-02-28T08:15:56Z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E9BFEB872E6A4A82965AB8C6C4B3029D_11</vt:lpwstr>
  </property>
  <property fmtid="{D5CDD505-2E9C-101B-9397-08002B2CF9AE}" pid="4" name="KSOTemplateDocerSaveRecord">
    <vt:lpwstr>eyJoZGlkIjoiZDBjZTBiYTM5MTM5YjM2Y2NlNDlmNTgxY2RjNzMyMGYiLCJ1c2VySWQiOiIxNDU5Mzc3NDI2In0=</vt:lpwstr>
  </property>
</Properties>
</file>